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647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47827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2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Mattis Wenjuan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800"/>
        <w:spacing w:after="0" w:line="301" w:lineRule="auto"/>
        <w:rPr>
          <w:sz w:val="20"/>
          <w:szCs w:val="20"/>
          <w:color w:val="auto"/>
        </w:rPr>
      </w:pPr>
      <w:r>
        <w:rPr>
          <w:rFonts w:ascii="Arial" w:cs="Arial" w:eastAsia="Arial" w:hAnsi="Arial"/>
          <w:sz w:val="17"/>
          <w:szCs w:val="17"/>
          <w:color w:val="0000FF"/>
        </w:rPr>
        <w:t>12603 SOUTHWEST FREEWAY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Microvast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MVST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07/23/2021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Technology Officer (CTO)</w:t>
      </w:r>
    </w:p>
    <w:p>
      <w:pPr>
        <w:spacing w:after="0" w:line="423" w:lineRule="exact"/>
        <w:rPr>
          <w:sz w:val="24"/>
          <w:szCs w:val="24"/>
          <w:color w:val="auto"/>
        </w:rPr>
      </w:pPr>
    </w:p>
    <w:p>
      <w:pPr>
        <w:sectPr>
          <w:pgSz w:w="11900" w:h="16838" w:orient="portrait"/>
          <w:cols w:equalWidth="0" w:num="3">
            <w:col w:w="3180" w:space="720"/>
            <w:col w:w="3115" w:space="720"/>
            <w:col w:w="3345"/>
          </w:cols>
          <w:pgMar w:left="460" w:top="220" w:right="359" w:bottom="128"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40" w:type="dxa"/>
            <w:vAlign w:val="bottom"/>
            <w:gridSpan w:val="8"/>
          </w:tcPr>
          <w:p>
            <w:pPr>
              <w:ind w:left="14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80" w:type="dxa"/>
            <w:vAlign w:val="bottom"/>
            <w:gridSpan w:val="10"/>
          </w:tcPr>
          <w:p>
            <w:pPr>
              <w:ind w:left="3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STAFFORD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77477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4"/>
          </w:tcPr>
          <w:p>
            <w:pPr>
              <w:jc w:val="center"/>
              <w:ind w:left="714"/>
              <w:spacing w:after="0"/>
              <w:rPr>
                <w:sz w:val="20"/>
                <w:szCs w:val="20"/>
                <w:color w:val="auto"/>
              </w:rPr>
            </w:pPr>
            <w:r>
              <w:rPr>
                <w:rFonts w:ascii="Arial" w:cs="Arial" w:eastAsia="Arial" w:hAnsi="Arial"/>
                <w:sz w:val="17"/>
                <w:szCs w:val="17"/>
                <w:color w:val="0000FF"/>
                <w:w w:val="86"/>
              </w:rPr>
              <w:t>07/23/2021</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281"/>
              <w:spacing w:after="0"/>
              <w:rPr>
                <w:sz w:val="20"/>
                <w:szCs w:val="20"/>
                <w:color w:val="auto"/>
              </w:rPr>
            </w:pPr>
            <w:r>
              <w:rPr>
                <w:rFonts w:ascii="Arial" w:cs="Arial" w:eastAsia="Arial" w:hAnsi="Arial"/>
                <w:sz w:val="13"/>
                <w:szCs w:val="13"/>
                <w:color w:val="0000FF"/>
              </w:rPr>
              <w:t>A</w:t>
            </w:r>
          </w:p>
        </w:tc>
        <w:tc>
          <w:tcPr>
            <w:tcW w:w="840" w:type="dxa"/>
            <w:vAlign w:val="bottom"/>
            <w:gridSpan w:val="2"/>
          </w:tcPr>
          <w:p>
            <w:pPr>
              <w:jc w:val="right"/>
              <w:spacing w:after="0"/>
              <w:rPr>
                <w:sz w:val="20"/>
                <w:szCs w:val="20"/>
                <w:color w:val="auto"/>
              </w:rPr>
            </w:pPr>
            <w:r>
              <w:rPr>
                <w:rFonts w:ascii="Arial" w:cs="Arial" w:eastAsia="Arial" w:hAnsi="Arial"/>
                <w:sz w:val="17"/>
                <w:szCs w:val="17"/>
                <w:color w:val="0000FF"/>
              </w:rPr>
              <w:t>198,415</w:t>
            </w:r>
          </w:p>
        </w:tc>
        <w:tc>
          <w:tcPr>
            <w:tcW w:w="52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Pr>
          <w:p>
            <w:pPr>
              <w:ind w:left="36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7"/>
                <w:szCs w:val="17"/>
                <w:color w:val="0000FF"/>
              </w:rPr>
              <w:t>198,415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12"/>
              <w:spacing w:after="0"/>
              <w:rPr>
                <w:sz w:val="20"/>
                <w:szCs w:val="20"/>
                <w:color w:val="auto"/>
              </w:rPr>
            </w:pPr>
            <w:r>
              <w:rPr>
                <w:rFonts w:ascii="Arial" w:cs="Arial" w:eastAsia="Arial" w:hAnsi="Arial"/>
                <w:sz w:val="17"/>
                <w:szCs w:val="17"/>
                <w:color w:val="0000FF"/>
                <w:w w:val="87"/>
              </w:rPr>
              <w:t>142,987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008000"/>
                <w:w w:val="88"/>
              </w:rPr>
              <w:t>(3)</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4.37</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142,987</w:t>
            </w: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01/07/2026</w:t>
            </w: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5"/>
              </w:rPr>
              <w:t>142,987</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36"/>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12"/>
              <w:spacing w:after="0"/>
              <w:rPr>
                <w:sz w:val="20"/>
                <w:szCs w:val="20"/>
                <w:color w:val="auto"/>
              </w:rPr>
            </w:pPr>
            <w:r>
              <w:rPr>
                <w:rFonts w:ascii="Arial" w:cs="Arial" w:eastAsia="Arial" w:hAnsi="Arial"/>
                <w:sz w:val="17"/>
                <w:szCs w:val="17"/>
                <w:color w:val="0000FF"/>
                <w:w w:val="87"/>
              </w:rPr>
              <w:t>961,800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008000"/>
                <w:w w:val="88"/>
              </w:rPr>
              <w:t>(4)</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6.28</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961,800</w:t>
            </w: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07/23/2027</w:t>
            </w: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5"/>
              </w:rPr>
              <w:t>961,800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36"/>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12"/>
              <w:spacing w:after="0"/>
              <w:rPr>
                <w:sz w:val="20"/>
                <w:szCs w:val="20"/>
                <w:color w:val="auto"/>
              </w:rPr>
            </w:pPr>
            <w:r>
              <w:rPr>
                <w:rFonts w:ascii="Arial" w:cs="Arial" w:eastAsia="Arial" w:hAnsi="Arial"/>
                <w:sz w:val="17"/>
                <w:szCs w:val="17"/>
                <w:color w:val="0000FF"/>
                <w:w w:val="87"/>
              </w:rPr>
              <w:t>818,812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008000"/>
                <w:w w:val="88"/>
              </w:rPr>
              <w:t>(5)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6.28</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818,812</w:t>
            </w: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07/27/2030</w:t>
            </w: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5"/>
              </w:rPr>
              <w:t>818,812</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36"/>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Capped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jc w:val="right"/>
              <w:ind w:right="281"/>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12"/>
              <w:spacing w:after="0"/>
              <w:rPr>
                <w:sz w:val="20"/>
                <w:szCs w:val="20"/>
                <w:color w:val="auto"/>
              </w:rPr>
            </w:pPr>
            <w:r>
              <w:rPr>
                <w:rFonts w:ascii="Arial" w:cs="Arial" w:eastAsia="Arial" w:hAnsi="Arial"/>
                <w:sz w:val="17"/>
                <w:szCs w:val="17"/>
                <w:color w:val="0000FF"/>
                <w:w w:val="87"/>
              </w:rPr>
              <w:t>429,123</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008000"/>
                <w:w w:val="88"/>
              </w:rPr>
              <w:t>(7)</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Restricted</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6.28</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429,123</w:t>
            </w: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5"/>
              </w:rPr>
              <w:t>429,123</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6"/>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Earnout</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restart"/>
          </w:tcPr>
          <w:p>
            <w:pPr>
              <w:jc w:val="center"/>
              <w:ind w:right="319"/>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(9)</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jc w:val="right"/>
              <w:ind w:right="281"/>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20,588</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008000"/>
                <w:w w:val="88"/>
              </w:rPr>
              <w:t>(8)</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0"/>
              </w:rPr>
              <w:t>20,588</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restart"/>
          </w:tcPr>
          <w:p>
            <w:pPr>
              <w:jc w:val="center"/>
              <w:ind w:left="160"/>
              <w:spacing w:after="0" w:line="140" w:lineRule="exact"/>
              <w:rPr>
                <w:sz w:val="20"/>
                <w:szCs w:val="20"/>
                <w:color w:val="auto"/>
              </w:rPr>
            </w:pPr>
            <w:r>
              <w:rPr>
                <w:rFonts w:ascii="Arial" w:cs="Arial" w:eastAsia="Arial" w:hAnsi="Arial"/>
                <w:sz w:val="13"/>
                <w:szCs w:val="13"/>
                <w:color w:val="0000FF"/>
                <w:w w:val="90"/>
              </w:rPr>
              <w:t>20,588</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right="136"/>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-3662680</wp:posOffset>
            </wp:positionV>
            <wp:extent cx="28575" cy="3667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677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2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exchange for 1,238 shares of common stock of Microvast, Inc. ("Microvast") in connection with the closing of the transactions contemplated by the Agreement and Plan of Merger by and between Tuscan Holdings Corp. ("Tuscan Holdings"), TSCN Merger Sub Inc. and Microvast, dated February 1, 2021 (the "Merger Agreement"), including the renaming of Tuscan Holdings to the Issuer (the "Merger"). On the effective date of the Merger, the closing price of Issuer's Class A Common Stock was $10.00.</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this option vest one-third on each of the first, second and third anniversaries of the Merger.</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the Merger in exchange for an employee stock option to acquire 892 shares of common stock of Microvast for $700 per share.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the Merger in exchange for an employee stock option to acquire 6,000 shares of common stock of Microvast for $1,005.85 per share.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the Merger in exchange for an employee stock option to acquire 5,108 shares of common stock of Microvast for $1,005.85 per share.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Capped Restricted Stock Units convert into one share of Class A Common Stock on vesting and are subject to the same conditions and vesting schedule as stock options.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the Merger in exchange for the right to receive 2,677 shares of common stock of Microvast for $1005.85 per share.</w:t>
      </w:r>
    </w:p>
    <w:p>
      <w:pPr>
        <w:spacing w:after="0" w:line="41" w:lineRule="exact"/>
        <w:rPr>
          <w:rFonts w:ascii="Arial" w:cs="Arial" w:eastAsia="Arial" w:hAnsi="Arial"/>
          <w:sz w:val="13"/>
          <w:szCs w:val="13"/>
          <w:color w:val="008000"/>
        </w:rPr>
      </w:pPr>
    </w:p>
    <w:p>
      <w:pPr>
        <w:ind w:left="40" w:right="340"/>
        <w:spacing w:after="0" w:line="26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earnout provisions in the Merger Agreement, the Reporting Person is entitled to receive shares of Class A Common Stock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of the Merger and ending on the third anniversary of the closing date of the Merger.</w:t>
      </w:r>
    </w:p>
    <w:p>
      <w:pPr>
        <w:spacing w:after="0" w:line="16"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connection with the Merger and pursuant to the terms of the Merger Agreement.</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Sarah Alexander, Attorney-</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07/26/2021</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Arial" w:cs="Arial" w:eastAsia="Arial" w:hAnsi="Arial"/>
                <w:sz w:val="17"/>
                <w:szCs w:val="17"/>
                <w:color w:val="0000FF"/>
                <w:w w:val="84"/>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095" TargetMode="External"/><Relationship Id="rId13" Type="http://schemas.openxmlformats.org/officeDocument/2006/relationships/hyperlink" Target="http://www.sec.gov/cgi-bin/browse-edgar?action=getcompany&amp;CIK=0001760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2021-07-26T20:13:39Z</dcterms:created>
  <dcterms:modified xsi:type="dcterms:W3CDTF">2021-07-26T20:13:39Z</dcterms:modified>
</cp:coreProperties>
</file>