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15" w:lineRule="exact"/>
        <w:rPr>
          <w:sz w:val="24"/>
          <w:szCs w:val="24"/>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Annual Report Pursuant to Section 13 or 15(d) of the Securities Exchange Act of 1934</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7"/>
          </w:tcPr>
          <w:p>
            <w:pPr>
              <w:jc w:val="center"/>
              <w:ind w:left="3650"/>
              <w:spacing w:after="0"/>
              <w:rPr>
                <w:sz w:val="20"/>
                <w:szCs w:val="20"/>
                <w:color w:val="auto"/>
              </w:rPr>
            </w:pPr>
            <w:r>
              <w:rPr>
                <w:rFonts w:ascii="Arial" w:cs="Arial" w:eastAsia="Arial" w:hAnsi="Arial"/>
                <w:sz w:val="18"/>
                <w:szCs w:val="18"/>
                <w:color w:val="auto"/>
                <w:w w:val="88"/>
              </w:rPr>
              <w:t>For the year ended December 31, 2020</w:t>
            </w:r>
          </w:p>
        </w:tc>
        <w:tc>
          <w:tcPr>
            <w:tcW w:w="3740" w:type="dxa"/>
            <w:vAlign w:val="bottom"/>
          </w:tcPr>
          <w:p>
            <w:pPr>
              <w:spacing w:after="0"/>
              <w:rPr>
                <w:sz w:val="20"/>
                <w:szCs w:val="20"/>
                <w:color w:val="auto"/>
              </w:rPr>
            </w:pPr>
          </w:p>
        </w:tc>
      </w:tr>
      <w:tr>
        <w:trPr>
          <w:trHeight w:val="351"/>
        </w:trPr>
        <w:tc>
          <w:tcPr>
            <w:tcW w:w="7500" w:type="dxa"/>
            <w:vAlign w:val="bottom"/>
            <w:gridSpan w:val="7"/>
          </w:tcPr>
          <w:p>
            <w:pPr>
              <w:jc w:val="center"/>
              <w:ind w:left="3670"/>
              <w:spacing w:after="0"/>
              <w:rPr>
                <w:sz w:val="20"/>
                <w:szCs w:val="20"/>
                <w:color w:val="auto"/>
              </w:rPr>
            </w:pPr>
            <w:r>
              <w:rPr>
                <w:rFonts w:ascii="Arial" w:cs="Arial" w:eastAsia="Arial" w:hAnsi="Arial"/>
                <w:sz w:val="18"/>
                <w:szCs w:val="18"/>
                <w:color w:val="auto"/>
                <w:w w:val="92"/>
              </w:rPr>
              <w:t>Commission File Number 001-38826</w:t>
            </w:r>
          </w:p>
        </w:tc>
        <w:tc>
          <w:tcPr>
            <w:tcW w:w="3740" w:type="dxa"/>
            <w:vAlign w:val="bottom"/>
          </w:tcPr>
          <w:p>
            <w:pPr>
              <w:spacing w:after="0"/>
              <w:rPr>
                <w:sz w:val="24"/>
                <w:szCs w:val="24"/>
                <w:color w:val="auto"/>
              </w:rPr>
            </w:pPr>
          </w:p>
        </w:tc>
      </w:tr>
      <w:tr>
        <w:trPr>
          <w:trHeight w:val="337"/>
        </w:trPr>
        <w:tc>
          <w:tcPr>
            <w:tcW w:w="7500" w:type="dxa"/>
            <w:vAlign w:val="bottom"/>
            <w:gridSpan w:val="7"/>
          </w:tcPr>
          <w:p>
            <w:pPr>
              <w:jc w:val="center"/>
              <w:ind w:left="3670"/>
              <w:spacing w:after="0"/>
              <w:rPr>
                <w:sz w:val="20"/>
                <w:szCs w:val="20"/>
                <w:color w:val="auto"/>
              </w:rPr>
            </w:pPr>
            <w:r>
              <w:rPr>
                <w:rFonts w:ascii="Arial" w:cs="Arial" w:eastAsia="Arial" w:hAnsi="Arial"/>
                <w:sz w:val="18"/>
                <w:szCs w:val="18"/>
                <w:b w:val="1"/>
                <w:bCs w:val="1"/>
                <w:color w:val="auto"/>
                <w:w w:val="98"/>
              </w:rPr>
              <w:t>TUSCAN HOLDINGS CORP.</w:t>
            </w:r>
          </w:p>
        </w:tc>
        <w:tc>
          <w:tcPr>
            <w:tcW w:w="3740" w:type="dxa"/>
            <w:vAlign w:val="bottom"/>
          </w:tcPr>
          <w:p>
            <w:pPr>
              <w:spacing w:after="0"/>
              <w:rPr>
                <w:sz w:val="24"/>
                <w:szCs w:val="24"/>
                <w:color w:val="auto"/>
              </w:rPr>
            </w:pPr>
          </w:p>
        </w:tc>
      </w:tr>
      <w:tr>
        <w:trPr>
          <w:trHeight w:val="230"/>
        </w:trPr>
        <w:tc>
          <w:tcPr>
            <w:tcW w:w="7500" w:type="dxa"/>
            <w:vAlign w:val="bottom"/>
            <w:gridSpan w:val="7"/>
          </w:tcPr>
          <w:p>
            <w:pPr>
              <w:jc w:val="center"/>
              <w:ind w:left="3650"/>
              <w:spacing w:after="0"/>
              <w:rPr>
                <w:sz w:val="20"/>
                <w:szCs w:val="20"/>
                <w:color w:val="auto"/>
              </w:rPr>
            </w:pPr>
            <w:r>
              <w:rPr>
                <w:rFonts w:ascii="Arial" w:cs="Arial" w:eastAsia="Arial" w:hAnsi="Arial"/>
                <w:sz w:val="18"/>
                <w:szCs w:val="18"/>
                <w:color w:val="auto"/>
                <w:w w:val="90"/>
              </w:rPr>
              <w:t>(Exact name of registrant as specified in its charter)</w:t>
            </w:r>
          </w:p>
        </w:tc>
        <w:tc>
          <w:tcPr>
            <w:tcW w:w="3740" w:type="dxa"/>
            <w:vAlign w:val="bottom"/>
          </w:tcPr>
          <w:p>
            <w:pPr>
              <w:spacing w:after="0"/>
              <w:rPr>
                <w:sz w:val="20"/>
                <w:szCs w:val="20"/>
                <w:color w:val="auto"/>
              </w:rPr>
            </w:pPr>
          </w:p>
        </w:tc>
      </w:tr>
      <w:tr>
        <w:trPr>
          <w:trHeight w:val="371"/>
        </w:trPr>
        <w:tc>
          <w:tcPr>
            <w:tcW w:w="49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1"/>
              </w:rPr>
              <w:t>Delaware</w:t>
            </w: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b w:val="1"/>
                <w:bCs w:val="1"/>
                <w:color w:val="auto"/>
              </w:rPr>
              <w:t>83-2530757</w:t>
            </w:r>
          </w:p>
        </w:tc>
      </w:tr>
      <w:tr>
        <w:trPr>
          <w:trHeight w:val="202"/>
        </w:trPr>
        <w:tc>
          <w:tcPr>
            <w:tcW w:w="4960" w:type="dxa"/>
            <w:vAlign w:val="bottom"/>
            <w:gridSpan w:val="2"/>
          </w:tcPr>
          <w:p>
            <w:pPr>
              <w:jc w:val="center"/>
              <w:ind w:left="470"/>
              <w:spacing w:after="0" w:line="201" w:lineRule="exact"/>
              <w:rPr>
                <w:sz w:val="20"/>
                <w:szCs w:val="20"/>
                <w:color w:val="auto"/>
              </w:rPr>
            </w:pPr>
            <w:r>
              <w:rPr>
                <w:rFonts w:ascii="Arial" w:cs="Arial" w:eastAsia="Arial" w:hAnsi="Arial"/>
                <w:sz w:val="18"/>
                <w:szCs w:val="18"/>
                <w:color w:val="auto"/>
                <w:w w:val="91"/>
              </w:rPr>
              <w:t>(State or Other Jurisdiction</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Pr>
          <w:p>
            <w:pPr>
              <w:ind w:left="38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960" w:type="dxa"/>
            <w:vAlign w:val="bottom"/>
            <w:gridSpan w:val="2"/>
          </w:tcPr>
          <w:p>
            <w:pPr>
              <w:jc w:val="center"/>
              <w:ind w:left="470"/>
              <w:spacing w:after="0"/>
              <w:rPr>
                <w:sz w:val="20"/>
                <w:szCs w:val="20"/>
                <w:color w:val="auto"/>
              </w:rPr>
            </w:pPr>
            <w:r>
              <w:rPr>
                <w:rFonts w:ascii="Arial" w:cs="Arial" w:eastAsia="Arial" w:hAnsi="Arial"/>
                <w:sz w:val="18"/>
                <w:szCs w:val="18"/>
                <w:color w:val="auto"/>
                <w:w w:val="94"/>
              </w:rPr>
              <w:t>of Incorporation)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320"/>
              <w:spacing w:after="0"/>
              <w:rPr>
                <w:sz w:val="20"/>
                <w:szCs w:val="20"/>
                <w:color w:val="auto"/>
              </w:rPr>
            </w:pPr>
            <w:r>
              <w:rPr>
                <w:rFonts w:ascii="Arial" w:cs="Arial" w:eastAsia="Arial" w:hAnsi="Arial"/>
                <w:sz w:val="18"/>
                <w:szCs w:val="18"/>
                <w:color w:val="auto"/>
              </w:rPr>
              <w:t>Identification No.)</w:t>
            </w:r>
          </w:p>
        </w:tc>
      </w:tr>
      <w:tr>
        <w:trPr>
          <w:trHeight w:val="414"/>
        </w:trPr>
        <w:tc>
          <w:tcPr>
            <w:tcW w:w="49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1"/>
              </w:rPr>
              <w:t>135 E. 57th St., 18th Floor</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41"/>
        </w:trPr>
        <w:tc>
          <w:tcPr>
            <w:tcW w:w="49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5"/>
              </w:rPr>
              <w:t>New York, NY</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10022</w:t>
            </w:r>
          </w:p>
        </w:tc>
      </w:tr>
      <w:tr>
        <w:trPr>
          <w:trHeight w:val="230"/>
        </w:trPr>
        <w:tc>
          <w:tcPr>
            <w:tcW w:w="496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640"/>
              <w:spacing w:after="0"/>
              <w:rPr>
                <w:sz w:val="20"/>
                <w:szCs w:val="20"/>
                <w:color w:val="auto"/>
              </w:rPr>
            </w:pPr>
            <w:r>
              <w:rPr>
                <w:rFonts w:ascii="Arial" w:cs="Arial" w:eastAsia="Arial" w:hAnsi="Arial"/>
                <w:sz w:val="18"/>
                <w:szCs w:val="18"/>
                <w:color w:val="auto"/>
              </w:rPr>
              <w:t>(zip code)</w:t>
            </w:r>
          </w:p>
        </w:tc>
      </w:tr>
      <w:tr>
        <w:trPr>
          <w:trHeight w:val="322"/>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0"/>
              </w:rPr>
              <w:t>(646) 948-7100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0"/>
        </w:trPr>
        <w:tc>
          <w:tcPr>
            <w:tcW w:w="7500" w:type="dxa"/>
            <w:vAlign w:val="bottom"/>
            <w:gridSpan w:val="7"/>
          </w:tcPr>
          <w:p>
            <w:pPr>
              <w:jc w:val="center"/>
              <w:ind w:left="3650"/>
              <w:spacing w:after="0"/>
              <w:rPr>
                <w:sz w:val="20"/>
                <w:szCs w:val="20"/>
                <w:color w:val="auto"/>
              </w:rPr>
            </w:pPr>
            <w:r>
              <w:rPr>
                <w:rFonts w:ascii="Arial" w:cs="Arial" w:eastAsia="Arial" w:hAnsi="Arial"/>
                <w:sz w:val="18"/>
                <w:szCs w:val="18"/>
                <w:color w:val="auto"/>
                <w:w w:val="90"/>
              </w:rPr>
              <w:t>(Issuer’s Telephone Number, Including Area Code)</w:t>
            </w:r>
          </w:p>
        </w:tc>
        <w:tc>
          <w:tcPr>
            <w:tcW w:w="3740" w:type="dxa"/>
            <w:vAlign w:val="bottom"/>
          </w:tcPr>
          <w:p>
            <w:pPr>
              <w:spacing w:after="0"/>
              <w:rPr>
                <w:sz w:val="20"/>
                <w:szCs w:val="20"/>
                <w:color w:val="auto"/>
              </w:rPr>
            </w:pPr>
          </w:p>
        </w:tc>
      </w:tr>
      <w:tr>
        <w:trPr>
          <w:trHeight w:val="351"/>
        </w:trPr>
        <w:tc>
          <w:tcPr>
            <w:tcW w:w="112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72"/>
        </w:trPr>
        <w:tc>
          <w:tcPr>
            <w:tcW w:w="4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Title of Each Class</w:t>
            </w:r>
          </w:p>
        </w:tc>
        <w:tc>
          <w:tcPr>
            <w:tcW w:w="25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Trading Symbol(s)</w:t>
            </w:r>
          </w:p>
        </w:tc>
        <w:tc>
          <w:tcPr>
            <w:tcW w:w="3740" w:type="dxa"/>
            <w:vAlign w:val="bottom"/>
          </w:tcPr>
          <w:p>
            <w:pPr>
              <w:ind w:left="20"/>
              <w:spacing w:after="0"/>
              <w:rPr>
                <w:sz w:val="20"/>
                <w:szCs w:val="20"/>
                <w:color w:val="auto"/>
              </w:rPr>
            </w:pPr>
            <w:r>
              <w:rPr>
                <w:rFonts w:ascii="Arial" w:cs="Arial" w:eastAsia="Arial" w:hAnsi="Arial"/>
                <w:sz w:val="18"/>
                <w:szCs w:val="18"/>
                <w:b w:val="1"/>
                <w:bCs w:val="1"/>
                <w:color w:val="auto"/>
                <w:w w:val="94"/>
              </w:rPr>
              <w:t>Name of Each Exchange on Which Registered</w:t>
            </w:r>
          </w:p>
        </w:tc>
      </w:tr>
      <w:tr>
        <w:trPr>
          <w:trHeight w:val="202"/>
        </w:trPr>
        <w:tc>
          <w:tcPr>
            <w:tcW w:w="48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Units, each consisting of one share of common stock and one</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ind w:right="690"/>
              <w:spacing w:after="0" w:line="201" w:lineRule="exact"/>
              <w:rPr>
                <w:sz w:val="20"/>
                <w:szCs w:val="20"/>
                <w:color w:val="auto"/>
              </w:rPr>
            </w:pPr>
            <w:r>
              <w:rPr>
                <w:rFonts w:ascii="Arial" w:cs="Arial" w:eastAsia="Arial" w:hAnsi="Arial"/>
                <w:sz w:val="18"/>
                <w:szCs w:val="18"/>
                <w:color w:val="auto"/>
                <w:w w:val="96"/>
              </w:rPr>
              <w:t>THCBU</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740" w:type="dxa"/>
            <w:vAlign w:val="bottom"/>
            <w:tcBorders>
              <w:top w:val="single" w:sz="8" w:color="auto"/>
            </w:tcBorders>
            <w:shd w:val="clear" w:color="auto" w:fill="CCEEFF"/>
          </w:tcPr>
          <w:p>
            <w:pPr>
              <w:ind w:left="640"/>
              <w:spacing w:after="0" w:line="201" w:lineRule="exact"/>
              <w:rPr>
                <w:sz w:val="20"/>
                <w:szCs w:val="20"/>
                <w:color w:val="auto"/>
              </w:rPr>
            </w:pPr>
            <w:r>
              <w:rPr>
                <w:rFonts w:ascii="Arial" w:cs="Arial" w:eastAsia="Arial" w:hAnsi="Arial"/>
                <w:sz w:val="18"/>
                <w:szCs w:val="18"/>
                <w:color w:val="auto"/>
              </w:rPr>
              <w:t>The Nasdaq Stock Market LLC</w:t>
            </w:r>
          </w:p>
        </w:tc>
      </w:tr>
      <w:tr>
        <w:trPr>
          <w:trHeight w:val="230"/>
        </w:trPr>
        <w:tc>
          <w:tcPr>
            <w:tcW w:w="4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redeemable warrant</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r>
      <w:tr>
        <w:trPr>
          <w:trHeight w:val="216"/>
        </w:trPr>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$0.0001 per share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jc w:val="center"/>
              <w:ind w:right="1080"/>
              <w:spacing w:after="0"/>
              <w:rPr>
                <w:sz w:val="20"/>
                <w:szCs w:val="20"/>
                <w:color w:val="auto"/>
              </w:rPr>
            </w:pPr>
            <w:r>
              <w:rPr>
                <w:rFonts w:ascii="Arial" w:cs="Arial" w:eastAsia="Arial" w:hAnsi="Arial"/>
                <w:sz w:val="18"/>
                <w:szCs w:val="18"/>
                <w:color w:val="auto"/>
                <w:w w:val="97"/>
              </w:rPr>
              <w:t>THCB</w:t>
            </w:r>
          </w:p>
        </w:tc>
        <w:tc>
          <w:tcPr>
            <w:tcW w:w="3740" w:type="dxa"/>
            <w:vAlign w:val="bottom"/>
          </w:tcPr>
          <w:p>
            <w:pPr>
              <w:ind w:left="640"/>
              <w:spacing w:after="0"/>
              <w:rPr>
                <w:sz w:val="20"/>
                <w:szCs w:val="20"/>
                <w:color w:val="auto"/>
              </w:rPr>
            </w:pPr>
            <w:r>
              <w:rPr>
                <w:rFonts w:ascii="Arial" w:cs="Arial" w:eastAsia="Arial" w:hAnsi="Arial"/>
                <w:sz w:val="18"/>
                <w:szCs w:val="18"/>
                <w:color w:val="auto"/>
              </w:rPr>
              <w:t>The Nasdaq Stock Market LLC</w:t>
            </w:r>
          </w:p>
        </w:tc>
      </w:tr>
      <w:tr>
        <w:trPr>
          <w:trHeight w:val="202"/>
        </w:trPr>
        <w:tc>
          <w:tcPr>
            <w:tcW w:w="49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Redeemable warrants, exercisable for shares of common stock at</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center"/>
              <w:ind w:right="1080"/>
              <w:spacing w:after="0" w:line="201" w:lineRule="exact"/>
              <w:rPr>
                <w:sz w:val="20"/>
                <w:szCs w:val="20"/>
                <w:color w:val="auto"/>
              </w:rPr>
            </w:pPr>
            <w:r>
              <w:rPr>
                <w:rFonts w:ascii="Arial" w:cs="Arial" w:eastAsia="Arial" w:hAnsi="Arial"/>
                <w:sz w:val="18"/>
                <w:szCs w:val="18"/>
                <w:color w:val="auto"/>
                <w:w w:val="96"/>
              </w:rPr>
              <w:t>THCBW</w:t>
            </w:r>
          </w:p>
        </w:tc>
        <w:tc>
          <w:tcPr>
            <w:tcW w:w="374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The Nasdaq Stock Market LLC</w:t>
            </w:r>
          </w:p>
        </w:tc>
      </w:tr>
      <w:tr>
        <w:trPr>
          <w:trHeight w:val="230"/>
        </w:trPr>
        <w:tc>
          <w:tcPr>
            <w:tcW w:w="4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an exercise price of $11.50 per share</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1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of 1934 during the past 12 months (or for such shorter period that the registrant was required to file such reports), and (2) has been subject to such filing requirement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1440" w:gutter="0" w:footer="0" w:header="0"/>
        </w:sectPr>
      </w:pP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5020" w:space="720"/>
            <w:col w:w="5500"/>
          </w:cols>
          <w:pgMar w:left="320" w:top="513" w:right="339" w:bottom="1440" w:gutter="0" w:footer="0" w:header="0"/>
          <w:type w:val="continuous"/>
        </w:sect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common stock outstanding, other than shares held by persons who may be deemed affiliates of the registrant, computed by reference to the closing price for the common stock as of the last business day of the registrant’s most recently completed second fiscal quarter ($10.23 as of June 30, 2020), as reported on the Nasdaq Capital Market, was approximately $282,348,000.</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As of March 23, 2021, 35,483,802 shares of common stock, par value $0.0001 per share, were issued and outstanding.</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 RISK FACTORS SUMMARY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annual report, including, without limitation, statements under the heading “Management’s Discussion and Analysis of Financial Condition and Results of Operations,” includes forward-looking statements within the meaning of Section 27A of the Securities Act and Section 21E of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ability to consummate any acquisition or other business combination and any other statements that are not statements of current or historical facts. These statements are based on management’s current expectations, but actual results may differ materially due to various factors, including, but not limited to our:</w:t>
      </w:r>
    </w:p>
    <w:p>
      <w:pPr>
        <w:spacing w:after="0" w:line="192"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success in retaining or recruiting, or changes required in, our officers, key employees or directors following an initial business combination;</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an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maintain the listing on, or the delisting of our securities from, the Nasdaq Capital Market (“Nasdaq”) or an inability to have our securities listed on Nasdaq or another national securities exchange following our initial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forward-looking statements contained in this annual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Item 1A, Risk Factors</w:t>
      </w:r>
      <w:r>
        <w:rPr>
          <w:rFonts w:ascii="Arial" w:cs="Arial" w:eastAsia="Arial" w:hAnsi="Arial"/>
          <w:sz w:val="17"/>
          <w:szCs w:val="17"/>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w:t>
      </w:r>
      <w:r>
        <w:rPr>
          <w:rFonts w:ascii="Arial" w:cs="Arial" w:eastAsia="Arial" w:hAnsi="Arial"/>
          <w:sz w:val="17"/>
          <w:szCs w:val="17"/>
          <w:i w:val="1"/>
          <w:iCs w:val="1"/>
          <w:color w:val="auto"/>
        </w:rPr>
        <w:t>Item 1A, Risk Factors</w:t>
      </w:r>
      <w:r>
        <w:rPr>
          <w:rFonts w:ascii="Arial" w:cs="Arial" w:eastAsia="Arial" w:hAnsi="Arial"/>
          <w:sz w:val="17"/>
          <w:szCs w:val="17"/>
          <w:color w:val="auto"/>
        </w:rPr>
        <w:t>” may not be exhaustive.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annual report. In addition, even if our results or operations, financial condition and liquidity, and developments in the industry in which we operate are consistent with the forward-looking statements contained in this annual report, those results or developments may not be indicative of results or developments in 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Investors should consider the risks and uncertainties described below that may affect our business and future financial performance. These and other risks and uncertainties are more fully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in this Form 10-K. Additional risks not presently known to us or that we currently deem immaterial may also affect us. If any of these risks occur, our business, financial condition or results of operations could be materially and adversely affected.</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more fully set forth under “</w:t>
      </w:r>
      <w:r>
        <w:rPr>
          <w:rFonts w:ascii="Arial" w:cs="Arial" w:eastAsia="Arial" w:hAnsi="Arial"/>
          <w:sz w:val="18"/>
          <w:szCs w:val="18"/>
          <w:i w:val="1"/>
          <w:iCs w:val="1"/>
          <w:color w:val="auto"/>
        </w:rPr>
        <w:t>Item 1A, Risk Factors</w:t>
      </w:r>
      <w:r>
        <w:rPr>
          <w:rFonts w:ascii="Arial" w:cs="Arial" w:eastAsia="Arial" w:hAnsi="Arial"/>
          <w:sz w:val="18"/>
          <w:szCs w:val="18"/>
          <w:color w:val="auto"/>
        </w:rPr>
        <w:t>” in this Form 10-K, principal risks and uncertainties that may affect our business, financial condition or results of operations include the following risks:</w:t>
      </w:r>
    </w:p>
    <w:p>
      <w:pPr>
        <w:spacing w:after="0" w:line="170" w:lineRule="exact"/>
        <w:rPr>
          <w:sz w:val="20"/>
          <w:szCs w:val="20"/>
          <w:color w:val="auto"/>
        </w:rPr>
      </w:pPr>
    </w:p>
    <w:p>
      <w:pPr>
        <w:jc w:val="both"/>
        <w:ind w:left="980" w:hanging="324"/>
        <w:spacing w:after="0" w:line="311"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may not be able to complete our initial business combination by April 30, 2021 (or such later date as may be approved by our stockholders), in which case we would cease all operations except for the purpose of winding up, and we would redeem our public shares for a pro rata portion of the funds in the trust account, and we would liquidate. In such event, our warrants would expire worthless.</w:t>
      </w:r>
    </w:p>
    <w:p>
      <w:pPr>
        <w:spacing w:after="0" w:line="1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Your only opportunity to affect the investment decision regarding a potential business combination may be limited to the exercise of your right to convert your shares to cash.</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Tuscan Holdings Acquisition LLC, our Sponsor, controls a substantial interest in us and thus may influence certain actions requiring a stockholder vote.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public stockholders to exercise their conversion rights or sell their shares to us in a tender offer may not allow us to effectuate the most desirable business combination or optimize our capital structure.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require stockholders who wish to convert their shares in connection with a proposed business combination to comply with specific requirements for conversion that may make it more difficult for them to exercise their conversion rights.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issue additional shares of capital stock or debt securities to complete a business combination, which would reduce the equity interest of our stockholders and likely cause a change in control of our ownership.</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be unable to obtain additional financing, if required, to complete a business combination or to fund the operations and growth of the target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Resources could be wasted in researching acquisitions that are not completed, which could materially adversely affect subsequent attempts to locate and acquire or merge with another business.</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search for a business combination, and any target business with which we ultimately consummate a business combination, may be materially adversely affected by the recent coronavirus (COVID-19) outbreak and other events, and the status of debt and equity markets.</w:t>
      </w:r>
    </w:p>
    <w:p>
      <w:pPr>
        <w:spacing w:after="0" w:line="123" w:lineRule="exact"/>
        <w:rPr>
          <w:rFonts w:ascii="Arial" w:cs="Arial" w:eastAsia="Arial" w:hAnsi="Arial"/>
          <w:sz w:val="16"/>
          <w:szCs w:val="16"/>
          <w:color w:val="auto"/>
        </w:rPr>
      </w:pPr>
    </w:p>
    <w:p>
      <w:pPr>
        <w:ind w:left="980" w:hanging="324"/>
        <w:spacing w:after="0" w:line="34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may have a limited ability to assess the management of a prospective target business and, as a result, may complete our initial business combination with a target business whose management may not have the skills, qualifications or abilities to manage a public company.</w:t>
      </w:r>
    </w:p>
    <w:p>
      <w:pPr>
        <w:spacing w:after="0" w:line="123" w:lineRule="exact"/>
        <w:rPr>
          <w:rFonts w:ascii="Arial" w:cs="Arial" w:eastAsia="Arial" w:hAnsi="Arial"/>
          <w:sz w:val="16"/>
          <w:szCs w:val="16"/>
          <w:color w:val="auto"/>
        </w:rPr>
      </w:pPr>
    </w:p>
    <w:p>
      <w:pPr>
        <w:jc w:val="both"/>
        <w:ind w:left="980" w:hanging="324"/>
        <w:spacing w:after="0" w:line="311"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consummate a business combination with a target company with assets located outside of the United States, our results of operations and prospects could be subject to the economic, political, and legal policies, developments, and conditions in the country in which we operate. Further, exchange rate fluctuations and currency policies may cause our ability to succeed in the international markets to be diminished.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may be tax consequences to our business combinations that may adversely affect us.</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officers and directors presently have fiduciary or contractual obligations to other entities and, accordingly, may have conflicts of interest in determining to which entity a particular business opportunity should be presented.</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officers and directors may have interests in a potential business combination that are different than yours, which may create conflicts of interest.</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amend the terms of the warrants in a manner that may be adverse to holders of public warrants with the approval by a majority of the then outstanding warrants.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redeem your unexpired warrants prior to their exercise at a time that is disadvantageous to you, thereby making your warrants worthless.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pacing w:after="0" w:line="170"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third parties bring claims against us, and if our directors decide not to enforce the indemnification obligations of the Sponsor, or if the Sponsor does not have the funds to indemnify us, the proceeds held in the trust account could be reduced and the per-share redemption amount received by stockholders may be less than $10.00 per share.</w:t>
      </w:r>
    </w:p>
    <w:p>
      <w:pPr>
        <w:spacing w:after="0" w:line="183"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70"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provides, subject to limited exceptions, that the Court of Chancery of the State of Delaware is the sole and exclusive forum for certain stockholder litigation matters, which could limit our stockholders’ ability to obtain a favorable judicial forum for disputes with us or our directors, officers, employees or stockholders.</w:t>
      </w:r>
    </w:p>
    <w:p>
      <w:pPr>
        <w:spacing w:after="0" w:line="183"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stockholders may be held liable for claims by third parties against us to the extent of distributions received by them upon redemption of their shares.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newly formed company with no operating history, and, accordingly, you have no basis on which to evaluate our ability to achieve our business objective.</w:t>
      </w:r>
    </w:p>
    <w:p>
      <w:pPr>
        <w:spacing w:after="0" w:line="170" w:lineRule="exact"/>
        <w:rPr>
          <w:rFonts w:ascii="Arial" w:cs="Arial" w:eastAsia="Arial" w:hAnsi="Arial"/>
          <w:sz w:val="18"/>
          <w:szCs w:val="18"/>
          <w:color w:val="auto"/>
        </w:rPr>
      </w:pPr>
    </w:p>
    <w:p>
      <w:pPr>
        <w:ind w:left="324" w:hanging="324"/>
        <w:spacing w:after="0" w:line="342" w:lineRule="auto"/>
        <w:tabs>
          <w:tab w:leader="none" w:pos="324"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3" w:lineRule="exact"/>
        <w:rPr>
          <w:rFonts w:ascii="Arial" w:cs="Arial" w:eastAsia="Arial" w:hAnsi="Arial"/>
          <w:sz w:val="16"/>
          <w:szCs w:val="16"/>
          <w:color w:val="auto"/>
        </w:rPr>
      </w:pPr>
    </w:p>
    <w:p>
      <w:pPr>
        <w:jc w:val="both"/>
        <w:ind w:left="324" w:hanging="324"/>
        <w:spacing w:after="0" w:line="263"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an emerging growth company and smaller reporting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400050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8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40" w:type="dxa"/>
            <w:vAlign w:val="bottom"/>
            <w:gridSpan w:val="9"/>
          </w:tcPr>
          <w:p>
            <w:pPr>
              <w:jc w:val="center"/>
              <w:ind w:right="3060"/>
              <w:spacing w:after="0"/>
              <w:rPr>
                <w:sz w:val="20"/>
                <w:szCs w:val="20"/>
                <w:color w:val="auto"/>
              </w:rPr>
            </w:pPr>
            <w:r>
              <w:rPr>
                <w:rFonts w:ascii="Arial" w:cs="Arial" w:eastAsia="Arial" w:hAnsi="Arial"/>
                <w:sz w:val="18"/>
                <w:szCs w:val="18"/>
                <w:b w:val="1"/>
                <w:bCs w:val="1"/>
                <w:color w:val="auto"/>
                <w:w w:val="98"/>
              </w:rPr>
              <w:t>TUSCAN HOLDINGS CORP.</w:t>
            </w:r>
          </w:p>
        </w:tc>
        <w:tc>
          <w:tcPr>
            <w:tcW w:w="12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gridSpan w:val="8"/>
          </w:tcPr>
          <w:p>
            <w:pPr>
              <w:jc w:val="center"/>
              <w:ind w:right="3240"/>
              <w:spacing w:after="0"/>
              <w:rPr>
                <w:sz w:val="20"/>
                <w:szCs w:val="20"/>
                <w:color w:val="auto"/>
              </w:rPr>
            </w:pPr>
            <w:r>
              <w:rPr>
                <w:rFonts w:ascii="Arial" w:cs="Arial" w:eastAsia="Arial" w:hAnsi="Arial"/>
                <w:sz w:val="18"/>
                <w:szCs w:val="18"/>
                <w:b w:val="1"/>
                <w:bCs w:val="1"/>
                <w:color w:val="auto"/>
              </w:rPr>
              <w:t>FORM 10-K</w:t>
            </w:r>
          </w:p>
        </w:tc>
        <w:tc>
          <w:tcPr>
            <w:tcW w:w="126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gridSpan w:val="8"/>
          </w:tcPr>
          <w:p>
            <w:pPr>
              <w:jc w:val="center"/>
              <w:ind w:right="326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20"/>
                <w:szCs w:val="20"/>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6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99"/>
              </w:rPr>
              <w:t>1</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Item 1.</w:t>
            </w:r>
          </w:p>
        </w:tc>
        <w:tc>
          <w:tcPr>
            <w:tcW w:w="8840" w:type="dxa"/>
            <w:vAlign w:val="bottom"/>
            <w:gridSpan w:val="21"/>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126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1A.</w:t>
            </w:r>
          </w:p>
        </w:tc>
        <w:tc>
          <w:tcPr>
            <w:tcW w:w="9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7880" w:type="dxa"/>
            <w:vAlign w:val="bottom"/>
            <w:tcBorders>
              <w:bottom w:val="single" w:sz="8" w:color="CCEEFF"/>
            </w:tcBorders>
            <w:gridSpan w:val="18"/>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12</w:t>
            </w:r>
          </w:p>
        </w:tc>
      </w:tr>
      <w:tr>
        <w:trPr>
          <w:trHeight w:val="175"/>
        </w:trPr>
        <w:tc>
          <w:tcPr>
            <w:tcW w:w="11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Item 1B.</w:t>
            </w:r>
          </w:p>
        </w:tc>
        <w:tc>
          <w:tcPr>
            <w:tcW w:w="8840" w:type="dxa"/>
            <w:vAlign w:val="bottom"/>
            <w:gridSpan w:val="21"/>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126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28</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Item 2.</w:t>
            </w:r>
          </w:p>
        </w:tc>
        <w:tc>
          <w:tcPr>
            <w:tcW w:w="7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Properties.</w:t>
              </w:r>
            </w:hyperlink>
          </w:p>
        </w:tc>
        <w:tc>
          <w:tcPr>
            <w:tcW w:w="8060" w:type="dxa"/>
            <w:vAlign w:val="bottom"/>
            <w:tcBorders>
              <w:bottom w:val="single" w:sz="8" w:color="CCEEFF"/>
            </w:tcBorders>
            <w:gridSpan w:val="19"/>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28</w:t>
            </w:r>
          </w:p>
        </w:tc>
      </w:tr>
      <w:tr>
        <w:trPr>
          <w:trHeight w:val="176"/>
        </w:trPr>
        <w:tc>
          <w:tcPr>
            <w:tcW w:w="11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Item 3.</w:t>
            </w:r>
          </w:p>
        </w:tc>
        <w:tc>
          <w:tcPr>
            <w:tcW w:w="8840" w:type="dxa"/>
            <w:vAlign w:val="bottom"/>
            <w:gridSpan w:val="21"/>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126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28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Item 4.</w:t>
            </w:r>
          </w:p>
        </w:tc>
        <w:tc>
          <w:tcPr>
            <w:tcW w:w="8840" w:type="dxa"/>
            <w:vAlign w:val="bottom"/>
            <w:gridSpan w:val="21"/>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126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PART II</w:t>
              </w:r>
            </w:hyperlink>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6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29</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Item 5.</w:t>
            </w:r>
          </w:p>
        </w:tc>
        <w:tc>
          <w:tcPr>
            <w:tcW w:w="8840" w:type="dxa"/>
            <w:vAlign w:val="bottom"/>
            <w:gridSpan w:val="21"/>
          </w:tcPr>
          <w:p>
            <w:pPr>
              <w:spacing w:after="0" w:line="176"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Market for Registrant’s Common Equity, Related Stockholder Matters and Issuer Purchases of Equity Securities.</w:t>
              </w:r>
            </w:hyperlink>
          </w:p>
        </w:tc>
        <w:tc>
          <w:tcPr>
            <w:tcW w:w="126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29</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Item 6.</w:t>
            </w:r>
          </w:p>
        </w:tc>
        <w:tc>
          <w:tcPr>
            <w:tcW w:w="17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Selected Financial Data.</w:t>
              </w:r>
            </w:hyperlink>
          </w:p>
        </w:tc>
        <w:tc>
          <w:tcPr>
            <w:tcW w:w="7080" w:type="dxa"/>
            <w:vAlign w:val="bottom"/>
            <w:tcBorders>
              <w:bottom w:val="single" w:sz="8" w:color="CCEEFF"/>
            </w:tcBorders>
            <w:gridSpan w:val="14"/>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29</w:t>
            </w:r>
          </w:p>
        </w:tc>
      </w:tr>
      <w:tr>
        <w:trPr>
          <w:trHeight w:val="176"/>
        </w:trPr>
        <w:tc>
          <w:tcPr>
            <w:tcW w:w="11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Item 7.</w:t>
            </w:r>
          </w:p>
        </w:tc>
        <w:tc>
          <w:tcPr>
            <w:tcW w:w="8840" w:type="dxa"/>
            <w:vAlign w:val="bottom"/>
            <w:gridSpan w:val="21"/>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26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30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Item 7A.</w:t>
            </w:r>
          </w:p>
        </w:tc>
        <w:tc>
          <w:tcPr>
            <w:tcW w:w="8840" w:type="dxa"/>
            <w:vAlign w:val="bottom"/>
            <w:gridSpan w:val="21"/>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126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34</w:t>
            </w:r>
          </w:p>
        </w:tc>
      </w:tr>
      <w:tr>
        <w:trPr>
          <w:trHeight w:val="175"/>
        </w:trPr>
        <w:tc>
          <w:tcPr>
            <w:tcW w:w="1140" w:type="dxa"/>
            <w:vAlign w:val="bottom"/>
            <w:tcBorders>
              <w:top w:val="single" w:sz="8" w:color="CCEEFF"/>
            </w:tcBorders>
            <w:gridSpan w:val="4"/>
          </w:tcPr>
          <w:p>
            <w:pPr>
              <w:ind w:left="180"/>
              <w:spacing w:after="0" w:line="176" w:lineRule="exact"/>
              <w:rPr>
                <w:sz w:val="20"/>
                <w:szCs w:val="20"/>
                <w:color w:val="auto"/>
              </w:rPr>
            </w:pPr>
            <w:r>
              <w:rPr>
                <w:rFonts w:ascii="Arial" w:cs="Arial" w:eastAsia="Arial" w:hAnsi="Arial"/>
                <w:sz w:val="18"/>
                <w:szCs w:val="18"/>
                <w:color w:val="auto"/>
              </w:rPr>
              <w:t>Item 8.</w:t>
            </w:r>
          </w:p>
        </w:tc>
        <w:tc>
          <w:tcPr>
            <w:tcW w:w="44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4440" w:type="dxa"/>
            <w:vAlign w:val="bottom"/>
            <w:tcBorders>
              <w:top w:val="single" w:sz="8" w:color="CCEEFF"/>
            </w:tcBorders>
            <w:gridSpan w:val="6"/>
          </w:tcPr>
          <w:p>
            <w:pPr>
              <w:spacing w:after="0"/>
              <w:rPr>
                <w:sz w:val="15"/>
                <w:szCs w:val="15"/>
                <w:color w:val="auto"/>
              </w:rPr>
            </w:pPr>
          </w:p>
        </w:tc>
        <w:tc>
          <w:tcPr>
            <w:tcW w:w="1260" w:type="dxa"/>
            <w:vAlign w:val="bottom"/>
            <w:tcBorders>
              <w:top w:val="single" w:sz="8" w:color="CCEEFF"/>
            </w:tcBorders>
          </w:tcPr>
          <w:p>
            <w:pPr>
              <w:jc w:val="center"/>
              <w:ind w:left="270"/>
              <w:spacing w:after="0" w:line="176" w:lineRule="exact"/>
              <w:rPr>
                <w:sz w:val="20"/>
                <w:szCs w:val="20"/>
                <w:color w:val="auto"/>
              </w:rPr>
            </w:pPr>
            <w:r>
              <w:rPr>
                <w:rFonts w:ascii="Arial" w:cs="Arial" w:eastAsia="Arial" w:hAnsi="Arial"/>
                <w:sz w:val="18"/>
                <w:szCs w:val="18"/>
                <w:color w:val="auto"/>
                <w:w w:val="89"/>
              </w:rPr>
              <w:t>34</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Item 9.</w:t>
            </w:r>
          </w:p>
        </w:tc>
        <w:tc>
          <w:tcPr>
            <w:tcW w:w="66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Changes in and Disagreements with Accountants on Accounting and Financial Disclosures.</w:t>
              </w:r>
            </w:hyperlink>
          </w:p>
        </w:tc>
        <w:tc>
          <w:tcPr>
            <w:tcW w:w="2240" w:type="dxa"/>
            <w:vAlign w:val="bottom"/>
            <w:tcBorders>
              <w:bottom w:val="single" w:sz="8" w:color="CCEEFF"/>
            </w:tcBorders>
            <w:gridSpan w:val="3"/>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34</w:t>
            </w:r>
          </w:p>
        </w:tc>
      </w:tr>
      <w:tr>
        <w:trPr>
          <w:trHeight w:val="176"/>
        </w:trPr>
        <w:tc>
          <w:tcPr>
            <w:tcW w:w="11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Item 9A.</w:t>
            </w:r>
          </w:p>
        </w:tc>
        <w:tc>
          <w:tcPr>
            <w:tcW w:w="8840" w:type="dxa"/>
            <w:vAlign w:val="bottom"/>
            <w:gridSpan w:val="21"/>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126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35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Item 9B.</w:t>
            </w:r>
          </w:p>
        </w:tc>
        <w:tc>
          <w:tcPr>
            <w:tcW w:w="8840" w:type="dxa"/>
            <w:vAlign w:val="bottom"/>
            <w:gridSpan w:val="21"/>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126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35</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PART III</w:t>
              </w:r>
            </w:hyperlink>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6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36</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Item 10.</w:t>
            </w:r>
          </w:p>
        </w:tc>
        <w:tc>
          <w:tcPr>
            <w:tcW w:w="8840" w:type="dxa"/>
            <w:vAlign w:val="bottom"/>
            <w:gridSpan w:val="21"/>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Directors, Executive Officers and Corporate Governance.</w:t>
              </w:r>
            </w:hyperlink>
          </w:p>
        </w:tc>
        <w:tc>
          <w:tcPr>
            <w:tcW w:w="126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36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11.</w:t>
            </w:r>
          </w:p>
        </w:tc>
        <w:tc>
          <w:tcPr>
            <w:tcW w:w="18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Executive Compensation.</w:t>
              </w:r>
            </w:hyperlink>
          </w:p>
        </w:tc>
        <w:tc>
          <w:tcPr>
            <w:tcW w:w="6980" w:type="dxa"/>
            <w:vAlign w:val="bottom"/>
            <w:tcBorders>
              <w:bottom w:val="single" w:sz="8" w:color="CCEEFF"/>
            </w:tcBorders>
            <w:gridSpan w:val="12"/>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40</w:t>
            </w:r>
          </w:p>
        </w:tc>
      </w:tr>
      <w:tr>
        <w:trPr>
          <w:trHeight w:val="176"/>
        </w:trPr>
        <w:tc>
          <w:tcPr>
            <w:tcW w:w="11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Item 12.</w:t>
            </w:r>
          </w:p>
        </w:tc>
        <w:tc>
          <w:tcPr>
            <w:tcW w:w="8840" w:type="dxa"/>
            <w:vAlign w:val="bottom"/>
            <w:gridSpan w:val="21"/>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Security Ownership of Certain Beneficial Owners and Management and Related Stockholder Matters.</w:t>
              </w:r>
            </w:hyperlink>
          </w:p>
        </w:tc>
        <w:tc>
          <w:tcPr>
            <w:tcW w:w="126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41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13.</w:t>
            </w:r>
          </w:p>
        </w:tc>
        <w:tc>
          <w:tcPr>
            <w:tcW w:w="55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Certain Relationships and Related Transactions, and Director Independence.</w:t>
              </w:r>
            </w:hyperlink>
          </w:p>
        </w:tc>
        <w:tc>
          <w:tcPr>
            <w:tcW w:w="3340" w:type="dxa"/>
            <w:vAlign w:val="bottom"/>
            <w:tcBorders>
              <w:bottom w:val="single" w:sz="8" w:color="CCEEFF"/>
            </w:tcBorders>
            <w:gridSpan w:val="5"/>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42</w:t>
            </w:r>
          </w:p>
        </w:tc>
      </w:tr>
      <w:tr>
        <w:trPr>
          <w:trHeight w:val="175"/>
        </w:trPr>
        <w:tc>
          <w:tcPr>
            <w:tcW w:w="11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Item 14.</w:t>
            </w:r>
          </w:p>
        </w:tc>
        <w:tc>
          <w:tcPr>
            <w:tcW w:w="8840" w:type="dxa"/>
            <w:vAlign w:val="bottom"/>
            <w:gridSpan w:val="21"/>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Principal Accounting Fees and Services.</w:t>
              </w:r>
            </w:hyperlink>
          </w:p>
        </w:tc>
        <w:tc>
          <w:tcPr>
            <w:tcW w:w="126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1140" w:type="dxa"/>
            <w:vAlign w:val="bottom"/>
            <w:gridSpan w:val="4"/>
          </w:tcPr>
          <w:p>
            <w:pPr>
              <w:spacing w:after="0"/>
              <w:rPr>
                <w:sz w:val="20"/>
                <w:szCs w:val="20"/>
                <w:color w:val="auto"/>
              </w:rPr>
            </w:pPr>
            <w:r>
              <w:rPr>
                <w:rFonts w:ascii="Arial" w:cs="Arial" w:eastAsia="Arial" w:hAnsi="Arial"/>
                <w:sz w:val="18"/>
                <w:szCs w:val="18"/>
                <w:color w:val="auto"/>
              </w:rPr>
              <w:t>PART IV</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140" w:type="dxa"/>
            <w:vAlign w:val="bottom"/>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15.</w:t>
            </w:r>
          </w:p>
        </w:tc>
        <w:tc>
          <w:tcPr>
            <w:tcW w:w="8840" w:type="dxa"/>
            <w:vAlign w:val="bottom"/>
            <w:gridSpan w:val="21"/>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Exhibits and Financial Statement Schedules.</w:t>
              </w:r>
            </w:hyperlink>
          </w:p>
        </w:tc>
        <w:tc>
          <w:tcPr>
            <w:tcW w:w="126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44</w:t>
            </w:r>
          </w:p>
        </w:tc>
      </w:tr>
      <w:tr>
        <w:trPr>
          <w:trHeight w:val="175"/>
        </w:trPr>
        <w:tc>
          <w:tcPr>
            <w:tcW w:w="1140" w:type="dxa"/>
            <w:vAlign w:val="bottom"/>
            <w:tcBorders>
              <w:top w:val="single" w:sz="8" w:color="CCEEFF"/>
            </w:tcBorders>
            <w:gridSpan w:val="4"/>
          </w:tcPr>
          <w:p>
            <w:pPr>
              <w:ind w:left="180"/>
              <w:spacing w:after="0" w:line="176" w:lineRule="exact"/>
              <w:rPr>
                <w:sz w:val="20"/>
                <w:szCs w:val="20"/>
                <w:color w:val="auto"/>
              </w:rPr>
            </w:pPr>
            <w:r>
              <w:rPr>
                <w:rFonts w:ascii="Arial" w:cs="Arial" w:eastAsia="Arial" w:hAnsi="Arial"/>
                <w:sz w:val="18"/>
                <w:szCs w:val="18"/>
                <w:color w:val="auto"/>
              </w:rPr>
              <w:t>Item 16.</w:t>
            </w:r>
          </w:p>
        </w:tc>
        <w:tc>
          <w:tcPr>
            <w:tcW w:w="320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Form 10-K Summary.</w:t>
              </w:r>
            </w:hyperlink>
          </w:p>
        </w:tc>
        <w:tc>
          <w:tcPr>
            <w:tcW w:w="5640" w:type="dxa"/>
            <w:vAlign w:val="bottom"/>
            <w:tcBorders>
              <w:top w:val="single" w:sz="8" w:color="CCEEFF"/>
            </w:tcBorders>
            <w:gridSpan w:val="9"/>
          </w:tcPr>
          <w:p>
            <w:pPr>
              <w:spacing w:after="0"/>
              <w:rPr>
                <w:sz w:val="15"/>
                <w:szCs w:val="15"/>
                <w:color w:val="auto"/>
              </w:rPr>
            </w:pPr>
          </w:p>
        </w:tc>
        <w:tc>
          <w:tcPr>
            <w:tcW w:w="1260" w:type="dxa"/>
            <w:vAlign w:val="bottom"/>
            <w:tcBorders>
              <w:top w:val="single" w:sz="8" w:color="CCEEFF"/>
            </w:tcBorders>
          </w:tcPr>
          <w:p>
            <w:pPr>
              <w:jc w:val="center"/>
              <w:ind w:left="270"/>
              <w:spacing w:after="0" w:line="176" w:lineRule="exact"/>
              <w:rPr>
                <w:sz w:val="20"/>
                <w:szCs w:val="20"/>
                <w:color w:val="auto"/>
              </w:rPr>
            </w:pPr>
            <w:r>
              <w:rPr>
                <w:rFonts w:ascii="Arial" w:cs="Arial" w:eastAsia="Arial" w:hAnsi="Arial"/>
                <w:sz w:val="18"/>
                <w:szCs w:val="18"/>
                <w:color w:val="auto"/>
                <w:w w:val="89"/>
              </w:rPr>
              <w:t>45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In this Annual Report on Form 10-K (the “Form 10-K”), references to “Tuscan,” the “Company” and to “we,” “us,” and “our” refer to Tuscan Holdings Corp.</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blank check company formed under the laws of the State of Delaware on November 5, 2018. We were formed for the purpose of entering into a merger, share exchange, asset acquisition, stock purchase, recapitalization, reorganization or other similar business combination with one or more businesses or entities. On February 1, 2021, we entered into an agreement and plan of merger (the “Merger Agreement”) with Microvast, Inc., a Delaware corporation (“Microvast”) and TSCN Merger Sub Inc., a newly formed Delaware corporation and wholly owned subsidiary of ours (“Merger Sub”). The terms of the Merger Agreement are discussed in more detail below. Prior to executing the Merger Agreement, our activities were limited to organization activities, the completion of our initial public offering, and the evaluation of possible business combination candidates.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Formation and Initial Public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2018, we issued an aggregate of 5,750,000 shares (“founders’ shares”) of our common stock, par value $0.0001 per share (“common stock”) for an aggregate purchase price of $25,000, or approximately $0.004 per share, to our initial stockholders. In March 2019, we effectuated a stock dividend of 0.2 shares of common stock for each outstanding share of common stock, resulting in our initial stockholders holding an aggregate of 6,900,000 founders’ shares.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November 2018, we also issued to designees of EarlyBirdCapital, Inc., the representative of the underwriters in our initial public offering (“IPO”), an aggregate of 300,000 shares of common stock (after giving effect to the stock dividend referred to above) (“representative shares”) at a price of $0.0001 per share.</w:t>
      </w:r>
    </w:p>
    <w:p>
      <w:pPr>
        <w:spacing w:after="0" w:line="184"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On March 7, 2019, we consummated the IPO of 24,000,000 units. Each unit consists of one share of common stock and one redeemable warrant, with each warrant entitling the holder to purchase one share of common stock at a price of $11.50 per share. The units were sold at an offering price of $10.00 per unit, generating gross proceeds of $240,000,000. We refer to the shares underlying the units sold in our IPO as our “Public Shares.”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Simultaneously with the consummation of the IPO, we consummated the private placement (“Private Placement”) of 615,000 Units (“Private Units”) at a price of $10.00 per Private Unit, generating total proceeds of $6,150,000. The Private Units were sold to Tuscan Holdings Acquisition LLC, our Sponsor, and EarlyBirdCapital and its designees. The Private Units are identical to the units sold in the IPO, except that the warrants underlying the Private Units are non-redeemable and may be exercised on a cashless basis, in each case so long as they continue to be held by the initial purchasers or their permitted transferees.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March 12, 2019, we consummated the sale of an additional 3,600,000 units that were subject to the underwriters’ over-allotment option at $10.00 per Unit, generating gross proceeds of $36,000,000. Simultaneously with the closing of the sale of additional units, we consummated the sale of an additional 72,000 Private Units at $10.00 per Private Unit, generating total proceeds of $720,000. Following the closing of the over-allotment option and sale of additional Private Units, an aggregate amount of $276,000,000 has been placed in the trust account established in connection with the IPO.</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Proposed Business Combination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February 1, 2021, Tuscan entered into the Merger Agreement with Microvast and Merger Sub. Pursuant to the Merger Agreement, Merger Sub will merge with and into Microvast and Microvast will survive the merger and become a wholly owned subsidiary of Tuscan. Under the Merger Agreement, all of the equity interests of Microvast will be converted into an aggregate of 210,000,000 shares of common stock (“closing shares”). The Microvast shareholders and the investors in Microvast’s majority-owned subsidiary, Microvast Power System (Houzhou) Co. Ltd. (“MPS”), will also have the ability to earn an additional 20,000,000 shares of common stock (“earnout shares”) if the daily volume weighted average price of the common stock is greater than or equal to $18.00 for any 20 trading days within a 30 trading day period (or a change of control occurs that results in the holders of common stock receiving a per share price equal to or in excess of $18.00), during the period commencing on the closing date and ending on the third anniversary of the closing date. Concurrently with the execution of the Merger Agreement, Tuscan and Microvast will jointly acquire 100% ownership of MPS and will discharge certain convertible loans of MPS.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both"/>
        <w:ind w:right="20" w:firstLine="648"/>
        <w:spacing w:after="0" w:line="277" w:lineRule="auto"/>
        <w:rPr>
          <w:sz w:val="20"/>
          <w:szCs w:val="20"/>
          <w:color w:val="auto"/>
        </w:rPr>
      </w:pPr>
      <w:r>
        <w:rPr>
          <w:rFonts w:ascii="Arial" w:cs="Arial" w:eastAsia="Arial" w:hAnsi="Arial"/>
          <w:sz w:val="18"/>
          <w:szCs w:val="18"/>
          <w:color w:val="auto"/>
        </w:rPr>
        <w:t>Additionally, the Merger Agreement provides that Tuscan will issue an aggregate of 6,736,111 shares of common stock upon conversion (the “Bridge Notes Conversion”) of an aggregate of $57,500,000 outstanding promissory notes issued by Microvast.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Further, on February 1, 2021, Tuscan, the Sponsor, Microvast and certain stockholders of Tuscan entered into the Sponsor Support Agreement (the “Sponsor Support Agreement”), pursuant to which the Sponsor and certain officers and directors of Tuscan (collectively, the “Sponsor Group”) agreed, among other things, to vote all equity interests of Tuscan held by such member of the Sponsor Group in favor of the approval and adoption of the proposed business combination with Microvast. Additionally, such members of the Sponsor Group have agreed not to (a) transfer any of their equity interests in the Company (or enter into any arrangement with respect thereto) other than as set forth therein or (b) exercise any conversion rights of any equity interests held by such member of the Sponsor Group in connection with the approval of the proposed business combination.</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Sponsor also agreed that, to the extent that certain expenses of Tuscan are in excess of $46,000,000 (unless such expenses shall have been approved by Microvast), the Sponsor will either (i) pay any such excess amount in cash or (ii) forfeit to Tuscan such number of shares of common stock held by the Sponsor that would have a value equal to such excess. The Sponsor also agreed to amend the escrow agreement to make certain adjustments to the terms of the escrow of its shares of common stock as set forth in the Sponsor Support Agreement.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Contemporaneously with the execution of the Merger Agreement, certain investors entered into subscription agreements (the “Subscription Agreements”), pursuant to which such investors subscribed for an aggregate value of $482,500,000, representing 48,250,000 shares of Tuscan common stock at a purchase price of $10.00 per share in a private placement (the “PIPE Financing”) to be consummated immediately prior to the consummation of the Transactions. Affiliates of InterPrivate Capital LLC (“InterPrivate”), a co-sponsor of Tuscan, subscribed to purchase 6.5 million shares in the PIPE Financing for an aggregate purchase price of $65 million.</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Immediately following the Closing, the former equityholders of Microvast will hold approximately 69.9% of the issued and outstanding shares of common stock and the current stockholders of Tuscan will hold approximately 9.2% of the issued and outstanding shares of common stock, which pro forma ownership (1) assumes no holder of the common stock sold in Tuscan’s initial public offering (such persons, the “Public Stockholders”) exercises its conversion rights in connection with the business combination, and (2) reflects the issuance of an aggregate of 48,250,000 shares of Common Stock in the PIPE Financing and 6,736,111 shares of common stock in the Bridge Notes Conversion, but does not include the effect of any other financing of Tuscan. If the maximum number of Public Shares are converted into cash such that Microvast does not have the right to terminate the Merger Agreement (i.e., Tuscan has at least $5,000,001 of net tangible assets immediately prior to or upon consummation of the business combination), such percentages will be approximately 76.8% and 0.2%, respectively.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Consummation of the proposed business combination is subject to customary conditions and covenants of the respective parties, including approval of Tuscan’s stockholders and Tuscan having available cash of at least $250,000,000. Further information regarding the proposed business combination, the proposed business of the combined company following consummation of the merger and the risks related to the proposed business of the combined company following consummation of the merger can be found in Tuscan’s Current Report on Form 8-K filed with the SEC on February 5, 2021, the preliminary proxy statement filed by Tuscan with the SEC on February 16, 2021, and the definitive proxy statement to be filed by Tuscan with the SEC. Unless otherwise indicated, the information in this Form 10-K assumes we will not consummate the proposed business combination with Microvast, and that we will secure a further extension to consummate an initial business combination and then seek to find an alternative target with which to consummate an initial business combination.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i w:val="1"/>
          <w:iCs w:val="1"/>
          <w:color w:val="auto"/>
        </w:rPr>
        <w:t>Extension Amendment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 2020, Tuscan received stockholder approval to amend its amended and restated certificate of incorporation (“charter”) to extend the date by which it must complete an initial business combination from December 7, 2020 to April 30, 2021. In connection with such extension, holders of 3,198 Public Shares exercised their right to convert their shares into cash at a conversion price of approximately $10.22 per share, for an aggregate conversion amount of approximately $32,684.</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12, 2021, Tuscan filed a preliminary proxy statement seeking approval from its stockholders to amend Tuscan’s charter to extend the date by which Tuscan is required to complete its initial business combination from April 30, 2021 to July 31, 2021 and to hold an annual meeting for the election of directors in accordance with Nasdaq listing rules.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Nasdaq Compliance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6, 2021, we received a notice from the Listing Qualifications Department of The Nasdaq Stock Market stating that we failed to hold an Annual Meeting of stockholders within 12 months after our fiscal year ended December 31, 2019, as required by Nasdaq Listing Rule 5620(a). In accordance with Nasdaq Listing Rule 5810(c)(2)(G), we submitted a plan to regain compliance on February 4, 2021. Nasdaq accepted our plan and granted us an extension through June 29, 2021 to hold an annual meeting. Nasdaq’s decision is subject to certain conditions, including that we provide periodic updates with respect to our proposed business combination with Microvast.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Target Businesses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evaluated a number of target businesses, including Microvast. When evaluating each prospective target business, we conducted a thorough due diligence review that encompassed, among other things, meetings with incumbent management and employees, document reviews, and a review of financial and other information made available to us. We engaged EarlyBirdCapital, Inc. to provide services in connection with our initial business combination and, upon consummation of our initial business combination, we must pay that firm a fee in an amount equal to $9,660,000 (exclusive of any applicable finders’ fees which might become payable); provided that up to 30% of the fee may be allocated at the Company’s sole discretion to other FINRA members that assist the Company in identifying and consummating a business combination. We engaged Morgan Stanley &amp; Co. LLC (“Morgan Stanley”) to provide financial advisory services in connection with the Microvast business combination, and, upon consummation of the transaction with Microvast, we must pay that firm a transaction fee of $5.5 million, plus expenses. Morgan Stanley also acted as placement agent in connection with the PIPE Financing, and we are obligated to pay Morgan Stanley a placement fee equal to (i) 3.5% of the sum of (x) the aggregate gross proceeds raised in the PIPE Financing up to $300 million (not including funds from the sale of certain excluded securities) and (y) any borrowings pursuant to a bridge financing provided in connection with the proposed business combination by investors introduced by Morgan Stanley, and (ii) 2.5% of the aggregate gross proceeds raised in the PIPE Financing above $300 million. In addition, Mr. Vogel and our Sponsor entered into an agreement with InterPrivate pursuant to which InterPrivate would advise us with respect to our evaluation of business combination transactions. Pursuant to the agreement, the Sponsor granted InterPrivate a profits interest attributable to a portion of the securities of Tuscan held by the Sponsor, subject to the consummation of our initial business combination. We may engage other firms or other individuals in the future, in which event we may pay a finder’s fee, consulting fee, or other compensation to be determined in an arm’s length negotiation based on the terms of the transaction. In no event, however, will our sponsor, officers, directors, or their respective affiliates be paid any finder’s fee, consulting fee, or other compensation prior to, or for any services they render in order to effectuate our initial business combination, other than the monthly administrative services fee of $10,000, the repayment of working capital loans, and reimbursement of out-of-pocket expenses, however, such repayment may be limited in connection with negotiations with a prospective target.</w:t>
      </w:r>
    </w:p>
    <w:p>
      <w:pPr>
        <w:spacing w:after="0" w:line="16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not restricted from entering into any such transactions with a target business that is affiliated with any of our officers, directors, and sponsor, and may do so if (i) such transaction is approved by a majority of our disinterested independent directors and (ii) we obtain an opinion from an independent investment banking firm, or another independent entity that commonly renders valuation opinions, that the business combination is fair to our unaffiliated stockholders from a financial point of view. Microvast is not affiliated with any of our officers, directors, or sponsor.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Selection of Target Business and Structuring of a Business Combination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limitations that a target business have a fair market value of at least 80% of the balance in the trust account (excluding taxes payable on the income earned on the trust account) at the time of the execution of a definitive agreement for our initial business combination, as described below in more detail, and that we must acquire a controlling interest in the target business, our management has virtually unrestricted flexibility in identifying and selecting a prospective target business. We have not established any specific attributes or criteria (financial or otherwise) for prospective target businesses. In evaluating a prospective target business, our management may consider a variety of factors, including one or more of the following:</w:t>
      </w:r>
    </w:p>
    <w:p>
      <w:pPr>
        <w:spacing w:after="0" w:line="16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 w:name="page9"/>
    <w:bookmarkEnd w:id="8"/>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target business’s compliance with U.S. federal law, including the Controlled Substances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industry leadership, sustainability of market share and attractiveness of market industries in which a target business participates;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Market Value of Target Business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Nasdaq listing rules require that the target business or businesses that we acquire must collectively have a fair market value equal to at least 80% of the balance of the funds in the trust account (excluding taxes payable on the income earned on the trust account) at the time of the execution of a definitive agreement for our initial business combination, although we may acquire a target business whose fair market value significantly exceeds 80% of the trust account balance. Notwithstanding the foregoing, if we are not then listed on Nasdaq for whatever reason, we would no longer be required to meet the foregoing 80% fair market value test.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p>
      <w:pPr>
        <w:jc w:val="both"/>
        <w:ind w:firstLine="648"/>
        <w:spacing w:after="0" w:line="286" w:lineRule="auto"/>
        <w:rPr>
          <w:sz w:val="20"/>
          <w:szCs w:val="20"/>
          <w:color w:val="auto"/>
        </w:rPr>
      </w:pPr>
      <w:r>
        <w:rPr>
          <w:rFonts w:ascii="Arial" w:cs="Arial" w:eastAsia="Arial" w:hAnsi="Arial"/>
          <w:sz w:val="16"/>
          <w:szCs w:val="16"/>
          <w:color w:val="auto"/>
        </w:rPr>
        <w:t>We have structured the proposed business combination with Microvast so that we will acquire 100% of the equity interests or assets of Microvast. We are not limited to this structure, however, and may structure our initial business combination where we merge directly with the target business or where we acquire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trust account balance test.</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to independently determine that the target business has a sufficient fair market value, we will obtain an opinion from an unaffiliated, independent investment banking firm, or another independent entity that commonly renders valuation opinions, with respect to the satisfaction of such criteria. We will not be required to obtain an opinion from an investment banking firm as to the fair market value if our board of directors independently determines that the target business complies with the 80% threshold.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Business Diversification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do not currently intend to effect a business combination with more than one target business, we may do so, and there is no required minimum valuation standard for any single target at the time of such acquisition. Because we expect to complete only a single business combination, at least initially, the prospects for our success would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a business combination with only a single entity, our lack of diversification may:</w:t>
      </w:r>
    </w:p>
    <w:p>
      <w:pPr>
        <w:spacing w:after="0" w:line="178"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us to numerous economic, competitive and regulatory developments, any or all of which may have a substantial adverse impact upon the particular industry in which we may operate subsequent to a business combination,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 in our dependency upon the performance of a single operating business or the development or market acceptance of a single or limited number of products, processes or services.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Limited Ability to Evaluate the Target Business’ Management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we have scrutinized the management of Microvast, we cannot assure you that our assessment of Microvast’s management will prove to be correct. While we anticipate that Stephen Vogel will remain a director of ours following the business combination with Microvast, it is unlikely that he will devote his full time efforts to our affairs subsequent to a business combination. Following a business combination, we may seek to recruit additional personnel to supplement the incumbent management of the target business. We cannot assure you that we will have the ability to recruit additional managers, or that any such additional managers we do recruit will have the requisite skills, knowledge or experience necessary to enhance the incumbent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May Not Have the Ability to Approve an Initial Business Combination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stockholders may seek to convert their shares, regardless of whether they vote for or against the proposed business combination or don’t vote at all,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all of his, her or its shares rather than some pro rata portion of his, her or its shares.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Unlike other blank check companies which require stockholder votes and conduct proxy solicitations in conjunction with their initial business combinations and related conversions of public shares for cash upon consummation of such initial business combination even when a vote is not required by law, we will have the flexibility to avoid such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if we seek stockholder approval, a majority of the outstanding shares of common stock voted are voted in favor of the business combination.</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chose our net tangible asset threshold of $5,000,001 to ensure that we would avoid being subject to Rule 419 promulgated under the Securities Act of 1933, as amended.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 w:name="page12"/>
    <w:bookmarkEnd w:id="11"/>
    <w:p>
      <w:pPr>
        <w:jc w:val="both"/>
        <w:ind w:firstLine="648"/>
        <w:spacing w:after="0" w:line="286" w:lineRule="auto"/>
        <w:rPr>
          <w:sz w:val="20"/>
          <w:szCs w:val="20"/>
          <w:color w:val="auto"/>
        </w:rPr>
      </w:pPr>
      <w:r>
        <w:rPr>
          <w:rFonts w:ascii="Arial" w:cs="Arial" w:eastAsia="Arial" w:hAnsi="Arial"/>
          <w:sz w:val="17"/>
          <w:szCs w:val="17"/>
          <w:color w:val="auto"/>
        </w:rPr>
        <w:t>Our Sponsor, initial stockholders,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hold a meeting to approve a proposed business combination and a significant number of stockholders vote, or indicate an intention to vote, against such proposed business combination, our officers, directors, Sponsor, initial stockholders or their affiliates could make purchases of our securities in the open market or in private transactions in order to influence the vote. Notwithstanding the foregoing, our officers, directors, Sponsor, initial stockholders and their affiliates will not make purchases of shares of common stock if the purchases would violate Section 9(a)(2) or Rule 10b-5 of the Exchange Act, which are rules designed to stop potential manipulation of a company’s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meeting called to approve an initial business combination, public stockholders may seek to convert their shares, regardless of whether they vote for or against the proposed business combination or do not vote at all, into their pro rata share of the aggregate amount then on deposit in the trust account as of two business days prior to the consummation of the initial business combination, less any taxes then due but not yet paid.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 less any taxes then due but not yet paid.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Sponsor, initial stockholders and our officers and directors will not have conversion rights with respect to any shares of common stock owned by them, directly or indirectly, whether acquired prior our IPO or purchased by them in the IPO or in the aftermarket. Additionally, the holders of the representative shares will not have conversion rights with respect to the representative shares.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require public stockholders, whether they are a record holder or hold their shares in “street name,” to either (i) physically tender their certificates to our transfer agent or (ii) deliver their shares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is a nominal cost associated with the above-referenced delivery process and the act of certificating the shares or delivering them through the DWAC System. The transfer agent will typically charge the tendering broker a nominal fee and it would be up to the broker whether or not to pass this cost on to the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proxy solicitation materials we furnish to stockholders in connection with a vote for any proposed business combination will indicate whether we are requiring stockholders to satisfy such certification and delivery requirements. Accordingly, a stockholder would have from the time the stockholder received our proxy statement up until the vote on the proposal to approve the business combination to deliver his shares if he wishes to seek to exercise his conversion rights. This time period varies depending on the specific facts of each transaction. However, as the delivery process can be accomplished by the stockholder, whether or not he is a record holder or his shares are held in “street name,” in a matter of hours by simply contacting the transfer agent or his broker and requesting delivery of his shares through the DWAC System, we believe this time period is sufficient for an average investor. However, we cannot assure you of this fact. Please see the risk factor titled “</w:t>
      </w:r>
      <w:r>
        <w:rPr>
          <w:rFonts w:ascii="Arial" w:cs="Arial" w:eastAsia="Arial" w:hAnsi="Arial"/>
          <w:sz w:val="17"/>
          <w:szCs w:val="17"/>
          <w:i w:val="1"/>
          <w:iCs w:val="1"/>
          <w:color w:val="auto"/>
        </w:rPr>
        <w:t>In connection with any stockholder meeting called to approve a proposed initial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we may require stockholders who wish to convert their shares in connection with a proposed business combination to comply with specific requirements for conversion that may make it more difficult for them to exercise their conversion rights prior to the deadline for exercising their rights</w:t>
      </w:r>
      <w:r>
        <w:rPr>
          <w:rFonts w:ascii="Arial" w:cs="Arial" w:eastAsia="Arial" w:hAnsi="Arial"/>
          <w:sz w:val="17"/>
          <w:szCs w:val="17"/>
          <w:color w:val="auto"/>
        </w:rPr>
        <w:t>” for</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information on the risks of failing to comply with these requirements.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p>
      <w:pPr>
        <w:jc w:val="both"/>
        <w:ind w:firstLine="648"/>
        <w:spacing w:after="0" w:line="269" w:lineRule="auto"/>
        <w:rPr>
          <w:sz w:val="20"/>
          <w:szCs w:val="20"/>
          <w:color w:val="auto"/>
        </w:rPr>
      </w:pPr>
      <w:r>
        <w:rPr>
          <w:rFonts w:ascii="Arial" w:cs="Arial" w:eastAsia="Arial" w:hAnsi="Arial"/>
          <w:sz w:val="17"/>
          <w:szCs w:val="17"/>
          <w:color w:val="auto"/>
        </w:rPr>
        <w:t>The foregoing is different from the procedures historically used by some blank check companies. Traditionally, in order to perfect conversion rights in connection with a blank check company’s business combination, the company would distribute proxy materials for the stockholders’ vote on an initial business combination, and a holder could simply vote against a proposed business combination and check a box on the proxy card indicating such holder was seeking to exercise his conversion rights. After the business combination was approved, the company would contact such stockholder to arrange for him to deliver his certificate to verify ownership. As a result, the stockholder then had an “option window” after the consummation of the business combination during which he could monitor the price of the company’s stock in the market. If the price rose above the conversion price, he could sell his shares in the open market before actually delivering his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shares is irrevocable once the business combination is approved.</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to convert such shares once made, may be withdrawn at any time up to the vote on the proposed business combination or the expiration of the tender offer. Furthermore, if a holder of a public share of common stock delivered his certificate in connection with an election of their conversion and subsequently decides prior to the applicable date not to elect to exercise such rights, he may simply request that the transfer agent return the certificate (physically or electronically).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as of two business days prior to the consummation of the initial business combination. In such case, we will promptly return any shares delivered by public 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if No Business Combination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charter provides that we will have only until April 30, 2021 to complete an initial business combination (unless such time period is extended by our stockholders, as provided in our charter). On March 12, 2021, we filed a preliminary proxy statement to seek stockholder approval to extend our liquidation date from April 30, 2021 to July 31, 2021 and to hold an annual meeting for the election of directors in accordance with Nasdaq listing rules.</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have not completed an initial business combination by such date, or have not secured stockholder approval to extend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but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Sponsor, initial stockholders, officers and directors have agreed that they will not propose any amendment to our charter that would affect our public stockholders’ ability to convert or sell their shares to us in connection with a business combination as described herein or affect the substance or timing of our obligation to redeem 100% of our public shares if we do not complete a business combination by April 30, 2021 (or July 31, 2021, if the proposed extension is approved by our stockholders) unless we provide our public stockholders with the opportunity to convert their shares of common stock upon such approval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initial stockholders, executive officers, directors or any other person.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jc w:val="both"/>
        <w:ind w:firstLine="648"/>
        <w:spacing w:after="0" w:line="270"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8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If we are unable to complete a business combination within the prescribed time frame,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but net of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Accordingly, it is our</w:t>
      </w:r>
    </w:p>
    <w:p>
      <w:pPr>
        <w:spacing w:after="0" w:line="4"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intention to redeem our public shares as soon as reasonably possible following our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required to seek to have all third parties (including any vendors or other entities we engage)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our IPO, will not execute agreements with us waiving such claims to the monies held in the trust account. Furthermore, there is no guarantee that other vendors, service providers and 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our Sponsor entered into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our IPO against certain liabilities, including liabilities under the Securities Act. As a result, if we liquidate, the per-share distribution from the trust account could be less than $10.00 due to claims or potential claims of creditors. We will distribute to all of our public stockholders, in proportion to their respective equity interests, an aggregate sum equal to the amount in the trust account, inclusive of any interest (subject to our obligations under Delaware law to provide for claims of creditors as described below).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 w:name="page15"/>
    <w:bookmarkEnd w:id="14"/>
    <w:p>
      <w:pPr>
        <w:jc w:val="both"/>
        <w:ind w:firstLine="648"/>
        <w:spacing w:after="0" w:line="273" w:lineRule="auto"/>
        <w:rPr>
          <w:sz w:val="20"/>
          <w:szCs w:val="20"/>
          <w:color w:val="auto"/>
        </w:rPr>
      </w:pPr>
      <w:r>
        <w:rPr>
          <w:rFonts w:ascii="Arial" w:cs="Arial" w:eastAsia="Arial" w:hAnsi="Arial"/>
          <w:sz w:val="17"/>
          <w:szCs w:val="17"/>
          <w:color w:val="auto"/>
        </w:rPr>
        <w:t>We anticipate notifying the trustee of the trust account to begin liquidating such assets promptly after such date and anticipate it will take no more than 10 business days to effectuate such distribution. The holders of the founders’ shares and private shares have waived their rights to participate in any liquidation distribution from the trust account with respect to such shares.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we are unable to complete an initial business combination and expend all of the net proceeds of the IPO, other than the proceeds deposited in the trust account, and without taking into account interest, if any, earned on the trust account, the initial per-share redemption price would be $10.00. The proceeds deposited in the trust account could, however, become subject to claims of our creditors that are in preference to the claims of public stockholders.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a business combination within the required time period, if the stockholders seek to have us convert or purchase their respective shares upon a business combination which is actually completed by us or upon certain amendments to our charter prior to consummating an initial business combination. In no other circumstances shall a stockholder have any right or interest of any kind to or in the trust account.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share.</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April 30, 2021 (or July 31, 2021, if the proposed extension is approved by our stockholders),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Amended and Restated Certificate of Incorporation</w:t>
      </w:r>
    </w:p>
    <w:p>
      <w:pPr>
        <w:spacing w:after="0" w:line="14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amended and restated certificate of incorporation contains certain requirements and restrictions relating to our IPO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convert or sell their shares to us in connection with a business combination as described herein or affect the substance or timing of our obligation to redeem 100% of our public shares if we do not complete a business combination by April 30, 2021 (or July 31, 2021, if the proposed extension is approved by our stockholders), we will provide dissenting public stockholders with the opportunity to convert their public shares in connection with any such vote. This conversion right shall apply in the event of the approval of any such amendment, whether proposed by our Sponsor, any executive officer, director or director nominee, or any other person. Our Sponsor, officers and directors have agreed to waive any conversion rights with respect to any founders’ shares, private shares and any public shares they may hold in connection with any vote to amend our amended and restated certificate of incorporation. Specifically, our amended and restated certificate of incorporation provides, among other things, that:</w:t>
      </w:r>
    </w:p>
    <w:p>
      <w:pPr>
        <w:spacing w:after="0" w:line="87" w:lineRule="exact"/>
        <w:rPr>
          <w:sz w:val="20"/>
          <w:szCs w:val="20"/>
          <w:color w:val="auto"/>
        </w:rPr>
      </w:pPr>
    </w:p>
    <w:p>
      <w:pPr>
        <w:jc w:val="both"/>
        <w:ind w:left="98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shall either (1) seek stockholder approval of our initial business combination at a meeting called for such purpose at which stockholders may seek to convert their shares, regardless of whether they vote for or against the proposed business combination or don’t vote at all,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11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will consummate our initial business combination only if we have net tangible assets of at least $5,000,001 upon such consummation and, if we seek stockholder approval, a majority of the outstanding shares of common stock voted are voted in favor of the business combination;</w:t>
      </w:r>
    </w:p>
    <w:p>
      <w:pPr>
        <w:spacing w:after="0" w:line="42"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by April 30, 2021, and such date is not further extended, then we will redeem all of the outstanding public shares and thereafter liquidate and dissolve our company;</w:t>
      </w:r>
    </w:p>
    <w:p>
      <w:pPr>
        <w:spacing w:after="0" w:line="8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8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stock that participates in any manner in the proceeds of the trust account, or that votes as a class with the common stock sold in our IPO on an initial business combination.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4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obligation to seek stockholder approval of a business combination or engage in a tender offer may delay the completion of a transaction;</w:t>
      </w:r>
    </w:p>
    <w:p>
      <w:pPr>
        <w:spacing w:after="0" w:line="167"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obligation to convert or repurchase shares of common stock held by our public stockholders may reduce the resources available to us for a business combination; and</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outstanding warrants, and the potential future dilution they represent.</w:t>
      </w:r>
    </w:p>
    <w:p>
      <w:pPr>
        <w:spacing w:after="0" w:line="14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privately-held entities having a similar business objective as ours in acquiring a target business with significant growth potential on favorable terms.</w:t>
      </w:r>
    </w:p>
    <w:p>
      <w:pPr>
        <w:spacing w:after="0" w:line="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currently maintain our principal executive offices at 135 E. 57th St., 18th Floor, New York, NY 10022. The cost for this space is included in the $10,000 per-month fee Vogel Partners, LLP, an affiliate of our Chief Executive Officer, will charge us for general and administrative services. We consider our current office space, combined with the other office space otherwise available to our executive officers, adequate for our current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two executive officers. These individuals are not obligated to devote any specific number of hours to our matters and intend to devote only as much time as they deem necessary to our affairs. We do not have, and do not intend to have, any full time employees prior to the consummation of a business combination.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the risks described below, which we believe represent the material risks related to Tuscan, together with the other information contained in this Form 10-K, before making a decision to invest in Tuscan. The risks set forth below do not include specific risks relating to our proposed business combination with Microvast, or the risks inherent in Microvast’s business, which are included in the preliminary proxy statement which we filed with the SEC on February 16, 2021. The risks presented below assumes that we will not consummate the proposed business combination with Microvast, and that we will secure a further extension to consummate an initial business combination and then seek to find an alternative target with which to consummate an initial business combination.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This Form 10-K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Searching for and Consummating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operating history and, accordingly, you will not have any basis on which to evaluate our ability to achieve our business objective.</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 operating results to date. Therefore, our ability to commence operations is dependent upon obtaining financing through the public offering of our securities. Since we do not have an operating history, you will have no basis upon which to evaluate our ability to achieve our business objective, which is to acquire an operating business. We will not generate any revenues until, at the earliest, after the consummation of a business combination.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consummate a business combination, our public stockholders may be forced to wait until after April 30, 2021 (or July 31, 2021, if the proposed extension is approved by our stockholders) before receiving distributions from the trust account.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earlier to occur of: (i) the consummation of our initial business combination; (ii) the redemption of our public shares if we are unable to consummate a business combination by April 30, 2021 (or July 31, 2021, if the proposed extension is approved by our stockholders), subject to applicable law; (iii)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by April 30, 2021 (or July 31, 2021). In addition, if our plan to redeem our public shares if we are unable to consummate an initial business combination by April 30, 2021 (or July 31, 2021) is not consummated for any reason, Delaware law may require that we submit a plan of dissolution to our then-existing stockholders for approval prior to the distribution of the proceeds held in our trust account. In that case, public stockholders may be forced to wait beyond April 30, 2021 before they receive funds from our trust account. In no other circumstances will a public stockholder have any right or interest of any kind in the trust account. Accordingly, to liquidate your investment, you may be forced to sell your public shares or warrants, potentially at a loss.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requirement that we complete an initial business combination by April 30, 2021 (or such later date as may be approved by our stockholders) may give potential target businesses leverage over us in negotiating a business combination.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until April 30, 2021 (or such later date as may be approved by our stockholders) to complete an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Our public stockholders may not be afforded an opportunity to vote on our proposed business combination.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or don’t vote at all,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(net of taxes payable). Accordingly, it is possible that we will consummate our initial business combination even if holders of a majority of our public shares do not approve of the business combination we consummate.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Sponsor controls a substantial interest in us and thus may influence certain actions requiring a stockholder vote.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Tuscan Holdings Acquisition LLC, owns approximately 21% of our issued and outstanding shares of common stock. Our Sponsor, officers, directors, initial stockholders or their affiliates could determine in the future to make purchases of our securities in the open market or in private transactions, to the extent permitted by law, in order to influence the vote or magnitude of the number of shareholders seeking to tender their shares to us. In connection with any vote for a proposed business combination, our initial stockholders, as well as all of our officers and directors, have agreed to vote the shares of common stock owned by them immediately before our IPO as well as any shares of common stock acquired in the IPO or in the aftermarket in favor of such proposed business combination.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As a consequence of our “staggered” board of directors, only a minority of the board of directors will be considered for election and our Sponsor, because of its ownership position, will have considerable influence regarding the outcome. Accordingly, our initial stockholders will continue to exert control at least until the consummation of a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unable to ascertain the merits or risks of any particular target business’ operations.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pursue an acquisition opportunity in any business industry or sector.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development stage, we may be affected by numerous risks inherent in the business operations of those entities. If we complete a business combination with an entity in an industry characterized by a high level of risk,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than a direct investment, if an opportunity were available, in a target business.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ability of our stockholders to exercise their conversion rights or sell their shares to us in a tender offer may not allow us to effectuate the most desirable business combination or optimize our capital structure.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our business combination requires us to use substantially all of our cash to pay the purchase price, because we will not know how many stockholders may exercise conversion rights or seek to sell their shares to us in a tender offer, we may either need to reserve part of the trust account for possible payment upon such conversion, or we may need to arrange third party financing to help fund our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b w:val="1"/>
          <w:bCs w:val="1"/>
          <w:i w:val="1"/>
          <w:iCs w:val="1"/>
          <w:color w:val="auto"/>
        </w:rPr>
        <w:t>In connection with any vote to approve a business combination, we will offer each public stockholder the option to vote in favor of a proposed business combination and still seek conversion of his, her or its shares.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any vote to approve a business combination, we will offer each public stockholder (but not our Sponsor, officers or directors) the right to have his, her or its shares of common stock converted to cash (subject to the limitations described elsewhere in this Form 10-K) regardless of whether such stockholder votes for or against such proposed business combination or does not vote at all. The ability to seek conversion while voting in favor of our proposed business combination may make it more likely that we will consummate a business combination.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 connection with any stockholder meeting called to approve a proposed initial business combination or an amendment to our charter to extend the date by which we must complete an initial business combination, we may require stockholders who wish to convert their shares in connection with such proposal to comply with specific requirements for conversion that may make it more difficult for them to exercise their conversion rights prior to the deadline for exercising their rights.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any stockholder meeting called to approve a proposed initial business combination or an amendment to our charter to extend the date by which we must complete an initial business combination, each public stockholder will have the right, regardless of whether he is voting for or against such proposal or does not vote at all, to demand that we convert his shares into a pro rata share of the trust account as of two business days prior to the consummation thereof. We may require public stockholders who wish to convert their shares to either (i) tender their certificates to our transfer agent or</w:t>
      </w:r>
    </w:p>
    <w:p>
      <w:pPr>
        <w:spacing w:after="0" w:line="1" w:lineRule="exact"/>
        <w:rPr>
          <w:sz w:val="20"/>
          <w:szCs w:val="20"/>
          <w:color w:val="auto"/>
        </w:rPr>
      </w:pPr>
    </w:p>
    <w:p>
      <w:pPr>
        <w:jc w:val="both"/>
        <w:ind w:firstLine="8"/>
        <w:spacing w:after="0" w:line="268" w:lineRule="auto"/>
        <w:tabs>
          <w:tab w:leader="none" w:pos="265"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deliver their shares to the transfer agent electronically using the Depository Trust Company’s DWAC (Deposit/Withdrawal At Custodian) System, at the holders’ option, in each case prior to a date set forth in the tender offer documents or proxy materials sent in connection with the proposal.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we cannot assure you of this fact.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in connection with any stockholder meeting called to approve a proposed business combination, we require public stockholders who wish to convert their shares to comply with specific requirements for conversion, such converting stockholders may be unable to sell their securities when they wish to in the event that the proposed business combination is not approved.</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require public stockholders who wish to convert their shares to comply with specific requirements for conversion and such proposed business combination is not consummated, we will promptly return such certificates to the tendering public stockholders. Accordingly, investors who attempted to convert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that there are numerous potential target businesses that we could acquire with the net proceeds of our IPO, our ability to compete in acquiring certain sizable target businesses will be limited by our available financial resources. This inherent competitive limitation gives others an advantage in pursuing the acquisition of certain target businesses. Furthermore, seeking stockholder approval or engaging in a tender offer in connection with any proposed business combination may delay the consummation of such a transaction. Additionally, our outstanding warrants, and the future dilution they potentially represent, may not be viewed favorably by certain target businesses. Any of the foregoing may place us at a competitive disadvantage in successfully negotiating a business combination.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will not be able to complete a business combination with prospective target businesses unless their financial statements are prepared in accordance with U.S. generally accepted accounting principles or international financial reporting standards.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Additionally, to the extent we furnish our stockholders with financial statements prepared in accordance with IFRS, such financial statements will need to be audited in accordance with U.S. GAAP at the time of the consummation of the business combination. These financial statement requirements may limit the pool of potential target businesses we may acquire.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issue additional shares of common stock or equity-linked securities for capital raising purposes in connection with the closing of our initial business combination at an issue price or effective issue price of less than $9.50 per share of common stock,</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volume weighted average trading price of our common stock during the 20 trading day period starting on the trading day prior to the day on which we consummate our initial business combination (such price, the “Market Value”) is below $9.50 per share,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 the exercise price of the warrants will be adjusted to be equal to 115% of the higher of the Market Value and the price at which we issue the additional shares of common stock or equity-linked securities. This may make it more difficult for us to consummate an initial business combination with a target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shares of our capital stock or debt securities to complete a business combination, which would reduce the equity interest of our stockholders and likely cause a change in control of our ownership.</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amended and restated certificate of incorporation authorizes the issuance of up to 65,000,000 shares of common stock, par value $0.0001 per share, and 1,000,000 shares of preferred stock, par value $0.0001 per share. We may issue a substantial number of additional shares of common stock or shares of preferred stock, or a combination of common stock and preferred stock, to complete a business combination. The issuance of additional shares of common stock will not reduce the per-share conversion amount in the trust account. The issuance of additional shares of common stock or preferred stock:</w:t>
      </w:r>
    </w:p>
    <w:p>
      <w:pPr>
        <w:spacing w:after="0" w:line="15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our common stock;</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 business combination are insufficient to repay our debt obligations;</w:t>
      </w:r>
    </w:p>
    <w:p>
      <w:pPr>
        <w:spacing w:after="0" w:line="248" w:lineRule="exact"/>
        <w:rPr>
          <w:rFonts w:ascii="Arial" w:cs="Arial" w:eastAsia="Arial" w:hAnsi="Arial"/>
          <w:sz w:val="16"/>
          <w:szCs w:val="16"/>
          <w:color w:val="auto"/>
        </w:rPr>
      </w:pPr>
    </w:p>
    <w:p>
      <w:pPr>
        <w:ind w:left="98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incur indebtedness, our lenders will not have a claim on the cash in the trust account and such indebtedness will not decrease the per-share conversion amount in the trust account.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a business combination or to fund the operations and growth of the target business, which could compel us to restructure or abandon a particular business combination.</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Although we believe that the net proceeds of our IPO, together with interest earned on the funds held in the trust account available to us, will be sufficient to allow us to consummate a business combination, because we have not yet identified any prospective target business, we cannot ascertain the capital requirements for any particular transaction. If the net proceeds of our IPO prove to be insufficient, either because of the size of the business combination, the depletion of the available net proceeds in search of a target business, or the obligation to convert into cash a significant number of shares from dissenting stockholders,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Sponsor, officers, directors or stockholders is required to provide any financing to us in connection with or after a business combination.</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only be required to obtain a fairness opinion with respect to the target business that we seek to acquire if it is an entity that is affiliated with any of our Sponsor, initial stockholders, officers, directors or their affiliates. In all other instances, we will have no obligation to obtain an opinion. Accordingly, investors will be relying solely on the judgment of our board of directors in approving a proposed business combination.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Resources could be spent researching acquisitions that are not consummated, which could materially adversely affect subsequent attempts to locate and acquire or merge with another business.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It is anticipated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a decision is made not to complete a specific business combination, the costs incurred up to that point for the proposed transaction likely would not be recoverable. Furthermore, even if an agreement is reached relating to a specific target business, we may fail to consummate the business combination for any number of reasons including those beyond our control. Any such event will result in a loss to us of the related costs incurred which could materially adversely affect subsequent attempts to locate and acquire or merge with another business.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from our IPO, which will cause us to be solely dependent on a single business which may have a limited number of products or services.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likely we will consummate a business combination with a single target business, although we have the ability to simultaneously acquire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88"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a business combination.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Alternatively, if we determine to simultaneously acquire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search for an initial business combination, and any target business with which we ultimately consummate an initial business combination, may be materially adversely affected by the recent coronavirus (COVID-19) outbreak and other events, and the status of debt and equity markets.</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COVID-19 pandemic has adversely affected, and other events (such as terrorist attacks, natural disasters or a significant outbreak of other infectious diseases) could adversely affect, the economies and financial markets worldwide, and the business of any potential target business with which we consummate an initial business combination could be materially and adversely affected. Furthermore, we may be unable to complete an initial business combination if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an initial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events (such as terrorist attacks, natural disasters or a significant outbreak of other infectious diseases) continue for an extensive period of time, our ability to consummate an initial business combination, or the operations of a target business with which we ultimately consummate an initial business combination, may be materially adversely affected.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jc w:val="both"/>
        <w:ind w:firstLine="648"/>
        <w:spacing w:after="0" w:line="286" w:lineRule="auto"/>
        <w:rPr>
          <w:sz w:val="20"/>
          <w:szCs w:val="20"/>
          <w:color w:val="auto"/>
        </w:rPr>
      </w:pPr>
      <w:r>
        <w:rPr>
          <w:rFonts w:ascii="Arial" w:cs="Arial" w:eastAsia="Arial" w:hAnsi="Arial"/>
          <w:sz w:val="17"/>
          <w:szCs w:val="17"/>
          <w:color w:val="auto"/>
        </w:rPr>
        <w:t>In addition, our ability to consummate a transaction may be dependent on the ability to raise equity and debt financing which may be impacted by COVID-19 and other events (such as terrorist attacks, natural disasters or a significant outbreak of other infectious diseases), including as a result of increased market volatility, decreased market liquidity in third-party financing being unavailable on terms acceptable to us or at all.</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and especially since the fourth quarter of 2020,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recent months, the market for directors and officers liability insurance for special purpose acquisition companies has changed. The premiums charged for such policies have generally increased and the terms of such policies have generally become less favorable. There can be no assurance that these trends will not continue.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Risks Relating to the Post-Business Combination Company</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Our ability to successfully effect a business combination and to be successful thereafter will be totally dependent upon the efforts of our key personnel, some of whom may join us following a business combination. While we intend to closely scrutinize any individuals we engage after a business combination, we cannot assure you that our assessment of these individuals will prove to be correct.</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ability to successfully effect a business combination is dependent upon the efforts of our key personnel. We believe that our success depends on the continued service of our key personnel, at least until we have consummated our initial business combination. We cannot assure you that any of our key personnel will remain with us for the immediate or foreseeable future. In addition, none of our officers are required to commit any specified amount of time to our affairs and, accordingly, our officers will have conflicts of interest in allocating management time among various business activities, including identifying potential business combinations and monitoring the related due diligence. We do not have employment agreements with, or key-man insurance on the life of, any of our officers. The unexpected loss of the services of our key personnel could have a detrimental effect on us.</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role of our key personnel after a business combination, however, cannot presently be ascertained. Although some of our key personnel may serve in senior management or advisory positions following a business combination, it is likely that most, if not all, of the management of the target business will remain in place. While we intend to closely scrutinize any individuals we engage after a business combination, we cannot assure you that our assessment of these individuals will prove to be correct.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officers and directors may not have significant experience or knowledge regarding the jurisdiction or industry of the target business we may seek to acquire.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consummate a business combination with a target business in any geographic location or industry we choose, although we intend to focus on companies or assets ancillary to the cannabis industry. We cannot assure you that our officers and directors will have enough experience or have sufficient knowledge relating to the jurisdiction of the target or its industry to make an informed decision regarding a business combination.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conduct an adequate due diligence investigation of a target business, we may be required to subsequently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must conduct a due diligence investigation of the target businesses we intend to acquire. Intensive due diligence is time consuming and expensive due to the operations, accounting, finance and legal professionals who must be involved in the due diligence process. Even if we conduct extensive due diligence on a target business, this diligence may not reveal all material issues that may affect a particular target business, and factors outside the control of the target business and outside of our control may later arise. If our diligence fails to identify issues specific to a target business, industry or the environment in which the target business operates, we may be forced to later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common stock.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in a foreign jurisdiction, we would be subject to a variety of additional risks that may negatively impact our operations.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are successful in consummating a business combination with a target business in a foreign country, we would be subject to any special considerations or risks associated with companies operating in the target business’ home jurisdiction, including any of the following:</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cannot assure you that we would be able to adequately address these additional risks. If we were unable to do so, our operations might suffer.</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effect a business combination with a company located outside of the United States, the laws of the country in which such company operates will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tax consequences to our business combinations that may adversely affect us.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While we expect to undertake any merger or acquisition so as to minimize taxes both to the acquired business and/or asset and us, such business combination might not meet the statutory requirements of a tax-free reorganization, or the parties might not obtain the intended tax-free treatment upon a transfer of shares or assets. A non-qualifying reorganization could result in the imposition of substantial taxes.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Potential Conflicts of Interest of our Management, Directors, and Others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could have a negative impact on our ability to consummate a business combination.</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officers and directors do not commit their full time to our affairs. We expect each of our officers and directors to devote such amount of time as they reasonably believe is necessary to our business. We do not intend to have any full time employees prior to the consummation of our initial business combination. The foregoing could have a negative impact on our ability to consummate our initial business combination.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i w:val="1"/>
          <w:iCs w:val="1"/>
          <w:color w:val="auto"/>
        </w:rPr>
        <w:t>Our officers and directors may have a conflict of interest in determining whether a particular target business is appropriate for a business combination.</w:t>
      </w:r>
    </w:p>
    <w:p>
      <w:pPr>
        <w:spacing w:after="0" w:line="2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Sponsor has waived its right to convert its founders’ shares or any other shares purchased in our IPO or thereafter, or to receive distributions from the trust account with respect to its founders’ shares upon our liquidation if we are unable to consummate a business combination. Accordingly, the shares acquired prior to our IPO, as well as the private securities and any warrants purchased by our officers or directors in the aftermarket, will be worthless if we do not consummate a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officers and directors or their affiliates have pre-existing fiduciary and contractual obligations and may in the future become affiliated with other entities engaged in business activities similar to those intended to be conducted by us. Accordingly, they may have conflicts of interest in determining to which entity a particular business opportunity should be presented.</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officers and directors or their affiliates have pre-existing fiduciary and contractual obligations to other companies.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Additionally, our officers and directors may in the future become affiliated with entities that are engaged in a similar business, including another blank check company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our officers’ and directors’ fiduciary duties under Delaware law.</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a business combination and as a result, may cause them to have conflicts of interest in determining whether a particular business combination is the most advantageous.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key personnel will be able to remain with the company after the consummation of a business combination only if they are able to negotiate employment or consulting agreements or other appropriate arrangements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the company after the consummation of the business combination. The personal and financial interests of such individuals may influence their motivation in identifying and selecting a target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EarlyBirdCapital may have a conflict of interest in rendering services to us in connection with our initial business combination.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EarlyBirdCapital to assist us in connection with our initial business combination. We will pay EarlyBirdCapital a cash fee for such services in an aggregate amount equal to up to 3.5% of the total gross proceeds raised in our IPO only if we consummate our initial business combination. The representative shares will also be worthless if we do not consummate an initial business combination. These financial interests may result in EarlyBirdCapital having a conflict of interest when providing the services to us in connection with an initial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file and maintain a current and effective prospectus relating to the common stock issuable upon exercise of the warrants, holders will only be able to exercise such warrants on a “cashless basis.”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do not file and maintain a current and effective prospectus relating to the common stock issuable upon exercise of the warrants at the time that holders wish to exercise such warrants, they will only be able to exercise them on a “cashless basis” provided that an exemption from registration is available. As a result, the number of shares of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common stock issuable upon exercise of the warrants is available. Under the terms of the warrant agreement, we have agreed to use our best efforts to meet these conditions and to file and maintain a current and effective prospectus relating to the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investor will only be able to exercise a warrant if the issuance of shares of common stock upon such exercise has been registered or qualified or is deemed exempt under the securities laws of the state of residence of the holder of the warrants.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warrants will be exercisable and we will not be obligated to issue shares of common stock unless the shares of common stock issuable upon such exercise has been registered or qualified or deemed to be exempt under the securities laws of the state of residence of the holder of the warrants. If the shares of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private warrants included in the Private Units may be exercised at a time when the public warrants may not be exercised.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Once the private warrants included in the Private Units become exercisable, such warrants may immediately be exercised on a cashless basis, at the holder’s option, so long as they are held by the initial purchasers or their permitted transferees. The public warrants, however, will only be exercisable on a cashless basis at the option of the holders if we fail to register the shares issuable upon exercise of the warrants under the Securities Act within 90 days following the closing of our initial business combination. Accordingly, it is possible that the holders of the private warrants could exercise such warrants at a time when the holders of public warrants could not.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with the approval by the holders of at least 50% of the then outstanding public warrants.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at least 50% of the then outstanding public warrants in order to make any change that adversely affects the interests of the registered holders.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trust could be reduced and the per-share redemption price received by stockholders may be less than $10.00.</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placing of funds in trust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trust could be subject to claims which could take priority over those of our public stockholders. If we are unable to complete a business combination and distribute the proceeds held in trust to our public stockholders, our Sponsor has agreed (subject to certain exceptions described elsewhere in this Form 10-K) that it will be liable to ensure that the proceeds in the trust account are not reduced below $10.00 per share by the claims of target businesses or claims of vendors or other entities that are owed money by us for services rendered or contracted for or products sold to us.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As a result, the per-share distribution from the trust account may be less than $10.00, plus interest, due to such claims.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ind w:firstLine="648"/>
        <w:spacing w:after="0" w:line="259" w:lineRule="auto"/>
        <w:rPr>
          <w:sz w:val="20"/>
          <w:szCs w:val="20"/>
          <w:color w:val="auto"/>
        </w:rPr>
      </w:pPr>
      <w:r>
        <w:rPr>
          <w:rFonts w:ascii="Arial" w:cs="Arial" w:eastAsia="Arial" w:hAnsi="Arial"/>
          <w:sz w:val="18"/>
          <w:szCs w:val="18"/>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may not be able to return to our public stockholders at least $10.00.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amended and restated certificate of incorporation provides that we will continue in existence only until April 30, 2021 (unless such date is extended by our stockholders). If we have not completed a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but net of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we cannot assure you that third parties will not seek to recover from our stockholders amounts owed to them by us.</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our Sponsor’s indemnification obligations, resulting in a reduction in the amount of funds in the trust account available for distribution to our public stockholders.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event that the proceeds in the trust account are reduced below $10.00 per public share and our Sponsor asserts that it is unable to satisfy its obligations or that it has no indemnification obligations related to a particular claim, our independent directors would determine whether to take legal action against our Sponsor to enforce such indemnification obligations.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quotation on its exchange which could limit investors’ ability to make transactions in our securities and subject us to additional trading restrictions.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securities are listed on Nasdaq, a national securities exchange. Although we expect to meet on a pro forma basis Nasdaq’s minimum initial listing standards, which generally only requires that we meet certain requirements relating to stockholders’ equity, market capitalization, aggregate market value of publicly held shares and distribution requirements, we cannot assure you that our securities will continue to be listed on Nasdaq in the future prior to an initial business combination. Further, we cannot assure you that we will continue to meet Nasdaq’s corporate governance requirements. On January 6, 2021, we received a notice from the Listing Qualifications Department of The Nasdaq Stock Market stating that we failed to hold an Annual Meeting of stockholders within 12 months after our fiscal year ended December 31, 2019, as required by Nasdaq Listing Rule 5620(a). In accordance with Nasdaq Listing Rule 5810(c)(2)(G), we submitted a plan to regain compliance on February 4, 2021. Nasdaq accepted our plan and granted us an extension through June 29, 2021 to hold an annual meeting. Nasdaq’s decision is subject to certain conditions, including that we provide periodic updates with respect to our proposed business combination with Microvast. While we expect to comply with such requirements, there can be no assurance that we will be able to do so.</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in connection with our initial business combination, it is likely that Nasdaq will require us to file a new initial listing application and meet its initial listing requirements as opposed to its more lenient continued listing requirements. We cannot assure you that we will be able to meet those initial listing requirements at that time. Nasdaq will also have discretionary authority to not approve our listing if Nasdaq determines that the listing of the company to be acquired is against public policy at that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Nasdaq delists our securities from trading on its exchange, or we are not listed in connection with our initial business combination, we could face significant material adverse consequences, including:</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determination that our shares of common stock are “penny stock” which will require brokers trading in our shares of common stock to adhere to more stringent rules, possibly resulting in a reduced level of trading activity in the secondary trading market for our shares of common stock;</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our units, common stock and warrants are listed on Nasdaq, our units,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outstanding warrants may have an adverse effect on the market price of our common stock and make it more difficult to effect a business combination.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issued warrants to purchase 27,600,000 shares of common stock as part of the units offered in our IPO and private warrants to purchase 687,000 shares of common stock as part of the Private Units. We may also issue other units and warrants to our Sponsor, initial stockholders, officers, directors or their affiliates in payment of working capital loans made to us. To the extent we issue shares of common stock to effect a business combination, the potential for the issuance of a substantial number of additional shares upon exercise of these warrants could make us a less attractive acquisition vehicle in the eyes of a target business. Such securities, when exercised, will increase the number of issued and outstanding shares of common stock and reduce the value of the shares issued to complete the business combination. Accordingly, our warrants may make it more difficult to effectuate a business combination or increase the cost of acquiring the target business. Additionally, the sale, or even the possibility of sale, of the shares underlying the warrants could have an adverse effect on the market price for our securities or on our ability to obtain future financing. If and to the extent these warrants are exercised, you may experience dilution to your holdings.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the ability to redeem outstanding warrants (excluding the private warrants included in the Private Units and any warrants underlying additional units issued to our Sponsor, officers or directors in payment of working capital loans made to us) at any time after they become exercisable and prior to their expiration, at a price of $0.01 per warrant, provided that the last reported sales price of the common stock equals or exceeds $18.00 per share (as adjusted for stock splits, stock dividends, reorganizations and recapitalizations) for any 20 trading days within a 30 trading-day period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included in the Private Units will be redeemable by us so long as they are held by the initial purchasers or their permitted transferees.</w:t>
      </w:r>
    </w:p>
    <w:p>
      <w:pPr>
        <w:spacing w:after="0" w:line="18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call our public warrants for redemption after the redemption criteria described elsewhere in this Form 10-K have been satisfied, our management will have the option to require any holder that wishes to exercise his warrant (including any private warrants included in the Private Units)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“upside” of the holder’s investment in our company.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security holders exercise their registration rights, it may have an adverse effect on the market price of our shares of common stock and the existence of these rights may make it more difficult to effect a business combination.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Sponsor is entitled to make a demand that we register the resale of the founders’ shares at any time commencing three months prior to the date on which their shares may be released from escrow. Additionally, the holders of representative shares, the private securities and any units and warrants our Sponsor, initial stockholders, officers, directors, or their affiliates may be issued in payment of working capital loans made to us, are entitled to demand that we register the resale of the representative shares, private securities and any other units and warrants we issue to them (and the underlying securities) commencing at any time after we consummate an initial business combination. The presence of these additional securities trading in the public market may have an adverse effect on the market price of our securities. In addition, the existence of these rights may make it more difficult to effectuate a business combination or increase the cost of acquiring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amended and restated certificate of incorporation and bylaws contain provisions that may discourage unsolicited takeover proposals that stockholders may consider to be in their best interests. Our board of directors is divided into three classes, each of which will generally serve for a term of three years with only one class of directors being elected in each year. As a result, at a given annual meeting only a minority of the board of directors may be considered for election. Since our “staggered board” may prevent our stockholders from replacing a majority of our board of directors at any given annual meeting, it may entrench management and discourage unsolicited stockholder proposals that may be in the best interests of stockholders. Moreover, our board of directors has the ability to designate the terms of and issue new series of preferred stock.</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Any person or entity purchasing or otherwise acquiring any interest in shares of our capital stock shall be deemed to have notice of and consented to the forum provisions in our amended and restated certificate of incorporation.</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employees, which may discourage lawsuits with respect to such claims, although our stockholders will not be deemed to have waived our compliance with federal securities laws and the rules and regulations thereunder and may therefore bring a claim in another appropriate forum. We cannot be certain that a court will decide that this provision is either applicable or enforceable, and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amended and restated certificate of incorporation also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 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shares of common stock less attractive because we may rely on these provisions. If some investors find our shares of common stock less attractive as a result, there may be a less active trading market for our shares and our share price may be more volatile.</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a business combination.</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company that, among other things, is or holds itself out as being engaged primarily, or proposes to engage primarily, in the business of investing, reinvesting, owning, trading or holding certain types of securities would be deemed an investment company under the Investment Company Act, as amended, or the Investment Company Act. Since the proceeds of our IPO held in the trust account have been invested by us, it is possible that we could be deemed an investment company. Notwithstanding the foregoing, we do not believe that our anticipated principal activities will subject us to the Investment Company Act. To this end, the proceeds held in trust may be invested by the trustee only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By restricting the investment of the proceeds to these instruments, we intend to meet the requirements for the exemption provided in Rule 3a-1 promulgated under the Investment Company Act.</w:t>
      </w:r>
    </w:p>
    <w:p>
      <w:pPr>
        <w:spacing w:after="0" w:line="19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are nevertheless deemed to be an investment company under the Investment Company Act, we may be subject to certain restrictions that may make it more difficult for us to complete a business combination, including:</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660" w:right="360" w:hanging="4"/>
        <w:spacing w:after="0" w:line="530" w:lineRule="auto"/>
        <w:tabs>
          <w:tab w:leader="none" w:pos="984"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reporting, record keeping, voting, proxy, compliance policies and procedures and disclosure requirements and other rules and regulations. Compliance with these additional regulatory burdens would require additional expense for which we have not allotted.</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maintain our principal executive offices at 135 E. 57th St., 18th Floor, New York, NY 10022. The cost for this space is included in the $10,000 per-month fee Vogel Partners, LLP, an affiliate of Stephen A. Vogel, our Chief Executive Officer, charges us for general and administrative services. We consider our current office space, combined with the other office space otherwise available to our executive officers, adequate for our current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COMMON EQUITY AND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units, common stock and warrants are listed on the Nasdaq Capital Markets (“Nasdaq”) under the symbols THCBU, THCB and THCBW,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23, 2021, there were three holders of record of our units, twelve holders of record of our common stock and one holder of record of our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not paid any cash dividends on our shares of common stock to date and do not intend to pay cash dividends prior to the completion of a business combination. The payment of cash dividends in the future will be contingent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 Further, if we incur any indebtedness in connection with our initial business combination, our ability to declare dividends may be limited by restrictive covenants we may agree to in connection therewith.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 and Affiliates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purchases of our equity securities have been made by us or affiliated purchasers within the fourth quarter of the fiscal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audited financial statements and the notes related thereto which are included in “Item 8. Financial Statements and Supplementary Data” of this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blank check company incorporated on November 5, 2018 as a Delaware corporation and formed for the purpose of entering into a merger, share exchange, asset acquisition, stock purchase, recapitalization, reorganization or similar business combination with one or more businesses or entities. We intend to effectuate our initial business combination using cash from the proceeds of the IPO and the sale of the private units, our capital stock, debt or a combination of cash, stock and debt.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entire activity since inception relates to our formation, to prepare for our IPO, which was consummated on March 7, 2019, searching for a business combination candidate, and activities in connection with the proposed acquisition of Microvast.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Microvast Business Combination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1, 2021, Tuscan entered into the Merger Agreement with Microvast and Merger Sub. Pursuant to the Merger Agreement, Merger Sub will merge with and into Microvast and Microvast will survive the merger and become a wholly owned subsidiary of Tuscan. Under the Merger Agreement, all of the equity interests of Microvast will be converted into an aggregate of 210,000,000 shares of common stock. The Microvast shareholders and the investors in Microvast’s majority-owned subsidiary, MPS, will also have the ability to earn an additional 20,000,000 shares of common stock if the daily volume weighted average price of the common stock is greater than or equal to $18.00 for any 20 trading days within a 30 trading day period (or a change of control occurs that results in the holders of common stock receiving a per share price equal to or in excess of $18.00), during the period commencing on the closing date and ending on the third anniversary of the closing date. Concurrently with the execution of the Merger Agreement, Tuscan and Microvast will jointly acquire 100% ownership of MPS and will discharge certain convertible loans of MPS.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Merger will be accounted for as a reverse recapitalization in accordance with accounting principles generally accepted in the United States of America (“U.S. GAAP”). Under this method of accounting, Tuscan will be treated as the “acquired” company for accounting purposes and the Business Combination will be treated as the equivalent of Microvast issuing stock for the net assets of Tuscan, accompanied by a recapitalization. The net assets of Tuscan will be stated at historical cost, with no goodwill or other intangible assets recorded.</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Additionally, the Merger Agreement provides that Tuscan will issue an aggregate of 6,736,111 shares of common stock in connection with the Bridge Note Conversion.</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Further, on February 1, 2021, Tuscan, the Sponsor, Microvast and certain stockholders of Tuscan entered into the Sponsor Support Agreement, pursuant to which the Sponsor Group agreed, among other things, to vote all equity interests of Tuscan held by such member of the Sponsor Group in favor of the approval and adoption of the proposed business combination with Microvast. Additionally, such members of the Sponsor Group have agreed not to</w:t>
      </w:r>
    </w:p>
    <w:p>
      <w:pPr>
        <w:spacing w:after="0" w:line="2" w:lineRule="exact"/>
        <w:rPr>
          <w:sz w:val="20"/>
          <w:szCs w:val="20"/>
          <w:color w:val="auto"/>
        </w:rPr>
      </w:pPr>
    </w:p>
    <w:p>
      <w:pPr>
        <w:jc w:val="both"/>
        <w:ind w:right="20" w:firstLine="8"/>
        <w:spacing w:after="0" w:line="255" w:lineRule="auto"/>
        <w:tabs>
          <w:tab w:leader="none" w:pos="2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any of their equity interests in the Company (or enter into any arrangement with respect thereto) other than as set forth therein or (b) exercise any conversion rights of any equity interests held by such member of the Sponsor Group in connection with the approval of the proposed business combination.</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Sponsor also agreed that, to the extent that certain expenses of Tuscan are in excess of $46,000,000 (unless such expenses shall have been approved by Microvast), the Sponsor will either (i) pay any such excess amount in cash or (ii) forfeit to Tuscan such number of shares of common stock held by the Sponsor that would have a value equal to such excess. The Sponsor also agreed to amend the escrow agreement to make certain adjustments to the terms of the escrow of its shares of common stock as set forth in the Sponsor Support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firstLine="648"/>
        <w:spacing w:after="0" w:line="279" w:lineRule="auto"/>
        <w:rPr>
          <w:sz w:val="20"/>
          <w:szCs w:val="20"/>
          <w:color w:val="auto"/>
        </w:rPr>
      </w:pPr>
      <w:r>
        <w:rPr>
          <w:rFonts w:ascii="Arial" w:cs="Arial" w:eastAsia="Arial" w:hAnsi="Arial"/>
          <w:sz w:val="17"/>
          <w:szCs w:val="17"/>
          <w:color w:val="auto"/>
        </w:rPr>
        <w:t>Contemporaneously with the execution of the Merger Agreement, certain investors entered into Subscription Agreements pursuant to which such investors subscribed for an aggregate value of $482,500,000, representing 48,250,000 shares of Tuscan common stock at a purchase price of $10.00 per share in a private placement to be consummated immediately prior to the consummation of the Transactions. Affiliates of InterPrivate, a co-sponsor of Tuscan, subscribed to purchase 6.5 million shares in the PIPE Financing for an aggregate purchase price of $65 million.</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Immediately following the Closing, the former equityholders of Microvast will hold approximately 69.9% of the issued and outstanding shares of common stock and the current stockholders of Tuscan will hold approximately 9.2% of the issued and outstanding shares of common stock, which pro forma ownership (1) assumes no Public Stockholder exercises its conversion rights in connection with the business combination, and (2) reflects the issuance of an aggregate of 48,250,000 shares of Common Stock in the PIPE Financing and 6,736,111 shares of common stock in the Bridge Notes Conversion, but does not include the effect of any other financing of Tuscan. If the maximum number of Public Shares are converted into cash such that Microvast does not have the right to terminate the Merger Agreement (i.e., Tuscan has at least $5,000,001 of net tangible assets immediately prior to or upon consummation of the business combination), such percentages will be approximately 76.8% and 0.2%,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Amendment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December 3, 2020, Tuscan received stockholder approval to extend the date by which it must complete an initial business combination from December 7, 2020 to April 30, 2021. In connection with such extension, holders of 3,198 Public Shares exercised their right to convert their shares into cash at a conversion price of approximately $10.22 per share, for an aggregate conversion amount of approximately $32,684.</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12, 2021, Tuscan filed a preliminary proxy statement seeking approval from its stockholders to amend Tuscan’s charter to further extend the date by which Tuscan is required to complete its initial business combination from April 30, 2021 to July 31, 2021 and to hold an annual meeting for the election of directors in accordance with Nasdaq listing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February 12, 2021, the Sponsor extended a loan to Tuscan in the aggregate principal amount totaling $1.2 million, of which $400,000 was drawn upon on such date. This loan was in addition to the previous $200,000 drawn upon the $300,000 convertible note that was committed by the Sponsor on April 21, 2020. As a result of the February 12, 2021 commitment, the Sponsor had committed to the Company a total of $1.5 million, of which a total of $600,000 has been drawn upon, with $400,000 of the drawn amount pursuant to the February 12, 2021 note. The Sponsor intends to convert the $1.5 million total loan balance into 150,000 Units immediately prior to the closing of the proposed business combination with Microvast. Such Units will have terms identical to the terms of the Company’s Private Units and will consist of (i) 150,000 shares of common stock and (ii) warrants to purchase 150,000 shares of common stock at an exercise price of $11.50 per share, subject to adjustment.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Notification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6, 2021, we received a notice from the Listing Qualifications Department of The Nasdaq Stock Market stating that we failed to hold an Annual Meeting of stockholders within 12 months after our fiscal year ended December 31, 2019, as required by Nasdaq Listing Rule 5620(a). In accordance with Nasdaq Listing Rule 5810(c)(2)(G), we submitted a plan to regain compliance on February 4, 2021. Nasdaq accepted our plan and granted us an extension through June 29, 2021 to hold an annual meeting. Nasdaq’s decision is subject to certain conditions, including that we provide periodic updates with respect to our proposed business combination with Microvast. While we expect to comply with such requirements, there can be no assurance that we will be able to do so.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only activities from November 5, 2018 (inception) through December 31, 2020 were organizational activities, those necessary to consummate the IPO, described below, and, after the IPO, searching for a target company for a business combination.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2020, we had net income of $1,375,461, which consisted of interest income on marketable securities held in the Trust Account of $2,654,140 and an unrealized gain on marketable securities held in the Trust Account of $9,750 offset by operating costs of $921,665 and a provision for income taxes of $366,764.</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the year ended December 31, 2020, income earned on the investment held in the trust account decreased $2,258,206, or 46.0% to $2,654,140 from $4,912,346 for the year ended December 31, 2019. As a result of the Covid-19 pandemic, the average annual yield on the investment held in the trust account dropped to 0.10% in the second quarter of 2020 down from an average of 1.73% for 2019 and the first quarter of 2020.</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2019, we had net income of $3,367,179, which consisted of interest income on marketable securities held in the trust account of $4,912,346 and an unrealized gain on marketable securities held in the trust account of $128,899, offset by operating costs of $778,815 and a provision for income taxes of $895,251.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7, 2019, we consummated our IPO of 24,000,000 units, at a price of $10.00 per unit, generating gross proceeds of $240,000,000. Simultaneously with the closing of the IPO, we consummated the sale of 615,000 private units to our Sponsor and EarlyBirdCapital and its designee, generating gross proceeds of $6,150,000. On March 12, 2019, in connection with the underwriters’ exercise of their over-allotment option in full, we consummated the sale of an additional 3,600,000 units at a price of $10.00 per unit, generating total gross proceeds of $36,000,000. In addition, we also consummated the sale of an additional 72,000 private units to our Sponsor and EarlyBirdCapital and its designee at $10.00 per private unit, generating total gross proceeds of $720,000. Following the IPO, the exercise of the over-allotment option and the sale of the private units, a total of $276,000,000 was placed in the trust account. We incurred $6,059,098 in IPO related costs, including $5,520,000 of underwriting fees, and $539,098 of other costs.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we had marketable securities held in the Trust Account of $282,254,978 (including approximately $6,255,000 of interest income and unrealized gains less interest withdrawn) consisting of U.S. treasury bills with a maturity of 180 days or less. Interest income on the balance in the Trust Account may be used by us to pay taxes. Through December 31, 2020, we withdrew approximately $1,417,000 of interest earned on the Trust Account to pay our franchise and income tax obligations, of which approximately $479,000 was withdrawn during the year ended December 31, 2020.</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 the year ended December 31, 2020, cash used in operating activities was $705,994. Net income of $1,375,461 was affected by interest earned on marketable securities held in the Trust Account of $2,654,140, an unrealized gain on marketable securities held in our Trust Account of $9,750 and a deferred income tax benefit of $5,601. Changes in operating assets and liabilities provided $588,036 of cash from operating activities.</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the year ended December 31, 2019, cash used in operating activities was $1,634,432. Net income of $3,367,179 was affected by interest earned on marketable securities held in the trust account of $4,912,346, an unrealized gain on marketable securities held in our trust account of $128,899 and a deferred income tax provision of $27,069. Changes in operating assets and liabilities provided $12,565 of cash from operating activities.</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intend to use substantially all of the funds held in the trust account, to acquire a target business and to pay our expenses relating thereto, including fees payable to EarlyBirdCapital and Morgan Stanley, upon consummation of our initial business combination for assisting us in connection with our initial business combination. To the extent that our capital stock is used in whole or in part as consideration to effect a business combination, the remaining funds held in the trust account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business combination if the funds available to us outside of the trust account were insufficient to cover such expenses.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we had cash of $135,961. We intend to use the funds held outside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jc w:val="both"/>
        <w:ind w:firstLine="648"/>
        <w:spacing w:after="0" w:line="286" w:lineRule="auto"/>
        <w:rPr>
          <w:sz w:val="20"/>
          <w:szCs w:val="20"/>
          <w:color w:val="auto"/>
        </w:rPr>
      </w:pPr>
      <w:r>
        <w:rPr>
          <w:rFonts w:ascii="Arial" w:cs="Arial" w:eastAsia="Arial" w:hAnsi="Arial"/>
          <w:sz w:val="17"/>
          <w:szCs w:val="17"/>
          <w:color w:val="auto"/>
        </w:rPr>
        <w:t>On April 20, 2020, the Sponsor committed to provide us an aggregate of $500,000 in loans. The loans shall be non-interest bearing, unsecured and due upon the consummation of a business combination. In the event that a business combination does not close, the loans would be repaid only out of funds held outside the Trust Account to the extent such funds are available. Otherwise, all amounts loaned to us would be forgiven.</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21, 2020, we issued an unsecured promissory note to the Sponsor in the aggregate amount of $300,000 (the “Sponsor Note”), of which $200,000 was drawn upon on such date. The Sponsor Note is non-interest bearing and payable upon the consummation of a business combination. The Sponsor Note is convertible, at the lender’s option, into units of the post-business combination entity at a price of $10.00 per unit. The units would be identical to the Private Units. If a business combination is not consummated, the Sponsor Notes will not be repaid by us and all amounts owed thereunder by us will be forgiven except to the extent that we have funds available to us outside of our Trust Account. As of December 31, 2020, there was $200,000 outstanding under the Sponsor Note.</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a business combination, the Sponsor or our officers and directors or their affiliates may, but are not obligated to, loan us funds on a non-interest basis as may be required, except as described above. If we complete our initial business combination, we will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notes may be convertible into private units, at a price of $10.00 per unit. The units would be identical to the private units.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described above, our Sponsor committed to loan us a total of $1.5 million (inclusive of amounts currently outstanding) in aggregate principal amount prior to the consummation of the proposed business combination with Microvast. We will need to raise additional capital through loans or additional investments from our Sponsor, stockholders, officers, directors, or third parties. Other than the $1.5 million loan (inclusive of amounts currently outstanding) committed to us by our Sponsor, our Sponsor, officers, directors, or their affiliates may, but are not obligated to, loan us funds, from time to time or at any time, in whatever amount they deem reasonable in their sole discretion, to meet our working capital needs. Accordingly, we may not be able to obtain additional financing. If we are unable to raise such additional capital, we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us on commercially acceptable terms, if at all. These conditions raise substantial doubt about our ability to continue as a going concern through April 30, 2021 (or July 31, 2021, if our stockholders approve an amendment to our charter), the date that we will be required to cease all operations, except for the purpose of winding up, if a business combination is not consummated. The financial statements included in this Form 10-K do not include any adjustments relating to the recovery of the recorded assets or the classification of the liabilities that might be necessary should we be unable to continue as a going concern.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an affiliate of our Sponsor a monthly fee of $10,000 for office space, utilities and secretarial and administrative support. We began incurring these fees on March 5, 2019 and will continue to incur these fees monthly until the earlier of the completion of the business combination and our liquidation.</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engaged EarlyBirdCapital to act as an advisor in connection with a business combination, to assist us in holding meetings with our shareholders to discuss the potential business combination and the target business’ attributes, introduce us to potential investors that are interested in purchasing our securities in connection with a business combination, assist us in obtaining shareholder approval for the business combination and assist us with our press releases and public filings in connection with the business combination. We will pay EarlyBirdCapital a cash fee for such services upon the consummation of a business combination in an amount equal to $9,660,000 (exclusive of any applicable finders’ fees which might become payable); provided that up to 30% of the fee may be allocated at our sole discretion to other FINRA members that assist us in identifying and consummating a business combination.</w:t>
      </w:r>
    </w:p>
    <w:p>
      <w:pPr>
        <w:spacing w:after="0" w:line="181"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We engaged Morgan Stanley to provide financial advisory services in connection with the Microvast business combination, and, upon consummation of the transaction with Microvast, we must pay that firm a transaction fee of $5.5 million, plus expenses. Morgan Stanley also acted as placement agent in connection with the PIPE Financing, and we are obligated to pay Morgan Stanley a placement fee equal to (i) 3.5% of the sum of (x) the aggregate gross proceeds raised in the PIPE Financing up to $300 million (not including funds from the sale of certain excluded securities) and (y) any borrowings pursuant to a bridge financing provided in connection with the proposed business combination by investors introduced by Morgan Stanley, and</w:t>
      </w:r>
    </w:p>
    <w:p>
      <w:pPr>
        <w:spacing w:after="0" w:line="3" w:lineRule="exact"/>
        <w:rPr>
          <w:sz w:val="20"/>
          <w:szCs w:val="20"/>
          <w:color w:val="auto"/>
        </w:rPr>
      </w:pPr>
    </w:p>
    <w:p>
      <w:pPr>
        <w:ind w:left="5540" w:right="4680" w:hanging="5532"/>
        <w:spacing w:after="0" w:line="802" w:lineRule="auto"/>
        <w:tabs>
          <w:tab w:leader="none" w:pos="279" w:val="left"/>
        </w:tabs>
        <w:numPr>
          <w:ilvl w:val="0"/>
          <w:numId w:val="19"/>
        </w:numPr>
        <w:rPr>
          <w:rFonts w:ascii="Arial" w:cs="Arial" w:eastAsia="Arial" w:hAnsi="Arial"/>
          <w:sz w:val="17"/>
          <w:szCs w:val="17"/>
          <w:color w:val="auto"/>
        </w:rPr>
      </w:pPr>
      <w:r>
        <w:rPr>
          <w:rFonts w:ascii="Arial" w:cs="Arial" w:eastAsia="Arial" w:hAnsi="Arial"/>
          <w:sz w:val="17"/>
          <w:szCs w:val="17"/>
          <w:color w:val="auto"/>
        </w:rPr>
        <w:t>2.5% of the aggregate gross proceeds raised in the PIPE Financing above $300 million.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account for our common stock subject to possible conversion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at redemption value as temporary equity, outside of the stockholders’ equity section of our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statement of operations includes a presentation of income per share for common shares subject to possible redemption in a manner similar to the two-class method of loss per share. Net income per common share, basic and diluted, for Common stock subject to possible redemption is calculated by dividing the proportionate share of income on marketable securities held by the Trust Account, net of applicable franchise and income taxes, by the weighted average number of Common stock subject to possible redemption outstanding since original issuance.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loss per share, basic and diluted, for non-redeemable common stock is calculated by dividing the net income, adjusted for income on marketable securities attributable to Common stock subject to possible redemption, by the weighted average number of non-redeemable common stock outstanding for the period.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Non-redeemable common stock includes Founder Shares and non-redeemable shares of common stock as these shares do not have any redemption features. Non-redeemable common stock participates in the income on marketable securities based on non-redeemable common stock shares’ proportionate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appears following Item 16 of this Report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2020. Based upon their evaluation, our Chief Executive Officer and Chief Financial Officer concluded that our disclosure controls and procedures (as defined in Rules 13a-15(e) and 15d-15(e) under the Exchange Act)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financial statements for external reporting purposes in accordance with GAAP. Our internal control over financial reporting includes those policies and procedures that:</w:t>
      </w:r>
    </w:p>
    <w:p>
      <w:pPr>
        <w:spacing w:after="0" w:line="187" w:lineRule="exact"/>
        <w:rPr>
          <w:sz w:val="20"/>
          <w:szCs w:val="20"/>
          <w:color w:val="auto"/>
        </w:rPr>
      </w:pPr>
    </w:p>
    <w:p>
      <w:pPr>
        <w:ind w:left="980" w:right="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our company,</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errors or misstatements in our financial statements. Also, projections of any evaluation of effectiveness to future periods are subject to the risk that controls may become inadequate because of changes in conditions, or that the degree or compliance with the policies or procedures may deteriorate. The Chief Executive Officer and Chief Financial Officer assessed the effectiveness of our internal control over financial reporting at December 31, 2020. In making these assessments, the Chief Executive Officer and Chief Financial Officer used the criteria set forth by the Committee of Sponsoring Organizations of the Treadway Commission (COSO) in Internal Control — Integrated Framework (2013). Based on their assessments and those criteria, the Chief Executive Officer and Chief Financial Officer determined that we maintained effective internal control over financial reporting as of December 31, 2020.</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Form 10-K does not include an attestation report of internal controls from our independent registered public accounting firm due to our status as an emerging growth company under the JOBS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directors and executive officers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6960" w:type="dxa"/>
            <w:vAlign w:val="bottom"/>
          </w:tcPr>
          <w:p>
            <w:pPr>
              <w:ind w:left="318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Stephen A. Vogel</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Borders>
              <w:top w:val="single" w:sz="8" w:color="CCEEFF"/>
            </w:tcBorders>
            <w:shd w:val="clear" w:color="auto" w:fill="CCEEFF"/>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Ruth Epstein</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President, Chief Financial Officer and Director</w:t>
            </w: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Stefan M. Selig</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7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Richard O. Rieger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Amy Butte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7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 xml:space="preserve">Stephen A. Vogel </w:t>
      </w:r>
      <w:r>
        <w:rPr>
          <w:rFonts w:ascii="Arial" w:cs="Arial" w:eastAsia="Arial" w:hAnsi="Arial"/>
          <w:sz w:val="17"/>
          <w:szCs w:val="17"/>
          <w:color w:val="auto"/>
        </w:rPr>
        <w:t>has served as Tuscan’s Chairman and Chief Executive Officer since its inception. He has also served as Chairman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Tuscan Holdings Corp. II (“Tuscan II”), a blank check company like Tuscan that is searching for a target business with which to consummate an initial business combination, since March 2019. Mr. Vogel has over 40 years of operating and private equity experience. He has served as General Partner of Vogel Partners, LLP, a private investment firm, since 1996. He served as President of Twelve Seas Investment Company, a blank check company, from May 2018 until the completion of its business combination with Brooge Holdings Limited in December 2019, and he has served as a director of the company from June 2018 until December 2019. From December 2016 until February 2018, Mr. Vogel was Executive Chairman of Forum Merger Corporation, a blank check company that completed its initial public offering in April 2017. Forum completed its initial business combination in February 2018 with C1 Investment Corp. and in connection with the consummation of the business combination changed its name to ConvergeOne Holdings, Inc. (NASDAQ: CVON). Mr. Vogel began his career in 1971 as President, Chief Executive Officer and co-founder of Synergy Gas Corp., a retail propane distribution company. After selling Synergy Gas Corp. to Northwestern Corp. in 1995, Mr. Vogel co-founded EntreCapital Partners, a private equity firm that focused on companies facing operational or management challenges, and served until 1999. Additionally, he was a venture partner at EnerTech Capital Partners, an energy focused venture capital firm, from 1999 to 2002, and an operating partner at Tri-Artisan Capital Partners, LLC, an investment bank, from 2004 to 2006. Mr. Vogel also served as Chief Executive Officer of Grameen America, a not-for-profit organization that provides microloans to low-income borrowers in the United States, from 2008 to 2013. He was on the board of Netspend (NASDAQ: NTSP), a leader for prepaid stored value platforms, from 2011 to 2013. Mr. Vogel was a member of the Board of Trustees at Montefiore Medical Center and Children’s Hospital for over 20 years and served on the Board of Trustees at Lighthouse International, a non-profit organization. Mr. Vogel is a past Trustee of the Horace Mann School and previously served on the Board of Directors of the National Propane Gas Association. Mr. Vogel received a BS degree from Syracuse University School of Management. We believe Mr. Vogel is well-qualified to serve as a member of the board due to his business experience, including prior blank check company experience and his contacts.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Ruth Epstein </w:t>
      </w:r>
      <w:r>
        <w:rPr>
          <w:rFonts w:ascii="Arial" w:cs="Arial" w:eastAsia="Arial" w:hAnsi="Arial"/>
          <w:sz w:val="17"/>
          <w:szCs w:val="17"/>
          <w:color w:val="auto"/>
        </w:rPr>
        <w:t>has served as Tuscan’s President, Chief Financial Officer and a member of Tuscan’s board of directors since November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Epstein has over 25 years’ experience providing financial and strategic advisory services to companies across a wide range of mature and emerging growth industries. She has also been an active investor in, and advisor to, companies operating in the legal cannabis industry. In 2017, she founded, and has since served as a Partner of, BGP Advisors LLC, a financial and strategic advisory firm providing consulting and management services to companies in the emerging legal cannabis industry. She has also been a registered representative at Pickwick Capital Partners since January 2019. In 2018, Ms. Epstein served as Chief Financial Officer and Chief Operating Officer of Treez, Inc., California’s leading provider of point of sale and retail management solutions to cannabis dispensaries. From 2014 through February 2017, Ms. Epstein served as Senior Vice President of Business Development for Holt Media Companies. From 2009 to 2013, Ms. Epstein served as Chief Operating Officer for Arjewel Partners, LLC/ Bigelow Capital, LP, a long-short hedge fund. Prior to 2009, Ms. Epstein raised an independent film fund and served as Executive Producer on several independent feature films. She began her career at Goldman, Sachs &amp; Co. in the Investment Banking Division. During her ten-year tenure with Goldman, Ms. Epstein served as Vice President in Corporate Finance, working on numerous IPOs, debt and equity offerings and M&amp;A transactions. Ms. Epstein received a BA in Economics with Highest Honors from Wesleyan University and an MBA from Harvard Business School with First Year Honors. We believe Ms. Epstein is well-qualified to serve as a member of the board due to her business experience.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Stefan M. Selig </w:t>
      </w:r>
      <w:r>
        <w:rPr>
          <w:rFonts w:ascii="Arial" w:cs="Arial" w:eastAsia="Arial" w:hAnsi="Arial"/>
          <w:sz w:val="16"/>
          <w:szCs w:val="16"/>
          <w:color w:val="auto"/>
        </w:rPr>
        <w:t>has served as a member of Tuscan’s board of directors since November 2018. Mr. Selig is the founder and Managing Partner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BridgePark Advisors LLC, a firm formed in January 2017 which provides personalized strategic advice on a broad range of critical business and financial issues and transaction execution. Mr. Selig served as Under Secretary of Commerce for International Trade at the U.S. Department of Commerce from June 2014 to June 2016, and during this period headed the International Trade Administration, a global bureau of more than 2,200 trade and investment professionals. During this period, he also served as the Executive Director of the U.S. Travel and Tourism Advisory Board, sat on the board of directors of the Overseas Private Investment Corporation, was a Commissioner for the Congressional Executive Commission on China and was the Executive Director of the President’s Advisory Council on Doing Business in Africa. Prior to that, he held various senior level leadership positions at Bank of America Merrill Lynch beginning in 1999, including being the Executive Vice Chairman of Global Corporate &amp; Investment Banking from 2009 to 2014, and prior to that, he was Vice Chairman of Global Investment Banking and Global Head of Mergers &amp; Acquisitions. Mr. Selig currently serves on the board of directors of Simon Property Group, Inc., Entercom Communications Corp. and Safehold Inc. Mr. Selig received an MBA from Harvard Business School and a BA from Wesleyan University. We believe Mr. Selig is well-qualified to serve as a member of our board of directors due to his business experience serving in prominent leadership roles in both the private and public sectors as well as his business contacts.</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Richard O. Rieger </w:t>
      </w:r>
      <w:r>
        <w:rPr>
          <w:rFonts w:ascii="Arial" w:cs="Arial" w:eastAsia="Arial" w:hAnsi="Arial"/>
          <w:sz w:val="17"/>
          <w:szCs w:val="17"/>
          <w:color w:val="auto"/>
        </w:rPr>
        <w:t>has been a member of Tuscan’s board of directors since February 2019. He has also served as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Tuscan II since June 2019 and served as a director of Tuscan II from March 2019 to June 2019. Mr. Rieger has over 33 years of investment experience. Since January 2016, he has served as the President of Inkblot Capital, LLC, which is a family office. Prior to this, Mr. Rieger was a Principal, Member of the Executive Committee and Co-Chief Investment Officer of Kingdon Capital Management LLC (“Kingdon”) from 1992 to September 2014 and then served as a consultant to Kingdon until December 2015. He joined Kingdon in December 1992 as a Portfolio Manager and was named Co-Director of Domestic Equity Research in March 1995 and the Chief Investment Officer in May 2002. From January 1992 to December 1992, Mr. Rieger worked as a securities Analyst and a Portfolio Manager for Glickenhaus &amp; Co., an investment manager. Prior to this, Mr. Rieger served as an Analyst for several investment firms, including Ladenburg Thalmann &amp; Co. Inc., Allen &amp; Company and Sloate, Weisman, Murray &amp; Co. Mr. Rieger is on the Photography Committee at the Museum of Modern Art and the Investment Committee of Ethical Cultural Fieldston School. He previously served on the board of the University Settlement House in New York City and was a trustee at the Ethical Cultural Fieldston School and the Rippowam Cisqua School in Bedford NY. Mr. Rieger received a B.A. from the University of Michigan. We believe Mr. Rieger is well-qualified to serve as a member of our board of directors due to his business experience as well as business contacts and relationships.</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Amy Butte </w:t>
      </w:r>
      <w:r>
        <w:rPr>
          <w:rFonts w:ascii="Arial" w:cs="Arial" w:eastAsia="Arial" w:hAnsi="Arial"/>
          <w:sz w:val="16"/>
          <w:szCs w:val="16"/>
          <w:color w:val="auto"/>
        </w:rPr>
        <w:t>has been a member of Tuscan’s board of directors since February 2019. Ms. Butte has significant experience in leading and advising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through the IPO process. She spearheaded two public offerings as Chief Financial Officer, including the public offering of the New York Stock Exchange in 2006. She has served as a Board Member and Audit Chair for Digital Ocean Inc., a high-growth technology company, since 2018 and an Independent Director, Audit Chair and Risk Committee member for BNP Paribas USA, Inc., an entity created to ensure compliance with Dodd-Frank regulations, since 2016. She has also served as an advisor to the Long Term Stock Exchange, Inc., a Silicon Valley led start up creating a vision and marketplace for long-term investors, issuers, and leaders, and Carbon38, Inc., an online athleisure destination, each since 2015, and previously served as an advisor to other start-up companies. Previously, she was an Independent Director for the Fidelity Investments Strategic Advisors Funds (2011 to 2017), a Board Member for Accion International, a global microfinance organization (2008 to 2016) and the founder of a fintech startup, TILE Financial (2008 to 2012). From 2002 to 2008, Ms. Butte was CFO and Strategist for the Financial Services Division of Credit Suisse First Boston, Inc., CFO and Executive Vice President at Nasdaq, and CFO of Man Financial, Inc. Between 1996 and 2002, Ms. Butte was an equity research analyst at Merrill Lynch &amp; Co. and Bear Stearns &amp; Co., where she took part in multiple capital markets transactions. We believe Ms. Butte is well-qualified to serve as a member of our board of directors due to her business experience, business contacts and relationships.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p>
      <w:pPr>
        <w:jc w:val="both"/>
        <w:ind w:firstLine="648"/>
        <w:spacing w:after="0" w:line="279" w:lineRule="auto"/>
        <w:rPr>
          <w:sz w:val="20"/>
          <w:szCs w:val="20"/>
          <w:color w:val="auto"/>
        </w:rPr>
      </w:pPr>
      <w:r>
        <w:rPr>
          <w:rFonts w:ascii="Arial" w:cs="Arial" w:eastAsia="Arial" w:hAnsi="Arial"/>
          <w:sz w:val="17"/>
          <w:szCs w:val="17"/>
          <w:color w:val="auto"/>
        </w:rPr>
        <w:t>Our board of directors is divided into three classes with only one class of directors being elected in each year and each class serving a three-year term. The term of office of the first class of directors, consisting of Amy Butte, will expire at our first annual meeting of stockholders. The term of office of the second class of directors, consisting of Ruth Epstein and Richard O. Rieger, will expire at the second annual meeting. The term of office of the third class of directors, consisting of Stephen A. Vogel and Stefan M. Selig, will expire at the third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Nasdaq rules require that a majority of the board of directors of a company listed on Nasdaq must be composed of “independent directors.”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have determined that Stefan M. Selig, Amy Butte, and Richard O. Rieger are independent directors under the Nasdaq rules and Rule 10A-3 of the Exchange Act. Our independent directors have regularly scheduled meetings at which only independent directors are present.</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affiliated transactions will be on terms no less favorable to us than could be obtained from independent parties. Our board of directors will review and approve all affiliated transactions with any interested director abstaining from such review and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Effective March 5, 2019, we established an audit committee of the board of directors, in accordance with Section 3(a)(58)(A) of the Exchange Act, which consists of Stefan M. Selig, Richard O. Rieger and Amy Butte, each of whom is an independent director under Nasdaq’s listing standards. The audit committee’s duties, which are specified in our Audit Committee Charter, include, but are not limited to:</w:t>
      </w:r>
    </w:p>
    <w:p>
      <w:pPr>
        <w:spacing w:after="0" w:line="184"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225" w:lineRule="exact"/>
        <w:rPr>
          <w:rFonts w:ascii="Arial" w:cs="Arial" w:eastAsia="Arial" w:hAnsi="Arial"/>
          <w:sz w:val="18"/>
          <w:szCs w:val="18"/>
          <w:color w:val="auto"/>
        </w:rPr>
      </w:pPr>
    </w:p>
    <w:p>
      <w:pPr>
        <w:jc w:val="both"/>
        <w:ind w:left="98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Financial Experts on Audit Committee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Nasdaq’s listing standards. 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Amy Butte qualifies as an “audit committee financial expert,” as defined under rules and regulations of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March 5, 2019, we established a nominating committee of the board of directors, which consists of Stefan M. Selig, Richard O. Rieger and Amy Butte, each of whom is an independent director under Nasdaq’s listing standards. 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guidelines for selecting nominees, which are specified in the Nominating Committee Charter, generally provide that persons to be nominated:</w:t>
      </w:r>
    </w:p>
    <w:p>
      <w:pPr>
        <w:spacing w:after="0" w:line="248"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shareholders.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material changes to the procedures by which security holders may recommend nominees to our board of directors.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Effective March 5, 2019, we established a compensation committee of the board of directors, which consists of Stefan M. Selig and Richard O. Rieger, each of whom is an independent director under Nasdaq’s listing standards. The compensation committee’s duties, which are specified in our Compensation Committee Charter, include, but are not limited to:</w:t>
      </w:r>
    </w:p>
    <w:p>
      <w:pPr>
        <w:spacing w:after="0" w:line="184" w:lineRule="exact"/>
        <w:rPr>
          <w:sz w:val="20"/>
          <w:szCs w:val="20"/>
          <w:color w:val="auto"/>
        </w:rPr>
      </w:pPr>
    </w:p>
    <w:p>
      <w:pPr>
        <w:jc w:val="both"/>
        <w:ind w:left="980" w:hanging="324"/>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Effective March 5, 2019, we adopted a code of ethics that applies to all of our executive officers, directors, and employees. The code of ethics codifies the business and ethical principles that govern all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 executive officer has received any cash compensation for services rendered to us. Until consummation of an initial business combination, we will pay Vogel Partners, LLP, an affiliate of Mr. Vogel, an aggregate fee of $10,000 per month for providing us with office space and certain office and secretarial services. However, this arrangement is solely for our benefit and is not intended to provide Mr. Vogel compensation in lieu of a salary. We may also pay consulting, success or finder fees to our Sponsor, officers, directors, initial stockholders or their affiliates in connection with the consummation of our initial business combination. They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shareholders, to the extent then known, in the proxy solicitation materials furnished to our shareholders. The amount of such compensation may not be known at the time of a shareholder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Since our formation, we have not granted any stock options or stock appreciation rights or any other awards under long-term incentive plans to any of our executive officers or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by:</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 offered in the IPO or the Private Units as the warrants are not exercisable within 60 days of the date hereof.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 and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Nature of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Name and Address of Beneficial Owner </w:t>
            </w:r>
            <w:r>
              <w:rPr>
                <w:rFonts w:ascii="Arial" w:cs="Arial" w:eastAsia="Arial" w:hAnsi="Arial"/>
                <w:sz w:val="29"/>
                <w:szCs w:val="29"/>
                <w:b w:val="1"/>
                <w:bCs w:val="1"/>
                <w:color w:val="auto"/>
                <w:vertAlign w:val="superscript"/>
              </w:rPr>
              <w:t>(1)</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41"/>
        </w:trPr>
        <w:tc>
          <w:tcPr>
            <w:tcW w:w="8540" w:type="dxa"/>
            <w:vAlign w:val="bottom"/>
            <w:gridSpan w:val="2"/>
            <w:vMerge w:val="continue"/>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Ownership</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84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Officers and Directors:</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Vogel</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7,308,589(2)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Ruth Epstein</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Stefan M. Selig</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Amy Butte</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30,000(3)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O Rieger</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(six individuals)</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7,458,589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Holders: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Tuscan Holdings Acquisition LLC</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7,368,589(2)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Alpine Global Management, LLC</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2,036,308(4)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135 E. 57th St., 18th Floor, New York, NY 10022.</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securities held by Tuscan Holdings Acquisition LLC, our Sponsor, of which Mr. Vogel is sole managing member. Mr. Vogel disclaims beneficial ownership of the reported shares other than to the extent of his ultimate pecuniary interest therein.</w:t>
      </w:r>
    </w:p>
    <w:p>
      <w:pPr>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Does not include any securities held by Tuscan Holdings Acquisition LLC, of which each person is a member. Each such person disclaims beneficial ownership of the reported shares other than to the extent of his or her ultimate pecuniary interest therein.</w:t>
      </w:r>
    </w:p>
    <w:p>
      <w:pPr>
        <w:jc w:val="both"/>
        <w:ind w:left="340" w:hanging="332"/>
        <w:spacing w:after="0" w:line="25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shares held by Alpine Global Management, LLC (“Alpine Global”). Alpine Partners (BVI), L.P. (“Alpine Partners”) may be deemed to control the shares held by Alpine Global. The principal place of business of Alpine Global and Alpine Partners is 140 Broadway, 38th Floor, New York, NY 10005. Information derived from a Schedule 13G/A filed on February 24, 2021.</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of the founders’ shares outstanding prior to the IPO have been placed in escrow with Continental Stock Transfer &amp; Trust Company, as escrow agent, until (i) with respect to 50% of such shares, the earlier of one year after the date of the consummation of our initial business combination and the date on which the closing price of our common stock equals or exceeds $12.50 per share (as adjusted for share splits, share dividends, reorganizations and recapitalizations) for any 20 trading days within any 30-trading day period commencing after our initial business combination and (ii) with respect to the remaining 50% of such shares, one year after the date of the consummation of our initial business combination, or earlier if, subsequent to our initial business combination, we consummate a liquidation, merger, stock exchange or other similar transaction which results in all of our stockholders having the right to exchange their shares of common stock for cash, securities or other property.</w:t>
      </w:r>
    </w:p>
    <w:p>
      <w:pPr>
        <w:spacing w:after="0" w:line="17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for transfers, assignments or sales (i) among our initial stockholders or to our initial stockholders’ members, officers, directors, consultants or their affiliates, (ii) to a holder’s stockholders or members upon its liquidation, (iii) by bona fide gift to a member of the holder’s immediate family or to a trust, the beneficiary of which is the holder or a member of the holder’s immediate family, for estate planning purposes, (iv) by virtue of the laws of descent and distribution upon death, (v) pursuant to a qualified domestic relations order, (vi) to us for no value for cancellation in connection with the consummation of our initial business combination, or (vii) in connection with the consummation of a business combination at prices no greater than the price at which the shares were originally purchased, in each case (except for clause (vi) or with our prior consent) where the transferee agrees to the terms of the escrow agreement and to be bound by these transfer restrictions,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there will be no liquidation distribution with respect to the founders’ shares.</w:t>
      </w:r>
    </w:p>
    <w:p>
      <w:pPr>
        <w:spacing w:after="0" w:line="87" w:lineRule="exact"/>
        <w:rPr>
          <w:sz w:val="20"/>
          <w:szCs w:val="20"/>
          <w:color w:val="auto"/>
        </w:rPr>
      </w:pPr>
    </w:p>
    <w:p>
      <w:pPr>
        <w:ind w:right="2180" w:firstLine="648"/>
        <w:spacing w:after="0" w:line="406" w:lineRule="auto"/>
        <w:rPr>
          <w:sz w:val="20"/>
          <w:szCs w:val="20"/>
          <w:color w:val="auto"/>
        </w:rPr>
      </w:pPr>
      <w:r>
        <w:rPr>
          <w:rFonts w:ascii="Arial" w:cs="Arial" w:eastAsia="Arial" w:hAnsi="Arial"/>
          <w:sz w:val="18"/>
          <w:szCs w:val="18"/>
          <w:color w:val="auto"/>
        </w:rPr>
        <w:t xml:space="preserve">Our executive officers and our Sponsor are our “promoters,” as that term is defined under the federal securities laws. </w:t>
      </w:r>
      <w:r>
        <w:rPr>
          <w:rFonts w:ascii="Arial" w:cs="Arial" w:eastAsia="Arial" w:hAnsi="Arial"/>
          <w:sz w:val="18"/>
          <w:szCs w:val="18"/>
          <w:b w:val="1"/>
          <w:bCs w:val="1"/>
          <w:color w:val="auto"/>
        </w:rPr>
        <w:t>Equity Compensation Plans</w:t>
      </w:r>
    </w:p>
    <w:p>
      <w:pPr>
        <w:spacing w:after="0" w:line="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we had no compensation plans (including individual compensation arrangements) under which equity securities of the registrant were authorized for issuance.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5"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Vogel Partners, LLP, an affiliate of Mr. Vogel, has agreed that, until the earlier of the consummation of an initial business combination or Tuscan’s liquidation, it will make available to Tuscan certain general and administrative services, including office space, utilities and administrative support, as Tuscan may require from time to time. Tuscan has agreed to pay Vogel Partners, LLP $10,000 per month for these services. Tuscan believes, based on rents and fees for similar services in the New York City metropolitan area, that the fee charged by Vogel Partners, LLP is at least as favorable as it could have obtained from an unaffiliated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Loans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20, 2020, the Sponsor committed to provide us an aggregate of $500,000 in loans. The loans shall be non-interest bearing, unsecured and due upon the consummation of a business combination. In the event that a business combination does not close, the loans would be repaid only out of funds held outside the Trust Account to the extent such funds are available. Otherwise, all amounts loaned to us would be forgiven. On April 21, 2020, we issued an unsecured promissory note to the Sponsor in the aggregate amount of $300,000, of which $200,000 was drawn upon on such date. Such note is non-interest bearing and payable upon the consummation of a business combination, and convertible, at the lender’s option, into units of the post-business combination entity at a price of $10.00 per unit.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February 12, 2021, the Sponsor extended a loan to Tuscan in the aggregate principal amount totaling $1.2 million, of which $400,000 was drawn upon on such date. This loan was in addition to the previous $200,000 drawn upon the $300,000 convertible note that was committed by the Sponsor on April 21, 2020. As a result of the February 12, 2021 commitment, the Sponsor had committed to the Company a total of $1.5 million, of which a total of $600,000 has been drawn upon, with $400,000 of the drawn amount pursuant to the February 12, 2021 note. The Sponsor intends to convert the $1.5 million total loan balance into 150,000 Units immediately prior to the closing of the proposed business combination with Microvast. Such units will have terms identical to the terms of the Company’s Private Units and will consist of (i) 150,000 shares of common stock and (ii) warrants to purchase 150,000 shares of common stock at an exercise price of $11.50 per share, subject to adjustment.</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the loan commitments described above, in order to fund working capital deficiencies or finance transaction costs in connection with a business combination, the Sponsor or our officers and directors or their affiliates may, but are not obligated to, loan us funds on a non-interest basis as may be required. If we complete our initial business combination, we will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notes may be convertible into private units, at a price of $10.00 per unit. The units would be identical to the private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from Related Party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Company’s Chief Executive Officer advanced the Company an aggregate of $86,748 to be used for the payment of costs related to the Initial Public Offering. The advances were non-interest bearing, unsecured and due on demand. The advances were repaid upon the consummation of the Initial Public Offering on March 7, 2019. As of December 31, 2020, the Company has an aggregate of $22,179 in outstanding advances.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holders of the founders’ shares, as well as the holders of the Private Units and any units the Sponsor, initial stockholders, officers, directors or their affiliates may be issued in payment of working capital loans made to us (and all underlying securities), are entitled to registration rights pursuant to an agreement signed in connection with the initial public offering.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Units and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the consummation of a business combination. Tuscan will bear the expenses incurred in connection with the filing of any such registration statements. In connection with the proposed business combination with Microvast, Tuscan agreed to terminate this registration rights agreement and replace it with a Registration Rights and Lock-Up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Tuscan Support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proposed business combination and concurrently with the execution of the Merger Agreement, the Sponsor, Tuscan’s officers and directors, Tuscan and Microvast entered into the Tuscan Support Agreement, pursuant to which the Sponsor and Tuscan’s officers and directors agreed to vote all shares of common stock held by them in favor of the proposed business combination and each other proposal being submitted for the vote of Tuscan stockholders herein and abstain from exercising any conversion rights that they may have in connection with the proposed business combination. The Sponsor also agreed to pay certain of Tuscan’s transaction expenses that exceed a certain cap and to amend the Escrow Agreement to provide for forfeiture of an aggregate of 1,687,500 shares of common stock currently held by it unless certain specified trading prices are met over certain trading periods prior to the fifth anniversary of the closing of the proposed business combination.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Code of Ethics, which we adopted upon consummation of the IPO,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audit committee, pursuant to its written charter, is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fees paid or to be paid to Marcum LLP, or Marcum, for services rendered.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consist of fees billed for professional services rendered for the audit of our year-end financial statements and services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normally provided by Marcum in connection with regulatory filings. The aggregate fees billed by Marcum for professional services rendered for the audit of our annual financial statements, review of the financial information included in our Forms 10-Q for the respective periods and other required filings with the SEC for the year ended December 31, 2020 and 2019 totaled $48,765 and $88,415, respectively. The above amounts include interim procedures and audit fees, as well as attendance at audit committee meetings.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for the year ended December 31, 2020 and 2019.</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 aggregate fees billed by Marcum for tax planning and tax advice for the year ended December 31, 2020 totaled $7,725. We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pay Marcum for tax planning and tax advice for the year ended December 31,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We did not pay Marcum for other services for the year ended December 31,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229"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8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4460" w:type="dxa"/>
            <w:vAlign w:val="bottom"/>
            <w:tcBorders>
              <w:top w:val="single" w:sz="8" w:color="auto"/>
            </w:tcBorders>
            <w:gridSpan w:val="8"/>
            <w:shd w:val="clear" w:color="auto" w:fill="CCEEFF"/>
          </w:tcPr>
          <w:p>
            <w:pPr>
              <w:spacing w:after="0" w:line="176"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Report of Independent Registered Public Accounting Firm</w:t>
              </w:r>
            </w:hyperlink>
          </w:p>
        </w:tc>
        <w:tc>
          <w:tcPr>
            <w:tcW w:w="56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240" w:type="dxa"/>
            <w:vAlign w:val="bottom"/>
            <w:tcBorders>
              <w:top w:val="single" w:sz="8" w:color="CCEEFF"/>
            </w:tcBorders>
          </w:tcPr>
          <w:p>
            <w:pPr>
              <w:spacing w:after="0"/>
              <w:rPr>
                <w:sz w:val="18"/>
                <w:szCs w:val="18"/>
                <w:color w:val="auto"/>
              </w:rPr>
            </w:pPr>
          </w:p>
        </w:tc>
        <w:tc>
          <w:tcPr>
            <w:tcW w:w="56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260" w:type="dxa"/>
            <w:vAlign w:val="bottom"/>
            <w:shd w:val="clear" w:color="auto" w:fill="CCEEFF"/>
          </w:tcPr>
          <w:p>
            <w:pPr>
              <w:spacing w:after="0"/>
              <w:rPr>
                <w:sz w:val="15"/>
                <w:szCs w:val="15"/>
                <w:color w:val="auto"/>
              </w:rPr>
            </w:pPr>
          </w:p>
        </w:tc>
        <w:tc>
          <w:tcPr>
            <w:tcW w:w="4200" w:type="dxa"/>
            <w:vAlign w:val="bottom"/>
            <w:gridSpan w:val="7"/>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Balance Sheets</w:t>
              </w:r>
            </w:hyperlink>
          </w:p>
        </w:tc>
        <w:tc>
          <w:tcPr>
            <w:tcW w:w="566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8"/>
              </w:rPr>
              <w:t>F-3</w:t>
            </w: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60" w:type="dxa"/>
            <w:vAlign w:val="bottom"/>
          </w:tcPr>
          <w:p>
            <w:pPr>
              <w:spacing w:after="0"/>
              <w:rPr>
                <w:sz w:val="15"/>
                <w:szCs w:val="15"/>
                <w:color w:val="auto"/>
              </w:rPr>
            </w:pPr>
          </w:p>
        </w:tc>
        <w:tc>
          <w:tcPr>
            <w:tcW w:w="4200" w:type="dxa"/>
            <w:vAlign w:val="bottom"/>
            <w:gridSpan w:val="7"/>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Statements of Operations</w:t>
              </w:r>
            </w:hyperlink>
          </w:p>
        </w:tc>
        <w:tc>
          <w:tcPr>
            <w:tcW w:w="5660" w:type="dxa"/>
            <w:vAlign w:val="bottom"/>
          </w:tcPr>
          <w:p>
            <w:pPr>
              <w:spacing w:after="0"/>
              <w:rPr>
                <w:sz w:val="15"/>
                <w:szCs w:val="15"/>
                <w:color w:val="auto"/>
              </w:rPr>
            </w:pPr>
          </w:p>
        </w:tc>
        <w:tc>
          <w:tcPr>
            <w:tcW w:w="112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8"/>
              </w:rPr>
              <w:t>F-4</w:t>
            </w:r>
          </w:p>
        </w:tc>
      </w:tr>
      <w:tr>
        <w:trPr>
          <w:trHeight w:val="20"/>
        </w:trPr>
        <w:tc>
          <w:tcPr>
            <w:tcW w:w="26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Statements of Changes in Stockholders’ Equity</w:t>
              </w:r>
            </w:hyperlink>
          </w:p>
        </w:tc>
        <w:tc>
          <w:tcPr>
            <w:tcW w:w="800" w:type="dxa"/>
            <w:vAlign w:val="bottom"/>
            <w:tcBorders>
              <w:bottom w:val="single" w:sz="8" w:color="CCEEFF"/>
            </w:tcBorders>
            <w:gridSpan w:val="2"/>
            <w:shd w:val="clear" w:color="auto" w:fill="CCEEFF"/>
          </w:tcPr>
          <w:p>
            <w:pPr>
              <w:spacing w:after="0"/>
              <w:rPr>
                <w:sz w:val="17"/>
                <w:szCs w:val="17"/>
                <w:color w:val="auto"/>
              </w:rPr>
            </w:pPr>
          </w:p>
        </w:tc>
        <w:tc>
          <w:tcPr>
            <w:tcW w:w="56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8"/>
              </w:rPr>
              <w:t>F-5</w:t>
            </w:r>
          </w:p>
        </w:tc>
      </w:tr>
      <w:tr>
        <w:trPr>
          <w:trHeight w:val="175"/>
        </w:trPr>
        <w:tc>
          <w:tcPr>
            <w:tcW w:w="260" w:type="dxa"/>
            <w:vAlign w:val="bottom"/>
          </w:tcPr>
          <w:p>
            <w:pPr>
              <w:spacing w:after="0"/>
              <w:rPr>
                <w:sz w:val="15"/>
                <w:szCs w:val="15"/>
                <w:color w:val="auto"/>
              </w:rPr>
            </w:pPr>
          </w:p>
        </w:tc>
        <w:tc>
          <w:tcPr>
            <w:tcW w:w="4200" w:type="dxa"/>
            <w:vAlign w:val="bottom"/>
            <w:gridSpan w:val="7"/>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Statements of Cash Flows</w:t>
              </w:r>
            </w:hyperlink>
          </w:p>
        </w:tc>
        <w:tc>
          <w:tcPr>
            <w:tcW w:w="5660" w:type="dxa"/>
            <w:vAlign w:val="bottom"/>
          </w:tcPr>
          <w:p>
            <w:pPr>
              <w:spacing w:after="0"/>
              <w:rPr>
                <w:sz w:val="15"/>
                <w:szCs w:val="15"/>
                <w:color w:val="auto"/>
              </w:rPr>
            </w:pPr>
          </w:p>
        </w:tc>
        <w:tc>
          <w:tcPr>
            <w:tcW w:w="112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8"/>
              </w:rPr>
              <w:t>F-6</w:t>
            </w:r>
          </w:p>
        </w:tc>
      </w:tr>
      <w:tr>
        <w:trPr>
          <w:trHeight w:val="20"/>
        </w:trPr>
        <w:tc>
          <w:tcPr>
            <w:tcW w:w="26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260" w:type="dxa"/>
            <w:vAlign w:val="bottom"/>
            <w:shd w:val="clear" w:color="auto" w:fill="CCEEFF"/>
          </w:tcPr>
          <w:p>
            <w:pPr>
              <w:spacing w:after="0"/>
              <w:rPr>
                <w:sz w:val="15"/>
                <w:szCs w:val="15"/>
                <w:color w:val="auto"/>
              </w:rPr>
            </w:pPr>
          </w:p>
        </w:tc>
        <w:tc>
          <w:tcPr>
            <w:tcW w:w="4200" w:type="dxa"/>
            <w:vAlign w:val="bottom"/>
            <w:gridSpan w:val="7"/>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Notes to Financial Statements</w:t>
              </w:r>
            </w:hyperlink>
          </w:p>
        </w:tc>
        <w:tc>
          <w:tcPr>
            <w:tcW w:w="566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2"/>
              </w:rPr>
              <w:t>F-7 to F-17</w:t>
            </w: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(b) The following Exhibits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12"/>
          </w:tcPr>
          <w:p>
            <w:pPr>
              <w:ind w:left="8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Included</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175"/>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5"/>
                <w:szCs w:val="15"/>
                <w:color w:val="auto"/>
              </w:rPr>
            </w:pPr>
          </w:p>
        </w:tc>
        <w:tc>
          <w:tcPr>
            <w:tcW w:w="4860" w:type="dxa"/>
            <w:vAlign w:val="bottom"/>
            <w:tcBorders>
              <w:top w:val="single" w:sz="8" w:color="auto"/>
            </w:tcBorders>
            <w:gridSpan w:val="36"/>
            <w:shd w:val="clear" w:color="auto" w:fill="CCEEFF"/>
          </w:tcPr>
          <w:p>
            <w:pPr>
              <w:spacing w:after="0" w:line="176" w:lineRule="exact"/>
              <w:rPr>
                <w:rFonts w:ascii="Arial" w:cs="Arial" w:eastAsia="Arial" w:hAnsi="Arial"/>
                <w:sz w:val="18"/>
                <w:szCs w:val="18"/>
                <w:color w:val="0000EE"/>
                <w:w w:val="98"/>
              </w:rPr>
            </w:pPr>
            <w:hyperlink r:id="rId61">
              <w:r>
                <w:rPr>
                  <w:rFonts w:ascii="Arial" w:cs="Arial" w:eastAsia="Arial" w:hAnsi="Arial"/>
                  <w:sz w:val="18"/>
                  <w:szCs w:val="18"/>
                  <w:color w:val="0000EE"/>
                  <w:w w:val="98"/>
                </w:rPr>
                <w:t>Business Combination Marketing Agreement between Tuscan</w:t>
              </w:r>
            </w:hyperlink>
          </w:p>
        </w:tc>
        <w:tc>
          <w:tcPr>
            <w:tcW w:w="8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By Reference</w:t>
            </w: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5, 2019</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0000EE"/>
            </w:tcBorders>
            <w:gridSpan w:val="23"/>
            <w:shd w:val="clear" w:color="auto" w:fill="CCEEFF"/>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Holdings Corp. and EarlyBirdCapital, Inc.</w:t>
              </w:r>
            </w:hyperlink>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4180" w:type="dxa"/>
            <w:vAlign w:val="bottom"/>
            <w:gridSpan w:val="30"/>
          </w:tcPr>
          <w:p>
            <w:pPr>
              <w:spacing w:after="0" w:line="176" w:lineRule="exact"/>
              <w:rPr>
                <w:rFonts w:ascii="Arial" w:cs="Arial" w:eastAsia="Arial" w:hAnsi="Arial"/>
                <w:sz w:val="18"/>
                <w:szCs w:val="18"/>
                <w:color w:val="0000EE"/>
              </w:rPr>
            </w:pPr>
            <w:hyperlink r:id="rId62">
              <w:r>
                <w:rPr>
                  <w:rFonts w:ascii="Arial" w:cs="Arial" w:eastAsia="Arial" w:hAnsi="Arial"/>
                  <w:sz w:val="18"/>
                  <w:szCs w:val="18"/>
                  <w:color w:val="0000EE"/>
                </w:rPr>
                <w:t>Amended and Restated Certificate of Incorporation</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5, 2019</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5"/>
                <w:szCs w:val="15"/>
                <w:color w:val="auto"/>
              </w:rPr>
            </w:pPr>
          </w:p>
        </w:tc>
        <w:tc>
          <w:tcPr>
            <w:tcW w:w="4940" w:type="dxa"/>
            <w:vAlign w:val="bottom"/>
            <w:gridSpan w:val="37"/>
            <w:shd w:val="clear" w:color="auto" w:fill="CCEEFF"/>
          </w:tcPr>
          <w:p>
            <w:pPr>
              <w:spacing w:after="0" w:line="176" w:lineRule="exact"/>
              <w:rPr>
                <w:rFonts w:ascii="Arial" w:cs="Arial" w:eastAsia="Arial" w:hAnsi="Arial"/>
                <w:sz w:val="18"/>
                <w:szCs w:val="18"/>
                <w:color w:val="0000EE"/>
              </w:rPr>
            </w:pPr>
            <w:hyperlink r:id="rId63">
              <w:r>
                <w:rPr>
                  <w:rFonts w:ascii="Arial" w:cs="Arial" w:eastAsia="Arial" w:hAnsi="Arial"/>
                  <w:sz w:val="18"/>
                  <w:szCs w:val="18"/>
                  <w:color w:val="0000EE"/>
                </w:rPr>
                <w:t>Amendment  to  the  Amended  and  Restated  Certificate  of</w:t>
              </w:r>
            </w:hyperlink>
          </w:p>
        </w:tc>
        <w:tc>
          <w:tcPr>
            <w:tcW w:w="18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December 3, 2020</w:t>
            </w:r>
          </w:p>
        </w:tc>
      </w:tr>
      <w:tr>
        <w:trPr>
          <w:trHeight w:val="216"/>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Incorporation</w:t>
              </w:r>
            </w:hyperlink>
          </w:p>
        </w:tc>
        <w:tc>
          <w:tcPr>
            <w:tcW w:w="16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38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1140" w:type="dxa"/>
            <w:vAlign w:val="bottom"/>
            <w:gridSpan w:val="7"/>
          </w:tcPr>
          <w:p>
            <w:pPr>
              <w:spacing w:after="0" w:line="176" w:lineRule="exact"/>
              <w:rPr>
                <w:rFonts w:ascii="Arial" w:cs="Arial" w:eastAsia="Arial" w:hAnsi="Arial"/>
                <w:sz w:val="18"/>
                <w:szCs w:val="18"/>
                <w:color w:val="0000EE"/>
              </w:rPr>
            </w:pPr>
            <w:hyperlink r:id="rId64">
              <w:r>
                <w:rPr>
                  <w:rFonts w:ascii="Arial" w:cs="Arial" w:eastAsia="Arial" w:hAnsi="Arial"/>
                  <w:sz w:val="18"/>
                  <w:szCs w:val="18"/>
                  <w:color w:val="0000EE"/>
                </w:rPr>
                <w:t>Bylaws</w:t>
              </w:r>
            </w:hyperlink>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7"/>
              </w:rPr>
              <w:t>S-1/A</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9"/>
              </w:rPr>
              <w:t>February 26, 2019</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Specimen Unit Certificate</w:t>
              </w:r>
            </w:hyperlink>
          </w:p>
        </w:tc>
        <w:tc>
          <w:tcPr>
            <w:tcW w:w="320" w:type="dxa"/>
            <w:vAlign w:val="bottom"/>
            <w:tcBorders>
              <w:bottom w:val="single" w:sz="8" w:color="CCEEFF"/>
            </w:tcBorders>
            <w:gridSpan w:val="3"/>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7"/>
              </w:rPr>
              <w:t>S-1/A</w:t>
            </w: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February 26, 2019</w:t>
            </w: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2740" w:type="dxa"/>
            <w:vAlign w:val="bottom"/>
            <w:gridSpan w:val="19"/>
          </w:tcPr>
          <w:p>
            <w:pPr>
              <w:spacing w:after="0" w:line="17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Specimen Common Stock Certificate</w:t>
              </w:r>
            </w:hyperlink>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7"/>
              </w:rPr>
              <w:t>S-1/A</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9"/>
              </w:rPr>
              <w:t>February 26, 2019</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5"/>
                <w:szCs w:val="15"/>
                <w:color w:val="auto"/>
              </w:rPr>
            </w:pPr>
          </w:p>
        </w:tc>
        <w:tc>
          <w:tcPr>
            <w:tcW w:w="2200" w:type="dxa"/>
            <w:vAlign w:val="bottom"/>
            <w:gridSpan w:val="14"/>
            <w:shd w:val="clear" w:color="auto" w:fill="CCEEFF"/>
          </w:tcPr>
          <w:p>
            <w:pPr>
              <w:spacing w:after="0" w:line="17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Specimen Warrant Certificate</w:t>
              </w:r>
            </w:hyperlink>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7"/>
              </w:rPr>
              <w:t>S-1/A</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February 26, 2019</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4940" w:type="dxa"/>
            <w:vAlign w:val="bottom"/>
            <w:gridSpan w:val="37"/>
          </w:tcPr>
          <w:p>
            <w:pPr>
              <w:spacing w:after="0" w:line="176" w:lineRule="exact"/>
              <w:rPr>
                <w:rFonts w:ascii="Arial" w:cs="Arial" w:eastAsia="Arial" w:hAnsi="Arial"/>
                <w:sz w:val="18"/>
                <w:szCs w:val="18"/>
                <w:color w:val="0000EE"/>
                <w:w w:val="96"/>
              </w:rPr>
            </w:pPr>
            <w:hyperlink r:id="rId68">
              <w:r>
                <w:rPr>
                  <w:rFonts w:ascii="Arial" w:cs="Arial" w:eastAsia="Arial" w:hAnsi="Arial"/>
                  <w:sz w:val="18"/>
                  <w:szCs w:val="18"/>
                  <w:color w:val="0000EE"/>
                  <w:w w:val="96"/>
                </w:rPr>
                <w:t>Warrant Agreement between Continental Stock Transfer &amp; Trust</w:t>
              </w:r>
            </w:hyperlink>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5, 2019</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top w:val="single" w:sz="8" w:color="0000EE"/>
            </w:tcBorders>
            <w:gridSpan w:val="19"/>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Company and Tuscan Holdings Corp.</w:t>
              </w:r>
            </w:hyperlink>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5"/>
                <w:szCs w:val="15"/>
                <w:color w:val="auto"/>
              </w:rPr>
            </w:pPr>
          </w:p>
        </w:tc>
        <w:tc>
          <w:tcPr>
            <w:tcW w:w="2200" w:type="dxa"/>
            <w:vAlign w:val="bottom"/>
            <w:gridSpan w:val="14"/>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Description of Securities</w:t>
              </w:r>
            </w:hyperlink>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2"/>
              </w:rPr>
              <w:t>Herewith</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4940" w:type="dxa"/>
            <w:vAlign w:val="bottom"/>
            <w:gridSpan w:val="37"/>
          </w:tcPr>
          <w:p>
            <w:pPr>
              <w:spacing w:after="0" w:line="176" w:lineRule="exact"/>
              <w:rPr>
                <w:rFonts w:ascii="Arial" w:cs="Arial" w:eastAsia="Arial" w:hAnsi="Arial"/>
                <w:sz w:val="18"/>
                <w:szCs w:val="18"/>
                <w:color w:val="0000EE"/>
                <w:w w:val="98"/>
              </w:rPr>
            </w:pPr>
            <w:hyperlink r:id="rId69">
              <w:r>
                <w:rPr>
                  <w:rFonts w:ascii="Arial" w:cs="Arial" w:eastAsia="Arial" w:hAnsi="Arial"/>
                  <w:sz w:val="18"/>
                  <w:szCs w:val="18"/>
                  <w:color w:val="0000EE"/>
                  <w:w w:val="98"/>
                </w:rPr>
                <w:t>Form of Letter Agreement from each of the initial stockholders,</w:t>
              </w:r>
            </w:hyperlink>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7"/>
              </w:rPr>
              <w:t>S-1/A</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9"/>
              </w:rPr>
              <w:t>February 26, 2019</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Borders>
              <w:top w:val="single" w:sz="8" w:color="0000EE"/>
            </w:tcBorders>
            <w:gridSpan w:val="23"/>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officers, and directors of Tuscan Holdings Corp.</w:t>
              </w:r>
            </w:hyperlink>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4840" w:type="dxa"/>
            <w:vAlign w:val="bottom"/>
            <w:tcBorders>
              <w:bottom w:val="single" w:sz="8" w:color="0000EE"/>
            </w:tcBorders>
            <w:gridSpan w:val="35"/>
            <w:shd w:val="clear" w:color="auto" w:fill="CCEEFF"/>
          </w:tcPr>
          <w:p>
            <w:pPr>
              <w:spacing w:after="0" w:line="176" w:lineRule="exact"/>
              <w:rPr>
                <w:rFonts w:ascii="Arial" w:cs="Arial" w:eastAsia="Arial" w:hAnsi="Arial"/>
                <w:sz w:val="18"/>
                <w:szCs w:val="18"/>
                <w:color w:val="0000EE"/>
                <w:w w:val="95"/>
              </w:rPr>
            </w:pPr>
            <w:hyperlink r:id="rId70">
              <w:r>
                <w:rPr>
                  <w:rFonts w:ascii="Arial" w:cs="Arial" w:eastAsia="Arial" w:hAnsi="Arial"/>
                  <w:sz w:val="18"/>
                  <w:szCs w:val="18"/>
                  <w:color w:val="0000EE"/>
                  <w:w w:val="95"/>
                </w:rPr>
                <w:t>Investment Management Trust Agreement between Continental</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5, 2019</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40" w:type="dxa"/>
            <w:vAlign w:val="bottom"/>
            <w:gridSpan w:val="37"/>
            <w:shd w:val="clear" w:color="auto" w:fill="CCEEFF"/>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Stock Transfer &amp; Trust Company and Tuscan Holdings Corp.</w:t>
              </w:r>
            </w:hyperlink>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Borders>
              <w:top w:val="single" w:sz="8" w:color="CCEEFF"/>
            </w:tcBorders>
          </w:tcPr>
          <w:p>
            <w:pPr>
              <w:spacing w:after="0"/>
              <w:rPr>
                <w:sz w:val="15"/>
                <w:szCs w:val="15"/>
                <w:color w:val="auto"/>
              </w:rPr>
            </w:pPr>
          </w:p>
        </w:tc>
        <w:tc>
          <w:tcPr>
            <w:tcW w:w="274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Registration Rights Agreement.</w:t>
              </w:r>
            </w:hyperlink>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0" w:type="dxa"/>
            <w:vAlign w:val="bottom"/>
            <w:tcBorders>
              <w:top w:val="single" w:sz="8" w:color="CCEEFF"/>
            </w:tcBorders>
            <w:gridSpan w:val="2"/>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tcBorders>
              <w:top w:val="single" w:sz="8" w:color="CCEEFF"/>
            </w:tcBorders>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2"/>
              </w:rPr>
              <w:t>March 5, 2019</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4940" w:type="dxa"/>
            <w:vAlign w:val="bottom"/>
            <w:gridSpan w:val="37"/>
            <w:shd w:val="clear" w:color="auto" w:fill="CCEEFF"/>
          </w:tcPr>
          <w:p>
            <w:pPr>
              <w:spacing w:after="0" w:line="176" w:lineRule="exact"/>
              <w:rPr>
                <w:rFonts w:ascii="Arial" w:cs="Arial" w:eastAsia="Arial" w:hAnsi="Arial"/>
                <w:sz w:val="18"/>
                <w:szCs w:val="18"/>
                <w:color w:val="0000EE"/>
                <w:w w:val="99"/>
              </w:rPr>
            </w:pPr>
            <w:hyperlink r:id="rId72">
              <w:r>
                <w:rPr>
                  <w:rFonts w:ascii="Arial" w:cs="Arial" w:eastAsia="Arial" w:hAnsi="Arial"/>
                  <w:sz w:val="18"/>
                  <w:szCs w:val="18"/>
                  <w:color w:val="0000EE"/>
                  <w:w w:val="99"/>
                </w:rPr>
                <w:t>Subscription  Agreement  for  Private  Units  between  Tuscan</w:t>
              </w:r>
            </w:hyperlink>
          </w:p>
        </w:tc>
        <w:tc>
          <w:tcPr>
            <w:tcW w:w="18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7"/>
              </w:rPr>
              <w:t>S-1/A</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February 26, 2019</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180" w:type="dxa"/>
            <w:vAlign w:val="bottom"/>
            <w:tcBorders>
              <w:top w:val="single" w:sz="8" w:color="0000EE"/>
            </w:tcBorders>
            <w:gridSpan w:val="30"/>
            <w:shd w:val="clear" w:color="auto" w:fill="CCEEFF"/>
          </w:tcPr>
          <w:p>
            <w:pPr>
              <w:spacing w:after="0" w:line="196" w:lineRule="exact"/>
              <w:rPr>
                <w:rFonts w:ascii="Arial" w:cs="Arial" w:eastAsia="Arial" w:hAnsi="Arial"/>
                <w:sz w:val="18"/>
                <w:szCs w:val="18"/>
                <w:color w:val="0000EE"/>
                <w:w w:val="98"/>
              </w:rPr>
            </w:pPr>
            <w:hyperlink r:id="rId72">
              <w:r>
                <w:rPr>
                  <w:rFonts w:ascii="Arial" w:cs="Arial" w:eastAsia="Arial" w:hAnsi="Arial"/>
                  <w:sz w:val="18"/>
                  <w:szCs w:val="18"/>
                  <w:color w:val="0000EE"/>
                  <w:w w:val="98"/>
                </w:rPr>
                <w:t>Holdings Acquisition LLC and Tuscan Holdings Corp.</w:t>
              </w:r>
            </w:hyperlink>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1140" w:type="dxa"/>
            <w:vAlign w:val="bottom"/>
            <w:gridSpan w:val="7"/>
          </w:tcPr>
          <w:p>
            <w:pPr>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Subscription</w:t>
              </w:r>
            </w:hyperlink>
          </w:p>
        </w:tc>
        <w:tc>
          <w:tcPr>
            <w:tcW w:w="1060" w:type="dxa"/>
            <w:vAlign w:val="bottom"/>
            <w:gridSpan w:val="7"/>
          </w:tcPr>
          <w:p>
            <w:pPr>
              <w:ind w:left="40"/>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Agreement</w:t>
              </w:r>
            </w:hyperlink>
          </w:p>
        </w:tc>
        <w:tc>
          <w:tcPr>
            <w:tcW w:w="540" w:type="dxa"/>
            <w:vAlign w:val="bottom"/>
            <w:gridSpan w:val="5"/>
          </w:tcPr>
          <w:p>
            <w:pPr>
              <w:ind w:left="60"/>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for</w:t>
              </w:r>
            </w:hyperlink>
          </w:p>
        </w:tc>
        <w:tc>
          <w:tcPr>
            <w:tcW w:w="780" w:type="dxa"/>
            <w:vAlign w:val="bottom"/>
            <w:gridSpan w:val="4"/>
          </w:tcPr>
          <w:p>
            <w:pPr>
              <w:ind w:left="20"/>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Private</w:t>
              </w:r>
            </w:hyperlink>
          </w:p>
        </w:tc>
        <w:tc>
          <w:tcPr>
            <w:tcW w:w="660" w:type="dxa"/>
            <w:vAlign w:val="bottom"/>
            <w:gridSpan w:val="7"/>
          </w:tcPr>
          <w:p>
            <w:pPr>
              <w:ind w:left="40"/>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Units</w:t>
              </w:r>
            </w:hyperlink>
          </w:p>
        </w:tc>
        <w:tc>
          <w:tcPr>
            <w:tcW w:w="760" w:type="dxa"/>
            <w:vAlign w:val="bottom"/>
            <w:gridSpan w:val="7"/>
          </w:tcPr>
          <w:p>
            <w:pPr>
              <w:ind w:left="40"/>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between</w:t>
              </w:r>
            </w:hyperlink>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7"/>
              </w:rPr>
              <w:t>S-1/A</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9"/>
              </w:rPr>
              <w:t>February 26, 2019</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EarlyBirdCapital, Inc. and Tuscan Holdings Corp.</w:t>
              </w:r>
            </w:hyperlink>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r:id="rId74">
              <w:r>
                <w:rPr>
                  <w:rFonts w:ascii="Arial" w:cs="Arial" w:eastAsia="Arial" w:hAnsi="Arial"/>
                  <w:sz w:val="18"/>
                  <w:szCs w:val="18"/>
                  <w:color w:val="0000EE"/>
                  <w:w w:val="89"/>
                </w:rPr>
                <w:t>Stock Escrow Agreement.</w:t>
              </w:r>
            </w:hyperlink>
          </w:p>
        </w:tc>
        <w:tc>
          <w:tcPr>
            <w:tcW w:w="320" w:type="dxa"/>
            <w:vAlign w:val="bottom"/>
            <w:tcBorders>
              <w:bottom w:val="single" w:sz="8" w:color="CCEEFF"/>
            </w:tcBorders>
            <w:gridSpan w:val="3"/>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5, 2019</w:t>
            </w: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4180" w:type="dxa"/>
            <w:vAlign w:val="bottom"/>
            <w:gridSpan w:val="30"/>
          </w:tcPr>
          <w:p>
            <w:pPr>
              <w:spacing w:after="0" w:line="176"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Sponsor Commitment Letter, dated as of April 20, 2020.</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5"/>
              </w:rPr>
              <w:t>April 20, 2020</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Convertible Promissory Note, dated as of April 21, 2020.</w:t>
              </w:r>
            </w:hyperlink>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April 20, 2020</w:t>
            </w: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5"/>
                <w:szCs w:val="15"/>
                <w:color w:val="auto"/>
              </w:rPr>
            </w:pPr>
          </w:p>
        </w:tc>
        <w:tc>
          <w:tcPr>
            <w:tcW w:w="4940" w:type="dxa"/>
            <w:vAlign w:val="bottom"/>
            <w:gridSpan w:val="37"/>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Convertible Promissory Note, dated as of February 12, 2021</w:t>
              </w:r>
            </w:hyperlink>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Herewith</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4820" w:type="dxa"/>
            <w:vAlign w:val="bottom"/>
            <w:tcBorders>
              <w:bottom w:val="single" w:sz="8" w:color="0000EE"/>
            </w:tcBorders>
            <w:gridSpan w:val="34"/>
            <w:shd w:val="clear" w:color="auto" w:fill="CCEEFF"/>
          </w:tcPr>
          <w:p>
            <w:pPr>
              <w:spacing w:after="0" w:line="17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Agreement and Plan of Merger, dated as of February 1, 2021, by</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February 1, 2021</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40" w:type="dxa"/>
            <w:vAlign w:val="bottom"/>
            <w:gridSpan w:val="37"/>
            <w:shd w:val="clear" w:color="auto" w:fill="CCEEFF"/>
          </w:tcPr>
          <w:p>
            <w:pPr>
              <w:spacing w:after="0" w:line="196" w:lineRule="exact"/>
              <w:rPr>
                <w:rFonts w:ascii="Arial" w:cs="Arial" w:eastAsia="Arial" w:hAnsi="Arial"/>
                <w:sz w:val="18"/>
                <w:szCs w:val="18"/>
                <w:color w:val="0000EE"/>
                <w:w w:val="96"/>
              </w:rPr>
            </w:pPr>
            <w:hyperlink r:id="rId77">
              <w:r>
                <w:rPr>
                  <w:rFonts w:ascii="Arial" w:cs="Arial" w:eastAsia="Arial" w:hAnsi="Arial"/>
                  <w:sz w:val="18"/>
                  <w:szCs w:val="18"/>
                  <w:color w:val="0000EE"/>
                  <w:w w:val="96"/>
                </w:rPr>
                <w:t>and among Tuscan Holdings Corp., TSCN Merger Sub Inc., and</w:t>
              </w:r>
            </w:hyperlink>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w w:val="96"/>
              </w:rPr>
            </w:pPr>
            <w:hyperlink r:id="rId77">
              <w:r>
                <w:rPr>
                  <w:rFonts w:ascii="Arial" w:cs="Arial" w:eastAsia="Arial" w:hAnsi="Arial"/>
                  <w:sz w:val="18"/>
                  <w:szCs w:val="18"/>
                  <w:color w:val="0000EE"/>
                  <w:w w:val="96"/>
                </w:rPr>
                <w:t>Microvast, Inc.</w:t>
              </w:r>
            </w:hyperlink>
          </w:p>
        </w:tc>
        <w:tc>
          <w:tcPr>
            <w:tcW w:w="2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5"/>
                <w:szCs w:val="15"/>
                <w:color w:val="auto"/>
              </w:rPr>
            </w:pPr>
          </w:p>
        </w:tc>
        <w:tc>
          <w:tcPr>
            <w:tcW w:w="4940" w:type="dxa"/>
            <w:vAlign w:val="bottom"/>
            <w:gridSpan w:val="37"/>
          </w:tcPr>
          <w:p>
            <w:pPr>
              <w:spacing w:after="0" w:line="176" w:lineRule="exact"/>
              <w:rPr>
                <w:rFonts w:ascii="Arial" w:cs="Arial" w:eastAsia="Arial" w:hAnsi="Arial"/>
                <w:sz w:val="18"/>
                <w:szCs w:val="18"/>
                <w:color w:val="0000EE"/>
              </w:rPr>
            </w:pPr>
            <w:hyperlink r:id="rId78">
              <w:r>
                <w:rPr>
                  <w:rFonts w:ascii="Arial" w:cs="Arial" w:eastAsia="Arial" w:hAnsi="Arial"/>
                  <w:sz w:val="18"/>
                  <w:szCs w:val="18"/>
                  <w:color w:val="0000EE"/>
                </w:rPr>
                <w:t>Framework Agreement, dated as of February 1, 2021, by and</w:t>
              </w:r>
            </w:hyperlink>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0"/>
              </w:rPr>
              <w:t>February 1, 2021</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4"/>
              </w:rPr>
            </w:pPr>
            <w:hyperlink r:id="rId78">
              <w:r>
                <w:rPr>
                  <w:rFonts w:ascii="Arial" w:cs="Arial" w:eastAsia="Arial" w:hAnsi="Arial"/>
                  <w:sz w:val="18"/>
                  <w:szCs w:val="18"/>
                  <w:color w:val="0000EE"/>
                  <w:w w:val="94"/>
                </w:rPr>
                <w:t>among Tuscan Holdings Corp., Microvast, Inc., MVST SPV Inc.,</w:t>
              </w:r>
            </w:hyperlink>
          </w:p>
        </w:tc>
        <w:tc>
          <w:tcPr>
            <w:tcW w:w="120" w:type="dxa"/>
            <w:vAlign w:val="bottom"/>
            <w:gridSpan w:val="3"/>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gridSpan w:val="37"/>
          </w:tcPr>
          <w:p>
            <w:pPr>
              <w:spacing w:after="0" w:line="196"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Microvast Power System (Huzhou) Co., Ltd., and the other parties</w:t>
              </w:r>
            </w:hyperlink>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thereto</w:t>
              </w:r>
            </w:hyperlink>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5"/>
                <w:szCs w:val="15"/>
                <w:color w:val="auto"/>
              </w:rPr>
            </w:pPr>
          </w:p>
        </w:tc>
        <w:tc>
          <w:tcPr>
            <w:tcW w:w="4940" w:type="dxa"/>
            <w:vAlign w:val="bottom"/>
            <w:gridSpan w:val="37"/>
            <w:shd w:val="clear" w:color="auto" w:fill="CCEEFF"/>
          </w:tcPr>
          <w:p>
            <w:pPr>
              <w:spacing w:after="0" w:line="176" w:lineRule="exact"/>
              <w:rPr>
                <w:rFonts w:ascii="Arial" w:cs="Arial" w:eastAsia="Arial" w:hAnsi="Arial"/>
                <w:sz w:val="18"/>
                <w:szCs w:val="18"/>
                <w:color w:val="0000EE"/>
                <w:w w:val="95"/>
              </w:rPr>
            </w:pPr>
            <w:hyperlink r:id="rId79">
              <w:r>
                <w:rPr>
                  <w:rFonts w:ascii="Arial" w:cs="Arial" w:eastAsia="Arial" w:hAnsi="Arial"/>
                  <w:sz w:val="18"/>
                  <w:szCs w:val="18"/>
                  <w:color w:val="0000EE"/>
                  <w:w w:val="95"/>
                </w:rPr>
                <w:t>Microvast Stockholder Support Agreement, dated as of February</w:t>
              </w:r>
            </w:hyperlink>
          </w:p>
        </w:tc>
        <w:tc>
          <w:tcPr>
            <w:tcW w:w="18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February 1, 2021</w:t>
            </w:r>
          </w:p>
        </w:tc>
      </w:tr>
      <w:tr>
        <w:trPr>
          <w:trHeight w:val="196"/>
        </w:trPr>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820" w:type="dxa"/>
            <w:vAlign w:val="bottom"/>
            <w:tcBorders>
              <w:top w:val="single" w:sz="8" w:color="0000EE"/>
              <w:bottom w:val="single" w:sz="8" w:color="0000EE"/>
            </w:tcBorders>
            <w:gridSpan w:val="34"/>
            <w:shd w:val="clear" w:color="auto" w:fill="CCEEFF"/>
          </w:tcPr>
          <w:p>
            <w:pPr>
              <w:spacing w:after="0" w:line="196" w:lineRule="exact"/>
              <w:rPr>
                <w:rFonts w:ascii="Arial" w:cs="Arial" w:eastAsia="Arial" w:hAnsi="Arial"/>
                <w:sz w:val="18"/>
                <w:szCs w:val="18"/>
                <w:color w:val="0000EE"/>
                <w:w w:val="95"/>
              </w:rPr>
            </w:pPr>
            <w:hyperlink r:id="rId79">
              <w:r>
                <w:rPr>
                  <w:rFonts w:ascii="Arial" w:cs="Arial" w:eastAsia="Arial" w:hAnsi="Arial"/>
                  <w:sz w:val="18"/>
                  <w:szCs w:val="18"/>
                  <w:color w:val="0000EE"/>
                  <w:w w:val="95"/>
                </w:rPr>
                <w:t>1, 2021, by and among Tuscan Holdings Corp., Microvast, Inc.,</w:t>
              </w:r>
            </w:hyperlink>
          </w:p>
        </w:tc>
        <w:tc>
          <w:tcPr>
            <w:tcW w:w="12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and certain stockholders of Microvast, Inc.</w:t>
              </w:r>
            </w:hyperlink>
          </w:p>
        </w:tc>
        <w:tc>
          <w:tcPr>
            <w:tcW w:w="44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5"/>
                <w:szCs w:val="15"/>
                <w:color w:val="auto"/>
              </w:rPr>
            </w:pPr>
          </w:p>
        </w:tc>
        <w:tc>
          <w:tcPr>
            <w:tcW w:w="4940" w:type="dxa"/>
            <w:vAlign w:val="bottom"/>
            <w:gridSpan w:val="37"/>
          </w:tcPr>
          <w:p>
            <w:pPr>
              <w:spacing w:after="0" w:line="17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Sponsor Support Agreement, dated as of February 1, 2021, by and</w:t>
              </w:r>
            </w:hyperlink>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0"/>
              </w:rPr>
              <w:t>February 1, 2021</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720" w:type="dxa"/>
            <w:vAlign w:val="bottom"/>
            <w:gridSpan w:val="1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gridSpan w:val="37"/>
          </w:tcPr>
          <w:p>
            <w:pPr>
              <w:spacing w:after="0" w:line="196" w:lineRule="exact"/>
              <w:rPr>
                <w:rFonts w:ascii="Arial" w:cs="Arial" w:eastAsia="Arial" w:hAnsi="Arial"/>
                <w:sz w:val="18"/>
                <w:szCs w:val="18"/>
                <w:color w:val="0000EE"/>
                <w:w w:val="95"/>
              </w:rPr>
            </w:pPr>
            <w:hyperlink r:id="rId80">
              <w:r>
                <w:rPr>
                  <w:rFonts w:ascii="Arial" w:cs="Arial" w:eastAsia="Arial" w:hAnsi="Arial"/>
                  <w:sz w:val="18"/>
                  <w:szCs w:val="18"/>
                  <w:color w:val="0000EE"/>
                  <w:w w:val="95"/>
                </w:rPr>
                <w:t>among Tuscan Holdings Corp., Microvast, Inc., Tuscan Holdings</w:t>
              </w:r>
            </w:hyperlink>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6"/>
              </w:rPr>
            </w:pPr>
            <w:hyperlink r:id="rId80">
              <w:r>
                <w:rPr>
                  <w:rFonts w:ascii="Arial" w:cs="Arial" w:eastAsia="Arial" w:hAnsi="Arial"/>
                  <w:sz w:val="18"/>
                  <w:szCs w:val="18"/>
                  <w:color w:val="0000EE"/>
                  <w:w w:val="96"/>
                </w:rPr>
                <w:t>Acquisition  LLC,  and  certain  other  stockholders  of  Tuscan</w:t>
              </w:r>
            </w:hyperlink>
          </w:p>
        </w:tc>
        <w:tc>
          <w:tcPr>
            <w:tcW w:w="120" w:type="dxa"/>
            <w:vAlign w:val="bottom"/>
            <w:gridSpan w:val="3"/>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7"/>
          </w:tcPr>
          <w:p>
            <w:pPr>
              <w:spacing w:after="0" w:line="196" w:lineRule="exact"/>
              <w:rPr>
                <w:rFonts w:ascii="Arial" w:cs="Arial" w:eastAsia="Arial" w:hAnsi="Arial"/>
                <w:sz w:val="18"/>
                <w:szCs w:val="18"/>
                <w:color w:val="0000EE"/>
                <w:w w:val="94"/>
              </w:rPr>
            </w:pPr>
            <w:hyperlink r:id="rId80">
              <w:r>
                <w:rPr>
                  <w:rFonts w:ascii="Arial" w:cs="Arial" w:eastAsia="Arial" w:hAnsi="Arial"/>
                  <w:sz w:val="18"/>
                  <w:szCs w:val="18"/>
                  <w:color w:val="0000EE"/>
                  <w:w w:val="94"/>
                </w:rPr>
                <w:t>Holdings Corp.</w:t>
              </w:r>
            </w:hyperlink>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Form of Subscription Agreement</w:t>
              </w:r>
            </w:hyperlink>
          </w:p>
        </w:tc>
        <w:tc>
          <w:tcPr>
            <w:tcW w:w="360" w:type="dxa"/>
            <w:vAlign w:val="bottom"/>
            <w:tcBorders>
              <w:bottom w:val="single" w:sz="8" w:color="CCEEFF"/>
            </w:tcBorders>
            <w:gridSpan w:val="3"/>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February 1, 2021</w:t>
            </w: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5"/>
                <w:szCs w:val="15"/>
                <w:color w:val="auto"/>
              </w:rPr>
            </w:pPr>
          </w:p>
        </w:tc>
        <w:tc>
          <w:tcPr>
            <w:tcW w:w="4940" w:type="dxa"/>
            <w:vAlign w:val="bottom"/>
            <w:gridSpan w:val="37"/>
          </w:tcPr>
          <w:p>
            <w:pPr>
              <w:spacing w:after="0" w:line="176" w:lineRule="exact"/>
              <w:rPr>
                <w:rFonts w:ascii="Arial" w:cs="Arial" w:eastAsia="Arial" w:hAnsi="Arial"/>
                <w:sz w:val="18"/>
                <w:szCs w:val="18"/>
                <w:color w:val="0000EE"/>
                <w:w w:val="98"/>
              </w:rPr>
            </w:pPr>
            <w:hyperlink r:id="rId82">
              <w:r>
                <w:rPr>
                  <w:rFonts w:ascii="Arial" w:cs="Arial" w:eastAsia="Arial" w:hAnsi="Arial"/>
                  <w:sz w:val="18"/>
                  <w:szCs w:val="18"/>
                  <w:color w:val="0000EE"/>
                  <w:w w:val="98"/>
                </w:rPr>
                <w:t>Subscription Agreement, dated as of February 1, 2021, by and</w:t>
              </w:r>
            </w:hyperlink>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0"/>
              </w:rPr>
              <w:t>February 1, 2021</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top w:val="single" w:sz="8" w:color="0000EE"/>
            </w:tcBorders>
            <w:gridSpan w:val="30"/>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between Tuscan Holdings Corp. and Riheng HK Limited</w:t>
              </w:r>
            </w:hyperlink>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5"/>
                <w:szCs w:val="15"/>
                <w:color w:val="auto"/>
              </w:rPr>
            </w:pPr>
          </w:p>
        </w:tc>
        <w:tc>
          <w:tcPr>
            <w:tcW w:w="4940" w:type="dxa"/>
            <w:vAlign w:val="bottom"/>
            <w:gridSpan w:val="37"/>
            <w:shd w:val="clear" w:color="auto" w:fill="CCEEFF"/>
          </w:tcPr>
          <w:p>
            <w:pPr>
              <w:spacing w:after="0" w:line="176" w:lineRule="exact"/>
              <w:rPr>
                <w:rFonts w:ascii="Arial" w:cs="Arial" w:eastAsia="Arial" w:hAnsi="Arial"/>
                <w:sz w:val="18"/>
                <w:szCs w:val="18"/>
                <w:color w:val="0000EE"/>
                <w:w w:val="98"/>
              </w:rPr>
            </w:pPr>
            <w:hyperlink r:id="rId83">
              <w:r>
                <w:rPr>
                  <w:rFonts w:ascii="Arial" w:cs="Arial" w:eastAsia="Arial" w:hAnsi="Arial"/>
                  <w:sz w:val="18"/>
                  <w:szCs w:val="18"/>
                  <w:color w:val="0000EE"/>
                  <w:w w:val="98"/>
                </w:rPr>
                <w:t>Subscription Agreement, dated as of February 1, 2021, by and</w:t>
              </w:r>
            </w:hyperlink>
          </w:p>
        </w:tc>
        <w:tc>
          <w:tcPr>
            <w:tcW w:w="18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89"/>
              </w:rPr>
              <w:t>By Reference</w:t>
            </w:r>
          </w:p>
        </w:tc>
        <w:tc>
          <w:tcPr>
            <w:tcW w:w="178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February 1, 2021</w:t>
            </w: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0000EE"/>
            </w:tcBorders>
            <w:gridSpan w:val="34"/>
            <w:shd w:val="clear" w:color="auto" w:fill="CCEEFF"/>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between Tuscan Holdings Corp. and Aurora Sheen Limited</w:t>
              </w:r>
            </w:hyperlink>
          </w:p>
        </w:tc>
        <w:tc>
          <w:tcPr>
            <w:tcW w:w="120" w:type="dxa"/>
            <w:vAlign w:val="bottom"/>
            <w:tcBorders>
              <w:top w:val="single" w:sz="8" w:color="CCEEFF"/>
            </w:tcBorders>
            <w:gridSpan w:val="3"/>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tcPr>
          <w:p>
            <w:pPr>
              <w:spacing w:after="0"/>
              <w:rPr>
                <w:sz w:val="15"/>
                <w:szCs w:val="15"/>
                <w:color w:val="auto"/>
              </w:rPr>
            </w:pPr>
          </w:p>
        </w:tc>
        <w:tc>
          <w:tcPr>
            <w:tcW w:w="220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List of Subsidiaries</w:t>
              </w:r>
            </w:hyperlink>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0" w:type="dxa"/>
            <w:vAlign w:val="bottom"/>
            <w:tcBorders>
              <w:top w:val="single" w:sz="8" w:color="CCEEFF"/>
            </w:tcBorders>
            <w:gridSpan w:val="2"/>
          </w:tcPr>
          <w:p>
            <w:pPr>
              <w:jc w:val="center"/>
              <w:ind w:right="100"/>
              <w:spacing w:after="0" w:line="176" w:lineRule="exact"/>
              <w:rPr>
                <w:sz w:val="20"/>
                <w:szCs w:val="20"/>
                <w:color w:val="auto"/>
              </w:rPr>
            </w:pPr>
            <w:r>
              <w:rPr>
                <w:rFonts w:ascii="Arial" w:cs="Arial" w:eastAsia="Arial" w:hAnsi="Arial"/>
                <w:sz w:val="18"/>
                <w:szCs w:val="18"/>
                <w:color w:val="auto"/>
                <w:w w:val="92"/>
              </w:rPr>
              <w:t>Herewith</w:t>
            </w:r>
          </w:p>
        </w:tc>
        <w:tc>
          <w:tcPr>
            <w:tcW w:w="1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4820" w:type="dxa"/>
            <w:vAlign w:val="bottom"/>
            <w:tcBorders>
              <w:bottom w:val="single" w:sz="8" w:color="0000EE"/>
            </w:tcBorders>
            <w:gridSpan w:val="34"/>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Certification  of  Principal  Executive  Officer  and  Principal</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2"/>
              </w:rPr>
              <w:t>Herewith</w:t>
            </w: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40" w:type="dxa"/>
            <w:vAlign w:val="bottom"/>
            <w:gridSpan w:val="37"/>
            <w:shd w:val="clear" w:color="auto" w:fill="CCEEFF"/>
          </w:tcPr>
          <w:p>
            <w:pPr>
              <w:spacing w:after="0" w:line="196" w:lineRule="exact"/>
              <w:rPr>
                <w:rFonts w:ascii="Arial" w:cs="Arial" w:eastAsia="Arial" w:hAnsi="Arial"/>
                <w:sz w:val="18"/>
                <w:szCs w:val="18"/>
                <w:color w:val="0000EE"/>
                <w:w w:val="97"/>
              </w:rPr>
            </w:pPr>
            <w:hyperlink w:anchor="page79">
              <w:r>
                <w:rPr>
                  <w:rFonts w:ascii="Arial" w:cs="Arial" w:eastAsia="Arial" w:hAnsi="Arial"/>
                  <w:sz w:val="18"/>
                  <w:szCs w:val="18"/>
                  <w:color w:val="0000EE"/>
                  <w:w w:val="97"/>
                </w:rPr>
                <w:t>Financial and Accounting Officer pursuant to Section 302 of the</w:t>
              </w:r>
            </w:hyperlink>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6"/>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0000EE"/>
              <w:bottom w:val="single" w:sz="8" w:color="0000EE"/>
            </w:tcBorders>
            <w:gridSpan w:val="12"/>
            <w:shd w:val="clear" w:color="auto" w:fill="CCEEFF"/>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Sarbanes-Oxley Act of 2002.</w:t>
              </w:r>
            </w:hyperlink>
          </w:p>
        </w:tc>
        <w:tc>
          <w:tcPr>
            <w:tcW w:w="10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4940" w:type="dxa"/>
            <w:vAlign w:val="bottom"/>
            <w:gridSpan w:val="37"/>
          </w:tcPr>
          <w:p>
            <w:pPr>
              <w:spacing w:after="0" w:line="17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Certification of Principal Financial Officer and Principal Financial</w:t>
              </w:r>
            </w:hyperlink>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Herewith</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3440" w:type="dxa"/>
            <w:vAlign w:val="bottom"/>
            <w:gridSpan w:val="26"/>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gridSpan w:val="37"/>
          </w:tcPr>
          <w:p>
            <w:pPr>
              <w:spacing w:after="0" w:line="196"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and Accounting Officer pursuant to Section 302 of the Sarbanes-</w:t>
              </w:r>
            </w:hyperlink>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Oxley Act of 2002.</w:t>
              </w:r>
            </w:hyperlink>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5"/>
                <w:szCs w:val="15"/>
                <w:color w:val="auto"/>
              </w:rPr>
            </w:pPr>
          </w:p>
        </w:tc>
        <w:tc>
          <w:tcPr>
            <w:tcW w:w="4940" w:type="dxa"/>
            <w:vAlign w:val="bottom"/>
            <w:gridSpan w:val="37"/>
            <w:shd w:val="clear" w:color="auto" w:fill="CCEEFF"/>
          </w:tcPr>
          <w:p>
            <w:pPr>
              <w:spacing w:after="0" w:line="17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Certification pursuant to Section 906 of the Sarbanes-Oxley Act of</w:t>
              </w:r>
            </w:hyperlink>
          </w:p>
        </w:tc>
        <w:tc>
          <w:tcPr>
            <w:tcW w:w="18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2"/>
              </w:rPr>
              <w:t>Herewith</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r>
      <w:tr>
        <w:trPr>
          <w:trHeight w:val="216"/>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81">
              <w:r>
                <w:rPr>
                  <w:rFonts w:ascii="Arial" w:cs="Arial" w:eastAsia="Arial" w:hAnsi="Arial"/>
                  <w:sz w:val="18"/>
                  <w:szCs w:val="18"/>
                  <w:color w:val="0000EE"/>
                  <w:w w:val="84"/>
                </w:rPr>
                <w:t>2002.</w:t>
              </w:r>
            </w:hyperlink>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38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20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3520" w:type="dxa"/>
            <w:vAlign w:val="bottom"/>
            <w:gridSpan w:val="23"/>
            <w:shd w:val="clear" w:color="auto" w:fill="CCEEFF"/>
          </w:tcPr>
          <w:p>
            <w:pPr>
              <w:spacing w:after="0"/>
              <w:rPr>
                <w:sz w:val="20"/>
                <w:szCs w:val="20"/>
                <w:color w:val="auto"/>
              </w:rPr>
            </w:pPr>
            <w:r>
              <w:rPr>
                <w:rFonts w:ascii="Arial" w:cs="Arial" w:eastAsia="Arial" w:hAnsi="Arial"/>
                <w:sz w:val="18"/>
                <w:szCs w:val="18"/>
                <w:color w:val="auto"/>
                <w:w w:val="92"/>
              </w:rPr>
              <w:t>XBRL Taxonomy Extension Schema Document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940" w:type="dxa"/>
            <w:vAlign w:val="bottom"/>
            <w:gridSpan w:val="3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4940" w:type="dxa"/>
            <w:vAlign w:val="bottom"/>
            <w:gridSpan w:val="37"/>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180" w:type="dxa"/>
            <w:vAlign w:val="bottom"/>
            <w:gridSpan w:val="30"/>
          </w:tcPr>
          <w:p>
            <w:pPr>
              <w:spacing w:after="0"/>
              <w:rPr>
                <w:sz w:val="20"/>
                <w:szCs w:val="20"/>
                <w:color w:val="auto"/>
              </w:rPr>
            </w:pPr>
            <w:r>
              <w:rPr>
                <w:rFonts w:ascii="Arial" w:cs="Arial" w:eastAsia="Arial" w:hAnsi="Arial"/>
                <w:sz w:val="18"/>
                <w:szCs w:val="18"/>
                <w:color w:val="auto"/>
                <w:w w:val="96"/>
              </w:rPr>
              <w:t>XBRL Taxonomy Extension Label Linkbase Document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4940" w:type="dxa"/>
            <w:vAlign w:val="bottom"/>
            <w:gridSpan w:val="37"/>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47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Section 13 or 15 or 15(d) of the Securities Exchange Act of 1934, the registrant has duly caused this report to be signed on its behalf by the undersigned, thereunto duly authorized on the 24th day of March, 2021.</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TUSCAN HOLDINGS CORP.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Stephen A. Vogel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484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Vogel</w:t>
            </w:r>
          </w:p>
        </w:tc>
        <w:tc>
          <w:tcPr>
            <w:tcW w:w="2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March 24, 2021</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Stephen A. Vogel</w:t>
            </w:r>
          </w:p>
        </w:tc>
        <w:tc>
          <w:tcPr>
            <w:tcW w:w="220" w:type="dxa"/>
            <w:vAlign w:val="bottom"/>
          </w:tcPr>
          <w:p>
            <w:pPr>
              <w:spacing w:after="0"/>
              <w:rPr>
                <w:sz w:val="20"/>
                <w:szCs w:val="20"/>
                <w:color w:val="auto"/>
              </w:rPr>
            </w:pPr>
          </w:p>
        </w:tc>
        <w:tc>
          <w:tcPr>
            <w:tcW w:w="506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340" w:type="dxa"/>
            <w:vAlign w:val="bottom"/>
          </w:tcPr>
          <w:p>
            <w:pPr>
              <w:spacing w:after="0"/>
              <w:rPr>
                <w:sz w:val="20"/>
                <w:szCs w:val="20"/>
                <w:color w:val="auto"/>
              </w:rPr>
            </w:pPr>
          </w:p>
        </w:tc>
      </w:tr>
      <w:tr>
        <w:trPr>
          <w:trHeight w:val="42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Ruth Epstein</w:t>
            </w:r>
          </w:p>
        </w:tc>
        <w:tc>
          <w:tcPr>
            <w:tcW w:w="2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President, Chief Financial Officer</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March 24, 2021</w:t>
            </w:r>
          </w:p>
        </w:tc>
      </w:tr>
      <w:tr>
        <w:trPr>
          <w:trHeight w:val="230"/>
        </w:trPr>
        <w:tc>
          <w:tcPr>
            <w:tcW w:w="3620" w:type="dxa"/>
            <w:vAlign w:val="bottom"/>
          </w:tcPr>
          <w:p>
            <w:pPr>
              <w:ind w:left="60"/>
              <w:spacing w:after="0"/>
              <w:rPr>
                <w:sz w:val="20"/>
                <w:szCs w:val="20"/>
                <w:color w:val="auto"/>
              </w:rPr>
            </w:pPr>
            <w:r>
              <w:rPr>
                <w:rFonts w:ascii="Arial" w:cs="Arial" w:eastAsia="Arial" w:hAnsi="Arial"/>
                <w:sz w:val="18"/>
                <w:szCs w:val="18"/>
                <w:color w:val="auto"/>
              </w:rPr>
              <w:t>Ruth Epstein</w:t>
            </w:r>
          </w:p>
        </w:tc>
        <w:tc>
          <w:tcPr>
            <w:tcW w:w="220" w:type="dxa"/>
            <w:vAlign w:val="bottom"/>
          </w:tcPr>
          <w:p>
            <w:pPr>
              <w:spacing w:after="0"/>
              <w:rPr>
                <w:sz w:val="20"/>
                <w:szCs w:val="20"/>
                <w:color w:val="auto"/>
              </w:rPr>
            </w:pPr>
          </w:p>
        </w:tc>
        <w:tc>
          <w:tcPr>
            <w:tcW w:w="5060" w:type="dxa"/>
            <w:vAlign w:val="bottom"/>
            <w:gridSpan w:val="2"/>
          </w:tcPr>
          <w:p>
            <w:pPr>
              <w:spacing w:after="0" w:line="203" w:lineRule="exact"/>
              <w:rPr>
                <w:sz w:val="20"/>
                <w:szCs w:val="20"/>
                <w:color w:val="auto"/>
              </w:rPr>
            </w:pPr>
            <w:r>
              <w:rPr>
                <w:rFonts w:ascii="Arial" w:cs="Arial" w:eastAsia="Arial" w:hAnsi="Arial"/>
                <w:sz w:val="18"/>
                <w:szCs w:val="18"/>
                <w:color w:val="auto"/>
              </w:rPr>
              <w:t>(Principal Financial and Accounting Officer) and Director</w:t>
            </w:r>
          </w:p>
        </w:tc>
        <w:tc>
          <w:tcPr>
            <w:tcW w:w="2340" w:type="dxa"/>
            <w:vAlign w:val="bottom"/>
          </w:tcPr>
          <w:p>
            <w:pPr>
              <w:spacing w:after="0"/>
              <w:rPr>
                <w:sz w:val="20"/>
                <w:szCs w:val="20"/>
                <w:color w:val="auto"/>
              </w:rPr>
            </w:pPr>
          </w:p>
        </w:tc>
      </w:tr>
      <w:tr>
        <w:trPr>
          <w:trHeight w:val="42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Butte</w:t>
            </w:r>
          </w:p>
        </w:tc>
        <w:tc>
          <w:tcPr>
            <w:tcW w:w="2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March 24, 2021</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Amy Butte</w:t>
            </w: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O. Rieger</w:t>
            </w:r>
          </w:p>
        </w:tc>
        <w:tc>
          <w:tcPr>
            <w:tcW w:w="2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March 24, 2021</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Richard O. Rieger</w:t>
            </w: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641"/>
        </w:trPr>
        <w:tc>
          <w:tcPr>
            <w:tcW w:w="36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jc w:val="right"/>
              <w:ind w:right="2870"/>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80" w:type="dxa"/>
            <w:vAlign w:val="bottom"/>
          </w:tcPr>
          <w:p>
            <w:pPr>
              <w:jc w:val="center"/>
              <w:ind w:right="1570"/>
              <w:spacing w:after="0"/>
              <w:rPr>
                <w:sz w:val="20"/>
                <w:szCs w:val="20"/>
                <w:color w:val="auto"/>
              </w:rPr>
            </w:pPr>
            <w:r>
              <w:rPr>
                <w:rFonts w:ascii="Arial" w:cs="Arial" w:eastAsia="Arial" w:hAnsi="Arial"/>
                <w:sz w:val="18"/>
                <w:szCs w:val="18"/>
                <w:b w:val="1"/>
                <w:bCs w:val="1"/>
                <w:color w:val="auto"/>
                <w:w w:val="98"/>
              </w:rPr>
              <w:t>TUSCAN HOLDINGS CORP.</w:t>
            </w:r>
          </w:p>
        </w:tc>
        <w:tc>
          <w:tcPr>
            <w:tcW w:w="254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40" w:type="dxa"/>
            <w:vAlign w:val="bottom"/>
            <w:gridSpan w:val="2"/>
          </w:tcPr>
          <w:p>
            <w:pPr>
              <w:jc w:val="center"/>
              <w:ind w:right="1030"/>
              <w:spacing w:after="0"/>
              <w:rPr>
                <w:sz w:val="20"/>
                <w:szCs w:val="20"/>
                <w:color w:val="auto"/>
              </w:rPr>
            </w:pPr>
            <w:r>
              <w:rPr>
                <w:rFonts w:ascii="Arial" w:cs="Arial" w:eastAsia="Arial" w:hAnsi="Arial"/>
                <w:sz w:val="18"/>
                <w:szCs w:val="18"/>
                <w:b w:val="1"/>
                <w:bCs w:val="1"/>
                <w:color w:val="auto"/>
              </w:rPr>
              <w:t>INDEX TO FINANCIAL STATEMENTS</w:t>
            </w:r>
          </w:p>
        </w:tc>
        <w:tc>
          <w:tcPr>
            <w:tcW w:w="254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96"/>
        </w:trPr>
        <w:tc>
          <w:tcPr>
            <w:tcW w:w="8700" w:type="dxa"/>
            <w:vAlign w:val="bottom"/>
            <w:gridSpan w:val="8"/>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Report of Independent Registered Public Accounting Firm</w:t>
              </w:r>
            </w:hyperlink>
          </w:p>
        </w:tc>
        <w:tc>
          <w:tcPr>
            <w:tcW w:w="2540" w:type="dxa"/>
            <w:vAlign w:val="bottom"/>
            <w:shd w:val="clear" w:color="auto" w:fill="CCEEFF"/>
          </w:tcPr>
          <w:p>
            <w:pPr>
              <w:jc w:val="center"/>
              <w:ind w:left="1110"/>
              <w:spacing w:after="0" w:line="176" w:lineRule="exact"/>
              <w:rPr>
                <w:sz w:val="20"/>
                <w:szCs w:val="20"/>
                <w:color w:val="auto"/>
              </w:rPr>
            </w:pPr>
            <w:r>
              <w:rPr>
                <w:rFonts w:ascii="Arial" w:cs="Arial" w:eastAsia="Arial" w:hAnsi="Arial"/>
                <w:sz w:val="18"/>
                <w:szCs w:val="18"/>
                <w:color w:val="auto"/>
                <w:w w:val="96"/>
              </w:rPr>
              <w:t>F-2</w:t>
            </w:r>
          </w:p>
        </w:tc>
      </w:tr>
      <w:tr>
        <w:trPr>
          <w:trHeight w:val="216"/>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448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r>
      <w:tr>
        <w:trPr>
          <w:trHeight w:val="175"/>
        </w:trPr>
        <w:tc>
          <w:tcPr>
            <w:tcW w:w="260" w:type="dxa"/>
            <w:vAlign w:val="bottom"/>
            <w:shd w:val="clear" w:color="auto" w:fill="CCEEFF"/>
          </w:tcPr>
          <w:p>
            <w:pPr>
              <w:spacing w:after="0"/>
              <w:rPr>
                <w:sz w:val="15"/>
                <w:szCs w:val="15"/>
                <w:color w:val="auto"/>
              </w:rPr>
            </w:pPr>
          </w:p>
        </w:tc>
        <w:tc>
          <w:tcPr>
            <w:tcW w:w="8440" w:type="dxa"/>
            <w:vAlign w:val="bottom"/>
            <w:gridSpan w:val="7"/>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Balance Sheets</w:t>
              </w:r>
            </w:hyperlink>
          </w:p>
        </w:tc>
        <w:tc>
          <w:tcPr>
            <w:tcW w:w="2540" w:type="dxa"/>
            <w:vAlign w:val="bottom"/>
            <w:shd w:val="clear" w:color="auto" w:fill="CCEEFF"/>
          </w:tcPr>
          <w:p>
            <w:pPr>
              <w:jc w:val="center"/>
              <w:ind w:left="1110"/>
              <w:spacing w:after="0" w:line="176" w:lineRule="exact"/>
              <w:rPr>
                <w:sz w:val="20"/>
                <w:szCs w:val="20"/>
                <w:color w:val="auto"/>
              </w:rPr>
            </w:pPr>
            <w:r>
              <w:rPr>
                <w:rFonts w:ascii="Arial" w:cs="Arial" w:eastAsia="Arial" w:hAnsi="Arial"/>
                <w:sz w:val="18"/>
                <w:szCs w:val="18"/>
                <w:color w:val="auto"/>
                <w:w w:val="96"/>
              </w:rPr>
              <w:t>F-3</w:t>
            </w: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60" w:type="dxa"/>
            <w:vAlign w:val="bottom"/>
          </w:tcPr>
          <w:p>
            <w:pPr>
              <w:spacing w:after="0"/>
              <w:rPr>
                <w:sz w:val="15"/>
                <w:szCs w:val="15"/>
                <w:color w:val="auto"/>
              </w:rPr>
            </w:pPr>
          </w:p>
        </w:tc>
        <w:tc>
          <w:tcPr>
            <w:tcW w:w="8440" w:type="dxa"/>
            <w:vAlign w:val="bottom"/>
            <w:gridSpan w:val="7"/>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Statements of Operations</w:t>
              </w:r>
            </w:hyperlink>
          </w:p>
        </w:tc>
        <w:tc>
          <w:tcPr>
            <w:tcW w:w="2540" w:type="dxa"/>
            <w:vAlign w:val="bottom"/>
          </w:tcPr>
          <w:p>
            <w:pPr>
              <w:jc w:val="center"/>
              <w:ind w:left="1110"/>
              <w:spacing w:after="0" w:line="176" w:lineRule="exact"/>
              <w:rPr>
                <w:sz w:val="20"/>
                <w:szCs w:val="20"/>
                <w:color w:val="auto"/>
              </w:rPr>
            </w:pPr>
            <w:r>
              <w:rPr>
                <w:rFonts w:ascii="Arial" w:cs="Arial" w:eastAsia="Arial" w:hAnsi="Arial"/>
                <w:sz w:val="18"/>
                <w:szCs w:val="18"/>
                <w:color w:val="auto"/>
                <w:w w:val="96"/>
              </w:rPr>
              <w:t>F-4</w:t>
            </w:r>
          </w:p>
        </w:tc>
      </w:tr>
      <w:tr>
        <w:trPr>
          <w:trHeight w:val="20"/>
        </w:trPr>
        <w:tc>
          <w:tcPr>
            <w:tcW w:w="26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Statements of Changes in Stockholders’ Equity</w:t>
              </w:r>
            </w:hyperlink>
          </w:p>
        </w:tc>
        <w:tc>
          <w:tcPr>
            <w:tcW w:w="5040" w:type="dxa"/>
            <w:vAlign w:val="bottom"/>
            <w:tcBorders>
              <w:bottom w:val="single" w:sz="8" w:color="CCEEFF"/>
            </w:tcBorders>
            <w:gridSpan w:val="2"/>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110"/>
              <w:spacing w:after="0" w:line="176" w:lineRule="exact"/>
              <w:rPr>
                <w:sz w:val="20"/>
                <w:szCs w:val="20"/>
                <w:color w:val="auto"/>
              </w:rPr>
            </w:pPr>
            <w:r>
              <w:rPr>
                <w:rFonts w:ascii="Arial" w:cs="Arial" w:eastAsia="Arial" w:hAnsi="Arial"/>
                <w:sz w:val="18"/>
                <w:szCs w:val="18"/>
                <w:color w:val="auto"/>
                <w:w w:val="96"/>
              </w:rPr>
              <w:t>F-5</w:t>
            </w:r>
          </w:p>
        </w:tc>
      </w:tr>
      <w:tr>
        <w:trPr>
          <w:trHeight w:val="176"/>
        </w:trPr>
        <w:tc>
          <w:tcPr>
            <w:tcW w:w="260" w:type="dxa"/>
            <w:vAlign w:val="bottom"/>
          </w:tcPr>
          <w:p>
            <w:pPr>
              <w:spacing w:after="0"/>
              <w:rPr>
                <w:sz w:val="15"/>
                <w:szCs w:val="15"/>
                <w:color w:val="auto"/>
              </w:rPr>
            </w:pPr>
          </w:p>
        </w:tc>
        <w:tc>
          <w:tcPr>
            <w:tcW w:w="8440" w:type="dxa"/>
            <w:vAlign w:val="bottom"/>
            <w:gridSpan w:val="7"/>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Statements of Cash Flows</w:t>
              </w:r>
            </w:hyperlink>
          </w:p>
        </w:tc>
        <w:tc>
          <w:tcPr>
            <w:tcW w:w="2540" w:type="dxa"/>
            <w:vAlign w:val="bottom"/>
          </w:tcPr>
          <w:p>
            <w:pPr>
              <w:jc w:val="center"/>
              <w:ind w:left="1110"/>
              <w:spacing w:after="0" w:line="176" w:lineRule="exact"/>
              <w:rPr>
                <w:sz w:val="20"/>
                <w:szCs w:val="20"/>
                <w:color w:val="auto"/>
              </w:rPr>
            </w:pPr>
            <w:r>
              <w:rPr>
                <w:rFonts w:ascii="Arial" w:cs="Arial" w:eastAsia="Arial" w:hAnsi="Arial"/>
                <w:sz w:val="18"/>
                <w:szCs w:val="18"/>
                <w:color w:val="auto"/>
                <w:w w:val="96"/>
              </w:rPr>
              <w:t>F-6</w:t>
            </w:r>
          </w:p>
        </w:tc>
      </w:tr>
      <w:tr>
        <w:trPr>
          <w:trHeight w:val="20"/>
        </w:trPr>
        <w:tc>
          <w:tcPr>
            <w:tcW w:w="26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60" w:type="dxa"/>
            <w:vAlign w:val="bottom"/>
            <w:shd w:val="clear" w:color="auto" w:fill="CCEEFF"/>
          </w:tcPr>
          <w:p>
            <w:pPr>
              <w:spacing w:after="0"/>
              <w:rPr>
                <w:sz w:val="17"/>
                <w:szCs w:val="17"/>
                <w:color w:val="auto"/>
              </w:rPr>
            </w:pPr>
          </w:p>
        </w:tc>
        <w:tc>
          <w:tcPr>
            <w:tcW w:w="8440" w:type="dxa"/>
            <w:vAlign w:val="bottom"/>
            <w:gridSpan w:val="7"/>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Notes to Financial Statements</w:t>
              </w:r>
            </w:hyperlink>
          </w:p>
        </w:tc>
        <w:tc>
          <w:tcPr>
            <w:tcW w:w="2540" w:type="dxa"/>
            <w:vAlign w:val="bottom"/>
            <w:shd w:val="clear" w:color="auto" w:fill="CCEEFF"/>
          </w:tcPr>
          <w:p>
            <w:pPr>
              <w:jc w:val="center"/>
              <w:ind w:left="1110"/>
              <w:spacing w:after="0" w:line="176" w:lineRule="exact"/>
              <w:rPr>
                <w:sz w:val="20"/>
                <w:szCs w:val="20"/>
                <w:color w:val="auto"/>
              </w:rPr>
            </w:pPr>
            <w:r>
              <w:rPr>
                <w:rFonts w:ascii="Arial" w:cs="Arial" w:eastAsia="Arial" w:hAnsi="Arial"/>
                <w:sz w:val="18"/>
                <w:szCs w:val="18"/>
                <w:color w:val="auto"/>
                <w:w w:val="92"/>
              </w:rPr>
              <w:t>F-7 to F-17</w:t>
            </w:r>
          </w:p>
        </w:tc>
      </w:tr>
      <w:tr>
        <w:trPr>
          <w:trHeight w:val="655"/>
        </w:trPr>
        <w:tc>
          <w:tcPr>
            <w:tcW w:w="2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4480" w:type="dxa"/>
            <w:vAlign w:val="bottom"/>
            <w:tcBorders>
              <w:top w:val="single" w:sz="8" w:color="CCEEFF"/>
              <w:bottom w:val="single" w:sz="8" w:color="auto"/>
            </w:tcBorders>
          </w:tcPr>
          <w:p>
            <w:pPr>
              <w:jc w:val="center"/>
              <w:ind w:right="1590"/>
              <w:spacing w:after="0"/>
              <w:rPr>
                <w:sz w:val="20"/>
                <w:szCs w:val="20"/>
                <w:color w:val="auto"/>
              </w:rPr>
            </w:pPr>
            <w:r>
              <w:rPr>
                <w:rFonts w:ascii="Arial" w:cs="Arial" w:eastAsia="Arial" w:hAnsi="Arial"/>
                <w:sz w:val="18"/>
                <w:szCs w:val="18"/>
                <w:color w:val="auto"/>
                <w:w w:val="88"/>
              </w:rPr>
              <w:t>F-1</w:t>
            </w:r>
          </w:p>
        </w:tc>
        <w:tc>
          <w:tcPr>
            <w:tcW w:w="25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52" w:name="page53"/>
    <w:bookmarkEnd w:id="5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Tuscan Holdings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audited the accompanying balance sheets of Tuscan Holdings Corp. (the “Company”) as of December 31, 2020 and 2019, the related statements of operations, changes in stockholders’ equity and cash flows for each of the years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years ended December 31, 2020,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Company’s business plan is dependent on the completion of a business combination and the Company’s cash and working capital as of December 31, 2020 are not sufficient to complete its planned activities.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income taxes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 and other current assets</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Current Assets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8"/>
          <w:szCs w:val="18"/>
          <w:color w:val="auto"/>
        </w:rPr>
        <w:t xml:space="preserve">Cash and marketable securities held in Trust Account </w:t>
      </w:r>
      <w:r>
        <w:rPr>
          <w:rFonts w:ascii="Arial" w:cs="Arial" w:eastAsia="Arial" w:hAnsi="Arial"/>
          <w:sz w:val="18"/>
          <w:szCs w:val="18"/>
          <w:b w:val="1"/>
          <w:bCs w:val="1"/>
          <w:color w:val="auto"/>
        </w:rPr>
        <w:t>TOTAL ASSETS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LIABILITIES AND STOCKHOLDERS’ EQUITY </w:t>
      </w:r>
      <w:r>
        <w:rPr>
          <w:rFonts w:ascii="Arial" w:cs="Arial" w:eastAsia="Arial" w:hAnsi="Arial"/>
          <w:sz w:val="18"/>
          <w:szCs w:val="18"/>
          <w:color w:val="auto"/>
        </w:rPr>
        <w:t>Current liabilities</w:t>
      </w:r>
    </w:p>
    <w:p>
      <w:pPr>
        <w:ind w:left="180"/>
        <w:spacing w:after="0"/>
        <w:rPr>
          <w:sz w:val="20"/>
          <w:szCs w:val="20"/>
          <w:color w:val="auto"/>
        </w:rPr>
      </w:pPr>
      <w:r>
        <w:rPr>
          <w:rFonts w:ascii="Arial" w:cs="Arial" w:eastAsia="Arial" w:hAnsi="Arial"/>
          <w:sz w:val="18"/>
          <w:szCs w:val="18"/>
          <w:color w:val="auto"/>
        </w:rPr>
        <w:t>Accounts payable and accrued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taxes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Advances from related party</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Current Liabilities</w:t>
      </w:r>
    </w:p>
    <w:p>
      <w:pPr>
        <w:spacing w:after="0" w:line="225" w:lineRule="exact"/>
        <w:rPr>
          <w:sz w:val="20"/>
          <w:szCs w:val="20"/>
          <w:color w:val="auto"/>
        </w:rPr>
      </w:pPr>
    </w:p>
    <w:p>
      <w:pPr>
        <w:ind w:right="760"/>
        <w:spacing w:after="0" w:line="263" w:lineRule="auto"/>
        <w:rPr>
          <w:sz w:val="20"/>
          <w:szCs w:val="20"/>
          <w:color w:val="auto"/>
        </w:rPr>
      </w:pPr>
      <w:r>
        <w:rPr>
          <w:rFonts w:ascii="Arial" w:cs="Arial" w:eastAsia="Arial" w:hAnsi="Arial"/>
          <w:sz w:val="18"/>
          <w:szCs w:val="18"/>
          <w:color w:val="auto"/>
        </w:rPr>
        <w:t>Convertible promissory note – related party Deferred tax liability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0" w:lineRule="exact"/>
        <w:rPr>
          <w:sz w:val="20"/>
          <w:szCs w:val="20"/>
          <w:color w:val="auto"/>
        </w:rPr>
      </w:pPr>
      <w:r>
        <w:rPr>
          <w:sz w:val="20"/>
          <w:szCs w:val="20"/>
          <w:color w:val="auto"/>
        </w:rPr>
        <w:br w:type="column"/>
      </w:r>
    </w:p>
    <w:p>
      <w:pPr>
        <w:jc w:val="center"/>
        <w:ind w:right="4440"/>
        <w:spacing w:after="0"/>
        <w:rPr>
          <w:sz w:val="20"/>
          <w:szCs w:val="20"/>
          <w:color w:val="auto"/>
        </w:rPr>
      </w:pPr>
      <w:r>
        <w:rPr>
          <w:rFonts w:ascii="Arial" w:cs="Arial" w:eastAsia="Arial" w:hAnsi="Arial"/>
          <w:sz w:val="17"/>
          <w:szCs w:val="17"/>
          <w:b w:val="1"/>
          <w:bCs w:val="1"/>
          <w:color w:val="auto"/>
        </w:rPr>
        <w:t>TUSCAN HOLDINGS CORP.</w:t>
      </w:r>
    </w:p>
    <w:p>
      <w:pPr>
        <w:spacing w:after="0" w:line="39" w:lineRule="exact"/>
        <w:rPr>
          <w:sz w:val="20"/>
          <w:szCs w:val="20"/>
          <w:color w:val="auto"/>
        </w:rPr>
      </w:pPr>
    </w:p>
    <w:p>
      <w:pPr>
        <w:jc w:val="center"/>
        <w:ind w:right="4440"/>
        <w:spacing w:after="0"/>
        <w:rPr>
          <w:sz w:val="20"/>
          <w:szCs w:val="20"/>
          <w:color w:val="auto"/>
        </w:rPr>
      </w:pPr>
      <w:r>
        <w:rPr>
          <w:rFonts w:ascii="Arial" w:cs="Arial" w:eastAsia="Arial" w:hAnsi="Arial"/>
          <w:sz w:val="18"/>
          <w:szCs w:val="18"/>
          <w:b w:val="1"/>
          <w:bCs w:val="1"/>
          <w:color w:val="auto"/>
        </w:rPr>
        <w:t>BALANCE SHEETS</w:t>
      </w:r>
    </w:p>
    <w:p>
      <w:pPr>
        <w:spacing w:after="0" w:line="22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4220" w:type="dxa"/>
        <w:tblCellMar>
          <w:top w:w="0" w:type="dxa"/>
          <w:left w:w="0" w:type="dxa"/>
          <w:bottom w:w="0" w:type="dxa"/>
          <w:right w:w="0" w:type="dxa"/>
        </w:tblCellMar>
      </w:tblPr>
      <w:tr>
        <w:trPr>
          <w:trHeight w:val="243"/>
        </w:trPr>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634"/>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135,961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140,303</w:t>
            </w:r>
          </w:p>
        </w:tc>
      </w:tr>
      <w:tr>
        <w:trPr>
          <w:trHeight w:val="230"/>
        </w:trPr>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69,818</w:t>
            </w:r>
          </w:p>
        </w:tc>
      </w:tr>
      <w:tr>
        <w:trPr>
          <w:trHeight w:val="237"/>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22,499</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186,247</w:t>
            </w:r>
          </w:p>
        </w:tc>
      </w:tr>
      <w:tr>
        <w:trPr>
          <w:trHeight w:val="230"/>
        </w:trPr>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158,460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396,368</w:t>
            </w:r>
          </w:p>
        </w:tc>
      </w:tr>
      <w:tr>
        <w:trPr>
          <w:trHeight w:val="431"/>
        </w:trPr>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282,254,978</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280,103,245</w:t>
            </w: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r>
        <w:trPr>
          <w:trHeight w:val="250"/>
        </w:trPr>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282,413,438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280,499,613</w:t>
            </w:r>
          </w:p>
        </w:tc>
      </w:tr>
      <w:tr>
        <w:trPr>
          <w:trHeight w:val="21"/>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850"/>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320,978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269,055</w:t>
            </w:r>
          </w:p>
        </w:tc>
      </w:tr>
      <w:tr>
        <w:trPr>
          <w:trHeight w:val="229"/>
        </w:trPr>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302,547</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22,179</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645,704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269,055</w:t>
            </w:r>
          </w:p>
        </w:tc>
      </w:tr>
      <w:tr>
        <w:trPr>
          <w:trHeight w:val="417"/>
        </w:trPr>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21,468</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27,069</w:t>
            </w: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867,172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-2647950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-2373630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-2073910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-1782445</wp:posOffset>
            </wp:positionV>
            <wp:extent cx="713232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-1439545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-1165225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-890905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-590550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-316865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-7620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3920" w:space="540"/>
            <w:col w:w="6780"/>
          </w:cols>
          <w:pgMar w:left="320" w:top="877"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Common stock subject to possible redemption 27,087,556 and 27,126,477 at December 31, 2020 and 2019,</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276,546,264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275,203,480</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8"/>
              </w:rPr>
              <w:t>Common stock, $0.0001 par value; 65,000,000 shares authorized; 8,396,246 and 8,360,523 shares issued and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4"/>
              </w:rPr>
              <w:t>outstanding (excluding 27,087,556 and 27,126,477 shares subject to possible redemption) at December 31, 2020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and 2019, respectively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840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836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257,314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1,632,786</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4,741,848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3,366,387</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  282,413,438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$ 280,499,613</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and formation costs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921,665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778,815</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(921,665)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(778,815)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2,654,140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4,912,346</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9,750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128,899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2,663,890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5,041,245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1,742,225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4,262,430</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(366,764)</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(895,251)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1,375,461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3,367,179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 subject to possible redemption</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27,104,439</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27,123,666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8,382,317</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7,927,608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common share, Common stock</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(0.08</w:t>
            </w:r>
            <w:r>
              <w:rPr>
                <w:rFonts w:ascii="Arial" w:cs="Arial" w:eastAsia="Arial" w:hAnsi="Arial"/>
                <w:sz w:val="29"/>
                <w:szCs w:val="29"/>
                <w:b w:val="1"/>
                <w:bCs w:val="1"/>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b w:val="1"/>
                <w:bCs w:val="1"/>
                <w:color w:val="auto"/>
              </w:rPr>
              <w:t>(0.07</w:t>
            </w:r>
            <w:r>
              <w:rPr>
                <w:rFonts w:ascii="Arial" w:cs="Arial" w:eastAsia="Arial" w:hAnsi="Arial"/>
                <w:sz w:val="29"/>
                <w:szCs w:val="29"/>
                <w:b w:val="1"/>
                <w:bCs w:val="1"/>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940"/>
              <w:spacing w:after="0"/>
              <w:rPr>
                <w:sz w:val="20"/>
                <w:szCs w:val="20"/>
                <w:color w:val="auto"/>
              </w:rPr>
            </w:pPr>
            <w:r>
              <w:rPr>
                <w:rFonts w:ascii="Arial" w:cs="Arial" w:eastAsia="Arial" w:hAnsi="Arial"/>
                <w:sz w:val="18"/>
                <w:szCs w:val="18"/>
                <w:i w:val="1"/>
                <w:iCs w:val="1"/>
                <w:color w:val="auto"/>
                <w:w w:val="96"/>
              </w:rPr>
              <w:t>The accompanying notes are an integral part of these financial statements</w:t>
            </w:r>
            <w:r>
              <w:rPr>
                <w:rFonts w:ascii="Arial" w:cs="Arial" w:eastAsia="Arial" w:hAnsi="Arial"/>
                <w:sz w:val="18"/>
                <w:szCs w:val="18"/>
                <w:color w:val="auto"/>
                <w:w w:val="96"/>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00"/>
              <w:spacing w:after="0"/>
              <w:rPr>
                <w:sz w:val="20"/>
                <w:szCs w:val="20"/>
                <w:color w:val="auto"/>
              </w:rPr>
            </w:pPr>
            <w:r>
              <w:rPr>
                <w:rFonts w:ascii="Arial" w:cs="Arial" w:eastAsia="Arial" w:hAnsi="Arial"/>
                <w:sz w:val="18"/>
                <w:szCs w:val="18"/>
                <w:color w:val="auto"/>
              </w:rPr>
              <w:t>F-4</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Earnings/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55"/>
        </w:trPr>
        <w:tc>
          <w:tcPr>
            <w:tcW w:w="4620" w:type="dxa"/>
            <w:vAlign w:val="bottom"/>
          </w:tcPr>
          <w:p>
            <w:pPr>
              <w:spacing w:after="0"/>
              <w:rPr>
                <w:sz w:val="22"/>
                <w:szCs w:val="22"/>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Deficit)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7,200,000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25,480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Sale of 27,600,000 Units, net of underwriting discount and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27,600,000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269,938,142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269,940,902</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 of 687,000 Private Units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6,869,932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6,870,000</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(27,126,477)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(275,200,768)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(275,203,480)</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3,367,179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3,367,179</w:t>
            </w:r>
          </w:p>
        </w:tc>
      </w:tr>
      <w:tr>
        <w:trPr>
          <w:trHeight w:val="229"/>
        </w:trPr>
        <w:tc>
          <w:tcPr>
            <w:tcW w:w="462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8,360,523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1,632,786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3,366,387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5,000,009</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 common stock subject to possible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35,723</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(1,375,472)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(1,375,468)</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1,375,461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1,375,461</w:t>
            </w:r>
          </w:p>
        </w:tc>
      </w:tr>
      <w:tr>
        <w:trPr>
          <w:trHeight w:val="229"/>
        </w:trPr>
        <w:tc>
          <w:tcPr>
            <w:tcW w:w="462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64"/>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8,396,246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257,314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4,741,848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1,375,461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3,367,179</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earned on marketable securities held in Trust Account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(2,654,140)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(4,912,346)</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Unrealized gain on marketable securities held in Trust Account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(9,750)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(128,899)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provision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(5,601)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27,069</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163,748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(186,222)</w:t>
            </w:r>
          </w:p>
        </w:tc>
        <w:tc>
          <w:tcPr>
            <w:tcW w:w="0" w:type="dxa"/>
            <w:vAlign w:val="bottom"/>
          </w:tcPr>
          <w:p>
            <w:pPr>
              <w:spacing w:after="0"/>
              <w:rPr>
                <w:sz w:val="1"/>
                <w:szCs w:val="1"/>
                <w:color w:val="auto"/>
              </w:rPr>
            </w:pPr>
          </w:p>
        </w:tc>
      </w:tr>
      <w:tr>
        <w:trPr>
          <w:trHeight w:val="216"/>
        </w:trPr>
        <w:tc>
          <w:tcPr>
            <w:tcW w:w="8680" w:type="dxa"/>
            <w:vAlign w:val="bottom"/>
          </w:tcPr>
          <w:p>
            <w:pPr>
              <w:ind w:left="30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69,818</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(69,818)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51,923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268,605</w:t>
            </w:r>
          </w:p>
        </w:tc>
        <w:tc>
          <w:tcPr>
            <w:tcW w:w="0" w:type="dxa"/>
            <w:vAlign w:val="bottom"/>
          </w:tcPr>
          <w:p>
            <w:pPr>
              <w:spacing w:after="0"/>
              <w:rPr>
                <w:sz w:val="1"/>
                <w:szCs w:val="1"/>
                <w:color w:val="auto"/>
              </w:rPr>
            </w:pPr>
          </w:p>
        </w:tc>
      </w:tr>
      <w:tr>
        <w:trPr>
          <w:trHeight w:val="237"/>
        </w:trPr>
        <w:tc>
          <w:tcPr>
            <w:tcW w:w="8680" w:type="dxa"/>
            <w:vAlign w:val="bottom"/>
          </w:tcPr>
          <w:p>
            <w:pPr>
              <w:ind w:left="3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302,547</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(705,994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(1,634,432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Investment of cash in Trust Account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2"/>
              </w:rPr>
              <w:t>(276,000,000)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for redemptions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32,684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Cash withdrawn from Trust Account to pay income taxes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479,473</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938,000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(275,062,000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270,480,000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Units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6,870,000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Advances from related party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25,012</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86,748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Repayment of advances from related party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convertible promissory note – related party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(90,342)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(32,684)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(455,423)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2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189,495</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7"/>
              </w:rPr>
              <w:t>276,819,235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(4,342)</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122,803</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140,303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 End of period</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135,961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140,303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938,000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271,835,860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Change in value of common stock subject to possible redemption</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1,342,784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3,367,620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Tuscan Holdings Corp. (the “Company”) was incorporated in Delaware on November 5, 2018. The Company was formed for the purpose of entering into a merger, share exchange, asset acquisition, stock purchase, recapitalization, reorganization or similar business combination with one or more businesses or entities (the “Business Combination”).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the Company is not limited to a particular industry or sector for purposes of consummating a Business Combination, the Company is focusing its search on companies in the cannabis industry.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one subsidiary, TSCN Merger Sub Inc., a wholly-owned subsidiary of the Company incorporated in Delaware on January 21, 2021 (“Merger Sub”) (see Note 10).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activity through December 31, 2020 relates to the Company’s formation, the initial public offering (“Initial Public Offering”), which is described below, identifying a target company for a Business Combination, activities in connection with the proposed acquisition of Microvast, Inc., a Delaware corporation (“Microvast”) (see Note 10).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March 5, 2019. On March 7, 2019, the Company consummated the Initial Public Offering of 24,000,000 units (the “Units” and, with respect to the shares of common stock included in the Units sold, the “Public Shares”) at $10.00 per Unit, generating gross proceeds of $240,000,000, which is described in Note 3.</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615,000 units (the “Private Units”) at a price of $10.00 per Private Unit in a private placement to Tuscan Holdings Acquisition LLC (the “Sponsor”) and EarlyBirdCapital, Inc. (“EarlyBirdCapital”) and its designee, generating gross proceeds of $6,150,000, which is described in Note 4.</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Following the closing of the Initial Public Offering on March 7, 2019, an amount of $240,000,000 ($10.00 per Unit) from the net proceeds of the sale of the Units in the Initial Public Offering and the sale of the Private Units was placed in a trust account (“Trust Account”) which are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of 1940, as amended (the “Investment Company Act”), as determined by the Company, until the earlier of: (i) the completion of a Business Combination or (ii) the distribution of the Trust Account, as described below.</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12, 2019, the underwriters exercised their over-allotment option in full, resulting in the sale of an additional 3,600,000 Units for $36,000,000, less the underwriters’ discount of $720,000. In connection with the underwriters’ exercise of their over-allotment option, the Company also consummated the sale of an additional 72,000 Private Units at $10.00 per Private Unit, generating total gross proceeds of $720,000. A total of $36,000,000 was deposited into the Trust Account from the sale of the additional Units pursuant to the over-allotment option and the additional sale of Private Units, bringing the aggregate proceeds held in the Trust Account to $276,000,000.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costs amounted to $6,059,098, consisting of $5,520,000 of underwriting fees and $539,098 of other offering costs.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Units, although substantially all of the net proceeds are intended to be applied generally toward consummating a Business Combination. The Company’s Business Combination must be with one or more target businesses that together have a fair market value of at least 80% of the assets held in the Trust Account (excluding taxes payable on income earned on the Trust Account) at the time of the agreement to enter into a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($10.00 per Public Share, plus any pro rata interest earned on the funds held in the Trust Account and not previously released to the Company to pay its franchise and income tax obligations). There will be no redemption rights upon the completion of a Business Combination with respect to the Company’s warrants.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upon such consummation of a Business Combination and, solely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EarlyBirdCapital have agreed to vote their Founder Shares (as defined in Note 5), Private Shares (as defined in Note 4) and any Public Shares purchased after the Initial Public Offering in favor of approving a Business Combination and not to convert any shares in connection with a stockholder vote to approve a Business Combination or sell any shares to the Company in a tender offer in connection with a Business Combination. Additionally, each public stockholder may elect to redeem their Public Shares irrespective of whether they vote for or against the proposed transaction or do not vote at all.</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Sponsor and EarlyBirdCapital have agreed (a) to waive their rights to liquidating distributions from the Trust Account with respect to the Founder Shares and Private Shares if the Company fails to consummate a Business Combination and (b) not to propose an amendment to the Amended and Restated Certificate of Incorporation that would affect a public stockholders’ ability to convert or sell their shares to the Company in connection with a Business Combination or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had until December 7, 2020 to complete a Business Combination (the “Combination Period”). On December 3, 2020, the Company held a special meeting pursuant to which the Company’s stockholders approved extending the Combination Period from December 7, 2020 to April 30, 2021 (the “Extension Date”). In connection with the approval of the extension, stockholders elected to redeem an aggregate of 3,198 shares of the Company’s common stock. As a result, an aggregate of approximately $32,700 (or approximately $10.22 per share) was released from the Company’s Trust Account to pay such stockholders. Additionally, the Company has filed a preliminary proxy statement on March 12, 2021 seeking approval to further extend date for which the Company is required to complete a business combination to July 31, 2021.</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franchise and income taxes,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an agreement with the Company waiving any right, title, interest or claim of any kind they may have in or to any monies held in the Trust Account and except as to any claims under the Company’s indemnity of the underwriters of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Sponsor will have to indemnify the Trust Account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has principally financed its operations from inception using proceeds from the sale of its equity securities to its stockholders prior to the Initial Public Offering and such amount of proceeds from the Initial Public Offering that were placed in an account outside of the Trust Account for working capital purposes. As of December 31, 2020, the Company had $135,961 held outside of the Trust Account. As of April 20, 2020, the Sponsor committed to provide an aggregate of $500,000 in loans to the Company. The loans shall be non-interest bearing, unsecured and due upon the consummation of a Business Combination. In the event that a Business Combination does not close, the loans would be repaid only out of funds held outside the Trust Account to the extent such funds are available. Otherwise, all amounts loaned to the Company would be forgiven. On April 21, 2020, the Sponsor loaned the Company an aggregate of $200,000 (see Note 5).</w:t>
      </w:r>
    </w:p>
    <w:p>
      <w:pPr>
        <w:spacing w:after="0" w:line="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will need to raise further additional capital through loans or additional investments from its Sponsor, stockholders, officers, directors, or third parties. In addition to the loan commitment described herein (see Note 10),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April 30, 2021 (or July 31, 2021, if our stockholders approve an amendment to our amended and restated certificate of incorporation), the current date that the Company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4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0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 Held in Trust Account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December 31, 2020 and 2019, the assets held in the Trust Account were substantially held in U.S. Treasury Bills. During the year ended December 31, 2020 and 2019, the Company withdrew $479,473 and $938,000 of interest income from the Trust Account, respectively, to pay its franchise and income tax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common stock subject to possible redemption is presented at redemption value as temporary equity, outside of the stockholders’ equity section of the Company’s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March 27, 2020, the CARES Act was enacted in response to COVID-19 pandemic. Under ASC 740, the effects of changes in tax rates and laws are recognized in the period which the new legislation is enacted. The CARES Act made various tax law changes including among other things (i) increasing the limitation under Section 163(j) of the Internal Revenue Code of 1986, as amended (the “IRC”) for 2019 and 2020 to permit additional expensing of interest (ii) enacting a technical correction so that qualified improvement property can be immediately expensed under IRC Section 168(k),</w:t>
      </w:r>
    </w:p>
    <w:p>
      <w:pPr>
        <w:spacing w:after="0" w:line="1" w:lineRule="exact"/>
        <w:rPr>
          <w:sz w:val="20"/>
          <w:szCs w:val="20"/>
          <w:color w:val="auto"/>
        </w:rPr>
      </w:pPr>
    </w:p>
    <w:p>
      <w:pPr>
        <w:jc w:val="both"/>
        <w:ind w:firstLine="8"/>
        <w:spacing w:after="0" w:line="255" w:lineRule="auto"/>
        <w:tabs>
          <w:tab w:leader="none" w:pos="3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making modifications to the federal net operating loss rules including permitting federal net operating losses incurred in 2018, 2019, and 2020 to be carried back to the five preceding taxable years in order to generate a refund of previously paid income taxes and (iv) enhancing the recoverability of alternative minimum tax credits.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income (loss) per share is computed by dividing net income by the weighted-average number of shares of common stock outstanding during the period. The Company has not considered the effect of the warrants sold in the Public Offering and Private Placement to purchase an aggregate of 28,287,000 shares in the calculation of diluted loss per share, since the exercise of the warrants are contingent upon the occurrence of future events and the inclusion of such warrants would be anti-dilutive.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statement of operations includes a presentation of income per share for common shares subject to possible redemption in a manner similar to the two-class method of loss per share. Net income per common share, basic and diluted, for Common stock subject to possible redemption is calculated by dividing the proportionate share of income on marketable securities held by the Trust Account, net of applicable franchise and income taxes, by the weighted average number of Common stock subject to possible redemption outstanding since original issuance.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loss per share, basic and diluted, for non-redeemable common stock is calculated by dividing the net income, adjusted for income on marketable securities attributable to Common stock subject to possible redemption, by the weighted average number of non-redeemable common stock outstanding for the period.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Non-redeemable common stock includes Founder Shares and non-redeemable shares of common stock as these shares do not have any redemption features. Non-redeemable common stock participates in the income on marketable securities based on non-redeemable common stock shares’ proportionate interest.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i w:val="1"/>
                <w:iCs w:val="1"/>
                <w:color w:val="auto"/>
              </w:rPr>
              <w:t>Common stock subject to possible redemption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Numerator: Earnings allocable to Common stock subject to possible redemption</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2,605,038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4,827,854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9,570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126,682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Income and franchise taxes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(564,980)</w:t>
            </w: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(1,042,603)</w:t>
            </w:r>
          </w:p>
        </w:tc>
        <w:tc>
          <w:tcPr>
            <w:tcW w:w="0" w:type="dxa"/>
            <w:vAlign w:val="bottom"/>
          </w:tcPr>
          <w:p>
            <w:pPr>
              <w:spacing w:after="0"/>
              <w:rPr>
                <w:sz w:val="1"/>
                <w:szCs w:val="1"/>
                <w:color w:val="auto"/>
              </w:rPr>
            </w:pPr>
          </w:p>
        </w:tc>
      </w:tr>
      <w:tr>
        <w:trPr>
          <w:trHeight w:val="251"/>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income allocable to shares subject to possible redemption</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2,049,628</w:t>
            </w:r>
          </w:p>
        </w:tc>
        <w:tc>
          <w:tcPr>
            <w:tcW w:w="2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3,911,933</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Common stock subject to possible redemption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27,104,439</w:t>
            </w: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27,123,666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income per common share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Non-Redeemable 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Numerator Net Income minus Net Earnings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1,375,461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3,367,179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Less: Income attributable to common stock subject to possible redemption</w:t>
            </w:r>
          </w:p>
        </w:tc>
        <w:tc>
          <w:tcPr>
            <w:tcW w:w="2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(2,049,628)</w:t>
            </w: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(3,911,933)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Non-Redeemable Net Loss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(544,754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Denominator: Weighted Average Non-Redeemable Common Stock</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8,382,317</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7,927,608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820, “Fair Value Measurement,” approximates the carrying amounts represented in the accompanying balance sheets, primarily due to their short-term nature.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7, 2019, the Company consummated the Initial Public Offering and sold 24,000,000 units at a price of $10.00 per Unit. Each Unit consists of one share of common stock and one warrant (“Public Warrant”). On March 12, 2019, in connection with the underwriters’ exercise of the over-allotment option in full, the Company sold an additional 3,600,000 Units at a price of $10.00 per Unit. Each Public Warrant entitles the holder to purchase one share of common stock at a price of $11.50 per share, subject to adjustment (see Note 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64"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Simultaneously with the closing of the Initial Public Offering, the Sponsor and EarlyBirdCapital and its designee purchased an aggregate of 615,000 Private Units at a price of $10.00 per Private Unit, for an aggregate purchase price of $6,150,000. The Sponsor purchased 500,047 Private Units and EarlyBirdCapital and its designee purchased an aggregate of 114,953 Private Units. On March 12, 2019, in connection with the underwriters’ exercise of the over-allotment option in full, the purchasers purchased an aggregate of an additional 72,000 additional Private Units, of which 58,542 Private Units were purchased by the Sponsor and 13,458 Private Units were purchased by EarlyBirdCapital and its designee, for an aggregate purchase price of $720,000. Each Private Unit consists of one share of common stock (“Private Share”) and one warrant (“Private Warrant”). Each Private Warrant is exercisable to purchase one share of common stock at an exercise price of $11.50 per share, subject to adjustment (see Note 7). The proceeds from the Private Units were added to the proceeds from the Initial Public Offering held in the Trust Account. If the Company does not complete a Business Combination within the Combination Period, the proceeds from the sale of the Private Units will be used to fund the redemption of the Public Shares (subject to the requirements of applicable law), and the Private Units and all underlying securities will be worthless.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November 2018, the Sponsor purchased 5,750,000 shares (the “Founder Shares”) of the Company’s common stock for an aggregate price of $25,000. On March 5, 2019, the Company effected a stock dividend of 0.2 shares of common stock for each outstanding share (the “Stock Dividend”), resulting in 6,900,000 Founder Shares being issued and outstanding. The 6,900,000 Founder Shares included an aggregate of up to 900,000 shares subject to forfeiture by the Sponsor to the extent that the underwriters’ over-allotment was not exercised in full or in part, so that the holders of the Founder Shares would collectively own 20% of the Company’s issued and outstanding shares after the Initial Public Offering (assuming the holders did not purchase any Public Shares in the Initial Public Offering and excluding the Private Units and Representative Shares (see Note 7). In connection with the underwriters’ exercise of the over-allotment option in full on March 12, 2019, 900,000 Founder Shares are no longer subject to forfeiture.</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holders of the Founder Shares have agreed, subject to certain limited exceptions, not to transfer, assign or sell any of the Founder Shares until, with respect to 50% of the Founder Shares, the earlier of one year after the consummation of a Business Combination and the date on which the closing price of the common stock equals or exceeds $12.50 per share (as adjusted for stock splits, stock dividends, reorganizations, recapitalizations and the like) for any 20 trading days within a 30-trading day period commencing after a Business Combination and, with respect to the remaining 50% of the Founder Shares, until the one year after the consummation of a Business Combination, or earlier, in either case, if, subsequent to a Business Combination, the Company completes a liquidation, merger, stock exchange or other similar transaction which results in all of the Company’s stockholders having the right to exchange their shares of common stock for cash, securities or other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Units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Simultaneously with the consummation of the initial public offering, the Company consummated the private placement of 687,000 Private Units at a price of $10.00 per Private Unit, generating total proceeds of $6,870,000. The Private Units were sold to the Sponsor and EarlyBirdCapital and its designees. The Private Units are identical to the units sold in the initial public offering, except that the warrants underlying the Private Units are non-redeemable and may be exercised on a cashless basis, in each case so long as they continue to be held by the initial purchasers or their permitted transferees. The initial purchasers have agreed not to transfer, assign or sell any of the Private Units and underlying securities until after the completion of an initial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Vogel Partners, LLP, an affiliate of Mr. Vogel, has agreed that, until the earlier of the consummation of an initial business combination or Tuscan’s liquidation, it will make available to Tuscan certain general and administrative services, including office space, utilities and administrative support, as Tuscan may require from time to time. Tuscan has agreed to pay Vogel Partners, LLP $10,000 per month for these services. Tuscan believes, based on rents and fees for similar services in the New York City metropolitan area, that the fee charged by Vogel Partners, LLP is at least as favorable as it could have obtained from an unaffiliated person.. For the year ended December 31, 2020 and 2019, the Company incurred $120,000 and $100,000, respectively, in fees for these services. At December 31, 2020 and 2019, fees amounting to $10,000 and $0 is included in accounts payable and accrued expenses in the accompanying balance sheets.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from Related Party</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Company’s Chief Executive Officer advanced the Company an aggregate of $86,748 to be used for the payment of costs related to the Initial Public Offering. The advances were non-interest bearing, unsecured and due on demand. The advances were repaid upon the consummation of the Initial Public Offering on March 7,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Affiliate</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year ended December 31, 2020, an affiliate of the Company paid expenses on behalf of the Company that were mainly settled during the same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November 2018, the Company issued an unsecured promissory note to the Company’s Chief Executive Officer (the “Promissory Note”), pursuant to which the Company borrowed an aggregate principal amount of $90,342. The Promissory Note was non-interest bearing and payable on the earlier of (i) November 1, 2019, (ii) the consummation of the Initial Public Offering or (iii) the date on which the Company determines not to proceed with the Initial Public Offering. The Promissory Note was repaid upon the consummation of the Initial Public Offering on March 7,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certain of the Company’s officers and directors or their affiliates may, but are not obligated to, loan the Company funds as may be required (“Working Capital Loans”). If the Company completes a Business Combination, the Company will repay the Working Capital Loans out of the proceeds of the Trust Account released to the Company. Otherwise, the Working Capital Loans would be repaid only out of funds held outside the Trust Account to the extent such funds are available.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$1,500,000 of such Working Capital Loans may be convertible into units of the post Business Combination entity at a price of $10.00 per unit. The units would be identical to the Private Units.</w:t>
      </w:r>
    </w:p>
    <w:p>
      <w:pPr>
        <w:spacing w:after="0" w:line="9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April 20, 2020, the Sponsor committed to provide an aggregate of $500,000 in loans to the Company. The loans shall be non-interest bearing, unsecured and due upon the consummation of a Business Combination. In the event that a Business Combination does not close, the loans would be repaid only out of funds held outside the Trust Account to the extent such funds are available. Otherwise, all amounts loaned to the Company would be forgiven.</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21, 2020, the Company issued an unsecured promissory note to the Sponsor in the aggregate amount of $300,000 (the “Note”), of which $200,000 was drawn upon on such date. The Note is non-interest bearing and payable upon the consummation of a Business Combination. The Note is convertible, at the lender’s option, into units of the post Business Combination entity at a price of $10.00 per unit. The units would be identical to the Private Units. If a Business Combination is not consummated, the notes will not be repaid by the Company and all amounts owed thereunder by the Company will be forgiven except to the extent that the Company has funds available to it outside of its Trust Account. As of December 31, 2020, there was $200,000 outstanding under the Note.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Pursuant to a registration rights agreement entered into on March 7, 2019, the holders of the Founder Shares, Representative Shares, Private Units, and any units that may be issued upon conversion of Working Capital Loans (and all underlying securities) are entitled to registration rights. The holders of the majority of these securities are entitled to make up to two demands that the Company register such securities. The holders of the majority of the Founder Shares can elect to exercise these registration rights at any time commencing three months prior to the date on which the Founder Shares are to be released from escrow. The holders of a majority of the Representative Shares, Private Units or units issued in payment of working capital loans made to the Company (or underlying securities) can elect to exercise these registration rights at any time commencing after the Company consummates a Business Combination. Notwithstanding anything to the contrary, EarlyBirdCapital and its designee may only make a demand on one occasion and only during the five-year period beginning on the effective date of the Initial Public Offering. In addition, the holders have certain “piggy-back” registration rights with respect to registration statements filed subsequent to the consummation of a Business Combination; provided, however, that EarlyBirdCapital and its designee may participate in a “piggy-back” registration only during the seven-year period beginning on the effective date of the Initial Public Offering. The Company will bear the expenses incurred in connection with the filing of any such registration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has engaged EarlyBirdCapital as an advisor in connection with a Business Combination to assist the Company in holding meetings with its shareholders to discuss the potential Business Combination and the target business’ attributes, introduce the Company to potential investors that are interested in purchasing the Company’s securities in connection with a Business Combination, assist the Company in obtaining shareholder approval for the Business Combination and assist the Company with its press releases and public filings in connection with the Business Combination. The Company will pay EarlyBirdCapital a cash fee for such services upon the consummation of a Business Combination in an amount equal to $9,660,000 (exclusive of any applicable finders’ fees which might become payable); provided that up to 30% of the fee may be allocated at the Company’s sole discretion to other FINRA members that assist the Company in identifying and consummating a Business Combination.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Engagement of Morgan Stanley</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engaged Morgan Stanley &amp; Co. LLC (“Morgan Stanley”) to provide financial advisory services in connection with the Microvast business combination, and, upon consummation of the transaction with Microvast, we must pay that firm a transaction fee of $5.5 million, plus expenses. Morgan Stanley also acted as placement agent in connection with the PIPE Financing, and we are obligated to pay Morgan Stanley a placement fee equal to (i) 3.5% of the sum of (x) the aggregate gross proceeds raised in the PIPE Financing up to $300 million (not including funds from the sale of certain excluded securities) and</w:t>
      </w:r>
    </w:p>
    <w:p>
      <w:pPr>
        <w:spacing w:after="0" w:line="2" w:lineRule="exact"/>
        <w:rPr>
          <w:sz w:val="20"/>
          <w:szCs w:val="20"/>
          <w:color w:val="auto"/>
        </w:rPr>
      </w:pPr>
    </w:p>
    <w:p>
      <w:pPr>
        <w:ind w:right="440" w:firstLine="8"/>
        <w:spacing w:after="0" w:line="233"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borrowings pursuant to a bridge financing provided in connection with the proposed business combination by investors introduced by Morgan Stanley, and (ii) 2.5% of the aggregate gross proceeds raised in the PIPE Financing above $300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 rights and preferences as may be determined from time to time by the Company’s board of directors. At December 31, 2020 and 2019, there were no shares of preferred stock issued or outstanding.</w:t>
      </w:r>
    </w:p>
    <w:p>
      <w:pPr>
        <w:spacing w:after="0" w:line="9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Common Stock — </w:t>
      </w:r>
      <w:r>
        <w:rPr>
          <w:rFonts w:ascii="Arial" w:cs="Arial" w:eastAsia="Arial" w:hAnsi="Arial"/>
          <w:sz w:val="17"/>
          <w:szCs w:val="17"/>
          <w:color w:val="auto"/>
        </w:rPr>
        <w:t>The Company is authorized to issue 65,000,000 shares of common stock with a par value of $0.0001 per share. Holders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are entitled to one vote for each share. At December 31, 2020 and 2019, there were 8,396,246 and 8,360,523 shares of common stock issued and outstanding, excluding 27,087,556 and 27,126,477 shares of common stock subject to possible redemption, respectively.</w:t>
      </w:r>
    </w:p>
    <w:p>
      <w:pPr>
        <w:spacing w:after="0" w:line="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Warrants — </w:t>
      </w:r>
      <w:r>
        <w:rPr>
          <w:rFonts w:ascii="Arial" w:cs="Arial" w:eastAsia="Arial" w:hAnsi="Arial"/>
          <w:sz w:val="16"/>
          <w:szCs w:val="16"/>
          <w:color w:val="auto"/>
        </w:rPr>
        <w:t>The Public Warrants will become exercisable 30 days after the completion of a Business Combination. No warrants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Once the Public Warrants become exercisable, the Company may redeem the Public Warrants:</w:t>
      </w:r>
    </w:p>
    <w:p>
      <w:pPr>
        <w:spacing w:after="0" w:line="144" w:lineRule="exact"/>
        <w:rPr>
          <w:sz w:val="20"/>
          <w:szCs w:val="20"/>
          <w:color w:val="auto"/>
        </w:rPr>
      </w:pPr>
    </w:p>
    <w:p>
      <w:pPr>
        <w:ind w:left="1000" w:hanging="33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44" w:lineRule="exact"/>
        <w:rPr>
          <w:rFonts w:ascii="Arial" w:cs="Arial" w:eastAsia="Arial" w:hAnsi="Arial"/>
          <w:sz w:val="18"/>
          <w:szCs w:val="18"/>
          <w:color w:val="auto"/>
        </w:rPr>
      </w:pPr>
    </w:p>
    <w:p>
      <w:pPr>
        <w:ind w:left="1000" w:hanging="33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44" w:lineRule="exact"/>
        <w:rPr>
          <w:rFonts w:ascii="Arial" w:cs="Arial" w:eastAsia="Arial" w:hAnsi="Arial"/>
          <w:sz w:val="18"/>
          <w:szCs w:val="18"/>
          <w:color w:val="auto"/>
        </w:rPr>
      </w:pPr>
    </w:p>
    <w:p>
      <w:pPr>
        <w:ind w:left="1000" w:hanging="33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w:t>
      </w:r>
    </w:p>
    <w:p>
      <w:pPr>
        <w:spacing w:after="0" w:line="144" w:lineRule="exact"/>
        <w:rPr>
          <w:rFonts w:ascii="Arial" w:cs="Arial" w:eastAsia="Arial" w:hAnsi="Arial"/>
          <w:sz w:val="18"/>
          <w:szCs w:val="18"/>
          <w:color w:val="auto"/>
        </w:rPr>
      </w:pPr>
    </w:p>
    <w:p>
      <w:pPr>
        <w:ind w:left="1000" w:right="20" w:hanging="331"/>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common stock equals or exceeds $18.00 per share for any 20 trading days within a 30-trading day period ending on the third business day prior to the notice of redemption to the warrant holders; and</w:t>
      </w:r>
    </w:p>
    <w:p>
      <w:pPr>
        <w:spacing w:after="0" w:line="65" w:lineRule="exact"/>
        <w:rPr>
          <w:rFonts w:ascii="Arial" w:cs="Arial" w:eastAsia="Arial" w:hAnsi="Arial"/>
          <w:sz w:val="17"/>
          <w:szCs w:val="17"/>
          <w:color w:val="auto"/>
        </w:rPr>
      </w:pPr>
    </w:p>
    <w:p>
      <w:pPr>
        <w:ind w:left="1000" w:hanging="331"/>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the warrants.</w:t>
      </w:r>
    </w:p>
    <w:p>
      <w:pPr>
        <w:spacing w:after="0" w:line="1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8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Private Warrants are identical to the Public Warrants underlying the Units sold in the Initial Public Offering, except that the Private Warrants will be exercisable for cash or on a cashless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Initial Public Offering.</w:t>
      </w:r>
    </w:p>
    <w:p>
      <w:pPr>
        <w:spacing w:after="0" w:line="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an initial Business Combination at an issue price or effective issue price of less than $9.50 per share of common stock (with such issue price or effective issue price to be determined in good faith by the Company’s board of directors, and in the case of any such issuance to our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an initial Business Combination on the date of the consummation of an initial Business Combination (net of redemptions), and (z) the volume weighted average trading price of the common stock during the 20 trading day period starting on the trading day prior to the day on which the Company consummated an initial Business Combination (such price, the “Market Value”) is below $9.50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929"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Representative Shares</w:t>
      </w:r>
    </w:p>
    <w:p>
      <w:pPr>
        <w:spacing w:after="0" w:line="14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November 2018, the Company issued to the designees of EarlyBirdCapital, for a nominal consideration, 300,000 shares (after giving effect to the Stock Dividend) of common stock (the “Representative Shares”). The Company accounted for the Representative Shares as an offering cost of the Initial Public Offering, with a corresponding credit to stockholders’ equity. The Company estimated the fair value of Representative Shares to be $1,200 based upon the price of the Founder Shares issued to the Sponsor. The holders of the Representative Shares have agreed not to transfer, assign or sell any such shares until the completion of a Business Combination. In addition, the holders have agreed (i) to waive their redemption rights (or to sell any shares in a tender offer)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effective date of the registration statement related to the Initial Public Offering pursuant to Rule 5110(g)(1) of FINRA’s NASD Conduct Rules. Pursuant to FINRA Rule 5110(g)(1), these securities will not be the subject of any hedging, short sale, derivative, put or call transaction that would result in the economic disposition of the securities by any person for a period of 180 days immediately following March 5, 2019 (“FINRA Restricted Period”), nor may they be sold, transferred, assigned, pledged or hypothecated during the FINRA Restricted Period except to any underwriter and selected dealer participating in the Initial Public Offering and their bona fide officers or partners.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8. INCOME TAX</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680" w:type="dxa"/>
            <w:vAlign w:val="bottom"/>
          </w:tcPr>
          <w:p>
            <w:pPr>
              <w:ind w:left="660"/>
              <w:spacing w:after="0"/>
              <w:rPr>
                <w:sz w:val="20"/>
                <w:szCs w:val="20"/>
                <w:color w:val="auto"/>
              </w:rPr>
            </w:pPr>
            <w:r>
              <w:rPr>
                <w:rFonts w:ascii="Arial" w:cs="Arial" w:eastAsia="Arial" w:hAnsi="Arial"/>
                <w:sz w:val="18"/>
                <w:szCs w:val="18"/>
                <w:color w:val="auto"/>
              </w:rPr>
              <w:t>The Company’s net deferred tax liability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8680" w:type="dxa"/>
            <w:vAlign w:val="bottom"/>
          </w:tcPr>
          <w:p>
            <w:pPr>
              <w:spacing w:after="0"/>
              <w:rPr>
                <w:sz w:val="24"/>
                <w:szCs w:val="24"/>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(21,468)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(27,069)</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deferred tax liability</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(21,468)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(27,069)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tax liability</w:t>
            </w: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(21,468</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(27,069</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660"/>
              <w:spacing w:after="0"/>
              <w:rPr>
                <w:sz w:val="20"/>
                <w:szCs w:val="20"/>
                <w:color w:val="auto"/>
              </w:rPr>
            </w:pPr>
            <w:r>
              <w:rPr>
                <w:rFonts w:ascii="Arial" w:cs="Arial" w:eastAsia="Arial" w:hAnsi="Arial"/>
                <w:sz w:val="18"/>
                <w:szCs w:val="18"/>
                <w:color w:val="auto"/>
              </w:rPr>
              <w:t>The income tax provision consists of the following:</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8680" w:type="dxa"/>
            <w:vAlign w:val="bottom"/>
          </w:tcPr>
          <w:p>
            <w:pPr>
              <w:spacing w:after="0"/>
              <w:rPr>
                <w:sz w:val="24"/>
                <w:szCs w:val="24"/>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372,365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868,182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(5,601)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27,069</w:t>
            </w:r>
          </w:p>
        </w:tc>
        <w:tc>
          <w:tcPr>
            <w:tcW w:w="0" w:type="dxa"/>
            <w:vAlign w:val="bottom"/>
          </w:tcPr>
          <w:p>
            <w:pPr>
              <w:spacing w:after="0"/>
              <w:rPr>
                <w:sz w:val="1"/>
                <w:szCs w:val="1"/>
                <w:color w:val="auto"/>
              </w:rPr>
            </w:pPr>
          </w:p>
        </w:tc>
      </w:tr>
      <w:tr>
        <w:trPr>
          <w:trHeight w:val="135"/>
        </w:trPr>
        <w:tc>
          <w:tcPr>
            <w:tcW w:w="8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 and Local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8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366,764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895,251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and 2019, the Company did not have any of U.S. federal and state net operating loss carryovers available to offset future taxable income.</w:t>
      </w:r>
    </w:p>
    <w:p>
      <w:pPr>
        <w:sectPr>
          <w:pgSz w:w="11900" w:h="16838" w:orient="portrait"/>
          <w:cols w:equalWidth="0" w:num="1">
            <w:col w:w="11240"/>
          </w:cols>
          <w:pgMar w:left="320" w:top="877" w:right="339" w:bottom="1440" w:gutter="0" w:footer="0" w:header="0"/>
        </w:sectPr>
      </w:pPr>
    </w:p>
    <w:p>
      <w:pPr>
        <w:spacing w:after="0" w:line="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federal income tax rate to the Company’s effective tax rate is as follows: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State taxes, net of federal tax benefit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7"/>
        </w:trPr>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21.0%</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21.0%</w:t>
            </w:r>
          </w:p>
        </w:tc>
      </w:tr>
      <w:tr>
        <w:trPr>
          <w:trHeight w:val="251"/>
        </w:trPr>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0.0%</w:t>
            </w:r>
          </w:p>
        </w:tc>
      </w:tr>
      <w:tr>
        <w:trPr>
          <w:trHeight w:val="250"/>
        </w:trPr>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7880" w:space="720"/>
            <w:col w:w="2640"/>
          </w:cols>
          <w:pgMar w:left="320" w:top="877" w:right="339" w:bottom="1440" w:gutter="0" w:footer="0" w:header="0"/>
          <w:type w:val="continuous"/>
        </w:sectPr>
      </w:pPr>
    </w:p>
    <w:p>
      <w:pPr>
        <w:jc w:val="both"/>
        <w:ind w:firstLine="648"/>
        <w:spacing w:after="0" w:line="263" w:lineRule="auto"/>
        <w:rPr>
          <w:sz w:val="20"/>
          <w:szCs w:val="20"/>
          <w:color w:val="auto"/>
        </w:rPr>
      </w:pPr>
      <w:r>
        <w:rPr>
          <w:rFonts w:ascii="Arial" w:cs="Arial" w:eastAsia="Arial" w:hAnsi="Arial"/>
          <w:sz w:val="18"/>
          <w:szCs w:val="18"/>
          <w:color w:val="auto"/>
        </w:rPr>
        <w:t>The Company files income tax returns in the U.S. federal jurisdiction and is subject to examination by the various taxing authorities. The Company’s tax returns since inception remain open to examination by the taxing authorities. The Company considers New York to be a significant state tax jurisdiction.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340" w:right="20" w:hanging="661"/>
        <w:spacing w:after="0" w:line="308"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6" w:lineRule="exact"/>
        <w:rPr>
          <w:sz w:val="20"/>
          <w:szCs w:val="20"/>
          <w:color w:val="auto"/>
        </w:rPr>
      </w:pPr>
    </w:p>
    <w:p>
      <w:pPr>
        <w:ind w:left="1340" w:right="20" w:hanging="661"/>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2019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$ 282,254,978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$ 280,103,245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Business Combination</w:t>
      </w:r>
    </w:p>
    <w:p>
      <w:pPr>
        <w:spacing w:after="0" w:line="14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February 1, 2021, Tuscan entered into an agreement and plan of merger (the “Merger Agreement”) with Microvast, Inc., a Delaware corporation (“Microvast”) and Merger Sub. Pursuant to the Merger Agreement, Merger Sub will merge with and into Microvast and Microvast will survive the merger and become a wholly owned subsidiary of Tuscan. Under the Merger Agreement, all of the equity interests of Microvast will be converted into an aggregate of 210,000,000 shares of common stock (“closing shares”). The Microvast shareholders and the investors in Microvast’s majority-owned subsidiary, Microvast Power System (Houzhou) Co. Ltd. (“MPS”), will also have the ability to earn an additional 20,000,000 shares of common stock (“earnout shares”) if the daily volume weighted average price of the common stock is greater than or equal to $18.00 for any 20 trading days within a 30 trading day period (or a change of control occurs that results in the holders of common stock receiving a per share price equal to or in excess of $18.00), during the period commencing on the closing date and ending on the third anniversary of the closing date. Concurrently with the execution of the Merger Agreement, Tuscan and Microvast will jointly acquire 100% ownership of MPS and will discharge certain convertible loans of MPS.</w:t>
      </w:r>
    </w:p>
    <w:p>
      <w:pPr>
        <w:spacing w:after="0" w:line="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Merger will be accounted for as a reverse recapitalization in accordance with accounting principles generally accepted in the United States of America (“U.S. GAAP”). Under this method of accounting, Tuscan will be treated as the “acquired” company for accounting purposes and the Business Combination will be treated as the equivalent of Microvast issuing stock for the net assets of Tuscan, accompanied by a recapitalization. The net assets of Tuscan will be stated at historical cost, with no goodwill or other intangible assets recorded.</w:t>
      </w:r>
    </w:p>
    <w:p>
      <w:pPr>
        <w:spacing w:after="0" w:line="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the Merger Agreement provides that Tuscan will issue an aggregate of 6,736,111 shares of common stock upon conversion (the “Bridge Notes Conversion”) of an aggregate of $57,500,000 outstanding promissory notes issued by Microvast.</w:t>
      </w:r>
    </w:p>
    <w:p>
      <w:pPr>
        <w:spacing w:after="0" w:line="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Further, on February 1, 2021, Tuscan, the Sponsor, Microvast and certain stockholders of Tuscan entered into the Sponsor Support Agreement (the “Sponsor Support Agreement”), pursuant to which the Sponsor and certain officers and directors of Tuscan (collectively, the “Sponsor Group”) agreed, among other things, to vote all equity interests of Tuscan held by such member of the Sponsor Group in favor of the approval and adoption of the proposed business combination with Microvast. Additionally, such members of the Sponsor Group have agreed not to (a) transfer any of their equity interests in the Company (or enter into any arrangement with respect thereto) other than as set forth therein or (b) exercise any conversion rights of any equity interests held by such member of the Sponsor Group in connection with the approval of the proposed business combination.</w:t>
      </w:r>
    </w:p>
    <w:p>
      <w:pPr>
        <w:spacing w:after="0" w:line="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Sponsor also agreed that, to the extent that certain expenses of Tuscan are in excess of $46,000,000 (unless such expenses shall have been approved by Microvast), the Sponsor will either (i) pay any such excess amount in cash or (ii) forfeit to Tuscan such number of shares of common stock held by the Sponsor that would have a value equal to such excess. The Sponsor also agreed to amend the escrow agreement to make certain adjustments to the terms of the escrow of its shares of common stock as set forth in the Sponsor Support Agreement.</w:t>
      </w:r>
    </w:p>
    <w:p>
      <w:pPr>
        <w:spacing w:after="0" w:line="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Contemporaneously with the execution of the Merger Agreement, certain investors entered into subscription agreements (the “Subscription Agreements”), pursuant to which such investors subscribed for an aggregate value of $482,500,000, representing 48,250,000 shares of Tuscan common stock at a purchase price of $10.00 per share in a private placement (the “PIPE Financing”) to be consummated immediately prior to the consummation of the Transactions. Affiliates of InterPrivate, a co-sponsor of Tuscan, subscribed to purchase 6.5 million shares in the PIPE Financing for an aggregate purchase price of $65 million.</w:t>
      </w:r>
    </w:p>
    <w:p>
      <w:pPr>
        <w:spacing w:after="0" w:line="1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Immediately following the Closing, the former equityholders of Microvast will hold approximately 69.9% of the issued and outstanding shares of common stock and the current stockholders of Tuscan will hold approximately 9.2% of the issued and outstanding shares of common stock, which pro forma ownership (1) assumes no holder of the common stock sold in Tuscan’s initial public offering (such persons, the “Public Stockholders”) exercises its conversion rights in connection with the business combination, and (2) reflects the issuance of an aggregate of 48,250,000 shares of Common Stock in the PIPE Financing and 6,736,111 shares of common stock in the Bridge Notes Conversion, but does not include the effect of any other financing of Tuscan. If the maximum number of Public Shares are converted into cash such that Microvast does not have the right to terminate the Merger Agreement (i.e., Tuscan has at least $5,000,001 of net tangible assets immediately prior to or upon consummation of the business combination), such percentages will be approximately 76.8% and 0.2%, respectively.</w:t>
      </w:r>
    </w:p>
    <w:p>
      <w:pPr>
        <w:spacing w:after="0" w:line="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Consummation of the proposed business combination is subject to customary conditions and covenants of the respective parties, including approval of Tuscan’s stockholders and Tuscan having available cash of at least $250,000,000.</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Extension Amendment</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12, 2021, Tuscan filed a preliminary proxy statement seeking approval from its stockholders to amend Tuscan’s charter to extend the date by which Tuscan is required to complete its initial business combination from April 30, 2021 to July 31, 2021 and to hold an annual meeting for the election of directors in accordance with Nasdaq listing rules.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Nasdaq Compliance</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6, 2021, we received a notice from the Listing Qualifications Department of The Nasdaq Stock Market stating that we failed to hold an Annual Meeting of stockholders within 12 months after our fiscal year ended December 31, 2019, as required by Nasdaq Listing Rule 5620(a). In accordance with Nasdaq Listing Rule 5810(c)(2)(G), we submitted a plan to regain compliance on February 4, 2021. Nasdaq accepted our plan and granted us an extension through June 29, 2021 to hold an annual meeting. Nasdaq’s decision is subject to certain conditions, including that we provide periodic updates with respect to our proposed business combination with Microvast.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Commitment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February 12, 2021, the Sponsor extended a loan to Tuscan in the aggregate principal amount totaling $1.2 million, of which $400,000 was drawn upon on such date. This loan was in addition to the previous $200,000 drawn upon the $300,000 convertible note that was committed by the Sponsor on April 21, 2020. As a result of the February 12, 2021 commitment, the Sponsor had committed to Tuscan a total of $1.5 million, of which a total of $600,000 has been drawn upon, with $400,000 of the drawn amount pursuant to the February 12, 2021 note. The Sponsor intends to convert the $1.5 million total loan balance into 150,000 Units immediately prior to the closing of the proposed business combination with Microvast. Such units will have terms identical to the terms of the Company’s Private Units and will consist of (i) 150,000 shares of common stock and (ii) warrants to purchase 150,000 shares of common stock at an exercise price of $11.50 per share, subject to adjustment.</w:t>
      </w:r>
    </w:p>
    <w:p>
      <w:pPr>
        <w:sectPr>
          <w:pgSz w:w="11900" w:h="16838" w:orient="portrait"/>
          <w:cols w:equalWidth="0" w:num="1">
            <w:col w:w="11240"/>
          </w:cols>
          <w:pgMar w:left="320" w:top="877" w:right="339" w:bottom="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REGISTRANT’S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summary of Tuscan Holdings Corp.’s securities is based on and qualified by the Company’s Amended and Restated Articles of Incorporation (the “Charter”). References to the “Company” and to “we,” “us,” and “our” refer to Tuscan Holdings Corp.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authorized to issue 65,000,000 shares of common stock, par value $0.0001, and 1,000,000 shares of preferred stock, par value $0.0001.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are no shares of preferred stock currently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Composition. </w:t>
      </w:r>
      <w:r>
        <w:rPr>
          <w:rFonts w:ascii="Arial" w:cs="Arial" w:eastAsia="Arial" w:hAnsi="Arial"/>
          <w:sz w:val="16"/>
          <w:szCs w:val="16"/>
          <w:color w:val="auto"/>
        </w:rPr>
        <w:t>Each unit consists of one share of common stock and one warrant. Each warrant entitles the holder to purchase one share of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The units are listed on the Nasdaq Capital Market under the symbol “THCBU.”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Authorization. </w:t>
      </w:r>
      <w:r>
        <w:rPr>
          <w:rFonts w:ascii="Arial" w:cs="Arial" w:eastAsia="Arial" w:hAnsi="Arial"/>
          <w:sz w:val="18"/>
          <w:szCs w:val="18"/>
          <w:color w:val="auto"/>
        </w:rPr>
        <w:t>The outstanding shares of the Company’s common stock are duly authorized, validly issued, fully paid and nonassessable.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The Company’s common stock is listed on the Nasdaq Capital Market under the symbol “THCB.”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Common stockholders of record are entitled to one vote for each share held on all matters to be voted on by 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Tuscan Holdings Acquisition LLC, our sponsor (“Sponsor”), as well as all of our officers and directors, have agreed to vote their respective shares of common stock owned by them immediately prior to our initial public offering (the “founder’s common stock”) and any shares purchased following the initial public offering in the open market in favor of any proposed business combination.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Conversion Rights</w:t>
      </w:r>
      <w:r>
        <w:rPr>
          <w:rFonts w:ascii="Arial" w:cs="Arial" w:eastAsia="Arial" w:hAnsi="Arial"/>
          <w:sz w:val="17"/>
          <w:szCs w:val="17"/>
          <w:color w:val="auto"/>
        </w:rPr>
        <w:t>. Holders of common stock issued in the Company’s initial public offering (which we refer to as “public shares”) have the right to</w:t>
      </w:r>
      <w:r>
        <w:rPr>
          <w:rFonts w:ascii="Arial" w:cs="Arial" w:eastAsia="Arial" w:hAnsi="Arial"/>
          <w:sz w:val="17"/>
          <w:szCs w:val="17"/>
          <w:i w:val="1"/>
          <w:iCs w:val="1"/>
          <w:color w:val="auto"/>
        </w:rPr>
        <w:t xml:space="preserve"> </w:t>
      </w:r>
      <w:r>
        <w:rPr>
          <w:rFonts w:ascii="Arial" w:cs="Arial" w:eastAsia="Arial" w:hAnsi="Arial"/>
          <w:sz w:val="17"/>
          <w:szCs w:val="17"/>
          <w:color w:val="auto"/>
        </w:rPr>
        <w:t>demand that the Company convert such shares into a pro rata portion of the Company’s trust account upon the consummation of our initial business combination, either in connection with a stockholder meeting called to approve the business combination or by means of a tender offer.</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We intend to conduct redemptions without a stockholder vote pursuant to the tender offer rules of the Securities and Exchange Commission (“SEC”) unless stockholder approval is required by law or stock exchange listing requirement or we choose to seek stockholder approval for business or other legal reasons.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Charter, conduct the redemptions pursuant to the tender offer rules of the SEC, and file tender offer documents with the SEC prior to consummating our initial business combination. Our Charter requires these tender offer documents to contain substantially the same financial and other information about the initial business combination and the redemption rights as is required under the SEC’s proxy rules. If, however, stockholder approval of the transaction is required by law or Nasdaq, or we decide to obtain stockholder approval for business or other reasons, we will, like many blank check companies, offer to redeem shares in conjunction with a proxy solicitation pursuant to the proxy rules and not pursuant to the tender offer rules. If we seek stockholder approval, we will consummate our initial business combination only if a majority of the outstanding shares of common stock voted are voted in favor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spacing w:after="0" w:line="270" w:lineRule="auto"/>
        <w:rPr>
          <w:sz w:val="20"/>
          <w:szCs w:val="20"/>
          <w:color w:val="auto"/>
        </w:rPr>
      </w:pPr>
      <w:r>
        <w:rPr>
          <w:rFonts w:ascii="Arial" w:cs="Arial" w:eastAsia="Arial" w:hAnsi="Arial"/>
          <w:sz w:val="17"/>
          <w:szCs w:val="17"/>
          <w:i w:val="1"/>
          <w:iCs w:val="1"/>
          <w:color w:val="auto"/>
        </w:rPr>
        <w:t>Outside Date</w:t>
      </w:r>
      <w:r>
        <w:rPr>
          <w:rFonts w:ascii="Arial" w:cs="Arial" w:eastAsia="Arial" w:hAnsi="Arial"/>
          <w:sz w:val="17"/>
          <w:szCs w:val="17"/>
          <w:color w:val="auto"/>
        </w:rPr>
        <w:t>. Pursuant to our Charter, if we do not consummate an initial business combination by April 30, 2021 (unless such date is extended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pursuant to an amendment to our Charter), our corporate existence will cease except for the purposes of winding up our affairs and liquidating and we will redeem 100% of our outstanding public shares for a pro rata portion of the funds held in the trust account, equal to the aggregate amount then on deposit in the trust account including interest earned on the funds held in the trust account and not previously released to us, divided by the number of then outstanding public shares, subject to applicable law and as further described herein. Our Sponsor, officers and directors have agreed to waive their rights to participate in any liquidation distribution from the trust account occurring upon our failure to consummate an initial business combination with respect to the founder’s common stock. Our Sponsor, officers and directors will therefore not participate in any liquidation distribution from the trust account with respect to such shares. They will, however, participate in any liquidation distribution from the trust account with respect to any shares of common stock acquired after our IPO.</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seek to amend any provisions of our Charter that would affect our public stockholders’ ability to convert their shares in connection with a business combination or affect the substance or timing of our obligation to redeem 100% of our public shares if we do not complete a business combination by the required date set forth in our Charter, we will provide public stockholders with the opportunity to convert their public shares in connection with any such vote. This conversion right shall apply in the event of the approval of any such amendment, whether proposed by our Sponsor, any executive officer, director or director nominee, or any other person.</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Preemptive Rights. </w:t>
      </w:r>
      <w:r>
        <w:rPr>
          <w:rFonts w:ascii="Arial" w:cs="Arial" w:eastAsia="Arial" w:hAnsi="Arial"/>
          <w:sz w:val="17"/>
          <w:szCs w:val="17"/>
          <w:color w:val="auto"/>
        </w:rPr>
        <w:t>Our stockholders have no conversion, preemptive or other subscription rights and there are no sinking fund or redemption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the shares of common stock, except that public stockholders have the right to sell their shares to us in a tender offer or have their shares of common stock converted to cash equal to their pro rata share of the trust account if they vote on the proposed business combination in connection with such business combination and the business combination is completed. Public stockholders who sell or convert their stock into their share of the trust account still have the right to exercise the warrants that they received as part of the units.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We have not paid any cash dividends on our shares of common stock to date and do not intend to pay cash dividends prior to the completion of a</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no shares of preferred stock outstanding. Our Charter authorizes the issuance of 1,000,000 shares of preferred stock with such designation, rights and preferences as may be determined from time to time by our board of directors.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a business combination. We may issue some or all of the preferred stock to effect a business combination.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Company’s warrants are listed on the Nasdaq Capital Market under the symbol “THCBW.”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Each warrant entitles the registered holder to purchase one share of common stock during the exercise period. No fractional shares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upon exercise of the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$11.50 per share, subject to adjustment.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if (x) we issue additional shares of common stock or equity-linked securities for capital raising purposes in connection with the closing of our initial business combination at an issue price or effective issue price of less than $9.50 per share of common stock (with such issue price or effective issue price to be determined in good faith by our board of directors, and in the case of any such issuance to our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$9.50 per share, the exercise price of the warrants will be adjusted (to the nearest cent) to be equal to 115% of the greater of (i) the Market Value or (ii) the price at which we issue the additional shares of common stock or equity-linked securities. The “Market Value” for this purpose means the volume weighted average trading price of our common stock during the 20 trading day period starting on the trading day prior to the day on which we consummate our initial business combination.</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Exercise Period. </w:t>
      </w:r>
      <w:r>
        <w:rPr>
          <w:rFonts w:ascii="Arial" w:cs="Arial" w:eastAsia="Arial" w:hAnsi="Arial"/>
          <w:sz w:val="17"/>
          <w:szCs w:val="17"/>
          <w:color w:val="auto"/>
        </w:rPr>
        <w:t>The warrants will become exercisable commencing 30 days after the completion of an initial business combination. The warrants will</w:t>
      </w:r>
      <w:r>
        <w:rPr>
          <w:rFonts w:ascii="Arial" w:cs="Arial" w:eastAsia="Arial" w:hAnsi="Arial"/>
          <w:sz w:val="17"/>
          <w:szCs w:val="17"/>
          <w:i w:val="1"/>
          <w:iCs w:val="1"/>
          <w:color w:val="auto"/>
        </w:rPr>
        <w:t xml:space="preserve"> </w:t>
      </w:r>
      <w:r>
        <w:rPr>
          <w:rFonts w:ascii="Arial" w:cs="Arial" w:eastAsia="Arial" w:hAnsi="Arial"/>
          <w:sz w:val="17"/>
          <w:szCs w:val="17"/>
          <w:color w:val="auto"/>
        </w:rPr>
        <w:t>expire five years after the consummation of our initial business combination, at 5:00 p.m., New York time, or earlier upon our liquidation.</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a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included in the units issued privately concurrently with our IPO (the “private warrants”), as well as any warrants underlying additional units we issue to our Sponsor, officers, directors or their affiliates in payment of working capital loans made to us, will be identical to the warrants underlying the units offered in our IPO except that such warrants will be exercisable for cash or on a cashless basis, at the holder’s option, and will not be redeemable by us, in each case so long as they are still held by our Sponsor or its permitted transferees.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spacing w:after="0" w:line="272" w:lineRule="auto"/>
        <w:rPr>
          <w:sz w:val="20"/>
          <w:szCs w:val="20"/>
          <w:color w:val="auto"/>
        </w:rPr>
      </w:pPr>
      <w:r>
        <w:rPr>
          <w:rFonts w:ascii="Arial" w:cs="Arial" w:eastAsia="Arial" w:hAnsi="Arial"/>
          <w:sz w:val="17"/>
          <w:szCs w:val="17"/>
          <w:i w:val="1"/>
          <w:iCs w:val="1"/>
          <w:color w:val="auto"/>
        </w:rPr>
        <w:t xml:space="preserve">Redemption. </w:t>
      </w:r>
      <w:r>
        <w:rPr>
          <w:rFonts w:ascii="Arial" w:cs="Arial" w:eastAsia="Arial" w:hAnsi="Arial"/>
          <w:sz w:val="17"/>
          <w:szCs w:val="17"/>
          <w:color w:val="auto"/>
        </w:rPr>
        <w:t>We may call the warrants for redemption (excluding the private warrants and any warrants underlying additional units issued to our Sponsor,</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stockholders, officers, directors or their affiliates in payment of working capital loans made to us), in whole and not in part, at a price of $0.01 per warrant, (i) at any time after the warrants become exercisable, (ii) upon not less than 30 days’ prior written notice of redemption to each warrant holder after the warrants become exercisable, (iii) 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 (iv) if, and only if, there is a current registration statement in effect with respect to the shares of common stock underlying such warrants.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Fractional Shares. </w:t>
      </w:r>
      <w:r>
        <w:rPr>
          <w:rFonts w:ascii="Arial" w:cs="Arial" w:eastAsia="Arial" w:hAnsi="Arial"/>
          <w:sz w:val="18"/>
          <w:szCs w:val="18"/>
          <w:color w:val="auto"/>
        </w:rPr>
        <w:t>No fractional shares will be issued upon exercise of the warrants. If, upon exercise of the warrants, a holder would be entitled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 fractional interest in a share, we will, upon exercise, round up to the nearest whole number the number of shares of common stock to be issued to the warrant 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the Charter and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Staggered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 As a result, in most circumstances, a person can gain control of our board only by successfully engaging in a proxy contest at two or more annual meetings.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 of Stockholders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bylaws provide that special meetings of our stockholders may be called only by a majority vote of our board of directors, by our president or by our chairman or by our secretary at the request in writing of stockholders owning a majority of our issued and outstanding capital stock entitled to vote.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w:t>
      </w:r>
    </w:p>
    <w:p>
      <w:pPr>
        <w:jc w:val="both"/>
        <w:spacing w:after="0" w:line="234" w:lineRule="auto"/>
        <w:rPr>
          <w:sz w:val="20"/>
          <w:szCs w:val="20"/>
          <w:color w:val="auto"/>
        </w:rPr>
      </w:pPr>
      <w:r>
        <w:rPr>
          <w:rFonts w:ascii="Arial" w:cs="Arial" w:eastAsia="Arial" w:hAnsi="Arial"/>
          <w:sz w:val="16"/>
          <w:szCs w:val="16"/>
          <w:color w:val="auto"/>
        </w:rPr>
        <w:t>delivered to our principal executive offices not later than the close of business on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scheduled date of the annual meeting of stockholders. In the event that less than 70 days’ notice or prior public disclosure of the date of the annual</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meeting of stockholders is given, a stockholder’s notice shall be timely if delivered to our principal executive offices not later than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day on which public announcement of the date of our annual meeting of stockholders is first made or sent by us.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Authorized but Unissued Shares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Forum Selection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Charter requires, to the fullest extent permitted by law, that derivative actions brought in our name, actions against directors, officers and employees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1" w:lineRule="exact"/>
        <w:rPr>
          <w:sz w:val="20"/>
          <w:szCs w:val="20"/>
          <w:color w:val="auto"/>
        </w:rPr>
      </w:pPr>
    </w:p>
    <w:p>
      <w:pPr>
        <w:jc w:val="both"/>
        <w:ind w:firstLine="8"/>
        <w:spacing w:after="0" w:line="286" w:lineRule="auto"/>
        <w:tabs>
          <w:tab w:leader="none" w:pos="293"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 and therefore bring a claim in another appropriate forum. Additionally, we cannot be certain that a court will decide that this provision is either applicable or enforceable, and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will be subject to the provisions of Section 203 of the Delaware General Corporation Law regulating corporate takeovers upon completion of this offering. This statute prevents certain Delaware corporations, under certain circumstances, from engaging in a “business combination” with:</w:t>
      </w:r>
    </w:p>
    <w:p>
      <w:pPr>
        <w:spacing w:after="0" w:line="146"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associate of an interested stockholder, for three years following the date that the stockholder became an interested stockholder.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 “business combination” includes a merger or sale of more than 10% of our assets. However, the above provisions of Section 203 do not apply if:</w:t>
      </w:r>
    </w:p>
    <w:p>
      <w:pPr>
        <w:spacing w:after="0" w:line="237"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board of directors approves the transaction that made the stockholder an “interested stockholder,” prior to the date of the transaction;</w:t>
      </w:r>
    </w:p>
    <w:p>
      <w:pPr>
        <w:spacing w:after="0" w:line="248" w:lineRule="exact"/>
        <w:rPr>
          <w:rFonts w:ascii="Arial" w:cs="Arial" w:eastAsia="Arial" w:hAnsi="Arial"/>
          <w:sz w:val="16"/>
          <w:szCs w:val="16"/>
          <w:color w:val="auto"/>
        </w:rPr>
      </w:pPr>
    </w:p>
    <w:p>
      <w:pPr>
        <w:ind w:left="980" w:hanging="324"/>
        <w:spacing w:after="0" w:line="34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10120"/>
        <w:spacing w:after="0"/>
        <w:rPr>
          <w:sz w:val="20"/>
          <w:szCs w:val="20"/>
          <w:color w:val="auto"/>
        </w:rPr>
      </w:pPr>
      <w:r>
        <w:rPr>
          <w:rFonts w:ascii="Arial" w:cs="Arial" w:eastAsia="Arial" w:hAnsi="Arial"/>
          <w:sz w:val="19"/>
          <w:szCs w:val="19"/>
          <w:b w:val="1"/>
          <w:bCs w:val="1"/>
          <w:color w:val="auto"/>
        </w:rPr>
        <w:t>Exhibit 10.9</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PROMISSORY NOTE</w:t>
      </w:r>
    </w:p>
    <w:p>
      <w:pPr>
        <w:spacing w:after="0" w:line="225" w:lineRule="exact"/>
        <w:rPr>
          <w:sz w:val="20"/>
          <w:szCs w:val="20"/>
          <w:color w:val="auto"/>
        </w:rPr>
      </w:pPr>
    </w:p>
    <w:p>
      <w:pPr>
        <w:spacing w:after="0"/>
        <w:tabs>
          <w:tab w:leader="none" w:pos="9460" w:val="left"/>
        </w:tabs>
        <w:rPr>
          <w:sz w:val="20"/>
          <w:szCs w:val="20"/>
          <w:color w:val="auto"/>
        </w:rPr>
      </w:pPr>
      <w:r>
        <w:rPr>
          <w:rFonts w:ascii="Arial" w:cs="Arial" w:eastAsia="Arial" w:hAnsi="Arial"/>
          <w:sz w:val="18"/>
          <w:szCs w:val="18"/>
          <w:color w:val="auto"/>
        </w:rPr>
        <w:t>$1,200,000</w:t>
      </w:r>
      <w:r>
        <w:rPr>
          <w:sz w:val="20"/>
          <w:szCs w:val="20"/>
          <w:color w:val="auto"/>
        </w:rPr>
        <w:tab/>
      </w:r>
      <w:r>
        <w:rPr>
          <w:rFonts w:ascii="Arial" w:cs="Arial" w:eastAsia="Arial" w:hAnsi="Arial"/>
          <w:sz w:val="16"/>
          <w:szCs w:val="16"/>
          <w:color w:val="auto"/>
        </w:rPr>
        <w:t>As of February 12, 2021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Tuscan Holdings Corp. (“Maker”) promises to pay to the order of Tuscan Holdings Acquisition LLC or its successors or assigns (“Payee”) the principal sum of One Million Two Hundred Thousand Dollars and No Cents ($1,200,000) in lawful money of the United States of America, on the terms and conditions described below.</w:t>
      </w:r>
    </w:p>
    <w:p>
      <w:pPr>
        <w:spacing w:after="0" w:line="184" w:lineRule="exact"/>
        <w:rPr>
          <w:sz w:val="20"/>
          <w:szCs w:val="20"/>
          <w:color w:val="auto"/>
        </w:rPr>
      </w:pPr>
    </w:p>
    <w:p>
      <w:pPr>
        <w:jc w:val="both"/>
        <w:ind w:firstLine="656"/>
        <w:spacing w:after="0" w:line="301" w:lineRule="auto"/>
        <w:tabs>
          <w:tab w:leader="none" w:pos="84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Principal</w:t>
      </w:r>
      <w:r>
        <w:rPr>
          <w:rFonts w:ascii="Arial" w:cs="Arial" w:eastAsia="Arial" w:hAnsi="Arial"/>
          <w:sz w:val="16"/>
          <w:szCs w:val="16"/>
          <w:color w:val="auto"/>
        </w:rPr>
        <w:t>. The principal balance of this Note shall be repayable on the consummation of the Maker’s initial merger, stock exchange, asset acquisition, stock purchase, recapitalization, reorganization or similar business combination with one or more businesses or entities (a “Business Combination”). Payee understands that if a Business Combination is not consummated, this Note will not be repaid and all amounts owed hereunder will be forgiven except to the extent that the Maker has funds available to it outside of its trust account established in connection with its initial public offering.</w:t>
      </w:r>
    </w:p>
    <w:p>
      <w:pPr>
        <w:spacing w:after="0" w:line="157" w:lineRule="exact"/>
        <w:rPr>
          <w:rFonts w:ascii="Arial" w:cs="Arial" w:eastAsia="Arial" w:hAnsi="Arial"/>
          <w:sz w:val="16"/>
          <w:szCs w:val="16"/>
          <w:color w:val="auto"/>
        </w:rPr>
      </w:pPr>
    </w:p>
    <w:p>
      <w:pPr>
        <w:ind w:left="840" w:hanging="184"/>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unpaid principal balance of this Note.</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2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Application of Payments</w:t>
      </w:r>
      <w:r>
        <w:rPr>
          <w:rFonts w:ascii="Arial" w:cs="Arial" w:eastAsia="Arial" w:hAnsi="Arial"/>
          <w:sz w:val="18"/>
          <w:szCs w:val="18"/>
          <w:color w:val="auto"/>
        </w:rPr>
        <w:t>. All payments shall be applied first to payment in full of any costs incurred in the collection of any sum due under this Note, including (without limitation) reasonable attorneys’ fees, then to the payment in full of any late charges and finally to the reduction of the unpaid principal balance of this Note.</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following shall constitute Events of Default:</w:t>
      </w:r>
    </w:p>
    <w:p>
      <w:pPr>
        <w:spacing w:after="0" w:line="225" w:lineRule="exact"/>
        <w:rPr>
          <w:rFonts w:ascii="Arial" w:cs="Arial" w:eastAsia="Arial" w:hAnsi="Arial"/>
          <w:sz w:val="18"/>
          <w:szCs w:val="18"/>
          <w:color w:val="auto"/>
        </w:rPr>
      </w:pPr>
    </w:p>
    <w:p>
      <w:pPr>
        <w:ind w:left="1540" w:hanging="262"/>
        <w:spacing w:after="0"/>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Failure to Make Required Payments</w:t>
      </w:r>
      <w:r>
        <w:rPr>
          <w:rFonts w:ascii="Arial" w:cs="Arial" w:eastAsia="Arial" w:hAnsi="Arial"/>
          <w:sz w:val="17"/>
          <w:szCs w:val="17"/>
          <w:color w:val="auto"/>
        </w:rPr>
        <w:t>. Failure by Maker to pay the principal of this Note within five (5) business days following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 when due.</w:t>
      </w:r>
    </w:p>
    <w:p>
      <w:pPr>
        <w:spacing w:after="0" w:line="210" w:lineRule="exact"/>
        <w:rPr>
          <w:rFonts w:ascii="Arial" w:cs="Arial" w:eastAsia="Arial" w:hAnsi="Arial"/>
          <w:sz w:val="17"/>
          <w:szCs w:val="17"/>
          <w:color w:val="auto"/>
        </w:rPr>
      </w:pPr>
    </w:p>
    <w:p>
      <w:pPr>
        <w:jc w:val="both"/>
        <w:ind w:firstLine="1278"/>
        <w:spacing w:after="0" w:line="275" w:lineRule="auto"/>
        <w:tabs>
          <w:tab w:leader="none" w:pos="1524"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Voluntary Bankruptcy, Etc.</w:t>
      </w:r>
      <w:r>
        <w:rPr>
          <w:rFonts w:ascii="Arial" w:cs="Arial" w:eastAsia="Arial" w:hAnsi="Arial"/>
          <w:sz w:val="17"/>
          <w:szCs w:val="17"/>
          <w:color w:val="auto"/>
        </w:rPr>
        <w:t xml:space="preserve"> The commencement by Maker of a voluntary case under the Federal Bankruptcy Code, as now constituted or hereafter amended, or any other applicable federal or state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76" w:lineRule="exact"/>
        <w:rPr>
          <w:rFonts w:ascii="Arial" w:cs="Arial" w:eastAsia="Arial" w:hAnsi="Arial"/>
          <w:sz w:val="17"/>
          <w:szCs w:val="17"/>
          <w:color w:val="auto"/>
        </w:rPr>
      </w:pPr>
    </w:p>
    <w:p>
      <w:pPr>
        <w:jc w:val="both"/>
        <w:ind w:firstLine="1278"/>
        <w:spacing w:after="0" w:line="257" w:lineRule="auto"/>
        <w:tabs>
          <w:tab w:leader="none" w:pos="151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xml:space="preserve"> The entry of a decree or order for relief by a court having jurisdiction in the premises in respect of maker in an involuntary case under the Federal Bankruptcy Code, as now or hereafter constituted, or any other applicable federal or state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278"/>
        <w:spacing w:after="0" w:line="259" w:lineRule="auto"/>
        <w:tabs>
          <w:tab w:leader="none" w:pos="1522" w:val="left"/>
        </w:tabs>
        <w:numPr>
          <w:ilvl w:val="1"/>
          <w:numId w:val="34"/>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4(a), Payee may, by written notice to Maker, declare this Note to be due and payable, whereupon the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firstLine="1278"/>
        <w:spacing w:after="0" w:line="342" w:lineRule="auto"/>
        <w:tabs>
          <w:tab w:leader="none" w:pos="1538" w:val="left"/>
        </w:tabs>
        <w:numPr>
          <w:ilvl w:val="1"/>
          <w:numId w:val="34"/>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Sections 4(b) and 4(c), the unpaid principal balance of, and all other sums payable with regard to, this Note shall automatically and immediately become due and payable, in all cases without any action on the part of Payee.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jc w:val="both"/>
        <w:ind w:firstLine="656"/>
        <w:spacing w:after="0" w:line="273" w:lineRule="auto"/>
        <w:tabs>
          <w:tab w:leader="none" w:pos="828"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Conversion</w:t>
      </w:r>
      <w:r>
        <w:rPr>
          <w:rFonts w:ascii="Arial" w:cs="Arial" w:eastAsia="Arial" w:hAnsi="Arial"/>
          <w:sz w:val="17"/>
          <w:szCs w:val="17"/>
          <w:color w:val="auto"/>
        </w:rPr>
        <w:t>. Upon consummation of a Business Combination, the Payee shall have the option, but not the obligation, to convert the principal balance of this Note, in whole or in part at the option of the Payee, into units (“Units”) of the Maker at a price of $10.00 per Unit, each Unit being identical to the “private units” (as defined in Maker’s final prospectus dated March 5, 2019). As promptly after notice by Payee to Maker to convert the principal balance of this Note, which must be made at least 24 hours prior to the consummation of the Business Combination, as reasonably practicable and after Payee’s surrender of this Note, Maker shall have issued and delivered to Payee, without any charge to Payee, a certificate or certificates (issued in the name(s) requested by Payee) for the number of Units of Maker issuable upon the conversion of this Note.</w:t>
      </w:r>
    </w:p>
    <w:p>
      <w:pPr>
        <w:spacing w:after="0" w:line="177" w:lineRule="exact"/>
        <w:rPr>
          <w:rFonts w:ascii="Arial" w:cs="Arial" w:eastAsia="Arial" w:hAnsi="Arial"/>
          <w:sz w:val="17"/>
          <w:szCs w:val="17"/>
          <w:color w:val="auto"/>
        </w:rPr>
      </w:pPr>
    </w:p>
    <w:p>
      <w:pPr>
        <w:jc w:val="both"/>
        <w:ind w:firstLine="656"/>
        <w:spacing w:after="0" w:line="293" w:lineRule="auto"/>
        <w:tabs>
          <w:tab w:leader="none" w:pos="841"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Waivers</w:t>
      </w:r>
      <w:r>
        <w:rPr>
          <w:rFonts w:ascii="Arial" w:cs="Arial" w:eastAsia="Arial" w:hAnsi="Arial"/>
          <w:sz w:val="16"/>
          <w:szCs w:val="16"/>
          <w:color w:val="auto"/>
        </w:rPr>
        <w:t>. Maker and all endorsers and guarantors of, and sureties for, this Note waive presentment for payment, demand, notice of dishonor, protest, 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64" w:lineRule="exact"/>
        <w:rPr>
          <w:rFonts w:ascii="Arial" w:cs="Arial" w:eastAsia="Arial" w:hAnsi="Arial"/>
          <w:sz w:val="16"/>
          <w:szCs w:val="16"/>
          <w:color w:val="auto"/>
        </w:rPr>
      </w:pPr>
    </w:p>
    <w:p>
      <w:pPr>
        <w:jc w:val="both"/>
        <w:ind w:firstLine="656"/>
        <w:spacing w:after="0" w:line="296" w:lineRule="auto"/>
        <w:tabs>
          <w:tab w:leader="none" w:pos="828"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Unconditional Liability</w:t>
      </w:r>
      <w:r>
        <w:rPr>
          <w:rFonts w:ascii="Arial" w:cs="Arial" w:eastAsia="Arial" w:hAnsi="Arial"/>
          <w:sz w:val="16"/>
          <w:szCs w:val="16"/>
          <w:color w:val="auto"/>
        </w:rPr>
        <w:t>. Maker hereby waives all notices in connection with the delivery, acceptance, performance, default, or enforcement of the 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 that additional makers, endorsers, guarantors, or sureties may become parties hereto without notice to them or affecting their liability hereunder.</w:t>
      </w:r>
    </w:p>
    <w:p>
      <w:pPr>
        <w:spacing w:after="0" w:line="161" w:lineRule="exact"/>
        <w:rPr>
          <w:rFonts w:ascii="Arial" w:cs="Arial" w:eastAsia="Arial" w:hAnsi="Arial"/>
          <w:sz w:val="16"/>
          <w:szCs w:val="16"/>
          <w:color w:val="auto"/>
        </w:rPr>
      </w:pPr>
    </w:p>
    <w:p>
      <w:pPr>
        <w:jc w:val="both"/>
        <w:ind w:firstLine="656"/>
        <w:spacing w:after="0" w:line="291" w:lineRule="auto"/>
        <w:tabs>
          <w:tab w:leader="none" w:pos="841"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called for hereunder shall be deemed properly given if (i) sent by certified mail, return receipt requested, (ii) personally delivered, (iii) dispatched by any form of private or governmental express mail or delivery service providing receipted delivery, (iv) sent by telefacsimile or</w:t>
      </w: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sent by e-mail, to the following addresses or to such other address as either party may designate by notice in accordance with this Section: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Tuscan Holdings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135 E. 57th St., 18th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Stephen Vogel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135 E. 57th St., 18th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Notice shall be deemed given on the earlier of (i) actual receipt by the receiving party, (ii) the date shown on a telefacsimile transmission confirmation, (iii) the date on which an e-mail transmission was received by the receiving party’s on-line access provider (iv) the date reflected on a signed delivery receipt, or (vi) two (2) Business Days following tender of delivery or dispatch by express mail or delivery service.</w:t>
      </w:r>
    </w:p>
    <w:p>
      <w:pPr>
        <w:spacing w:after="0" w:line="165" w:lineRule="exact"/>
        <w:rPr>
          <w:sz w:val="20"/>
          <w:szCs w:val="20"/>
          <w:color w:val="auto"/>
        </w:rPr>
      </w:pPr>
    </w:p>
    <w:p>
      <w:pPr>
        <w:ind w:right="20" w:firstLine="656"/>
        <w:spacing w:after="0" w:line="277" w:lineRule="auto"/>
        <w:tabs>
          <w:tab w:leader="none" w:pos="91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Note shall be construed and enforced in accordance with the domestic, internal law, but not the law of conflict of laws, of the State of New York.</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2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contained in this Note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firstLine="648"/>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Executive Officer the day and year first above written.</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TUSCAN HOLDINGS CORP.</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Stephen Vogel</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TSCN Merger Sub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MVST SPV Inc.</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A. Vogel, certify that:</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Tuscan Holdings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6"/>
          <w:szCs w:val="16"/>
          <w:color w:val="auto"/>
        </w:rPr>
        <w:t>/s/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A. Vogel</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Ruth Epstein, certify that:</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Tuscan Holdings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6"/>
          <w:szCs w:val="16"/>
          <w:color w:val="auto"/>
        </w:rPr>
        <w:t>/s/ Ruth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Ruth Epstein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Tuscan Holdings Corp. (the “Company”) on Form 10-K for the year ended December 31, 2020 as filed with the Securities and Exchange Commission (the “Report”), each of the undersigned, in the capacities and on the dates indicated below, hereby certifies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48"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6"/>
          <w:szCs w:val="16"/>
          <w:color w:val="auto"/>
        </w:rPr>
        <w:t>/s/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A. Vogel</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Ruth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Ruth Epstein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lowerRoman"/>
      <w:start w:val="2"/>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Roman"/>
      <w:start w:val="2"/>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lowerLetter"/>
      <w:start w:val="1"/>
    </w:lvl>
    <w:lvl w:ilvl="1">
      <w:lvlJc w:val="left"/>
      <w:lvlText w:val="(%2)"/>
      <w:numFmt w:val="decimal"/>
      <w:start w:val="1"/>
    </w:lvl>
  </w:abstractNum>
  <w:abstractNum w:abstractNumId="27">
    <w:nsid w:val="614FD4A1"/>
    <w:multiLevelType w:val="hybridMultilevel"/>
    <w:lvl w:ilvl="0">
      <w:lvlJc w:val="left"/>
      <w:lvlText w:val="(%1)"/>
      <w:numFmt w:val="lowerRoman"/>
      <w:start w:val="3"/>
    </w:lvl>
  </w:abstractNum>
  <w:abstractNum w:abstractNumId="28">
    <w:nsid w:val="419AC241"/>
    <w:multiLevelType w:val="hybridMultilevel"/>
    <w:lvl w:ilvl="0">
      <w:lvlJc w:val="left"/>
      <w:lvlText w:val="(%1)"/>
      <w:numFmt w:val="lowerLetter"/>
      <w:start w:val="25"/>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upperLetter"/>
      <w:start w:val="2"/>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lvl w:ilvl="1">
      <w:lvlJc w:val="left"/>
      <w:lvlText w:val="(%2)"/>
      <w:numFmt w:val="lowerLetter"/>
      <w:start w:val="1"/>
    </w:lvl>
  </w:abstractNum>
  <w:abstractNum w:abstractNumId="34">
    <w:nsid w:val="7724C67E"/>
    <w:multiLevelType w:val="hybridMultilevel"/>
    <w:lvl w:ilvl="0">
      <w:lvlJc w:val="left"/>
      <w:lvlText w:val="%1"/>
      <w:numFmt w:val="lowerRoman"/>
      <w:start w:val="1"/>
    </w:lvl>
    <w:lvl w:ilvl="1">
      <w:lvlJc w:val="left"/>
      <w:lvlText w:val="%2."/>
      <w:numFmt w:val="decimal"/>
      <w:start w:val="6"/>
    </w:lvl>
  </w:abstractNum>
  <w:abstractNum w:abstractNumId="35">
    <w:nsid w:val="5C482A97"/>
    <w:multiLevelType w:val="hybridMultilevel"/>
    <w:lvl w:ilvl="0">
      <w:lvlJc w:val="left"/>
      <w:lvlText w:val="(%1)"/>
      <w:numFmt w:val="lowerRoman"/>
      <w:start w:val="5"/>
    </w:lvl>
    <w:lvl w:ilvl="1">
      <w:lvlJc w:val="left"/>
      <w:lvlText w:val="%2"/>
      <w:numFmt w:val="decimal"/>
      <w:start w:val="1"/>
    </w:lvl>
  </w:abstractNum>
  <w:abstractNum w:abstractNumId="36">
    <w:nsid w:val="2463B9EA"/>
    <w:multiLevelType w:val="hybridMultilevel"/>
    <w:lvl w:ilvl="0">
      <w:lvlJc w:val="left"/>
      <w:lvlText w:val="%1."/>
      <w:numFmt w:val="decimal"/>
      <w:start w:val="10"/>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61" Type="http://schemas.openxmlformats.org/officeDocument/2006/relationships/hyperlink" Target="http://www.sec.gov/Archives/edgar/data/1760689/000121390019003702/f8k030519ex1-2_tuscan.htm" TargetMode="External"/><Relationship Id="rId62" Type="http://schemas.openxmlformats.org/officeDocument/2006/relationships/hyperlink" Target="http://www.sec.gov/Archives/edgar/data/1760689/000121390019003702/f8k030519ex3-1_tuscan.htm" TargetMode="External"/><Relationship Id="rId63" Type="http://schemas.openxmlformats.org/officeDocument/2006/relationships/hyperlink" Target="http://www.sec.gov/Archives/edgar/data/1760689/000121390020040684/ea130972ex3-1_tuscanhold.htm" TargetMode="External"/><Relationship Id="rId64" Type="http://schemas.openxmlformats.org/officeDocument/2006/relationships/hyperlink" Target="http://www.sec.gov/Archives/edgar/data/1760689/000121390019002379/fs12019ex3-3_tuscanholding.htm" TargetMode="External"/><Relationship Id="rId65" Type="http://schemas.openxmlformats.org/officeDocument/2006/relationships/hyperlink" Target="http://www.sec.gov/Archives/edgar/data/1760689/000121390019003155/fs12018a1ex4-1_tuscanhold.htm" TargetMode="External"/><Relationship Id="rId66" Type="http://schemas.openxmlformats.org/officeDocument/2006/relationships/hyperlink" Target="http://www.sec.gov/Archives/edgar/data/1760689/000121390019003155/fs12018a1ex4-2_tuscanhold.htm" TargetMode="External"/><Relationship Id="rId67" Type="http://schemas.openxmlformats.org/officeDocument/2006/relationships/hyperlink" Target="http://www.sec.gov/Archives/edgar/data/1760689/000121390019003155/fs12018a1ex4-3_tuscanhold.htm" TargetMode="External"/><Relationship Id="rId68" Type="http://schemas.openxmlformats.org/officeDocument/2006/relationships/hyperlink" Target="http://www.sec.gov/Archives/edgar/data/1760689/000121390019003702/f8k030519ex4-1_tuscan.htm" TargetMode="External"/><Relationship Id="rId69" Type="http://schemas.openxmlformats.org/officeDocument/2006/relationships/hyperlink" Target="http://www.sec.gov/Archives/edgar/data/1760689/000121390019003155/fs12018a1ex10-1_tuscanhold.htm" TargetMode="External"/><Relationship Id="rId70" Type="http://schemas.openxmlformats.org/officeDocument/2006/relationships/hyperlink" Target="http://www.sec.gov/Archives/edgar/data/1760689/000121390019003702/f8k030519ex10-1_tuscan.htm" TargetMode="External"/><Relationship Id="rId71" Type="http://schemas.openxmlformats.org/officeDocument/2006/relationships/hyperlink" Target="http://www.sec.gov/Archives/edgar/data/1760689/000121390019003702/f8k030519ex10-3_tuscan.htm" TargetMode="External"/><Relationship Id="rId72" Type="http://schemas.openxmlformats.org/officeDocument/2006/relationships/hyperlink" Target="http://www.sec.gov/Archives/edgar/data/1760689/000121390019003155/fs12018a1ex10-5i_tuscanhold.htm" TargetMode="External"/><Relationship Id="rId73" Type="http://schemas.openxmlformats.org/officeDocument/2006/relationships/hyperlink" Target="http://www.sec.gov/Archives/edgar/data/1760689/000121390019003155/fs12018a1ex10-5ii_tuscanhold.htm" TargetMode="External"/><Relationship Id="rId74" Type="http://schemas.openxmlformats.org/officeDocument/2006/relationships/hyperlink" Target="http://www.sec.gov/Archives/edgar/data/1760689/000121390019003702/f8k030519ex10-2_tuscan.htm" TargetMode="External"/><Relationship Id="rId75" Type="http://schemas.openxmlformats.org/officeDocument/2006/relationships/hyperlink" Target="http://www.sec.gov/Archives/edgar/data/1760689/000121390020009923/ea120991ex10-1_tuscanhold.htm" TargetMode="External"/><Relationship Id="rId76" Type="http://schemas.openxmlformats.org/officeDocument/2006/relationships/hyperlink" Target="http://www.sec.gov/Archives/edgar/data/1760689/000121390020009923/ea120991ex10-2_tuscanhold.htm" TargetMode="External"/><Relationship Id="rId77" Type="http://schemas.openxmlformats.org/officeDocument/2006/relationships/hyperlink" Target="http://www.sec.gov/Archives/edgar/data/1760689/000121390021007125/ea134382ex2-1_tuscanhold.htm" TargetMode="External"/><Relationship Id="rId78" Type="http://schemas.openxmlformats.org/officeDocument/2006/relationships/hyperlink" Target="http://www.sec.gov/Archives/edgar/data/1760689/000121390021007125/ea134382ex10-1_tuscanhold.htm" TargetMode="External"/><Relationship Id="rId79" Type="http://schemas.openxmlformats.org/officeDocument/2006/relationships/hyperlink" Target="http://www.sec.gov/Archives/edgar/data/1760689/000121390021007125/ea134382ex10-2_tuscanhold.htm" TargetMode="External"/><Relationship Id="rId80" Type="http://schemas.openxmlformats.org/officeDocument/2006/relationships/hyperlink" Target="http://www.sec.gov/Archives/edgar/data/1760689/000121390021007125/ea134382ex10-3_tuscanhold.htm" TargetMode="External"/><Relationship Id="rId81" Type="http://schemas.openxmlformats.org/officeDocument/2006/relationships/hyperlink" Target="http://www.sec.gov/Archives/edgar/data/1760689/000121390021007125/ea134382ex10-4_tuscanhold.htm" TargetMode="External"/><Relationship Id="rId82" Type="http://schemas.openxmlformats.org/officeDocument/2006/relationships/hyperlink" Target="http://www.sec.gov/Archives/edgar/data/1760689/000121390021007125/ea134382ex10-5_tuscanhold.htm" TargetMode="External"/><Relationship Id="rId83" Type="http://schemas.openxmlformats.org/officeDocument/2006/relationships/hyperlink" Target="http://www.sec.gov/Archives/edgar/data/1760689/000121390021007125/ea134382ex10-6_tuscan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2021-03-25T20:20:41Z</dcterms:created>
  <dcterms:modified xsi:type="dcterms:W3CDTF">2021-03-25T20:20:41Z</dcterms:modified>
</cp:coreProperties>
</file>