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jc w:val="center"/>
        <w:ind w:left="3880" w:right="940" w:hanging="2932"/>
        <w:spacing w:after="0" w:line="476" w:lineRule="auto"/>
        <w:tabs>
          <w:tab w:leader="none" w:pos="115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29" w:lineRule="exact"/>
        <w:rPr>
          <w:rFonts w:ascii="MS PGothic" w:cs="MS PGothic" w:eastAsia="MS PGothic" w:hAnsi="MS PGothic"/>
          <w:sz w:val="18"/>
          <w:szCs w:val="18"/>
          <w:color w:val="auto"/>
        </w:rPr>
      </w:pPr>
    </w:p>
    <w:p>
      <w:pPr>
        <w:ind w:left="1140" w:hanging="199"/>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jc w:val="right"/>
        <w:ind w:right="4380"/>
        <w:spacing w:after="0"/>
        <w:tabs>
          <w:tab w:leader="none" w:pos="45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right"/>
        <w:ind w:right="4400"/>
        <w:spacing w:after="0"/>
        <w:rPr>
          <w:sz w:val="20"/>
          <w:szCs w:val="20"/>
          <w:color w:val="auto"/>
        </w:rPr>
      </w:pPr>
      <w:r>
        <w:rPr>
          <w:rFonts w:ascii="Arial" w:cs="Arial" w:eastAsia="Arial" w:hAnsi="Arial"/>
          <w:sz w:val="18"/>
          <w:szCs w:val="18"/>
          <w:b w:val="1"/>
          <w:bCs w:val="1"/>
          <w:color w:val="auto"/>
        </w:rPr>
        <w:t>Commission File No. 001-38826</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Delaware</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9"/>
              </w:rPr>
              <w:t>83-2530757</w:t>
            </w:r>
          </w:p>
        </w:tc>
      </w:tr>
      <w:tr>
        <w:trPr>
          <w:trHeight w:val="202"/>
        </w:trPr>
        <w:tc>
          <w:tcPr>
            <w:tcW w:w="5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57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incorporation or organization)</w:t>
            </w:r>
          </w:p>
        </w:tc>
        <w:tc>
          <w:tcPr>
            <w:tcW w:w="55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12603 Southwest Freeway, Suite 210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Stafford, Texas 77477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(281) 491-9595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Tuscan Holdings Corp.</w:t>
      </w:r>
    </w:p>
    <w:p>
      <w:pPr>
        <w:ind w:left="4520"/>
        <w:spacing w:after="0" w:line="198" w:lineRule="auto"/>
        <w:rPr>
          <w:sz w:val="20"/>
          <w:szCs w:val="20"/>
          <w:color w:val="auto"/>
        </w:rPr>
      </w:pPr>
      <w:r>
        <w:rPr>
          <w:rFonts w:ascii="Arial" w:cs="Arial" w:eastAsia="Arial" w:hAnsi="Arial"/>
          <w:sz w:val="18"/>
          <w:szCs w:val="18"/>
          <w:b w:val="1"/>
          <w:bCs w:val="1"/>
          <w:color w:val="auto"/>
        </w:rPr>
        <w:t>135 E. 57</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Street, 18</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New York, NY 10022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2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Trading Symbol(s)</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exchange on which registered</w:t>
            </w:r>
          </w:p>
        </w:tc>
      </w:tr>
      <w:tr>
        <w:trPr>
          <w:trHeight w:val="216"/>
        </w:trPr>
        <w:tc>
          <w:tcPr>
            <w:tcW w:w="4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MVST</w:t>
            </w:r>
          </w:p>
        </w:tc>
        <w:tc>
          <w:tcPr>
            <w:tcW w:w="1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02"/>
        </w:trPr>
        <w:tc>
          <w:tcPr>
            <w:tcW w:w="462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Redeemable warrants, exercisable for shares of common</w:t>
            </w:r>
          </w:p>
        </w:tc>
        <w:tc>
          <w:tcPr>
            <w:tcW w:w="2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8"/>
              </w:rPr>
              <w:t>MVSTW</w:t>
            </w:r>
          </w:p>
        </w:tc>
        <w:tc>
          <w:tcPr>
            <w:tcW w:w="4260" w:type="dxa"/>
            <w:vAlign w:val="bottom"/>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46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stock at an exercise price of $11.50 per share</w:t>
            </w: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202"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ind w:left="200"/>
              <w:spacing w:after="0"/>
              <w:rPr>
                <w:sz w:val="20"/>
                <w:szCs w:val="20"/>
                <w:color w:val="auto"/>
              </w:rPr>
            </w:pPr>
            <w:r>
              <w:rPr>
                <w:rFonts w:ascii="Arial" w:cs="Arial" w:eastAsia="Arial" w:hAnsi="Arial"/>
                <w:sz w:val="18"/>
                <w:szCs w:val="18"/>
                <w:color w:val="auto"/>
              </w:rPr>
              <w:t>Large accelerated filer</w:t>
            </w:r>
          </w:p>
        </w:tc>
        <w:tc>
          <w:tcPr>
            <w:tcW w:w="2080" w:type="dxa"/>
            <w:vAlign w:val="bottom"/>
          </w:tcPr>
          <w:p>
            <w:pPr>
              <w:ind w:left="1720"/>
              <w:spacing w:after="0" w:line="181" w:lineRule="exact"/>
              <w:rPr>
                <w:sz w:val="20"/>
                <w:szCs w:val="20"/>
                <w:color w:val="auto"/>
              </w:rPr>
            </w:pPr>
            <w:r>
              <w:rPr>
                <w:rFonts w:ascii="MS PGothic" w:cs="MS PGothic" w:eastAsia="MS PGothic" w:hAnsi="MS PGothic"/>
                <w:sz w:val="18"/>
                <w:szCs w:val="18"/>
                <w:color w:val="auto"/>
              </w:rPr>
              <w:t>☐</w:t>
            </w:r>
          </w:p>
        </w:tc>
        <w:tc>
          <w:tcPr>
            <w:tcW w:w="2160" w:type="dxa"/>
            <w:vAlign w:val="bottom"/>
          </w:tcPr>
          <w:p>
            <w:pPr>
              <w:ind w:left="200"/>
              <w:spacing w:after="0"/>
              <w:rPr>
                <w:sz w:val="20"/>
                <w:szCs w:val="20"/>
                <w:color w:val="auto"/>
              </w:rPr>
            </w:pPr>
            <w:r>
              <w:rPr>
                <w:rFonts w:ascii="Arial" w:cs="Arial" w:eastAsia="Arial" w:hAnsi="Arial"/>
                <w:sz w:val="18"/>
                <w:szCs w:val="18"/>
                <w:color w:val="auto"/>
              </w:rPr>
              <w:t>Accelerated filer</w:t>
            </w:r>
          </w:p>
        </w:tc>
      </w:tr>
      <w:tr>
        <w:trPr>
          <w:trHeight w:val="216"/>
        </w:trPr>
        <w:tc>
          <w:tcPr>
            <w:tcW w:w="3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ind w:left="200"/>
              <w:spacing w:after="0"/>
              <w:rPr>
                <w:sz w:val="20"/>
                <w:szCs w:val="20"/>
                <w:color w:val="auto"/>
              </w:rPr>
            </w:pPr>
            <w:r>
              <w:rPr>
                <w:rFonts w:ascii="Arial" w:cs="Arial" w:eastAsia="Arial" w:hAnsi="Arial"/>
                <w:sz w:val="18"/>
                <w:szCs w:val="18"/>
                <w:color w:val="auto"/>
              </w:rPr>
              <w:t>Non-accelerated filer</w:t>
            </w:r>
          </w:p>
        </w:tc>
        <w:tc>
          <w:tcPr>
            <w:tcW w:w="2080" w:type="dxa"/>
            <w:vAlign w:val="bottom"/>
          </w:tcPr>
          <w:p>
            <w:pPr>
              <w:ind w:left="1720"/>
              <w:spacing w:after="0" w:line="181" w:lineRule="exact"/>
              <w:rPr>
                <w:sz w:val="20"/>
                <w:szCs w:val="20"/>
                <w:color w:val="auto"/>
              </w:rPr>
            </w:pPr>
            <w:r>
              <w:rPr>
                <w:rFonts w:ascii="MS PGothic" w:cs="MS PGothic" w:eastAsia="MS PGothic" w:hAnsi="MS PGothic"/>
                <w:sz w:val="18"/>
                <w:szCs w:val="18"/>
                <w:color w:val="auto"/>
              </w:rPr>
              <w:t>☒</w:t>
            </w:r>
          </w:p>
        </w:tc>
        <w:tc>
          <w:tcPr>
            <w:tcW w:w="2160" w:type="dxa"/>
            <w:vAlign w:val="bottom"/>
          </w:tcPr>
          <w:p>
            <w:pPr>
              <w:ind w:left="200"/>
              <w:spacing w:after="0"/>
              <w:rPr>
                <w:sz w:val="20"/>
                <w:szCs w:val="20"/>
                <w:color w:val="auto"/>
              </w:rPr>
            </w:pPr>
            <w:r>
              <w:rPr>
                <w:rFonts w:ascii="Arial" w:cs="Arial" w:eastAsia="Arial" w:hAnsi="Arial"/>
                <w:sz w:val="18"/>
                <w:szCs w:val="18"/>
                <w:color w:val="auto"/>
                <w:w w:val="90"/>
              </w:rPr>
              <w:t>Smaller reporting company</w:t>
            </w:r>
          </w:p>
        </w:tc>
      </w:tr>
      <w:tr>
        <w:trPr>
          <w:trHeight w:val="283"/>
        </w:trPr>
        <w:tc>
          <w:tcPr>
            <w:tcW w:w="3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080" w:type="dxa"/>
            <w:vAlign w:val="bottom"/>
          </w:tcPr>
          <w:p>
            <w:pPr>
              <w:ind w:left="1720"/>
              <w:spacing w:after="0" w:line="181" w:lineRule="exact"/>
              <w:rPr>
                <w:sz w:val="20"/>
                <w:szCs w:val="20"/>
                <w:color w:val="auto"/>
              </w:rPr>
            </w:pPr>
            <w:r>
              <w:rPr>
                <w:rFonts w:ascii="MS PGothic" w:cs="MS PGothic" w:eastAsia="MS PGothic" w:hAnsi="MS PGothic"/>
                <w:sz w:val="18"/>
                <w:szCs w:val="18"/>
                <w:color w:val="auto"/>
              </w:rPr>
              <w:t>☒</w:t>
            </w:r>
          </w:p>
        </w:tc>
        <w:tc>
          <w:tcPr>
            <w:tcW w:w="2160" w:type="dxa"/>
            <w:vAlign w:val="bottom"/>
          </w:tcPr>
          <w:p>
            <w:pPr>
              <w:ind w:left="200"/>
              <w:spacing w:after="0"/>
              <w:rPr>
                <w:sz w:val="20"/>
                <w:szCs w:val="20"/>
                <w:color w:val="auto"/>
              </w:rPr>
            </w:pPr>
            <w:r>
              <w:rPr>
                <w:rFonts w:ascii="Arial" w:cs="Arial" w:eastAsia="Arial" w:hAnsi="Arial"/>
                <w:sz w:val="18"/>
                <w:szCs w:val="18"/>
                <w:color w:val="auto"/>
                <w:w w:val="90"/>
              </w:rPr>
              <w:t>Emerging growth company</w:t>
            </w:r>
          </w:p>
        </w:tc>
      </w:tr>
    </w:tbl>
    <w:p>
      <w:pPr>
        <w:spacing w:after="0" w:line="182"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August 16, 2021, there were 300,516,246 shares of the Company’s common stock, par value $0.0001,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606425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July 23, 2021 (the “Closing Date”), subsequent to the fiscal quarter ended June 30, 2021, the fiscal quarter to which this Quarterly Report on Form 10-Q (this “Report”) relates, Microvast Holdings, Inc. (formerly known as Tuscan Holdings Corp.) consummated the previously announced acquisition of Microvast, Inc., a Delaware corporation (“</w:t>
      </w:r>
      <w:r>
        <w:rPr>
          <w:rFonts w:ascii="Arial" w:cs="Arial" w:eastAsia="Arial" w:hAnsi="Arial"/>
          <w:sz w:val="17"/>
          <w:szCs w:val="17"/>
          <w:u w:val="single" w:color="auto"/>
          <w:color w:val="auto"/>
        </w:rPr>
        <w:t>Microvast</w:t>
      </w:r>
      <w:r>
        <w:rPr>
          <w:rFonts w:ascii="Arial" w:cs="Arial" w:eastAsia="Arial" w:hAnsi="Arial"/>
          <w:sz w:val="17"/>
          <w:szCs w:val="17"/>
          <w:color w:val="auto"/>
        </w:rPr>
        <w:t>”), pursuant to the Agreement and Plan of Merger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dated February 1, 2021, between Tuscan Holdings Corp., Microvast and TSCN Merger Sub Inc., a Delaware corporation (“</w:t>
      </w:r>
      <w:r>
        <w:rPr>
          <w:rFonts w:ascii="Arial" w:cs="Arial" w:eastAsia="Arial" w:hAnsi="Arial"/>
          <w:sz w:val="17"/>
          <w:szCs w:val="17"/>
          <w:u w:val="single" w:color="auto"/>
          <w:color w:val="auto"/>
        </w:rPr>
        <w:t>Merger Sub</w:t>
      </w:r>
      <w:r>
        <w:rPr>
          <w:rFonts w:ascii="Arial" w:cs="Arial" w:eastAsia="Arial" w:hAnsi="Arial"/>
          <w:sz w:val="17"/>
          <w:szCs w:val="17"/>
          <w:color w:val="auto"/>
        </w:rPr>
        <w:t>”), pursuant to which Merger Sub merged with and into Microvast, with Microvast surviving the merger (the “</w:t>
      </w:r>
      <w:r>
        <w:rPr>
          <w:rFonts w:ascii="Arial" w:cs="Arial" w:eastAsia="Arial" w:hAnsi="Arial"/>
          <w:sz w:val="17"/>
          <w:szCs w:val="17"/>
          <w:u w:val="single" w:color="auto"/>
          <w:color w:val="auto"/>
        </w:rPr>
        <w:t>Merger</w:t>
      </w:r>
      <w:r>
        <w:rPr>
          <w:rFonts w:ascii="Arial" w:cs="Arial" w:eastAsia="Arial" w:hAnsi="Arial"/>
          <w:sz w:val="17"/>
          <w:szCs w:val="17"/>
          <w:color w:val="auto"/>
        </w:rPr>
        <w:t>”).</w:t>
      </w:r>
    </w:p>
    <w:p>
      <w:pPr>
        <w:spacing w:after="0" w:line="17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connection with the Merger Agreement, Tuscan, MVST SPV Inc., a wholly owned subsidiary of Tuscan (“</w:t>
      </w:r>
      <w:r>
        <w:rPr>
          <w:rFonts w:ascii="Arial" w:cs="Arial" w:eastAsia="Arial" w:hAnsi="Arial"/>
          <w:sz w:val="17"/>
          <w:szCs w:val="17"/>
          <w:u w:val="single" w:color="auto"/>
          <w:color w:val="auto"/>
        </w:rPr>
        <w:t>MVST SPV</w:t>
      </w:r>
      <w:r>
        <w:rPr>
          <w:rFonts w:ascii="Arial" w:cs="Arial" w:eastAsia="Arial" w:hAnsi="Arial"/>
          <w:sz w:val="17"/>
          <w:szCs w:val="17"/>
          <w:color w:val="auto"/>
        </w:rPr>
        <w:t>”), Tuscan, Microvast Power System (Huzhou) Co., Ltd., Microvast’s majority owned subsidiary (“</w:t>
      </w:r>
      <w:r>
        <w:rPr>
          <w:rFonts w:ascii="Arial" w:cs="Arial" w:eastAsia="Arial" w:hAnsi="Arial"/>
          <w:sz w:val="17"/>
          <w:szCs w:val="17"/>
          <w:u w:val="single" w:color="auto"/>
          <w:color w:val="auto"/>
        </w:rPr>
        <w:t>MPS</w:t>
      </w:r>
      <w:r>
        <w:rPr>
          <w:rFonts w:ascii="Arial" w:cs="Arial" w:eastAsia="Arial" w:hAnsi="Arial"/>
          <w:sz w:val="17"/>
          <w:szCs w:val="17"/>
          <w:color w:val="auto"/>
        </w:rPr>
        <w:t>”), certain MPS convertible loan investors (the “</w:t>
      </w:r>
      <w:r>
        <w:rPr>
          <w:rFonts w:ascii="Arial" w:cs="Arial" w:eastAsia="Arial" w:hAnsi="Arial"/>
          <w:sz w:val="17"/>
          <w:szCs w:val="17"/>
          <w:u w:val="single" w:color="auto"/>
          <w:color w:val="auto"/>
        </w:rPr>
        <w:t>CL Investors</w:t>
      </w:r>
      <w:r>
        <w:rPr>
          <w:rFonts w:ascii="Arial" w:cs="Arial" w:eastAsia="Arial" w:hAnsi="Arial"/>
          <w:sz w:val="17"/>
          <w:szCs w:val="17"/>
          <w:color w:val="auto"/>
        </w:rPr>
        <w:t>”) and certain minority equity investors in MPS (the “</w:t>
      </w:r>
      <w:r>
        <w:rPr>
          <w:rFonts w:ascii="Arial" w:cs="Arial" w:eastAsia="Arial" w:hAnsi="Arial"/>
          <w:sz w:val="17"/>
          <w:szCs w:val="17"/>
          <w:u w:val="single" w:color="auto"/>
          <w:color w:val="auto"/>
        </w:rPr>
        <w:t>Minority Investors</w:t>
      </w:r>
      <w:r>
        <w:rPr>
          <w:rFonts w:ascii="Arial" w:cs="Arial" w:eastAsia="Arial" w:hAnsi="Arial"/>
          <w:sz w:val="17"/>
          <w:szCs w:val="17"/>
          <w:color w:val="auto"/>
        </w:rPr>
        <w:t>” and, together with the CL Investors, the “</w:t>
      </w:r>
      <w:r>
        <w:rPr>
          <w:rFonts w:ascii="Arial" w:cs="Arial" w:eastAsia="Arial" w:hAnsi="Arial"/>
          <w:sz w:val="17"/>
          <w:szCs w:val="17"/>
          <w:u w:val="single" w:color="auto"/>
          <w:color w:val="auto"/>
        </w:rPr>
        <w:t>MPS Investors</w:t>
      </w:r>
      <w:r>
        <w:rPr>
          <w:rFonts w:ascii="Arial" w:cs="Arial" w:eastAsia="Arial" w:hAnsi="Arial"/>
          <w:sz w:val="17"/>
          <w:szCs w:val="17"/>
          <w:color w:val="auto"/>
        </w:rPr>
        <w:t>”) and certain other parties entered into a framework agreement (the “</w:t>
      </w:r>
      <w:r>
        <w:rPr>
          <w:rFonts w:ascii="Arial" w:cs="Arial" w:eastAsia="Arial" w:hAnsi="Arial"/>
          <w:sz w:val="17"/>
          <w:szCs w:val="17"/>
          <w:u w:val="single" w:color="auto"/>
          <w:color w:val="auto"/>
        </w:rPr>
        <w:t>Framework Agreement</w:t>
      </w:r>
      <w:r>
        <w:rPr>
          <w:rFonts w:ascii="Arial" w:cs="Arial" w:eastAsia="Arial" w:hAnsi="Arial"/>
          <w:sz w:val="17"/>
          <w:szCs w:val="17"/>
          <w:color w:val="auto"/>
        </w:rPr>
        <w:t>”), pursuant to which, among other things, (1) the CL Investors waived certain rights with respect to the convertible loans (the “</w:t>
      </w:r>
      <w:r>
        <w:rPr>
          <w:rFonts w:ascii="Arial" w:cs="Arial" w:eastAsia="Arial" w:hAnsi="Arial"/>
          <w:sz w:val="17"/>
          <w:szCs w:val="17"/>
          <w:u w:val="single" w:color="auto"/>
          <w:color w:val="auto"/>
        </w:rPr>
        <w:t>Convertible Loans</w:t>
      </w:r>
      <w:r>
        <w:rPr>
          <w:rFonts w:ascii="Arial" w:cs="Arial" w:eastAsia="Arial" w:hAnsi="Arial"/>
          <w:sz w:val="17"/>
          <w:szCs w:val="17"/>
          <w:color w:val="auto"/>
        </w:rPr>
        <w:t>”) held by such CL Investors that were issued under that certain Convertible Loan Agreement, dated November 2, 2018, among Microvast, MPS, such CL Investors and the MPS Investors (the “</w:t>
      </w:r>
      <w:r>
        <w:rPr>
          <w:rFonts w:ascii="Arial" w:cs="Arial" w:eastAsia="Arial" w:hAnsi="Arial"/>
          <w:sz w:val="17"/>
          <w:szCs w:val="17"/>
          <w:u w:val="single" w:color="auto"/>
          <w:color w:val="auto"/>
        </w:rPr>
        <w:t>Convertible Loan Agreement</w:t>
      </w:r>
      <w:r>
        <w:rPr>
          <w:rFonts w:ascii="Arial" w:cs="Arial" w:eastAsia="Arial" w:hAnsi="Arial"/>
          <w:sz w:val="17"/>
          <w:szCs w:val="17"/>
          <w:color w:val="auto"/>
        </w:rPr>
        <w:t>”) and, in connection therewith, certain affiliates of the CL Investors (“</w:t>
      </w:r>
      <w:r>
        <w:rPr>
          <w:rFonts w:ascii="Arial" w:cs="Arial" w:eastAsia="Arial" w:hAnsi="Arial"/>
          <w:sz w:val="17"/>
          <w:szCs w:val="17"/>
          <w:u w:val="single" w:color="auto"/>
          <w:color w:val="auto"/>
        </w:rPr>
        <w:t>CL Affiliates</w:t>
      </w:r>
      <w:r>
        <w:rPr>
          <w:rFonts w:ascii="Arial" w:cs="Arial" w:eastAsia="Arial" w:hAnsi="Arial"/>
          <w:sz w:val="17"/>
          <w:szCs w:val="17"/>
          <w:color w:val="auto"/>
        </w:rPr>
        <w:t>”) subscribed for 6,719,845 shares of common stock, $0.0001 par value per share (“</w:t>
      </w:r>
      <w:r>
        <w:rPr>
          <w:rFonts w:ascii="Arial" w:cs="Arial" w:eastAsia="Arial" w:hAnsi="Arial"/>
          <w:sz w:val="17"/>
          <w:szCs w:val="17"/>
          <w:u w:val="single" w:color="auto"/>
          <w:color w:val="auto"/>
        </w:rPr>
        <w:t>common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stock</w:t>
      </w:r>
      <w:r>
        <w:rPr>
          <w:rFonts w:ascii="Arial" w:cs="Arial" w:eastAsia="Arial" w:hAnsi="Arial"/>
          <w:sz w:val="17"/>
          <w:szCs w:val="17"/>
          <w:color w:val="auto"/>
        </w:rPr>
        <w:t>”), of Tuscan in a private placement in exchange for MPS convertible loans (the “</w:t>
      </w:r>
      <w:r>
        <w:rPr>
          <w:rFonts w:ascii="Arial" w:cs="Arial" w:eastAsia="Arial" w:hAnsi="Arial"/>
          <w:sz w:val="17"/>
          <w:szCs w:val="17"/>
          <w:u w:val="single" w:color="auto"/>
          <w:color w:val="auto"/>
        </w:rPr>
        <w:t>CL Private Placement</w:t>
      </w:r>
      <w:r>
        <w:rPr>
          <w:rFonts w:ascii="Arial" w:cs="Arial" w:eastAsia="Arial" w:hAnsi="Arial"/>
          <w:sz w:val="17"/>
          <w:szCs w:val="17"/>
          <w:color w:val="auto"/>
        </w:rPr>
        <w:t>”).</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connection with the Merger Agreement, Tuscan entered into subscription agreements with (a) the holders of an aggregate of $57,500,000 outstanding promissory notes issued by Microvast (the “</w:t>
      </w:r>
      <w:r>
        <w:rPr>
          <w:rFonts w:ascii="Arial" w:cs="Arial" w:eastAsia="Arial" w:hAnsi="Arial"/>
          <w:sz w:val="16"/>
          <w:szCs w:val="16"/>
          <w:u w:val="single" w:color="auto"/>
          <w:color w:val="auto"/>
        </w:rPr>
        <w:t>Bridge Notes</w:t>
      </w:r>
      <w:r>
        <w:rPr>
          <w:rFonts w:ascii="Arial" w:cs="Arial" w:eastAsia="Arial" w:hAnsi="Arial"/>
          <w:sz w:val="16"/>
          <w:szCs w:val="16"/>
          <w:color w:val="auto"/>
        </w:rPr>
        <w:t>”) pursuant to which Tuscan agreed to issue an aggregate of 6,736,111 shares of common stock upon conversion (the “</w:t>
      </w:r>
      <w:r>
        <w:rPr>
          <w:rFonts w:ascii="Arial" w:cs="Arial" w:eastAsia="Arial" w:hAnsi="Arial"/>
          <w:sz w:val="16"/>
          <w:szCs w:val="16"/>
          <w:u w:val="single" w:color="auto"/>
          <w:color w:val="auto"/>
        </w:rPr>
        <w:t>Bridge Notes Conversion</w:t>
      </w:r>
      <w:r>
        <w:rPr>
          <w:rFonts w:ascii="Arial" w:cs="Arial" w:eastAsia="Arial" w:hAnsi="Arial"/>
          <w:sz w:val="16"/>
          <w:szCs w:val="16"/>
          <w:color w:val="auto"/>
        </w:rPr>
        <w:t>”) of the Bridge Notes, and (b) a number of outside investors who agreed to purchase an aggregate of 48,250,000 shares of common stock at a price of $10.00 per share, for an aggregate purchase price of $482,500,000 (the “</w:t>
      </w:r>
      <w:r>
        <w:rPr>
          <w:rFonts w:ascii="Arial" w:cs="Arial" w:eastAsia="Arial" w:hAnsi="Arial"/>
          <w:sz w:val="16"/>
          <w:szCs w:val="16"/>
          <w:u w:val="single" w:color="auto"/>
          <w:color w:val="auto"/>
        </w:rPr>
        <w:t>PIPE Financing</w:t>
      </w:r>
      <w:r>
        <w:rPr>
          <w:rFonts w:ascii="Arial" w:cs="Arial" w:eastAsia="Arial" w:hAnsi="Arial"/>
          <w:sz w:val="16"/>
          <w:szCs w:val="16"/>
          <w:color w:val="auto"/>
        </w:rPr>
        <w:t>”).</w:t>
      </w:r>
    </w:p>
    <w:p>
      <w:pPr>
        <w:spacing w:after="0" w:line="15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CL Private Placement, the Bridge Notes Conversion and the PIPE Financing closed contemporaneously with the closing under the Merger Agreement (collectively, the “</w:t>
      </w:r>
      <w:r>
        <w:rPr>
          <w:rFonts w:ascii="Arial" w:cs="Arial" w:eastAsia="Arial" w:hAnsi="Arial"/>
          <w:sz w:val="17"/>
          <w:szCs w:val="17"/>
          <w:u w:val="single" w:color="auto"/>
          <w:color w:val="auto"/>
        </w:rPr>
        <w:t>Closing</w:t>
      </w:r>
      <w:r>
        <w:rPr>
          <w:rFonts w:ascii="Arial" w:cs="Arial" w:eastAsia="Arial" w:hAnsi="Arial"/>
          <w:sz w:val="17"/>
          <w:szCs w:val="17"/>
          <w:color w:val="auto"/>
        </w:rPr>
        <w:t>”). Upon the Closing of the Merger, the CL Private Placement, the Bridge Notes Conversion, the PIPE Financing and related transactions (collectively, the “</w:t>
      </w:r>
      <w:r>
        <w:rPr>
          <w:rFonts w:ascii="Arial" w:cs="Arial" w:eastAsia="Arial" w:hAnsi="Arial"/>
          <w:sz w:val="17"/>
          <w:szCs w:val="17"/>
          <w:u w:val="single" w:color="auto"/>
          <w:color w:val="auto"/>
        </w:rPr>
        <w:t>Business Combination</w:t>
      </w:r>
      <w:r>
        <w:rPr>
          <w:rFonts w:ascii="Arial" w:cs="Arial" w:eastAsia="Arial" w:hAnsi="Arial"/>
          <w:sz w:val="17"/>
          <w:szCs w:val="17"/>
          <w:color w:val="auto"/>
        </w:rPr>
        <w:t>”), Microvast became a wholly-owned subsidiary of the Company, with the stockholders of Microvast becoming stockholders of the Company, and with the Company renamed “Microvast Holdings, Inc.”</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stated otherwise, this report contains information about Tuscan Holdings Corp. before the Business Combination. This Report covers a period prior to the closing of the Business Combination. As a result, references in this report to “we,” “us,” “our,” or the “Company” refer to the registrant prior to the closing of the Business Combination, unless the context requires otherwise.</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Except as otherwise expressly provided herein, the information in this Report does not reflect the consummation of the Business Combination, which, as discussed above, occurred subsequent to the period covered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40" w:type="dxa"/>
            <w:vAlign w:val="bottom"/>
            <w:gridSpan w:val="10"/>
          </w:tcPr>
          <w:p>
            <w:pPr>
              <w:ind w:left="920"/>
              <w:spacing w:after="0"/>
              <w:rPr>
                <w:sz w:val="20"/>
                <w:szCs w:val="20"/>
                <w:color w:val="auto"/>
              </w:rPr>
            </w:pPr>
            <w:r>
              <w:rPr>
                <w:rFonts w:ascii="Arial" w:cs="Arial" w:eastAsia="Arial" w:hAnsi="Arial"/>
                <w:sz w:val="18"/>
                <w:szCs w:val="18"/>
                <w:b w:val="1"/>
                <w:bCs w:val="1"/>
                <w:color w:val="auto"/>
              </w:rPr>
              <w:t>TABLE OF CONTENTS</w:t>
            </w:r>
          </w:p>
        </w:tc>
        <w:tc>
          <w:tcPr>
            <w:tcW w:w="86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w:t>
            </w:r>
          </w:p>
        </w:tc>
        <w:tc>
          <w:tcPr>
            <w:tcW w:w="9240" w:type="dxa"/>
            <w:vAlign w:val="bottom"/>
            <w:gridSpan w:val="18"/>
            <w:shd w:val="clear" w:color="auto" w:fill="CCEEFF"/>
          </w:tcPr>
          <w:p>
            <w:pPr>
              <w:spacing w:after="0" w:line="17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860" w:type="dxa"/>
            <w:vAlign w:val="bottom"/>
            <w:shd w:val="clear" w:color="auto" w:fill="CCEEFF"/>
          </w:tcPr>
          <w:p>
            <w:pPr>
              <w:spacing w:after="0"/>
              <w:rPr>
                <w:sz w:val="17"/>
                <w:szCs w:val="17"/>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240" w:type="dxa"/>
            <w:vAlign w:val="bottom"/>
            <w:gridSpan w:val="18"/>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FINANCIAL STATEMENTS</w:t>
              </w:r>
            </w:hyperlink>
          </w:p>
        </w:tc>
        <w:tc>
          <w:tcPr>
            <w:tcW w:w="860" w:type="dxa"/>
            <w:vAlign w:val="bottom"/>
            <w:shd w:val="clear" w:color="auto" w:fill="CCEEFF"/>
          </w:tcPr>
          <w:p>
            <w:pPr>
              <w:jc w:val="center"/>
              <w:ind w:right="50"/>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rPr>
                <w:sz w:val="17"/>
                <w:szCs w:val="17"/>
                <w:color w:val="auto"/>
              </w:rPr>
            </w:pPr>
          </w:p>
        </w:tc>
        <w:tc>
          <w:tcPr>
            <w:tcW w:w="9240" w:type="dxa"/>
            <w:vAlign w:val="bottom"/>
            <w:gridSpan w:val="18"/>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June 30, 2021 (unaudited) and December 31, 2020</w:t>
              </w:r>
            </w:hyperlink>
          </w:p>
        </w:tc>
        <w:tc>
          <w:tcPr>
            <w:tcW w:w="860" w:type="dxa"/>
            <w:vAlign w:val="bottom"/>
            <w:shd w:val="clear" w:color="auto" w:fill="CCEEFF"/>
          </w:tcPr>
          <w:p>
            <w:pPr>
              <w:jc w:val="center"/>
              <w:ind w:right="50"/>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rPr>
                <w:sz w:val="17"/>
                <w:szCs w:val="17"/>
                <w:color w:val="auto"/>
              </w:rPr>
            </w:pPr>
          </w:p>
        </w:tc>
        <w:tc>
          <w:tcPr>
            <w:tcW w:w="9240" w:type="dxa"/>
            <w:vAlign w:val="bottom"/>
            <w:gridSpan w:val="18"/>
            <w:shd w:val="clear" w:color="auto" w:fill="CCEEFF"/>
          </w:tcPr>
          <w:p>
            <w:pPr>
              <w:spacing w:after="0" w:line="17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Condensed Consolidated Statements of Operations for the Three and Six Months Ended June 30, 2021 and 2020 (unaudited)</w:t>
              </w:r>
            </w:hyperlink>
          </w:p>
        </w:tc>
        <w:tc>
          <w:tcPr>
            <w:tcW w:w="860" w:type="dxa"/>
            <w:vAlign w:val="bottom"/>
            <w:shd w:val="clear" w:color="auto" w:fill="CCEEFF"/>
          </w:tcPr>
          <w:p>
            <w:pPr>
              <w:jc w:val="center"/>
              <w:ind w:right="50"/>
              <w:spacing w:after="0" w:line="176" w:lineRule="exact"/>
              <w:rPr>
                <w:sz w:val="20"/>
                <w:szCs w:val="20"/>
                <w:color w:val="auto"/>
              </w:rPr>
            </w:pPr>
            <w:r>
              <w:rPr>
                <w:rFonts w:ascii="Arial" w:cs="Arial" w:eastAsia="Arial" w:hAnsi="Arial"/>
                <w:sz w:val="18"/>
                <w:szCs w:val="18"/>
                <w:color w:val="auto"/>
                <w:w w:val="79"/>
              </w:rPr>
              <w:t>2</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r>
      <w:tr>
        <w:trPr>
          <w:trHeight w:val="176"/>
        </w:trPr>
        <w:tc>
          <w:tcPr>
            <w:tcW w:w="1140" w:type="dxa"/>
            <w:vAlign w:val="bottom"/>
            <w:shd w:val="clear" w:color="auto" w:fill="CCEEFF"/>
          </w:tcPr>
          <w:p>
            <w:pPr>
              <w:spacing w:after="0"/>
              <w:rPr>
                <w:sz w:val="15"/>
                <w:szCs w:val="15"/>
                <w:color w:val="auto"/>
              </w:rPr>
            </w:pPr>
          </w:p>
        </w:tc>
        <w:tc>
          <w:tcPr>
            <w:tcW w:w="9240" w:type="dxa"/>
            <w:vAlign w:val="bottom"/>
            <w:gridSpan w:val="18"/>
            <w:shd w:val="clear" w:color="auto" w:fill="CCEEFF"/>
          </w:tcPr>
          <w:p>
            <w:pPr>
              <w:spacing w:after="0" w:line="17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Condensed Consolidated Statements of Changes in Stockholders’ (Deficit) Equity for the Three and Six Months Ended June</w:t>
              </w:r>
            </w:hyperlink>
          </w:p>
        </w:tc>
        <w:tc>
          <w:tcPr>
            <w:tcW w:w="860" w:type="dxa"/>
            <w:vAlign w:val="bottom"/>
            <w:shd w:val="clear" w:color="auto" w:fill="CCEEFF"/>
          </w:tcPr>
          <w:p>
            <w:pPr>
              <w:spacing w:after="0"/>
              <w:rPr>
                <w:sz w:val="15"/>
                <w:szCs w:val="15"/>
                <w:color w:val="auto"/>
              </w:rPr>
            </w:pPr>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8820" w:type="dxa"/>
            <w:vAlign w:val="bottom"/>
            <w:tcBorders>
              <w:top w:val="single" w:sz="8" w:color="0000EE"/>
            </w:tcBorders>
            <w:gridSpan w:val="15"/>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30, 2021 and 2020 (unaudited)</w:t>
              </w:r>
            </w:hyperlink>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jc w:val="center"/>
              <w:ind w:right="50"/>
              <w:spacing w:after="0" w:line="196" w:lineRule="exact"/>
              <w:rPr>
                <w:sz w:val="20"/>
                <w:szCs w:val="20"/>
                <w:color w:val="auto"/>
              </w:rPr>
            </w:pPr>
            <w:r>
              <w:rPr>
                <w:rFonts w:ascii="Arial" w:cs="Arial" w:eastAsia="Arial" w:hAnsi="Arial"/>
                <w:sz w:val="18"/>
                <w:szCs w:val="18"/>
                <w:color w:val="auto"/>
                <w:w w:val="79"/>
              </w:rPr>
              <w:t>3</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rPr>
                <w:sz w:val="17"/>
                <w:szCs w:val="17"/>
                <w:color w:val="auto"/>
              </w:rPr>
            </w:pPr>
          </w:p>
        </w:tc>
        <w:tc>
          <w:tcPr>
            <w:tcW w:w="9240" w:type="dxa"/>
            <w:vAlign w:val="bottom"/>
            <w:gridSpan w:val="18"/>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Six Months Ended June 30, 2021 and 2020 (unaudited)</w:t>
              </w:r>
            </w:hyperlink>
          </w:p>
        </w:tc>
        <w:tc>
          <w:tcPr>
            <w:tcW w:w="860" w:type="dxa"/>
            <w:vAlign w:val="bottom"/>
            <w:shd w:val="clear" w:color="auto" w:fill="CCEEFF"/>
          </w:tcPr>
          <w:p>
            <w:pPr>
              <w:jc w:val="center"/>
              <w:ind w:right="50"/>
              <w:spacing w:after="0" w:line="176" w:lineRule="exact"/>
              <w:rPr>
                <w:sz w:val="20"/>
                <w:szCs w:val="20"/>
                <w:color w:val="auto"/>
              </w:rPr>
            </w:pPr>
            <w:r>
              <w:rPr>
                <w:rFonts w:ascii="Arial" w:cs="Arial" w:eastAsia="Arial" w:hAnsi="Arial"/>
                <w:sz w:val="18"/>
                <w:szCs w:val="18"/>
                <w:color w:val="auto"/>
                <w:w w:val="79"/>
              </w:rPr>
              <w:t>4</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rPr>
                <w:sz w:val="17"/>
                <w:szCs w:val="17"/>
                <w:color w:val="auto"/>
              </w:rPr>
            </w:pPr>
          </w:p>
        </w:tc>
        <w:tc>
          <w:tcPr>
            <w:tcW w:w="9240" w:type="dxa"/>
            <w:vAlign w:val="bottom"/>
            <w:gridSpan w:val="18"/>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Unaudited Financial Statements</w:t>
              </w:r>
            </w:hyperlink>
          </w:p>
        </w:tc>
        <w:tc>
          <w:tcPr>
            <w:tcW w:w="860" w:type="dxa"/>
            <w:vAlign w:val="bottom"/>
            <w:shd w:val="clear" w:color="auto" w:fill="CCEEFF"/>
          </w:tcPr>
          <w:p>
            <w:pPr>
              <w:jc w:val="center"/>
              <w:ind w:right="50"/>
              <w:spacing w:after="0" w:line="176" w:lineRule="exact"/>
              <w:rPr>
                <w:sz w:val="20"/>
                <w:szCs w:val="20"/>
                <w:color w:val="auto"/>
              </w:rPr>
            </w:pPr>
            <w:r>
              <w:rPr>
                <w:rFonts w:ascii="Arial" w:cs="Arial" w:eastAsia="Arial" w:hAnsi="Arial"/>
                <w:sz w:val="18"/>
                <w:szCs w:val="18"/>
                <w:color w:val="auto"/>
                <w:w w:val="79"/>
              </w:rPr>
              <w:t>5</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240" w:type="dxa"/>
            <w:vAlign w:val="bottom"/>
            <w:gridSpan w:val="18"/>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86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89"/>
              </w:rPr>
              <w:t>19</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240" w:type="dxa"/>
            <w:vAlign w:val="bottom"/>
            <w:gridSpan w:val="18"/>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86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89"/>
              </w:rPr>
              <w:t>24</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240" w:type="dxa"/>
            <w:vAlign w:val="bottom"/>
            <w:gridSpan w:val="18"/>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86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89"/>
              </w:rPr>
              <w:t>24</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II.</w:t>
            </w:r>
          </w:p>
        </w:tc>
        <w:tc>
          <w:tcPr>
            <w:tcW w:w="9240" w:type="dxa"/>
            <w:vAlign w:val="bottom"/>
            <w:gridSpan w:val="18"/>
            <w:shd w:val="clear" w:color="auto" w:fill="CCEEFF"/>
          </w:tcPr>
          <w:p>
            <w:pPr>
              <w:spacing w:after="0" w:line="17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OTHER INFORMATION</w:t>
              </w:r>
            </w:hyperlink>
          </w:p>
        </w:tc>
        <w:tc>
          <w:tcPr>
            <w:tcW w:w="860" w:type="dxa"/>
            <w:vAlign w:val="bottom"/>
            <w:shd w:val="clear" w:color="auto" w:fill="CCEEFF"/>
          </w:tcPr>
          <w:p>
            <w:pPr>
              <w:spacing w:after="0"/>
              <w:rPr>
                <w:sz w:val="17"/>
                <w:szCs w:val="17"/>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240" w:type="dxa"/>
            <w:vAlign w:val="bottom"/>
            <w:gridSpan w:val="18"/>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86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89"/>
              </w:rPr>
              <w:t>25</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240" w:type="dxa"/>
            <w:vAlign w:val="bottom"/>
            <w:gridSpan w:val="18"/>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UNREGISTERED SALES OF EQUITY SECURITIES AND USE OF PROCEEDS</w:t>
              </w:r>
            </w:hyperlink>
          </w:p>
        </w:tc>
        <w:tc>
          <w:tcPr>
            <w:tcW w:w="86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89"/>
              </w:rPr>
              <w:t>25</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240" w:type="dxa"/>
            <w:vAlign w:val="bottom"/>
            <w:gridSpan w:val="18"/>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EXHIBITS</w:t>
              </w:r>
            </w:hyperlink>
          </w:p>
        </w:tc>
        <w:tc>
          <w:tcPr>
            <w:tcW w:w="86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89"/>
              </w:rPr>
              <w:t>25</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r>
      <w:tr>
        <w:trPr>
          <w:trHeight w:val="175"/>
        </w:trPr>
        <w:tc>
          <w:tcPr>
            <w:tcW w:w="1038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SIGNATURES</w:t>
              </w:r>
            </w:hyperlink>
          </w:p>
        </w:tc>
        <w:tc>
          <w:tcPr>
            <w:tcW w:w="86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89"/>
              </w:rPr>
              <w:t>26</w:t>
            </w:r>
          </w:p>
        </w:tc>
      </w:tr>
      <w:tr>
        <w:trPr>
          <w:trHeight w:val="21"/>
        </w:trPr>
        <w:tc>
          <w:tcPr>
            <w:tcW w:w="1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680" w:type="dxa"/>
            <w:vAlign w:val="bottom"/>
          </w:tcPr>
          <w:p>
            <w:pPr>
              <w:jc w:val="center"/>
              <w:ind w:left="2490"/>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rPr>
              <w:t>MICROVAST HOLDINGS, INC.</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7"/>
              </w:rPr>
              <w:t>(f/k/a TUSCAN HOLDINGS CORP.)</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(Audited)</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66,475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135,961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39,524</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22,499</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105,999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158,460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9"/>
              </w:rPr>
              <w:t>281,671,994</w:t>
            </w:r>
          </w:p>
        </w:tc>
        <w:tc>
          <w:tcPr>
            <w:tcW w:w="140" w:type="dxa"/>
            <w:vAlign w:val="bottom"/>
            <w:shd w:val="clear" w:color="auto" w:fill="CCEEFF"/>
          </w:tcPr>
          <w:p>
            <w:pPr>
              <w:spacing w:after="0"/>
              <w:rPr>
                <w:sz w:val="19"/>
                <w:szCs w:val="19"/>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282,254,978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w w:val="99"/>
              </w:rPr>
              <w:t>281,777,993</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5"/>
              </w:rPr>
              <w:t>282,413,438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LIABILITIES AND STOCKHOLDERS’ (DEFICIT)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801,468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320,978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302,547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Advances from related party</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22,179</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801,468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645,704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Convertible promissory notes – related party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1,686,000</w:t>
            </w: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Warrant liability</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4,183,830</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4,204,440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21,468</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6,671,298</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5,071,612</w:t>
            </w: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Commitments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4"/>
              </w:rPr>
              <w:t>Common stock subject to possible redemption, 27,583,510 and 26,675,733 as of June 30, 2021 and December 31,</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2020, respectively</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w w:val="99"/>
              </w:rPr>
              <w:t>281,581,276</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272,341,820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Stockholders’ (Deficit)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 $0.0001 par value; 1,000,000 shares authorized, none issued and outstanding</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w w:val="95"/>
              </w:rPr>
              <w:t>Common stock, $0.0001 par value; 65,000,000 shares authorized; 7,887,000 and 8,808,069 shares issued and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w w:val="90"/>
              </w:rPr>
              <w:t>outstanding (excluding 27,583,510 and 26,675,733 shares subject to possible redemption) as of June 30, 2021 and</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340"/>
              <w:spacing w:after="0"/>
              <w:rPr>
                <w:sz w:val="20"/>
                <w:szCs w:val="20"/>
                <w:color w:val="auto"/>
              </w:rPr>
            </w:pPr>
            <w:r>
              <w:rPr>
                <w:rFonts w:ascii="Arial" w:cs="Arial" w:eastAsia="Arial" w:hAnsi="Arial"/>
                <w:sz w:val="18"/>
                <w:szCs w:val="18"/>
                <w:color w:val="auto"/>
              </w:rPr>
              <w:t>December 31, 2020, respectively</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789</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 in capital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4,028,907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Arial" w:cs="Arial" w:eastAsia="Arial" w:hAnsi="Arial"/>
                <w:sz w:val="18"/>
                <w:szCs w:val="18"/>
                <w:color w:val="auto"/>
              </w:rPr>
              <w:t>(Accumulated deficit)/Retained earnings</w:t>
            </w:r>
          </w:p>
        </w:tc>
        <w:tc>
          <w:tcPr>
            <w:tcW w:w="100" w:type="dxa"/>
            <w:vAlign w:val="bottom"/>
          </w:tcPr>
          <w:p>
            <w:pPr>
              <w:spacing w:after="0"/>
              <w:rPr>
                <w:sz w:val="20"/>
                <w:szCs w:val="20"/>
                <w:color w:val="auto"/>
              </w:rPr>
            </w:pP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(6,475,370)</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970,218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(Deficit) Equity</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(6,474,581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(DEFICIT) EQUITY</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w w:val="99"/>
              </w:rPr>
              <w:t>281,777,993</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5"/>
              </w:rPr>
              <w:t>282,413,438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TUSCAN HOLDINGS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UNAUDITED STATEMENTS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581"/>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340" w:type="dxa"/>
            <w:vAlign w:val="bottom"/>
            <w:gridSpan w:val="5"/>
          </w:tcPr>
          <w:p>
            <w:pPr>
              <w:jc w:val="right"/>
              <w:ind w:right="541"/>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and formation costs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543,914</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251,714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1,434,843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480,463</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Loss from operations</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(543,914)</w:t>
            </w:r>
          </w:p>
        </w:tc>
        <w:tc>
          <w:tcPr>
            <w:tcW w:w="2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(251,714)</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95"/>
              </w:rPr>
              <w:t>(1,434,843)</w:t>
            </w: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(480,463)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earned on marketable securities held in Trust Account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10,503</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983,408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46,299</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2,010,565</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Unrealized gain (loss) on marketable securities held in Trust Account</w:t>
            </w:r>
          </w:p>
        </w:tc>
        <w:tc>
          <w:tcPr>
            <w:tcW w:w="20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(420)</w:t>
            </w:r>
          </w:p>
        </w:tc>
        <w:tc>
          <w:tcPr>
            <w:tcW w:w="26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(938,273)</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Arial" w:cs="Arial" w:eastAsia="Arial" w:hAnsi="Arial"/>
                <w:sz w:val="18"/>
                <w:szCs w:val="18"/>
                <w:color w:val="auto"/>
              </w:rPr>
              <w:t>499,967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the fair value of convertible promissory notes – related party</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(380,000)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(736,000)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98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200" w:type="dxa"/>
            <w:vAlign w:val="bottom"/>
          </w:tcPr>
          <w:p>
            <w:pPr>
              <w:spacing w:after="0"/>
              <w:rPr>
                <w:sz w:val="20"/>
                <w:szCs w:val="20"/>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(1,119,810)</w:t>
            </w:r>
          </w:p>
        </w:tc>
        <w:tc>
          <w:tcPr>
            <w:tcW w:w="260" w:type="dxa"/>
            <w:vAlign w:val="bottom"/>
          </w:tcPr>
          <w:p>
            <w:pPr>
              <w:spacing w:after="0"/>
              <w:rPr>
                <w:sz w:val="20"/>
                <w:szCs w:val="20"/>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(133,965)</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20,610</w:t>
            </w:r>
          </w:p>
        </w:tc>
        <w:tc>
          <w:tcPr>
            <w:tcW w:w="260" w:type="dxa"/>
            <w:vAlign w:val="bottom"/>
          </w:tcPr>
          <w:p>
            <w:pPr>
              <w:spacing w:after="0"/>
              <w:rPr>
                <w:sz w:val="20"/>
                <w:szCs w:val="20"/>
                <w:color w:val="auto"/>
              </w:rPr>
            </w:pPr>
          </w:p>
        </w:tc>
        <w:tc>
          <w:tcPr>
            <w:tcW w:w="960" w:type="dxa"/>
            <w:vAlign w:val="bottom"/>
            <w:gridSpan w:val="2"/>
          </w:tcPr>
          <w:p>
            <w:pPr>
              <w:jc w:val="right"/>
              <w:ind w:right="21"/>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(1,489,727)</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(88,830)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(669,091)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2,513,967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(2,033,641)</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(340,544)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(2,103,934)</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2,033,504</w:t>
            </w:r>
          </w:p>
        </w:tc>
        <w:tc>
          <w:tcPr>
            <w:tcW w:w="0" w:type="dxa"/>
            <w:vAlign w:val="bottom"/>
          </w:tcPr>
          <w:p>
            <w:pPr>
              <w:spacing w:after="0"/>
              <w:rPr>
                <w:sz w:val="1"/>
                <w:szCs w:val="1"/>
                <w:color w:val="auto"/>
              </w:rPr>
            </w:pPr>
          </w:p>
        </w:tc>
      </w:tr>
      <w:tr>
        <w:trPr>
          <w:trHeight w:val="162"/>
        </w:trPr>
        <w:tc>
          <w:tcPr>
            <w:tcW w:w="5980" w:type="dxa"/>
            <w:vAlign w:val="bottom"/>
            <w:vMerge w:val="restart"/>
          </w:tcPr>
          <w:p>
            <w:pPr>
              <w:spacing w:after="0"/>
              <w:rPr>
                <w:sz w:val="20"/>
                <w:szCs w:val="20"/>
                <w:color w:val="auto"/>
              </w:rPr>
            </w:pPr>
            <w:r>
              <w:rPr>
                <w:rFonts w:ascii="Arial" w:cs="Arial" w:eastAsia="Arial" w:hAnsi="Arial"/>
                <w:sz w:val="18"/>
                <w:szCs w:val="18"/>
                <w:color w:val="auto"/>
              </w:rPr>
              <w:t>Benefit from (Provision for) income taxes</w:t>
            </w:r>
          </w:p>
        </w:tc>
        <w:tc>
          <w:tcPr>
            <w:tcW w:w="200" w:type="dxa"/>
            <w:vAlign w:val="bottom"/>
          </w:tcPr>
          <w:p>
            <w:pPr>
              <w:spacing w:after="0"/>
              <w:rPr>
                <w:sz w:val="14"/>
                <w:szCs w:val="14"/>
                <w:color w:val="auto"/>
              </w:rPr>
            </w:pPr>
          </w:p>
        </w:tc>
        <w:tc>
          <w:tcPr>
            <w:tcW w:w="1180" w:type="dxa"/>
            <w:vAlign w:val="bottom"/>
            <w:gridSpan w:val="2"/>
          </w:tcPr>
          <w:p>
            <w:pPr>
              <w:jc w:val="right"/>
              <w:ind w:right="121"/>
              <w:spacing w:after="0" w:line="16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4"/>
                <w:szCs w:val="14"/>
                <w:color w:val="auto"/>
              </w:rPr>
            </w:pPr>
          </w:p>
        </w:tc>
        <w:tc>
          <w:tcPr>
            <w:tcW w:w="1080" w:type="dxa"/>
            <w:vAlign w:val="bottom"/>
            <w:gridSpan w:val="2"/>
            <w:vMerge w:val="restart"/>
          </w:tcPr>
          <w:p>
            <w:pPr>
              <w:jc w:val="right"/>
              <w:ind w:right="141"/>
              <w:spacing w:after="0"/>
              <w:rPr>
                <w:sz w:val="20"/>
                <w:szCs w:val="20"/>
                <w:color w:val="auto"/>
              </w:rPr>
            </w:pPr>
            <w:r>
              <w:rPr>
                <w:rFonts w:ascii="Arial" w:cs="Arial" w:eastAsia="Arial" w:hAnsi="Arial"/>
                <w:sz w:val="18"/>
                <w:szCs w:val="18"/>
                <w:color w:val="auto"/>
              </w:rPr>
              <w:t>43,382</w:t>
            </w:r>
          </w:p>
        </w:tc>
        <w:tc>
          <w:tcPr>
            <w:tcW w:w="200" w:type="dxa"/>
            <w:vAlign w:val="bottom"/>
          </w:tcPr>
          <w:p>
            <w:pPr>
              <w:spacing w:after="0"/>
              <w:rPr>
                <w:sz w:val="14"/>
                <w:szCs w:val="14"/>
                <w:color w:val="auto"/>
              </w:rPr>
            </w:pPr>
          </w:p>
        </w:tc>
        <w:tc>
          <w:tcPr>
            <w:tcW w:w="1120" w:type="dxa"/>
            <w:vAlign w:val="bottom"/>
            <w:gridSpan w:val="2"/>
            <w:vMerge w:val="restart"/>
          </w:tcPr>
          <w:p>
            <w:pPr>
              <w:jc w:val="right"/>
              <w:ind w:right="141"/>
              <w:spacing w:after="0"/>
              <w:rPr>
                <w:sz w:val="20"/>
                <w:szCs w:val="20"/>
                <w:color w:val="auto"/>
              </w:rPr>
            </w:pPr>
            <w:r>
              <w:rPr>
                <w:rFonts w:ascii="Arial" w:cs="Arial" w:eastAsia="Arial" w:hAnsi="Arial"/>
                <w:sz w:val="18"/>
                <w:szCs w:val="18"/>
                <w:color w:val="auto"/>
              </w:rPr>
              <w:t>4,514</w:t>
            </w:r>
          </w:p>
        </w:tc>
        <w:tc>
          <w:tcPr>
            <w:tcW w:w="260" w:type="dxa"/>
            <w:vAlign w:val="bottom"/>
          </w:tcPr>
          <w:p>
            <w:pPr>
              <w:spacing w:after="0"/>
              <w:rPr>
                <w:sz w:val="14"/>
                <w:szCs w:val="14"/>
                <w:color w:val="auto"/>
              </w:rPr>
            </w:pPr>
          </w:p>
        </w:tc>
        <w:tc>
          <w:tcPr>
            <w:tcW w:w="960" w:type="dxa"/>
            <w:vAlign w:val="bottom"/>
            <w:gridSpan w:val="2"/>
          </w:tcPr>
          <w:p>
            <w:pPr>
              <w:jc w:val="right"/>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4"/>
        </w:trPr>
        <w:tc>
          <w:tcPr>
            <w:tcW w:w="59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gridSpan w:val="2"/>
          </w:tcPr>
          <w:p>
            <w:pPr>
              <w:jc w:val="right"/>
              <w:ind w:right="181"/>
              <w:spacing w:after="0" w:line="68" w:lineRule="exact"/>
              <w:rPr>
                <w:sz w:val="20"/>
                <w:szCs w:val="20"/>
                <w:color w:val="auto"/>
              </w:rPr>
            </w:pPr>
            <w:r>
              <w:rPr>
                <w:rFonts w:ascii="Arial" w:cs="Arial" w:eastAsia="Arial" w:hAnsi="Arial"/>
                <w:sz w:val="7"/>
                <w:szCs w:val="7"/>
                <w:color w:val="auto"/>
              </w:rPr>
              <w:t>(16,954</w:t>
            </w:r>
          </w:p>
        </w:tc>
        <w:tc>
          <w:tcPr>
            <w:tcW w:w="26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gridSpan w:val="2"/>
          </w:tcPr>
          <w:p>
            <w:pPr>
              <w:jc w:val="right"/>
              <w:ind w:right="21"/>
              <w:spacing w:after="0" w:line="68" w:lineRule="exact"/>
              <w:rPr>
                <w:sz w:val="20"/>
                <w:szCs w:val="20"/>
                <w:color w:val="auto"/>
              </w:rPr>
            </w:pPr>
            <w:r>
              <w:rPr>
                <w:rFonts w:ascii="Arial" w:cs="Arial" w:eastAsia="Arial" w:hAnsi="Arial"/>
                <w:sz w:val="7"/>
                <w:szCs w:val="7"/>
                <w:color w:val="auto"/>
              </w:rPr>
              <w:t>(427,211</w:t>
            </w:r>
          </w:p>
        </w:tc>
        <w:tc>
          <w:tcPr>
            <w:tcW w:w="0" w:type="dxa"/>
            <w:vAlign w:val="bottom"/>
          </w:tcPr>
          <w:p>
            <w:pPr>
              <w:spacing w:after="0"/>
              <w:rPr>
                <w:sz w:val="1"/>
                <w:szCs w:val="1"/>
                <w:color w:val="auto"/>
              </w:rPr>
            </w:pPr>
          </w:p>
        </w:tc>
      </w:tr>
      <w:tr>
        <w:trPr>
          <w:trHeight w:val="250"/>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(2,050,595</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74"/>
              </w:rPr>
              <w:t>)</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(297,162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(2,099,420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1,606,293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Basic and diluted weighted average shares outstanding, Common stock subject</w:t>
            </w:r>
          </w:p>
        </w:tc>
        <w:tc>
          <w:tcPr>
            <w:tcW w:w="20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181"/>
              <w:spacing w:after="0"/>
              <w:rPr>
                <w:sz w:val="20"/>
                <w:szCs w:val="20"/>
                <w:color w:val="auto"/>
              </w:rPr>
            </w:pPr>
            <w:r>
              <w:rPr>
                <w:rFonts w:ascii="Arial" w:cs="Arial" w:eastAsia="Arial" w:hAnsi="Arial"/>
                <w:sz w:val="18"/>
                <w:szCs w:val="18"/>
                <w:color w:val="auto"/>
                <w:w w:val="99"/>
              </w:rPr>
              <w:t>27,590,813</w:t>
            </w:r>
          </w:p>
        </w:tc>
        <w:tc>
          <w:tcPr>
            <w:tcW w:w="26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141"/>
              <w:spacing w:after="0"/>
              <w:rPr>
                <w:sz w:val="20"/>
                <w:szCs w:val="20"/>
                <w:color w:val="auto"/>
              </w:rPr>
            </w:pPr>
            <w:r>
              <w:rPr>
                <w:rFonts w:ascii="Arial" w:cs="Arial" w:eastAsia="Arial" w:hAnsi="Arial"/>
                <w:sz w:val="18"/>
                <w:szCs w:val="18"/>
                <w:color w:val="auto"/>
                <w:w w:val="93"/>
              </w:rPr>
              <w:t>27,056,327</w:t>
            </w:r>
          </w:p>
        </w:tc>
        <w:tc>
          <w:tcPr>
            <w:tcW w:w="20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141"/>
              <w:spacing w:after="0"/>
              <w:rPr>
                <w:sz w:val="20"/>
                <w:szCs w:val="20"/>
                <w:color w:val="auto"/>
              </w:rPr>
            </w:pPr>
            <w:r>
              <w:rPr>
                <w:rFonts w:ascii="Arial" w:cs="Arial" w:eastAsia="Arial" w:hAnsi="Arial"/>
                <w:sz w:val="18"/>
                <w:szCs w:val="18"/>
                <w:color w:val="auto"/>
                <w:w w:val="97"/>
              </w:rPr>
              <w:t>27,135,801</w:t>
            </w:r>
          </w:p>
        </w:tc>
        <w:tc>
          <w:tcPr>
            <w:tcW w:w="26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1"/>
              <w:spacing w:after="0"/>
              <w:rPr>
                <w:sz w:val="20"/>
                <w:szCs w:val="20"/>
                <w:color w:val="auto"/>
              </w:rPr>
            </w:pPr>
            <w:r>
              <w:rPr>
                <w:rFonts w:ascii="Arial" w:cs="Arial" w:eastAsia="Arial" w:hAnsi="Arial"/>
                <w:sz w:val="18"/>
                <w:szCs w:val="18"/>
                <w:color w:val="auto"/>
                <w:w w:val="93"/>
              </w:rPr>
              <w:t>27,071,426</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to possible redemption</w:t>
            </w:r>
          </w:p>
        </w:tc>
        <w:tc>
          <w:tcPr>
            <w:tcW w:w="20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bottom w:val="single" w:sz="8" w:color="CCEEFF"/>
            </w:tcBorders>
            <w:vMerge w:val="restart"/>
          </w:tcPr>
          <w:p>
            <w:pPr>
              <w:spacing w:after="0" w:line="201" w:lineRule="exact"/>
              <w:rPr>
                <w:sz w:val="20"/>
                <w:szCs w:val="20"/>
                <w:color w:val="auto"/>
              </w:rPr>
            </w:pPr>
            <w:r>
              <w:rPr>
                <w:rFonts w:ascii="Arial" w:cs="Arial" w:eastAsia="Arial" w:hAnsi="Arial"/>
                <w:sz w:val="18"/>
                <w:szCs w:val="18"/>
                <w:color w:val="auto"/>
              </w:rPr>
              <w:t>Basic and diluted net income per share, Common stock subject to possible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5980" w:type="dxa"/>
            <w:vAlign w:val="bottom"/>
            <w:vMerge w:val="continue"/>
          </w:tcPr>
          <w:p>
            <w:pPr>
              <w:spacing w:after="0"/>
              <w:rPr>
                <w:sz w:val="14"/>
                <w:szCs w:val="14"/>
                <w:color w:val="auto"/>
              </w:rPr>
            </w:pPr>
          </w:p>
        </w:tc>
        <w:tc>
          <w:tcPr>
            <w:tcW w:w="200" w:type="dxa"/>
            <w:vAlign w:val="bottom"/>
            <w:vMerge w:val="restart"/>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vMerge w:val="restart"/>
          </w:tcPr>
          <w:p>
            <w:pPr>
              <w:jc w:val="right"/>
              <w:ind w:right="181"/>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vMerge w:val="restart"/>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vMerge w:val="restart"/>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vMerge w:val="restart"/>
          </w:tcPr>
          <w:p>
            <w:pPr>
              <w:jc w:val="right"/>
              <w:ind w:right="21"/>
              <w:spacing w:after="0"/>
              <w:rPr>
                <w:sz w:val="20"/>
                <w:szCs w:val="20"/>
                <w:color w:val="auto"/>
              </w:rPr>
            </w:pPr>
            <w:r>
              <w:rPr>
                <w:rFonts w:ascii="Arial" w:cs="Arial" w:eastAsia="Arial" w:hAnsi="Arial"/>
                <w:sz w:val="18"/>
                <w:szCs w:val="18"/>
                <w:b w:val="1"/>
                <w:bCs w:val="1"/>
                <w:color w:val="auto"/>
              </w:rPr>
              <w:t>0.07</w:t>
            </w:r>
          </w:p>
        </w:tc>
        <w:tc>
          <w:tcPr>
            <w:tcW w:w="0" w:type="dxa"/>
            <w:vAlign w:val="bottom"/>
          </w:tcPr>
          <w:p>
            <w:pPr>
              <w:spacing w:after="0"/>
              <w:rPr>
                <w:sz w:val="1"/>
                <w:szCs w:val="1"/>
                <w:color w:val="auto"/>
              </w:rPr>
            </w:pPr>
          </w:p>
        </w:tc>
      </w:tr>
      <w:tr>
        <w:trPr>
          <w:trHeight w:val="251"/>
        </w:trPr>
        <w:tc>
          <w:tcPr>
            <w:tcW w:w="5980" w:type="dxa"/>
            <w:vAlign w:val="bottom"/>
          </w:tcPr>
          <w:p>
            <w:pPr>
              <w:ind w:left="180"/>
              <w:spacing w:after="0" w:line="203" w:lineRule="exact"/>
              <w:rPr>
                <w:sz w:val="20"/>
                <w:szCs w:val="20"/>
                <w:color w:val="auto"/>
              </w:rPr>
            </w:pPr>
            <w:r>
              <w:rPr>
                <w:rFonts w:ascii="Arial" w:cs="Arial" w:eastAsia="Arial" w:hAnsi="Arial"/>
                <w:sz w:val="18"/>
                <w:szCs w:val="18"/>
                <w:color w:val="auto"/>
              </w:rPr>
              <w:t>redemption</w:t>
            </w:r>
          </w:p>
        </w:tc>
        <w:tc>
          <w:tcPr>
            <w:tcW w:w="200" w:type="dxa"/>
            <w:vAlign w:val="bottom"/>
            <w:vMerge w:val="continue"/>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260" w:type="dxa"/>
            <w:vAlign w:val="bottom"/>
            <w:vMerge w:val="continue"/>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200" w:type="dxa"/>
            <w:vAlign w:val="bottom"/>
            <w:vMerge w:val="continue"/>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260" w:type="dxa"/>
            <w:vAlign w:val="bottom"/>
            <w:vMerge w:val="continue"/>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rPr>
              <w:t>Basic and diluted weighted average shares outstanding, Non-redeemable</w:t>
            </w:r>
          </w:p>
        </w:tc>
        <w:tc>
          <w:tcPr>
            <w:tcW w:w="200" w:type="dxa"/>
            <w:vAlign w:val="bottom"/>
          </w:tcPr>
          <w:p>
            <w:pPr>
              <w:spacing w:after="0"/>
              <w:rPr>
                <w:sz w:val="17"/>
                <w:szCs w:val="17"/>
                <w:color w:val="auto"/>
              </w:rPr>
            </w:pPr>
          </w:p>
        </w:tc>
        <w:tc>
          <w:tcPr>
            <w:tcW w:w="1180" w:type="dxa"/>
            <w:vAlign w:val="bottom"/>
            <w:gridSpan w:val="2"/>
            <w:vMerge w:val="restart"/>
          </w:tcPr>
          <w:p>
            <w:pPr>
              <w:jc w:val="right"/>
              <w:ind w:right="181"/>
              <w:spacing w:after="0"/>
              <w:rPr>
                <w:sz w:val="20"/>
                <w:szCs w:val="20"/>
                <w:color w:val="auto"/>
              </w:rPr>
            </w:pPr>
            <w:r>
              <w:rPr>
                <w:rFonts w:ascii="Arial" w:cs="Arial" w:eastAsia="Arial" w:hAnsi="Arial"/>
                <w:sz w:val="18"/>
                <w:szCs w:val="18"/>
                <w:color w:val="auto"/>
              </w:rPr>
              <w:t>7,887,000</w:t>
            </w:r>
          </w:p>
        </w:tc>
        <w:tc>
          <w:tcPr>
            <w:tcW w:w="260" w:type="dxa"/>
            <w:vAlign w:val="bottom"/>
          </w:tcPr>
          <w:p>
            <w:pPr>
              <w:spacing w:after="0"/>
              <w:rPr>
                <w:sz w:val="17"/>
                <w:szCs w:val="17"/>
                <w:color w:val="auto"/>
              </w:rPr>
            </w:pPr>
          </w:p>
        </w:tc>
        <w:tc>
          <w:tcPr>
            <w:tcW w:w="1080" w:type="dxa"/>
            <w:vAlign w:val="bottom"/>
            <w:gridSpan w:val="2"/>
            <w:vMerge w:val="restart"/>
          </w:tcPr>
          <w:p>
            <w:pPr>
              <w:jc w:val="right"/>
              <w:ind w:right="141"/>
              <w:spacing w:after="0"/>
              <w:rPr>
                <w:sz w:val="20"/>
                <w:szCs w:val="20"/>
                <w:color w:val="auto"/>
              </w:rPr>
            </w:pPr>
            <w:r>
              <w:rPr>
                <w:rFonts w:ascii="Arial" w:cs="Arial" w:eastAsia="Arial" w:hAnsi="Arial"/>
                <w:sz w:val="18"/>
                <w:szCs w:val="18"/>
                <w:color w:val="auto"/>
              </w:rPr>
              <w:t>8,430,673</w:t>
            </w:r>
          </w:p>
        </w:tc>
        <w:tc>
          <w:tcPr>
            <w:tcW w:w="200" w:type="dxa"/>
            <w:vAlign w:val="bottom"/>
          </w:tcPr>
          <w:p>
            <w:pPr>
              <w:spacing w:after="0"/>
              <w:rPr>
                <w:sz w:val="17"/>
                <w:szCs w:val="17"/>
                <w:color w:val="auto"/>
              </w:rPr>
            </w:pPr>
          </w:p>
        </w:tc>
        <w:tc>
          <w:tcPr>
            <w:tcW w:w="1120" w:type="dxa"/>
            <w:vAlign w:val="bottom"/>
            <w:gridSpan w:val="2"/>
            <w:vMerge w:val="restart"/>
          </w:tcPr>
          <w:p>
            <w:pPr>
              <w:jc w:val="right"/>
              <w:ind w:right="141"/>
              <w:spacing w:after="0"/>
              <w:rPr>
                <w:sz w:val="20"/>
                <w:szCs w:val="20"/>
                <w:color w:val="auto"/>
              </w:rPr>
            </w:pPr>
            <w:r>
              <w:rPr>
                <w:rFonts w:ascii="Arial" w:cs="Arial" w:eastAsia="Arial" w:hAnsi="Arial"/>
                <w:sz w:val="18"/>
                <w:szCs w:val="18"/>
                <w:color w:val="auto"/>
              </w:rPr>
              <w:t>8,344,990</w:t>
            </w:r>
          </w:p>
        </w:tc>
        <w:tc>
          <w:tcPr>
            <w:tcW w:w="260" w:type="dxa"/>
            <w:vAlign w:val="bottom"/>
          </w:tcPr>
          <w:p>
            <w:pPr>
              <w:spacing w:after="0"/>
              <w:rPr>
                <w:sz w:val="17"/>
                <w:szCs w:val="17"/>
                <w:color w:val="auto"/>
              </w:rPr>
            </w:pPr>
          </w:p>
        </w:tc>
        <w:tc>
          <w:tcPr>
            <w:tcW w:w="960" w:type="dxa"/>
            <w:vAlign w:val="bottom"/>
            <w:gridSpan w:val="2"/>
            <w:vMerge w:val="restart"/>
          </w:tcPr>
          <w:p>
            <w:pPr>
              <w:jc w:val="right"/>
              <w:ind w:right="21"/>
              <w:spacing w:after="0"/>
              <w:rPr>
                <w:sz w:val="20"/>
                <w:szCs w:val="20"/>
                <w:color w:val="auto"/>
              </w:rPr>
            </w:pPr>
            <w:r>
              <w:rPr>
                <w:rFonts w:ascii="Arial" w:cs="Arial" w:eastAsia="Arial" w:hAnsi="Arial"/>
                <w:sz w:val="18"/>
                <w:szCs w:val="18"/>
                <w:color w:val="auto"/>
              </w:rPr>
              <w:t>8,415,575</w:t>
            </w:r>
          </w:p>
        </w:tc>
        <w:tc>
          <w:tcPr>
            <w:tcW w:w="0" w:type="dxa"/>
            <w:vAlign w:val="bottom"/>
          </w:tcPr>
          <w:p>
            <w:pPr>
              <w:spacing w:after="0"/>
              <w:rPr>
                <w:sz w:val="1"/>
                <w:szCs w:val="1"/>
                <w:color w:val="auto"/>
              </w:rPr>
            </w:pPr>
          </w:p>
        </w:tc>
      </w:tr>
      <w:tr>
        <w:trPr>
          <w:trHeight w:val="251"/>
        </w:trPr>
        <w:tc>
          <w:tcPr>
            <w:tcW w:w="5980" w:type="dxa"/>
            <w:vAlign w:val="bottom"/>
          </w:tcPr>
          <w:p>
            <w:pPr>
              <w:ind w:left="180"/>
              <w:spacing w:after="0" w:line="203" w:lineRule="exact"/>
              <w:rPr>
                <w:sz w:val="20"/>
                <w:szCs w:val="20"/>
                <w:color w:val="auto"/>
              </w:rPr>
            </w:pPr>
            <w:r>
              <w:rPr>
                <w:rFonts w:ascii="Arial" w:cs="Arial" w:eastAsia="Arial" w:hAnsi="Arial"/>
                <w:sz w:val="18"/>
                <w:szCs w:val="18"/>
                <w:color w:val="auto"/>
              </w:rPr>
              <w:t>common stock</w:t>
            </w:r>
          </w:p>
        </w:tc>
        <w:tc>
          <w:tcPr>
            <w:tcW w:w="200" w:type="dxa"/>
            <w:vAlign w:val="bottom"/>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net loss per common share, Non-redeemable common stock</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(0.26</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74"/>
              </w:rPr>
              <w:t>)</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TUSCAN HOLDINGS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UNAUDITED STATEMENTS OF CHANGES IN STOCKHOLDERS’ (DEFICIT)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89"/>
              </w:rPr>
              <w:t>Retained</w:t>
            </w:r>
          </w:p>
        </w:tc>
        <w:tc>
          <w:tcPr>
            <w:tcW w:w="160" w:type="dxa"/>
            <w:vAlign w:val="bottom"/>
          </w:tcPr>
          <w:p>
            <w:pPr>
              <w:spacing w:after="0"/>
              <w:rPr>
                <w:sz w:val="18"/>
                <w:szCs w:val="18"/>
                <w:color w:val="auto"/>
              </w:rPr>
            </w:pPr>
          </w:p>
        </w:tc>
        <w:tc>
          <w:tcPr>
            <w:tcW w:w="1060" w:type="dxa"/>
            <w:vAlign w:val="bottom"/>
            <w:gridSpan w:val="2"/>
          </w:tcPr>
          <w:p>
            <w:pPr>
              <w:jc w:val="center"/>
              <w:ind w:right="181"/>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2760" w:type="dxa"/>
            <w:vAlign w:val="bottom"/>
            <w:gridSpan w:val="5"/>
            <w:vMerge w:val="restart"/>
          </w:tcPr>
          <w:p>
            <w:pPr>
              <w:jc w:val="right"/>
              <w:ind w:right="90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8"/>
                <w:szCs w:val="18"/>
                <w:color w:val="auto"/>
              </w:rPr>
            </w:pPr>
          </w:p>
        </w:tc>
        <w:tc>
          <w:tcPr>
            <w:tcW w:w="120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118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92"/>
              </w:rPr>
              <w:t>Earnings/</w:t>
            </w:r>
          </w:p>
        </w:tc>
        <w:tc>
          <w:tcPr>
            <w:tcW w:w="1220" w:type="dxa"/>
            <w:vAlign w:val="bottom"/>
            <w:gridSpan w:val="3"/>
          </w:tcPr>
          <w:p>
            <w:pPr>
              <w:jc w:val="center"/>
              <w:ind w:right="41"/>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28"/>
        </w:trPr>
        <w:tc>
          <w:tcPr>
            <w:tcW w:w="4620" w:type="dxa"/>
            <w:vAlign w:val="bottom"/>
          </w:tcPr>
          <w:p>
            <w:pPr>
              <w:spacing w:after="0"/>
              <w:rPr>
                <w:sz w:val="19"/>
                <w:szCs w:val="19"/>
                <w:color w:val="auto"/>
              </w:rPr>
            </w:pPr>
          </w:p>
        </w:tc>
        <w:tc>
          <w:tcPr>
            <w:tcW w:w="276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93"/>
              </w:rPr>
              <w:t>Paid-in</w:t>
            </w: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160" w:type="dxa"/>
            <w:vAlign w:val="bottom"/>
          </w:tcPr>
          <w:p>
            <w:pPr>
              <w:spacing w:after="0"/>
              <w:rPr>
                <w:sz w:val="19"/>
                <w:szCs w:val="19"/>
                <w:color w:val="auto"/>
              </w:rPr>
            </w:pPr>
          </w:p>
        </w:tc>
        <w:tc>
          <w:tcPr>
            <w:tcW w:w="1060" w:type="dxa"/>
            <w:vAlign w:val="bottom"/>
            <w:gridSpan w:val="2"/>
          </w:tcPr>
          <w:p>
            <w:pPr>
              <w:jc w:val="center"/>
              <w:ind w:right="181"/>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38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20"/>
                <w:szCs w:val="20"/>
                <w:color w:val="auto"/>
              </w:rPr>
            </w:pPr>
          </w:p>
        </w:tc>
        <w:tc>
          <w:tcPr>
            <w:tcW w:w="118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91"/>
              </w:rPr>
              <w:t>Deficit)</w:t>
            </w:r>
          </w:p>
        </w:tc>
        <w:tc>
          <w:tcPr>
            <w:tcW w:w="160" w:type="dxa"/>
            <w:vAlign w:val="bottom"/>
          </w:tcPr>
          <w:p>
            <w:pPr>
              <w:spacing w:after="0"/>
              <w:rPr>
                <w:sz w:val="20"/>
                <w:szCs w:val="20"/>
                <w:color w:val="auto"/>
              </w:rPr>
            </w:pPr>
          </w:p>
        </w:tc>
        <w:tc>
          <w:tcPr>
            <w:tcW w:w="1060" w:type="dxa"/>
            <w:vAlign w:val="bottom"/>
            <w:gridSpan w:val="2"/>
          </w:tcPr>
          <w:p>
            <w:pPr>
              <w:jc w:val="center"/>
              <w:ind w:right="181"/>
              <w:spacing w:after="0"/>
              <w:rPr>
                <w:sz w:val="20"/>
                <w:szCs w:val="20"/>
                <w:color w:val="auto"/>
              </w:rPr>
            </w:pPr>
            <w:r>
              <w:rPr>
                <w:rFonts w:ascii="Arial" w:cs="Arial" w:eastAsia="Arial" w:hAnsi="Arial"/>
                <w:sz w:val="18"/>
                <w:szCs w:val="18"/>
                <w:b w:val="1"/>
                <w:bCs w:val="1"/>
                <w:color w:val="auto"/>
                <w:w w:val="95"/>
              </w:rPr>
              <w:t>(Deficit)</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8,808,069</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881</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4,028,907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970,218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value of common stock subject to possible</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redemption</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(921,069)</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(4,028,907)</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(5,393,414)</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(9,422,413)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(48,825)</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(48,825)</w:t>
            </w: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Balance – March 31, 2021</w:t>
            </w: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7,887,000</w:t>
            </w: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789</w:t>
            </w: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(4,472,021)</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(4,471,232)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20" w:type="dxa"/>
            <w:vAlign w:val="bottom"/>
          </w:tcPr>
          <w:p>
            <w:pPr>
              <w:spacing w:after="0" w:line="201" w:lineRule="exact"/>
              <w:rPr>
                <w:sz w:val="20"/>
                <w:szCs w:val="20"/>
                <w:color w:val="auto"/>
              </w:rPr>
            </w:pPr>
            <w:r>
              <w:rPr>
                <w:rFonts w:ascii="Arial" w:cs="Arial" w:eastAsia="Arial" w:hAnsi="Arial"/>
                <w:sz w:val="18"/>
                <w:szCs w:val="18"/>
                <w:color w:val="auto"/>
              </w:rPr>
              <w:t>Change in value of common stock subject to possible</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60"/>
              <w:spacing w:after="0"/>
              <w:rPr>
                <w:sz w:val="20"/>
                <w:szCs w:val="20"/>
                <w:color w:val="auto"/>
              </w:rPr>
            </w:pPr>
            <w:r>
              <w:rPr>
                <w:rFonts w:ascii="Arial" w:cs="Arial" w:eastAsia="Arial" w:hAnsi="Arial"/>
                <w:sz w:val="18"/>
                <w:szCs w:val="18"/>
                <w:color w:val="auto"/>
              </w:rPr>
              <w:t>redemption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47,246</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47,246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(2,050,595)</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(2,050,595)</w:t>
            </w: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Balance – June 30, 2021</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7,887,000</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789</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(6,475,370</w:t>
            </w:r>
          </w:p>
        </w:tc>
        <w:tc>
          <w:tcPr>
            <w:tcW w:w="22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(6,474,581</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4"/>
        </w:trPr>
        <w:tc>
          <w:tcPr>
            <w:tcW w:w="8700" w:type="dxa"/>
            <w:vAlign w:val="bottom"/>
            <w:gridSpan w:val="9"/>
          </w:tcPr>
          <w:p>
            <w:pPr>
              <w:ind w:left="3140"/>
              <w:spacing w:after="0"/>
              <w:rPr>
                <w:sz w:val="20"/>
                <w:szCs w:val="20"/>
                <w:color w:val="auto"/>
              </w:rPr>
            </w:pPr>
            <w:r>
              <w:rPr>
                <w:rFonts w:ascii="Arial" w:cs="Arial" w:eastAsia="Arial" w:hAnsi="Arial"/>
                <w:sz w:val="18"/>
                <w:szCs w:val="18"/>
                <w:b w:val="1"/>
                <w:bCs w:val="1"/>
                <w:color w:val="auto"/>
              </w:rPr>
              <w:t>FOR THE THREE AND SIX MONTHS ENDED JUNE 30, 2020</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156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(Restated)</w:t>
            </w: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181"/>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55"/>
        </w:trPr>
        <w:tc>
          <w:tcPr>
            <w:tcW w:w="4620" w:type="dxa"/>
            <w:vAlign w:val="bottom"/>
          </w:tcPr>
          <w:p>
            <w:pPr>
              <w:spacing w:after="0"/>
              <w:rPr>
                <w:sz w:val="22"/>
                <w:szCs w:val="22"/>
                <w:color w:val="auto"/>
              </w:rPr>
            </w:pPr>
          </w:p>
        </w:tc>
        <w:tc>
          <w:tcPr>
            <w:tcW w:w="276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2"/>
                <w:szCs w:val="22"/>
                <w:color w:val="auto"/>
              </w:rPr>
            </w:pPr>
          </w:p>
        </w:tc>
        <w:tc>
          <w:tcPr>
            <w:tcW w:w="120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93"/>
              </w:rPr>
              <w:t>Paid-in</w:t>
            </w:r>
          </w:p>
        </w:tc>
        <w:tc>
          <w:tcPr>
            <w:tcW w:w="140" w:type="dxa"/>
            <w:vAlign w:val="bottom"/>
          </w:tcPr>
          <w:p>
            <w:pPr>
              <w:spacing w:after="0"/>
              <w:rPr>
                <w:sz w:val="22"/>
                <w:szCs w:val="22"/>
                <w:color w:val="auto"/>
              </w:rPr>
            </w:pPr>
          </w:p>
        </w:tc>
        <w:tc>
          <w:tcPr>
            <w:tcW w:w="118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89"/>
              </w:rPr>
              <w:t>Retained</w:t>
            </w:r>
          </w:p>
        </w:tc>
        <w:tc>
          <w:tcPr>
            <w:tcW w:w="1220" w:type="dxa"/>
            <w:vAlign w:val="bottom"/>
            <w:gridSpan w:val="3"/>
          </w:tcPr>
          <w:p>
            <w:pPr>
              <w:jc w:val="center"/>
              <w:ind w:right="41"/>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38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20"/>
                <w:szCs w:val="20"/>
                <w:color w:val="auto"/>
              </w:rPr>
            </w:pPr>
          </w:p>
        </w:tc>
        <w:tc>
          <w:tcPr>
            <w:tcW w:w="118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90"/>
              </w:rPr>
              <w:t>Earnings</w:t>
            </w:r>
          </w:p>
        </w:tc>
        <w:tc>
          <w:tcPr>
            <w:tcW w:w="160" w:type="dxa"/>
            <w:vAlign w:val="bottom"/>
          </w:tcPr>
          <w:p>
            <w:pPr>
              <w:spacing w:after="0"/>
              <w:rPr>
                <w:sz w:val="20"/>
                <w:szCs w:val="20"/>
                <w:color w:val="auto"/>
              </w:rPr>
            </w:pPr>
          </w:p>
        </w:tc>
        <w:tc>
          <w:tcPr>
            <w:tcW w:w="1060" w:type="dxa"/>
            <w:vAlign w:val="bottom"/>
            <w:gridSpan w:val="2"/>
          </w:tcPr>
          <w:p>
            <w:pPr>
              <w:jc w:val="center"/>
              <w:ind w:right="181"/>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2020</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8,400,476</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1,605,302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3,393,867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value of common stock subject to possible</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redemption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30,197</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(1,770,184)</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(133,280)</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(1,903,462)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1,903,455</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1,903,455</w:t>
            </w: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Balance – March 31, 2020</w:t>
            </w: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8,430,673</w:t>
            </w: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842</w:t>
            </w: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(164,882)</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5,164,042</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5,000,002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20" w:type="dxa"/>
            <w:vAlign w:val="bottom"/>
          </w:tcPr>
          <w:p>
            <w:pPr>
              <w:spacing w:after="0" w:line="201" w:lineRule="exact"/>
              <w:rPr>
                <w:sz w:val="20"/>
                <w:szCs w:val="20"/>
                <w:color w:val="auto"/>
              </w:rPr>
            </w:pPr>
            <w:r>
              <w:rPr>
                <w:rFonts w:ascii="Arial" w:cs="Arial" w:eastAsia="Arial" w:hAnsi="Arial"/>
                <w:sz w:val="18"/>
                <w:szCs w:val="18"/>
                <w:color w:val="auto"/>
              </w:rPr>
              <w:t>Change in value of common stock subject to possible</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60"/>
              <w:spacing w:after="0"/>
              <w:rPr>
                <w:sz w:val="20"/>
                <w:szCs w:val="20"/>
                <w:color w:val="auto"/>
              </w:rPr>
            </w:pPr>
            <w:r>
              <w:rPr>
                <w:rFonts w:ascii="Arial" w:cs="Arial" w:eastAsia="Arial" w:hAnsi="Arial"/>
                <w:sz w:val="18"/>
                <w:szCs w:val="18"/>
                <w:color w:val="auto"/>
              </w:rPr>
              <w:t>redemption</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(3,481)</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163,880</w:t>
            </w:r>
          </w:p>
        </w:tc>
        <w:tc>
          <w:tcPr>
            <w:tcW w:w="14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133,280</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297,161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(297,162)</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(297,162)</w:t>
            </w: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Balance – June 30, 2020</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8,427,192</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843</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(1,002</w:t>
            </w:r>
          </w:p>
        </w:tc>
        <w:tc>
          <w:tcPr>
            <w:tcW w:w="2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5,000,160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5,000,001</w:t>
            </w:r>
          </w:p>
        </w:tc>
        <w:tc>
          <w:tcPr>
            <w:tcW w:w="0" w:type="dxa"/>
            <w:vAlign w:val="bottom"/>
          </w:tcPr>
          <w:p>
            <w:pPr>
              <w:spacing w:after="0"/>
              <w:rPr>
                <w:sz w:val="1"/>
                <w:szCs w:val="1"/>
                <w:color w:val="auto"/>
              </w:rPr>
            </w:pPr>
          </w:p>
        </w:tc>
      </w:tr>
      <w:tr>
        <w:trPr>
          <w:trHeight w:val="21"/>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TUSCAN HOLDINGS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UNAUDITED STATEMENTS OF CASH FLOWS</w:t>
      </w:r>
    </w:p>
    <w:p>
      <w:pPr>
        <w:spacing w:after="0" w:line="20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(Restated)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9"/>
              </w:rPr>
              <w:t>$   (2,099,420)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1,606,293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Adjustments to reconcile net (loss) income to net cash used in operating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 of warrant liability</w:t>
            </w: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(20,610)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Change in fair value of convertible promissory notes – related party</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736,000</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earned on marketable securities held in Trust Account</w:t>
            </w: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(46,299)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(2,010,565)</w:t>
            </w:r>
          </w:p>
        </w:tc>
        <w:tc>
          <w:tcPr>
            <w:tcW w:w="0" w:type="dxa"/>
            <w:vAlign w:val="bottom"/>
          </w:tcPr>
          <w:p>
            <w:pPr>
              <w:spacing w:after="0"/>
              <w:rPr>
                <w:sz w:val="1"/>
                <w:szCs w:val="1"/>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Unrealized (gain) on marketable securities held in Trust Account</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(499,967)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 liability</w:t>
            </w: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(21,468)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77,924</w:t>
            </w:r>
          </w:p>
        </w:tc>
        <w:tc>
          <w:tcPr>
            <w:tcW w:w="0" w:type="dxa"/>
            <w:vAlign w:val="bottom"/>
          </w:tcPr>
          <w:p>
            <w:pPr>
              <w:spacing w:after="0"/>
              <w:rPr>
                <w:sz w:val="1"/>
                <w:szCs w:val="1"/>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Prepaid expenses and other current assets</w:t>
            </w: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(17,025)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30,086</w:t>
            </w:r>
          </w:p>
        </w:tc>
        <w:tc>
          <w:tcPr>
            <w:tcW w:w="0" w:type="dxa"/>
            <w:vAlign w:val="bottom"/>
          </w:tcPr>
          <w:p>
            <w:pPr>
              <w:spacing w:after="0"/>
              <w:rPr>
                <w:sz w:val="1"/>
                <w:szCs w:val="1"/>
                <w:color w:val="auto"/>
              </w:rPr>
            </w:pPr>
          </w:p>
        </w:tc>
      </w:tr>
      <w:tr>
        <w:trPr>
          <w:trHeight w:val="216"/>
        </w:trPr>
        <w:tc>
          <w:tcPr>
            <w:tcW w:w="8680" w:type="dxa"/>
            <w:vAlign w:val="bottom"/>
          </w:tcPr>
          <w:p>
            <w:pPr>
              <w:ind w:left="300"/>
              <w:spacing w:after="0"/>
              <w:rPr>
                <w:sz w:val="20"/>
                <w:szCs w:val="20"/>
                <w:color w:val="auto"/>
              </w:rPr>
            </w:pPr>
            <w:r>
              <w:rPr>
                <w:rFonts w:ascii="Arial" w:cs="Arial" w:eastAsia="Arial" w:hAnsi="Arial"/>
                <w:sz w:val="18"/>
                <w:szCs w:val="18"/>
                <w:color w:val="auto"/>
              </w:rPr>
              <w:t>Prepaid income taxes</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69,818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Accounts payable and accrued expenses</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480,490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(94,759)</w:t>
            </w:r>
          </w:p>
        </w:tc>
        <w:tc>
          <w:tcPr>
            <w:tcW w:w="0" w:type="dxa"/>
            <w:vAlign w:val="bottom"/>
          </w:tcPr>
          <w:p>
            <w:pPr>
              <w:spacing w:after="0"/>
              <w:rPr>
                <w:sz w:val="1"/>
                <w:szCs w:val="1"/>
                <w:color w:val="auto"/>
              </w:rPr>
            </w:pPr>
          </w:p>
        </w:tc>
      </w:tr>
      <w:tr>
        <w:trPr>
          <w:trHeight w:val="237"/>
        </w:trPr>
        <w:tc>
          <w:tcPr>
            <w:tcW w:w="8680" w:type="dxa"/>
            <w:vAlign w:val="bottom"/>
          </w:tcPr>
          <w:p>
            <w:pPr>
              <w:ind w:left="300"/>
              <w:spacing w:after="0"/>
              <w:rPr>
                <w:sz w:val="20"/>
                <w:szCs w:val="20"/>
                <w:color w:val="auto"/>
              </w:rPr>
            </w:pPr>
            <w:r>
              <w:rPr>
                <w:rFonts w:ascii="Arial" w:cs="Arial" w:eastAsia="Arial" w:hAnsi="Arial"/>
                <w:sz w:val="18"/>
                <w:szCs w:val="18"/>
                <w:color w:val="auto"/>
              </w:rPr>
              <w:t>Income taxes payable</w:t>
            </w: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(302,547)</w:t>
            </w: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279,469</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Net cash used in operating activities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(1,290,879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(545,136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877" w:right="339" w:bottom="1440" w:gutter="0" w:footer="0" w:header="0"/>
        </w:sect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Cash withdrawn from Trust Account for redemptions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Cash withdrawn from Trust Account to pay income taxes</w:t>
      </w:r>
    </w:p>
    <w:p>
      <w:pPr>
        <w:spacing w:after="0" w:line="2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Net cash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Advances from related party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Redemption of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Repayment of advances from related party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Proceeds from convertible promissory notes –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Cash – Beginning</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both"/>
        <w:ind w:left="540"/>
        <w:spacing w:after="0"/>
        <w:tabs>
          <w:tab w:leader="none" w:pos="2260" w:val="left"/>
        </w:tabs>
        <w:rPr>
          <w:sz w:val="20"/>
          <w:szCs w:val="20"/>
          <w:color w:val="auto"/>
        </w:rPr>
      </w:pPr>
      <w:r>
        <w:rPr>
          <w:rFonts w:ascii="Arial" w:cs="Arial" w:eastAsia="Arial" w:hAnsi="Arial"/>
          <w:sz w:val="18"/>
          <w:szCs w:val="18"/>
          <w:color w:val="auto"/>
        </w:rPr>
        <w:t>493,572</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jc w:val="both"/>
        <w:ind w:left="560"/>
        <w:spacing w:after="0"/>
        <w:tabs>
          <w:tab w:leader="none" w:pos="1840" w:val="left"/>
        </w:tabs>
        <w:rPr>
          <w:sz w:val="20"/>
          <w:szCs w:val="20"/>
          <w:color w:val="auto"/>
        </w:rPr>
      </w:pPr>
      <w:r>
        <w:rPr>
          <w:rFonts w:ascii="Arial" w:cs="Arial" w:eastAsia="Arial" w:hAnsi="Arial"/>
          <w:sz w:val="18"/>
          <w:szCs w:val="18"/>
          <w:color w:val="auto"/>
        </w:rPr>
        <w:t>135,711</w:t>
      </w:r>
      <w:r>
        <w:rPr>
          <w:sz w:val="20"/>
          <w:szCs w:val="20"/>
          <w:color w:val="auto"/>
        </w:rPr>
        <w:tab/>
      </w:r>
      <w:r>
        <w:rPr>
          <w:rFonts w:ascii="Arial" w:cs="Arial" w:eastAsia="Arial" w:hAnsi="Arial"/>
          <w:sz w:val="18"/>
          <w:szCs w:val="18"/>
          <w:color w:val="auto"/>
        </w:rPr>
        <w:t>346,474</w:t>
      </w:r>
    </w:p>
    <w:p>
      <w:pPr>
        <w:spacing w:after="0" w:line="31" w:lineRule="exact"/>
        <w:rPr>
          <w:sz w:val="20"/>
          <w:szCs w:val="20"/>
          <w:color w:val="auto"/>
        </w:rPr>
      </w:pPr>
    </w:p>
    <w:p>
      <w:pPr>
        <w:jc w:val="both"/>
        <w:ind w:left="540"/>
        <w:spacing w:after="0"/>
        <w:tabs>
          <w:tab w:leader="none" w:pos="1840" w:val="left"/>
        </w:tabs>
        <w:rPr>
          <w:sz w:val="20"/>
          <w:szCs w:val="20"/>
          <w:color w:val="auto"/>
        </w:rPr>
      </w:pPr>
      <w:r>
        <w:rPr>
          <w:rFonts w:ascii="Arial" w:cs="Arial" w:eastAsia="Arial" w:hAnsi="Arial"/>
          <w:sz w:val="18"/>
          <w:szCs w:val="18"/>
          <w:b w:val="1"/>
          <w:bCs w:val="1"/>
          <w:color w:val="auto"/>
        </w:rPr>
        <w:t>629,283</w:t>
      </w:r>
      <w:r>
        <w:rPr>
          <w:sz w:val="20"/>
          <w:szCs w:val="20"/>
          <w:color w:val="auto"/>
        </w:rPr>
        <w:tab/>
      </w:r>
      <w:r>
        <w:rPr>
          <w:rFonts w:ascii="Arial" w:cs="Arial" w:eastAsia="Arial" w:hAnsi="Arial"/>
          <w:sz w:val="18"/>
          <w:szCs w:val="18"/>
          <w:b w:val="1"/>
          <w:bCs w:val="1"/>
          <w:color w:val="auto"/>
        </w:rPr>
        <w:t>346,474</w:t>
      </w:r>
    </w:p>
    <w:p>
      <w:pPr>
        <w:spacing w:after="0" w:line="200" w:lineRule="exact"/>
        <w:rPr>
          <w:sz w:val="20"/>
          <w:szCs w:val="20"/>
          <w:color w:val="auto"/>
        </w:rPr>
      </w:pPr>
    </w:p>
    <w:p>
      <w:pPr>
        <w:spacing w:after="0" w:line="272" w:lineRule="exact"/>
        <w:rPr>
          <w:sz w:val="20"/>
          <w:szCs w:val="20"/>
          <w:color w:val="auto"/>
        </w:rPr>
      </w:pPr>
    </w:p>
    <w:p>
      <w:pPr>
        <w:ind w:left="500" w:right="100" w:firstLine="458"/>
        <w:spacing w:after="0" w:line="258" w:lineRule="auto"/>
        <w:rPr>
          <w:sz w:val="20"/>
          <w:szCs w:val="20"/>
          <w:color w:val="auto"/>
        </w:rPr>
      </w:pPr>
      <w:r>
        <w:rPr>
          <w:rFonts w:ascii="Arial" w:cs="Arial" w:eastAsia="Arial" w:hAnsi="Arial"/>
          <w:sz w:val="18"/>
          <w:szCs w:val="18"/>
          <w:color w:val="auto"/>
        </w:rPr>
        <w:t>— 2,833 (135,711)</w:t>
      </w:r>
    </w:p>
    <w:p>
      <w:pPr>
        <w:spacing w:after="0" w:line="2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(22,179)—</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750,000</w:t>
      </w:r>
      <w:r>
        <w:rPr>
          <w:rFonts w:ascii="Arial" w:cs="Arial" w:eastAsia="Arial" w:hAnsi="Arial"/>
          <w:sz w:val="16"/>
          <w:szCs w:val="16"/>
          <w:color w:val="auto"/>
        </w:rPr>
        <w:t>200,000</w:t>
      </w:r>
    </w:p>
    <w:p>
      <w:pPr>
        <w:spacing w:after="0" w:line="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592,110</w:t>
      </w:r>
      <w:r>
        <w:rPr>
          <w:rFonts w:ascii="Arial" w:cs="Arial" w:eastAsia="Arial" w:hAnsi="Arial"/>
          <w:sz w:val="16"/>
          <w:szCs w:val="16"/>
          <w:b w:val="1"/>
          <w:bCs w:val="1"/>
          <w:color w:val="auto"/>
        </w:rPr>
        <w:t>202,833</w:t>
      </w:r>
    </w:p>
    <w:p>
      <w:pPr>
        <w:spacing w:after="0" w:line="225" w:lineRule="exact"/>
        <w:rPr>
          <w:sz w:val="20"/>
          <w:szCs w:val="20"/>
          <w:color w:val="auto"/>
        </w:rPr>
      </w:pPr>
    </w:p>
    <w:p>
      <w:pPr>
        <w:jc w:val="both"/>
        <w:ind w:left="580"/>
        <w:spacing w:after="0"/>
        <w:tabs>
          <w:tab w:leader="none" w:pos="2020" w:val="left"/>
        </w:tabs>
        <w:rPr>
          <w:sz w:val="20"/>
          <w:szCs w:val="20"/>
          <w:color w:val="auto"/>
        </w:rPr>
      </w:pPr>
      <w:r>
        <w:rPr>
          <w:rFonts w:ascii="Arial" w:cs="Arial" w:eastAsia="Arial" w:hAnsi="Arial"/>
          <w:sz w:val="18"/>
          <w:szCs w:val="18"/>
          <w:b w:val="1"/>
          <w:bCs w:val="1"/>
          <w:color w:val="auto"/>
        </w:rPr>
        <w:t>(69,486)</w:t>
      </w:r>
      <w:r>
        <w:rPr>
          <w:sz w:val="20"/>
          <w:szCs w:val="20"/>
          <w:color w:val="auto"/>
        </w:rPr>
        <w:tab/>
      </w:r>
      <w:r>
        <w:rPr>
          <w:rFonts w:ascii="Arial" w:cs="Arial" w:eastAsia="Arial" w:hAnsi="Arial"/>
          <w:sz w:val="18"/>
          <w:szCs w:val="18"/>
          <w:b w:val="1"/>
          <w:bCs w:val="1"/>
          <w:color w:val="auto"/>
        </w:rPr>
        <w:t>4,171</w:t>
      </w:r>
    </w:p>
    <w:p>
      <w:pPr>
        <w:spacing w:after="0" w:line="27" w:lineRule="exact"/>
        <w:rPr>
          <w:sz w:val="20"/>
          <w:szCs w:val="20"/>
          <w:color w:val="auto"/>
        </w:rPr>
      </w:pPr>
    </w:p>
    <w:p>
      <w:pPr>
        <w:jc w:val="both"/>
        <w:ind w:left="540"/>
        <w:spacing w:after="0"/>
        <w:tabs>
          <w:tab w:leader="none" w:pos="1840" w:val="left"/>
        </w:tabs>
        <w:rPr>
          <w:sz w:val="20"/>
          <w:szCs w:val="20"/>
          <w:color w:val="auto"/>
        </w:rPr>
      </w:pPr>
      <w:r>
        <w:rPr>
          <w:rFonts w:ascii="Arial" w:cs="Arial" w:eastAsia="Arial" w:hAnsi="Arial"/>
          <w:sz w:val="18"/>
          <w:szCs w:val="18"/>
          <w:color w:val="auto"/>
        </w:rPr>
        <w:t>135,961</w:t>
      </w:r>
      <w:r>
        <w:rPr>
          <w:sz w:val="20"/>
          <w:szCs w:val="20"/>
          <w:color w:val="auto"/>
        </w:rPr>
        <w:tab/>
      </w:r>
      <w:r>
        <w:rPr>
          <w:rFonts w:ascii="Arial" w:cs="Arial" w:eastAsia="Arial" w:hAnsi="Arial"/>
          <w:sz w:val="18"/>
          <w:szCs w:val="18"/>
          <w:color w:val="auto"/>
        </w:rPr>
        <w:t>140,303</w:t>
      </w:r>
    </w:p>
    <w:p>
      <w:pPr>
        <w:spacing w:after="0" w:line="58" w:lineRule="exact"/>
        <w:rPr>
          <w:sz w:val="20"/>
          <w:szCs w:val="20"/>
          <w:color w:val="auto"/>
        </w:rPr>
      </w:pPr>
    </w:p>
    <w:p>
      <w:pPr>
        <w:spacing w:after="0"/>
        <w:tabs>
          <w:tab w:leader="none" w:pos="620" w:val="left"/>
          <w:tab w:leader="none" w:pos="1320" w:val="left"/>
          <w:tab w:leader="none" w:pos="18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66,475</w:t>
        <w:tab/>
        <w:t>$</w:t>
      </w:r>
      <w:r>
        <w:rPr>
          <w:sz w:val="20"/>
          <w:szCs w:val="20"/>
          <w:color w:val="auto"/>
        </w:rPr>
        <w:tab/>
      </w:r>
      <w:r>
        <w:rPr>
          <w:rFonts w:ascii="Arial" w:cs="Arial" w:eastAsia="Arial" w:hAnsi="Arial"/>
          <w:sz w:val="16"/>
          <w:szCs w:val="16"/>
          <w:b w:val="1"/>
          <w:bCs w:val="1"/>
          <w:color w:val="auto"/>
        </w:rPr>
        <w:t>144,474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156019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877" w:right="339" w:bottom="1440" w:gutter="0" w:footer="0" w:header="0"/>
          <w:type w:val="continuous"/>
        </w:sectPr>
      </w:pP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319,501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9,103,745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1,606,301</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TUSCAN HOLDINGS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UNAUDITED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Microvast Holdings, Inc., formerly known as Tuscan Holdings Corp. (the “Company”), was a blank check company incorporated in Delaware on November 5, 2018. The Company was formed for the purpose of entering into a merger, share exchange, asset acquisition, stock purchase, recapitalization, reorganization or similar business combination with one or more businesses or entities.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July 23, 2021 (the “Closing Date”), Microvast Holdings, Inc. (formerly known as Tuscan Holdings Corp.) consummated the previously announced acquisition of Microvast, Inc., a Delaware corporation (“Microvast”), pursuant to the Agreement and Plan of Merger (the “Merger Agreement”) dated February 1, 2021, between Tuscan Holdings Corp., Microvast and TSCN Merger Sub Inc., a wholly owned subsidiary of the Company incorporated in Delaware on January 21, 2021 (“Merger Sub”), pursuant to which Merger Sub merged with and into Microvast, with Microvast surviving the merger (the “Merger”).</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connection with the Merger Agreement, Tuscan, MVST SPV Inc., a wholly owned subsidiary of Tuscan (“MVST SPV”), Tuscan, Microvast Power System (Huzhou) Co., Ltd., Microvast’s majority owned subsidiary (“MPS”), certain MPS convertible loan investors (the “CL Investors”) and certain minority equity investors in MPS (the “Minority Investors” and, together with the CL Investors, the “MPS Investors”) and certain other parties entered into a framework agreement (the “Framework Agreement”), pursuant to which, among other things, (1) the CL Investors waived certain rights with respect to the convertible loans (the “Convertible Loans”) held by such CL Investors that were issued under that certain Convertible Loan Agreement, dated November 2, 2018, among Microvast, MPS, such CL Investors and the MPS Investors (the “Convertible Loan Agreement”) and, in connection therewith, certain affiliates of the CL Investors (“CL Affiliates”) subscribed for 6,719,845 shares of common stock, $0.0001 par value per share (“common stock”), of Tuscan in a private placement in exchange for MPS convertible loans (the “CL Private Placement”).</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connection with the Merger Agreement, Tuscan entered into subscription agreements with (a) the holders of an aggregate of $57,500,000 outstanding promissory notes issued by Microvast (the “Bridge Notes”) pursuant to which Tuscan agreed to issue an aggregate of 6,736,111 shares of common stock upon conversion (the “Bridge Notes Conversion”) of the Bridge Notes, and (b) a number of outside investors who agreed to purchase an aggregate of 48,250,000 shares of common stock at a price of $10.00 per share, for an aggregate purchase price of $482,500,000 (the “PIPE Financing”).</w:t>
      </w:r>
    </w:p>
    <w:p>
      <w:pPr>
        <w:spacing w:after="0" w:line="15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CL Private Placement, the Bridge Notes Conversion and the PIPE Financing closed contemporaneously with the closing under the Merger Agreement (collectively, the “Closing”). Upon the Closing of the Merger, the CL Private Placement, the Bridge Notes Conversion, the PIPE Financing and related transactions (collectively, the “Business Combination”), Microvast became a wholly-owned subsidiary of the Company, with the stockholders of Microvast becoming stockholders of the Company, and with the Company renamed “Microvast Holdings, Inc.”</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At Closing, pursuant to the terms of the Merger Agreement, the Framework Agreement and subscription agreements entered into with the holders of the Bridge Notes and the PIPE Investors:</w:t>
      </w:r>
    </w:p>
    <w:p>
      <w:pPr>
        <w:spacing w:after="0" w:line="170" w:lineRule="exact"/>
        <w:rPr>
          <w:sz w:val="20"/>
          <w:szCs w:val="20"/>
          <w:color w:val="auto"/>
        </w:rPr>
      </w:pPr>
    </w:p>
    <w:p>
      <w:pPr>
        <w:jc w:val="both"/>
        <w:ind w:left="1000" w:hanging="344"/>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issued 210,000,000 shares of common stock to the former owners of Microvast (the “</w:t>
      </w:r>
      <w:r>
        <w:rPr>
          <w:rFonts w:ascii="Arial" w:cs="Arial" w:eastAsia="Arial" w:hAnsi="Arial"/>
          <w:sz w:val="18"/>
          <w:szCs w:val="18"/>
          <w:u w:val="single" w:color="auto"/>
          <w:color w:val="auto"/>
        </w:rPr>
        <w:t>Microvast Holders</w:t>
      </w:r>
      <w:r>
        <w:rPr>
          <w:rFonts w:ascii="Arial" w:cs="Arial" w:eastAsia="Arial" w:hAnsi="Arial"/>
          <w:sz w:val="18"/>
          <w:szCs w:val="18"/>
          <w:color w:val="auto"/>
        </w:rPr>
        <w:t>”) pursuant to the Merger Agreement, which number is inclusive of the shares being issued to the MPS Investors pursuant to the Framework Agreement to MVST SPV and pursuant to the CL Private Placement;</w:t>
      </w:r>
    </w:p>
    <w:p>
      <w:pPr>
        <w:spacing w:after="0" w:line="183" w:lineRule="exact"/>
        <w:rPr>
          <w:rFonts w:ascii="Arial" w:cs="Arial" w:eastAsia="Arial" w:hAnsi="Arial"/>
          <w:sz w:val="18"/>
          <w:szCs w:val="18"/>
          <w:color w:val="auto"/>
        </w:rPr>
      </w:pPr>
    </w:p>
    <w:p>
      <w:pPr>
        <w:ind w:left="1000" w:hanging="344"/>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issued 6,736,111 shares of common stock to the holders of the Bridge Notes;</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issued 48,250,000 shares of common stock to the PIPE Investors;</w:t>
      </w:r>
    </w:p>
    <w:p>
      <w:pPr>
        <w:spacing w:after="0" w:line="225" w:lineRule="exact"/>
        <w:rPr>
          <w:rFonts w:ascii="Arial" w:cs="Arial" w:eastAsia="Arial" w:hAnsi="Arial"/>
          <w:sz w:val="18"/>
          <w:szCs w:val="18"/>
          <w:color w:val="auto"/>
        </w:rPr>
      </w:pPr>
    </w:p>
    <w:p>
      <w:pPr>
        <w:ind w:left="1000" w:right="20" w:hanging="344"/>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issued 150,000 private placement units to the Sponsor upon conversion of notes payable by the Company in the amount of $150,000; and</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contributed approximately $708,000,000 in cash to Microvast to be retained for working capital purposes.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the Merger Agreement, the Microvast Holders and the MPS Investors will have the ability to earn, in the aggregate, an additional 20,000,000 shares of common stock (“</w:t>
      </w:r>
      <w:r>
        <w:rPr>
          <w:rFonts w:ascii="Arial" w:cs="Arial" w:eastAsia="Arial" w:hAnsi="Arial"/>
          <w:sz w:val="18"/>
          <w:szCs w:val="18"/>
          <w:u w:val="single" w:color="auto"/>
          <w:color w:val="auto"/>
        </w:rPr>
        <w:t>Earn-Out Shares</w:t>
      </w:r>
      <w:r>
        <w:rPr>
          <w:rFonts w:ascii="Arial" w:cs="Arial" w:eastAsia="Arial" w:hAnsi="Arial"/>
          <w:sz w:val="18"/>
          <w:szCs w:val="18"/>
          <w:color w:val="auto"/>
        </w:rPr>
        <w:t>”) if the daily volume weighted average price of the common stock is greater than or equal to $18.00 for any 20 trading days within a 30 trading day period (or a change of control of the Company occurs that results in the holders of common stock receiving a per share price equal to or in excess of $18.00), during the period commencing on the Closing Date and ending on the third anniversary of the Closing Date.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TUSCAN HOLDINGS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UNAUDITED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Prior to the Business Combination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Prior to the Business Combination, the Company had one subsidiary, TSCN Merger Sub Inc., a wholly owned subsidiary of the Company incorporated in Delaware on January 21, 2021 (see Note 6).</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activity through June 30, 2021 related to the Company’s formation, the initial public offering (the “Initial Public Offering”), which is described below, and identifying a target company for an initial business combination and consummating the acquisition of Microvast, Inc.</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registration statement for the Company’s Initial Public Offering was declared effective on March 5, 2019. On March 7, 2019, the Company consummated the Initial Public Offering of 24,000,000 units (the “Units” and, with respect to the shares of common stock included in the Units sold, the “Public Shares”) at $10.00 per Unit, generating gross proceeds of $240,000,000, which is described in Note 3.</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615,000 units (the “Private Units”) at a price of $10.00 per Private Unit in a private placement to Tuscan Holdings Acquisition LLC (the “Sponsor”) and EarlyBirdCapital, Inc. (“EarlyBirdCapital”) and its designee, generating gross proceeds of $6,150,000, which is described in Note 4.</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Following the closing of the Initial Public Offering on March 7, 2019, an amount of $240,000,000 ($10.00 per Unit) from the net proceeds of the sale of the Units in the Initial Public Offering and the sale of the Private Units was placed in a trust account (“Trust Account”) which are invested in U.S. government securities, within the meaning set forth in Section 2(a)(16) of the Investment Company Act of 1940, as amended (the “Investment Company Act”), with a maturity of 180 days or less or in any open-ended investment company that holds itself out as a money market fund meeting the conditions of Rule 2a-7 of the Investment Company Act of 1940, as amended (the “Investment Company Act”), as determined by the Company, until the earlier of: (i) the completion of a Business Combination or (ii) the distribution of the Trust Account, as described below.</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March 12, 2019, the underwriters exercised their over-allotment option in full, resulting in the sale of an additional 3,600,000 Units for $36,000,000, less the underwriters’ discount of $720,000. In connection with the underwriters’ exercise of their over-allotment option, the Company also consummated the sale of an additional 72,000 Private Units at $10.00 per Private Unit, generating total gross proceeds of $720,000. A total of $36,000,000 was deposited into the Trust Account from the sale of the additional Units pursuant to the over-allotment option and the additional sale of Private Units, bringing the aggregate proceeds held in the Trust Account to $276,000,000.</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Transaction costs amounted to $6,059,098, consisting of $5,520,000 of underwriting fees and $539,098 of other offering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Management continues to evaluate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Compliance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January 6, 2021, the Company received a notice from the Listing Qualifications Department of The Nasdaq Stock Market stating that the Company failed to hold an Annual Meeting of stockholders within 12 months after its fiscal year ended December 31, 2019, as required by Nasdaq Listing Rule 5620(a). In accordance with Nasdaq Listing Rule 5810(c)(2)(G), the Company submitted a plan to regain compliance on February 4, 2021. Nasdaq accepted the plan and granted the Company an extension through June 29, 2021 to hold an annual meeting. Nasdaq’s decision is subject to certain conditions, including that the Company provide periodic updates with respect to its proposed business combination with Microvast. On April 28, 2021, the Company held an annual meeting of stockholders, in compliance with its plan.</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28, 2021, the Company received a notice from the Listing Qualifications Department of The Nasdaq Stock Market stating that because we failed to timely file our Quarterly Report on Form 10-Q for the quarter ended March 31, 2021, we were not in compliance with Nasdaq Listing Rule 5250(c)(1). The Company believes that compliance with the listing rule was regained on June 2, 2021 with the filing of the Company’s Form 10-Q for the quarter ended March 31, 2021.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TUSCAN HOLDINGS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UNAUDITED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of America (“GAAP”) for interim financial information and in accordance with the instructions to Form 10-Q and Article 8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consolidated financial statements include all adjustments, consisting of a normal recurring nature, which are necessary for a fair presentation of the financial position, operating results and cash flows for the periods presented.</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accompanying unaudited condensed consolidated financial statements should be read in conjunction with the Company’s Annual Report on Form 10-K and Form 10-K/A for the year ended December 31, 2020 as filed with the SEC on March 24, 2021 and June 1, 2021, respectively, which contain the audited financial statements and notes thereto. The interim results for the three and six months ended June 30, 2021 are not necessarily indicative of the results to be expected for the year ending December 31, 2021 or for any future interim periods.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wholly-owned subsidiary. All significant intercompany balances and transactions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6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Accordingly, the actual results could differ significantly from those estimates.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June 30, 2021 and December 31, 2020.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TUSCAN HOLDINGS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UNAUDITED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 Held in Trust Account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At June 30, 2021 and December 31, 2020, the assets held in the Trust Account were substantially held in U.S. Treasury Bills. Through June 30, 2021, the Company withdrew approximately $2,079,000 of interest earned in the Trust Account to pay its franchise tax, income taxes and share redemptions, of which approximately $629,000 were withdrawn during the three and six months ended June 30,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Liability</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accounts for warrants in accordance with the guidance contained in ASC 815-40 under which the warrants do not meet the criteria for equity treatment and must be recorded as liabilities. As the Private Warrants meet the definition of a derivative as contemplated in ASC 815, the Company classifies the Private Warrants as liabilities at their fair value and adjusts the Private Warrants to fair value at each reporting period. This liability is subject to re-measurement at each balance sheet date until exercised, and any change in fair value is recognized in the condensed statements of operations. The Private Warrants for periods where no observable traded price was available are valued using a binomial lattice simulation model. For periods subsequent the detachment of the Private Warrants from the Units, the Public Warrant quoted market price was used as the fair value as of each relevant date.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Subject to Possible Redemption</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accounts for its common stock subject to possible redemption in accordance with the guidance in Accounting Standards Codification (“ASC”) Topic 480 “Distinguishing Liabilities from Equity.” Common stock subject to mandatory redemption is classified as a liability instrument and is measured at fair value. Conditionally redeemable common stock (including common stock that feature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are considered to be outside of the Company’s control and subject to occurrence of uncertain future events. Accordingly, common stock subject to possible redemption is presented at redemption value as temporary equity, outside of the stockholders’ equity section of the Company’s condensed consolidated balance sheets.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recognizes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June 30, 2021 and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Common Share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income (loss) per common share is computed by dividing net income (loss) by the weighted-average number of shares of common stock outstanding during the period.</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Company’s statements of operations include a presentation of income (loss) per share for common stock subject to possible redemption in a manner similar to the two-class method of income (loss) per share. Net income per common share, basic and diluted, for common stock subject to possible redemption is calculated by dividing the proportionate share of income on marketable securities held by the Trust Account, net of applicable franchise and income taxes, by the weighted average number of shares of common stock subject to possible redemption outstanding for the periods.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TUSCAN HOLDINGS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UNAUDITED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Net loss per common share, basic, for non-redeemable common stock is calculated by dividing the net income, adjusted for income on marketable securities attributable to Common Stock subject to possible redemption, by the weighted average number of non-redeemable common stock outstanding for the period. Net loss per common share, diluted, for non-redeemable common stock is calculated by dividing the non-redeemable net income, adjusted for the change in the fair value of the warrant liability, by the weighted average number of non-redeemable common stock outstanding for the periods, including the effects of any potentially dilutive securities. Diluted loss per common share gives effect to all dilutive potential of shares of common stock outstanding during the period, including warrants, using the treasury stock method. Diluted loss per common share excludes all dilutive potential of shares of common stock if their effect is anti-dilutive.</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Non-redeemable common stock includes Founder Shares and non-redeemable shares of common stock as these shares do not have any redemption features. Non-redeemable common stock participates in the income on marketable securities based on non-redeemable common stock shares’ proportionate interest.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r>
              <w:rPr>
                <w:rFonts w:ascii="Arial" w:cs="Arial" w:eastAsia="Arial" w:hAnsi="Arial"/>
                <w:sz w:val="18"/>
                <w:szCs w:val="18"/>
                <w:color w:val="auto"/>
              </w:rPr>
              <w:t>,</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i w:val="1"/>
                <w:iCs w:val="1"/>
                <w:color w:val="auto"/>
              </w:rPr>
              <w:t>Common stock subject to possible redemption</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w w:val="94"/>
              </w:rPr>
              <w:t>Numerator: Earnings allocable to common stock subject to possible redemption</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10,503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965,018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46,299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1,974,174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Unrealized gain on marketable securities held in Trust Account</w:t>
            </w:r>
          </w:p>
        </w:tc>
        <w:tc>
          <w:tcPr>
            <w:tcW w:w="20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(420)</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(920,727)</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490,918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9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Less: Company’s portion available to pay taxes</w:t>
            </w: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1"/>
              <w:spacing w:after="0" w:line="16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(6,494</w:t>
            </w:r>
          </w:p>
        </w:tc>
        <w:tc>
          <w:tcPr>
            <w:tcW w:w="220" w:type="dxa"/>
            <w:vAlign w:val="bottom"/>
            <w:shd w:val="clear" w:color="auto" w:fill="CCEEFF"/>
          </w:tcPr>
          <w:p>
            <w:pPr>
              <w:jc w:val="right"/>
              <w:ind w:right="81"/>
              <w:spacing w:after="0" w:line="162" w:lineRule="exact"/>
              <w:rPr>
                <w:sz w:val="20"/>
                <w:szCs w:val="20"/>
                <w:color w:val="auto"/>
              </w:rPr>
            </w:pPr>
            <w:r>
              <w:rPr>
                <w:rFonts w:ascii="Arial" w:cs="Arial" w:eastAsia="Arial" w:hAnsi="Arial"/>
                <w:sz w:val="16"/>
                <w:szCs w:val="16"/>
                <w:color w:val="auto"/>
                <w:w w:val="74"/>
              </w:rPr>
              <w:t>)</w:t>
            </w: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81"/>
              <w:spacing w:after="0" w:line="16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(517,668</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68"/>
        </w:trPr>
        <w:tc>
          <w:tcPr>
            <w:tcW w:w="598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80" w:type="dxa"/>
            <w:vAlign w:val="bottom"/>
            <w:gridSpan w:val="2"/>
            <w:shd w:val="clear" w:color="auto" w:fill="CCEEFF"/>
          </w:tcPr>
          <w:p>
            <w:pPr>
              <w:jc w:val="right"/>
              <w:ind w:right="181"/>
              <w:spacing w:after="0" w:line="68" w:lineRule="exact"/>
              <w:rPr>
                <w:sz w:val="20"/>
                <w:szCs w:val="20"/>
                <w:color w:val="auto"/>
              </w:rPr>
            </w:pPr>
            <w:r>
              <w:rPr>
                <w:rFonts w:ascii="Arial" w:cs="Arial" w:eastAsia="Arial" w:hAnsi="Arial"/>
                <w:sz w:val="7"/>
                <w:szCs w:val="7"/>
                <w:color w:val="auto"/>
              </w:rPr>
              <w:t>(10,083</w:t>
            </w:r>
          </w:p>
        </w:tc>
        <w:tc>
          <w:tcPr>
            <w:tcW w:w="24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20" w:type="dxa"/>
            <w:vAlign w:val="bottom"/>
            <w:gridSpan w:val="2"/>
            <w:shd w:val="clear" w:color="auto" w:fill="CCEEFF"/>
          </w:tcPr>
          <w:p>
            <w:pPr>
              <w:jc w:val="right"/>
              <w:ind w:right="141"/>
              <w:spacing w:after="0" w:line="68" w:lineRule="exact"/>
              <w:rPr>
                <w:sz w:val="20"/>
                <w:szCs w:val="20"/>
                <w:color w:val="auto"/>
              </w:rPr>
            </w:pPr>
            <w:r>
              <w:rPr>
                <w:rFonts w:ascii="Arial" w:cs="Arial" w:eastAsia="Arial" w:hAnsi="Arial"/>
                <w:sz w:val="7"/>
                <w:szCs w:val="7"/>
                <w:color w:val="auto"/>
              </w:rPr>
              <w:t>(46,299</w:t>
            </w:r>
          </w:p>
        </w:tc>
        <w:tc>
          <w:tcPr>
            <w:tcW w:w="26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5980" w:type="dxa"/>
            <w:vAlign w:val="bottom"/>
          </w:tcPr>
          <w:p>
            <w:pPr>
              <w:ind w:left="340"/>
              <w:spacing w:after="0"/>
              <w:rPr>
                <w:sz w:val="20"/>
                <w:szCs w:val="20"/>
                <w:color w:val="auto"/>
              </w:rPr>
            </w:pPr>
            <w:r>
              <w:rPr>
                <w:rFonts w:ascii="Arial" w:cs="Arial" w:eastAsia="Arial" w:hAnsi="Arial"/>
                <w:sz w:val="18"/>
                <w:szCs w:val="18"/>
                <w:color w:val="auto"/>
                <w:w w:val="99"/>
              </w:rPr>
              <w:t>Net earnings allocable to common stock subject to possible redemption</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37,797</w:t>
            </w:r>
          </w:p>
        </w:tc>
        <w:tc>
          <w:tcPr>
            <w:tcW w:w="22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1,947,424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Denominator: Weighted average common stock subject to possible redemption</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980" w:type="dxa"/>
            <w:vAlign w:val="bottom"/>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200" w:type="dxa"/>
            <w:vAlign w:val="bottom"/>
          </w:tcPr>
          <w:p>
            <w:pPr>
              <w:spacing w:after="0"/>
              <w:rPr>
                <w:sz w:val="24"/>
                <w:szCs w:val="24"/>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b w:val="1"/>
                <w:bCs w:val="1"/>
                <w:color w:val="auto"/>
                <w:w w:val="99"/>
              </w:rPr>
              <w:t>27,590,813</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5"/>
              </w:rPr>
              <w:t>27,056,327</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w w:val="97"/>
              </w:rPr>
              <w:t>27,135,801</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93"/>
              </w:rPr>
              <w:t>27,071,426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Basic and diluted net income per common share</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Non-Redeemable Common Stock</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i w:val="1"/>
                <w:iCs w:val="1"/>
                <w:color w:val="auto"/>
              </w:rPr>
              <w:t>Basic Loss per Share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Numerator Net (Loss) Income minus Net Earnings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Net (loss) income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(2,050,595)</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(297,162)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(2,099,420)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1,606,293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Less: Net earnings allocable to common stock subject to possible redemption</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(38,988)</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(1,947,424)</w:t>
            </w:r>
          </w:p>
        </w:tc>
        <w:tc>
          <w:tcPr>
            <w:tcW w:w="0" w:type="dxa"/>
            <w:vAlign w:val="bottom"/>
          </w:tcPr>
          <w:p>
            <w:pPr>
              <w:spacing w:after="0"/>
              <w:rPr>
                <w:sz w:val="1"/>
                <w:szCs w:val="1"/>
                <w:color w:val="auto"/>
              </w:rPr>
            </w:pPr>
          </w:p>
        </w:tc>
      </w:tr>
      <w:tr>
        <w:trPr>
          <w:trHeight w:val="278"/>
        </w:trPr>
        <w:tc>
          <w:tcPr>
            <w:tcW w:w="5980" w:type="dxa"/>
            <w:vAlign w:val="bottom"/>
            <w:tcBorders>
              <w:top w:val="single" w:sz="8" w:color="CCEEFF"/>
              <w:bottom w:val="single" w:sz="8" w:color="CCEEFF"/>
            </w:tcBorders>
          </w:tcPr>
          <w:p>
            <w:pPr>
              <w:ind w:left="340"/>
              <w:spacing w:after="0"/>
              <w:rPr>
                <w:sz w:val="20"/>
                <w:szCs w:val="20"/>
                <w:color w:val="auto"/>
              </w:rPr>
            </w:pPr>
            <w:r>
              <w:rPr>
                <w:rFonts w:ascii="Arial" w:cs="Arial" w:eastAsia="Arial" w:hAnsi="Arial"/>
                <w:sz w:val="18"/>
                <w:szCs w:val="18"/>
                <w:color w:val="auto"/>
              </w:rPr>
              <w:t>Non-Redeemable Net Loss – Basic</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(2,050,595</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Arial" w:cs="Arial" w:eastAsia="Arial" w:hAnsi="Arial"/>
                <w:sz w:val="16"/>
                <w:szCs w:val="16"/>
                <w:b w:val="1"/>
                <w:bCs w:val="1"/>
                <w:color w:val="auto"/>
                <w:w w:val="74"/>
              </w:rPr>
              <w:t>)</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(336,150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(2,099,420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(341,131</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Denominator: Weighted Average Non-Redeemable Common Stock</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980" w:type="dxa"/>
            <w:vAlign w:val="bottom"/>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200" w:type="dxa"/>
            <w:vAlign w:val="bottom"/>
          </w:tcPr>
          <w:p>
            <w:pPr>
              <w:spacing w:after="0"/>
              <w:rPr>
                <w:sz w:val="24"/>
                <w:szCs w:val="24"/>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b w:val="1"/>
                <w:bCs w:val="1"/>
                <w:color w:val="auto"/>
              </w:rPr>
              <w:t>7,887,000</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8,430,673</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8,344,990</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8,415,575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Basic and diluted net loss per common share</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(0.26</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74"/>
              </w:rPr>
              <w:t>)</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5580"/>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98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TUSCAN HOLDINGS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UNAUDITED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820, “Fair Value Measurement,” approximates the carrying amounts represented in the accompanying condensed consolidated balance sheets, primarily due to their short-term nature, except for the Private Warrants (see Note 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87"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225" w:lineRule="exact"/>
        <w:rPr>
          <w:rFonts w:ascii="Arial" w:cs="Arial" w:eastAsia="Arial" w:hAnsi="Arial"/>
          <w:sz w:val="18"/>
          <w:szCs w:val="18"/>
          <w:color w:val="auto"/>
        </w:rPr>
      </w:pPr>
    </w:p>
    <w:p>
      <w:pPr>
        <w:ind w:left="1300" w:hanging="644"/>
        <w:spacing w:after="0" w:line="308" w:lineRule="auto"/>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46" w:lineRule="exact"/>
        <w:rPr>
          <w:rFonts w:ascii="Arial" w:cs="Arial" w:eastAsia="Arial" w:hAnsi="Arial"/>
          <w:sz w:val="17"/>
          <w:szCs w:val="17"/>
          <w:color w:val="auto"/>
        </w:rPr>
      </w:pPr>
    </w:p>
    <w:p>
      <w:pPr>
        <w:jc w:val="both"/>
        <w:ind w:left="1300" w:hanging="644"/>
        <w:spacing w:after="0" w:line="263"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evaluates its financial instruments to determine if such instruments are derivatives or contain features that qualify as embedded derivatives in accordance with ASC Topic 815, “Derivatives and Hedging”. For derivative financial instruments that are accounted for as liabilities, the derivative instrument is initially recorded at its fair value on the grant date and is then re-valued at each reporting date, with changes in the fair value reported in the statements of operations. The classification of derivative instruments, including whether such instruments should be recorded as liabilities or as equity, is evaluated at the end of each reporting period. Derivative liabilities are classified in the balance sheet as current or non-current based on whether or not net-cash settlement or conversion of the instrument could be required within 12 months of the balance sheet 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August 2020, the FASB issued ASU No. 2020-06, “Debt—Debt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GAAP. ASU 2020-06 removes certain settlement conditions that are required for equity contracts to qualify for the derivative scope exception and it also simplifies the diluted earnings per share calculation in certain areas. ASU 2020-06 is effective for fiscal years beginning after December 15, 2023, including interim periods within those fiscal years, with early adoption permitted. The Company adopted ASU 2020-06 effective as of January 1, 2021. The adoption of ASU 2020-06 did not have an impact on the Company’s financial statements.</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Company’s condensed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TUSCAN HOLDINGS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UNAUDITED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INITIAL PUBLIC OFFERING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7, 2019, the Company consummated the Initial Public Offering and sold 24,000,000 units at a price of $10.00 per Unit. Each Unit consists of one share of common stock and one warrant (“Public Warrant”). On March 12, 2019, in connection with the underwriters’ exercise of the over-allotment option in full, the Company sold an additional 3,600,000 Units at a price of $10.00 per Unit. Each Public Warrant entitles the holder to purchase one share of common stock at a price of $11.50 per share, subject to adjustment (see Note 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Simultaneously with the closing of the Initial Public Offering, the Sponsor and EarlyBirdCapital and its designee purchased an aggregate of 615,000 Private Units at a price of $10.00 per Private Unit, for an aggregate purchase price of $6,150,000. The Sponsor purchased 500,047 Private Units and EarlyBirdCapital and its designee purchased an aggregate of 114,953 Private Units. On March 12, 2019, in connection with the underwriters’ exercise of the over-allotment option in full, the purchasers purchased an aggregate of an additional 72,000 additional Private Units, of which 58,542 Private Units were purchased by the Sponsor and 13,458 Private Units were purchased by EarlyBirdCapital and its designee, for an aggregate purchase price of $720,000. Each Private Unit consists of one share of common stock (“Private Share”) and one warrant (“Private Warrant”). Each Private Warrant is exercisable to purchase one share of common stock at an exercise price of $11.50 per share, subject to adjustment (see Note 7). The proceeds from the Private Units were added to the proceeds from the Initial Public Offering held in the Trust Account. If the Company does not complete a Business Combination within the Combination Period, the proceeds from the sale of the Private Units will be used to fund the redemption of the Public Shares (subject to the requirements of applicable law), and the Private Units and all underlying securities will be worthless.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November 2018, the Sponsor purchased 5,750,000 shares (the “Founder Shares”) of the Company’s common stock for an aggregate price of $25,000. On March 5, 2019, the Company effected a stock dividend of 0.2 shares of common stock for each outstanding share (the “Stock Dividend”), resulting in 6,900,000 Founder Shares being issued and outstanding.</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6,900,000 Founder Shares included an aggregate of up to 900,000 shares subject to forfeiture by the Sponsor to the extent that the underwriters’ over-allotment was not exercised in full or in part, so that the holders of the Founder Shares would collectively own 20% of the Company’s issued and outstanding shares after the Initial Public Offering (assuming the holders did not purchase any Public Shares in the Initial Public Offering and excluding the Private Units and Representative Shares (see Note 7). In connection with the underwriters’ exercise of the over-allotment option in full on March 12, 2019, 900,000 Founder Shares are no longer subject to forfeiture.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TUSCAN HOLDINGS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UNAUDITED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holders of the Founder Shares have agreed, subject to certain limited exceptions, not to transfer, assign or sell any of the Founder Shares until, with respect to 50% of the Founder Shares, the earlier of one year after the consummation of a Business Combination and the date on which the closing price of the common stock equals or exceeds $12.50 per share (as adjusted for stock splits, stock dividends, reorganizations, recapitalizations and the like) for any 20 trading days within a 30-trading day period commencing after a Business Combination and, with respect to the remaining 50% of the Founder Shares, until the one year after the consummation of a Business Combination, or earlier, in either case, if, subsequent to a Business Combination, the Company completes a liquidation, merger, stock exchange or other similar transaction which results in all of the Company’s stockholders having the right to exchange their shares of common stock for cash, securities or other property.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Service Fee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Vogel Partners, LLP, an affiliate of Mr. Vogel, has agreed that, until the earlier of the consummation of an initial business combination or the Company’s liquidation, it will make available to the Company certain general and administrative services, including office space, utilities, and administrative support, as the Company may require from time to time. The Company has agreed to pay Vogel Partners, LLP $10,000 per month for these services. For the three and six months ended June 30, 2021 and 2020, the Company incurred $30,000 and $60,000, respectively, in fees for these services. At June 30, 2021 and December 31, 2020, fees amounting to $10,000 are included in accounts payable and accrued expenses in the accompanying condensed consolidated balance sheets.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Loans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addition, in order to finance transaction costs in connection with a Business Combination, the Sponsor or certain of the Company’s officers and directors or their affiliates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to the extent such funds are available. In the event that a Business Combination does not close, the Company may use a portion of proceeds held outside the Trust Account to repay the Working Capital Loans, but no proceeds held in the Trust Account will be used to repay the Working Capital Loans. The Working Capital Loans would either be repaid upon consummation of a Business Combination, without interest, or, at the lender’s discretion, up to $1,500,000 of such Working Capital Loans may be convertible into units of the post Business Combination entity at a price of $10.00 per unit. The units would be identical to the Private Units.</w:t>
      </w:r>
    </w:p>
    <w:p>
      <w:pPr>
        <w:spacing w:after="0" w:line="16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April 21, 2020, the Company issued an unsecured promissory note to the Sponsor in the aggregate amount of $300,000 (the “Note”), of which $200,000 was drawn upon on such date. On February 12, 2021, the Company issued an unsecured promissory note to the Sponsor in the aggregate amount of $1,200,000 (together, with the Note, the “Convertible Promissory Notes”). The Convertible Promissory Notes are non-interest bearing and payable upon the consummation of a Business Combination. The Convertible Promissory Notes are convertible, at the lender’s option, into units of the post Business Combination entity at a price of $10.00 per unit. The units would be identical to the Private Units.</w:t>
      </w:r>
    </w:p>
    <w:p>
      <w:pPr>
        <w:spacing w:after="0" w:line="17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June 30, 2021 and December 31, 2020, the aggregate fair market value of the Convertible Promissory Notes was $1,686,000 and $200,000 (see Note 9).</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TUSCAN HOLDINGS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UNAUDITED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and Lock-Up Agreement</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Pursuant to a registration rights agreement entered into on March 7, 2019, the holders of the Founder Shares, Representative Shares, Private Units, and any units that may be issued upon conversion of Working Capital Loans (and all underlying securities) are entitled to registration rights. The holders of the majority of these securities are entitled to make up to two demands that the Company register such securities. The holders of the majority of the Founder Shares can elect to exercise these registration rights at any time commencing three months prior to the date on which the Founder Shares are to be released from escrow. The holders of a majority of the Representative Shares, Private Units or units issued in payment of working capital loans made to the Company (or underlying securities) can elect to exercise these registration rights at any time commencing after the Company consummates a Business Combination. Notwithstanding anything to the contrary, EarlyBirdCapital and its designee may only make a demand on one occasion and only during the five-year period beginning on the effective date of the Initial Public Offering. In addition, the holders have certain “piggy-back” registration rights with respect to registration statements filed subsequent to the consummation of a Business Combination; provided, however, that EarlyBirdCapital and its designee may participate in a “piggy-back” registration only during the seven-year period beginning on the effective date of the Initial Public Offering. The Company will bear the expenses incurred in connection with the filing of any such registration statements.At the Closing of the Business Combination, the parties agreed to terminate this registration rights agreement and replace it with the Registration Rights and Lock-Up Agreement (the “Registration Rights and Lockup Agreement”).</w:t>
      </w:r>
    </w:p>
    <w:p>
      <w:pPr>
        <w:spacing w:after="0" w:line="18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the Closing, the Company entered into a Registration Rights and Lock-Up Agreement with stockholders of Microvast prior to the consummation of the Business Combination, the affiliates of certain former investors in Microvast’s subsidiary Microvast Power System (Houzhou) Co. Ltd., the Sponsor and certain officers and directors of the Company, pursuant to which the Company is obligated to file a registration statement promptly following the Closing to register the resale of certain securities of the Company held by the parties to the Registration Rights and Lock-Up Agreement. The Registration Rights and Lock-Up Agreement provides the parties thereto with “piggy-back” registration rights, subject to certain requirements and customary conditions. There are no cash penalties under the Registration Rights and Lock-Up Agreement for failure to timely file a required registration statement.</w:t>
      </w:r>
    </w:p>
    <w:p>
      <w:pPr>
        <w:spacing w:after="0" w:line="19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Subject to certain exceptions, the Registration Rights and Lock-Up Agreement further provides (1) Wu will be subject to a lock-up of one year post closing with respect to 25% of his shares of common stock and a lock-up of two years for the remaining 75% of his shares of common stock, provided that, with respect to the 25% of his shares subject to the one-year lock-up, he can sell those shares if the shares trade at $15.00 or above for 20 days in any 30-day period, (2) the Microvast equity holders other than Wu are subject to a six-month lock-up post closing, and (3) with respect to the shares of common stock owned by the Sponsor, Stefan M. Selig, Richard O. Rieger, and Amy Butte (collectively, the “Sponsor Group”), such shares shall be subject to the transfer restrictions provided in the Amendment to Escrow Agreement described below.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has engaged EarlyBirdCapital as an advisor in connection with a Business Combination to assist the Company in holding meetings with its shareholders to discuss the potential Business Combination and the target business’ attributes, introduce the Company to potential investors that are interested in purchasing the Company’s securities in connection with a Business Combination, assist the Company in obtaining shareholder approval for the Business Combination and assist the Company with its press releases and public filings in connection with the Business Combination. The Company will pay EarlyBirdCapital a cash fee for such services upon the consummation of a Business Combination in an amount equal to $9,660,000 (exclusive of any applicable finders’ fees which might become payable); provided that up to 30% of the fee may be allocated at the Company’s sole discretion to other FINRA members that assist the Company in identifying and consummating a Business Combination.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Engagement of Morgan Stanley</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has engaged Morgan Stanley &amp; Co. LLC (“Morgan Stanley”) to provide financial advisory services in connection with the Microvast business combination (see below), and, upon consummation of the transaction with Microvast, the Company will pay Morgan Stanley a transaction fee of $5.5 million, plus expenses. Morgan Stanley also acted as placement agent in connection with the PIPE Financing (see below), and the Company is obligated to pay Morgan Stanley a placement fee equal to (i) 3.5% of the sum of (x) the aggregate gross proceeds raised in the PIPE Financing up to $300 million (not including funds from the sale of certain excluded securities) and (y) any borrowings pursuant to a bridge financing provided in connection with the proposed business combination by investors introduced by Morgan Stanley, and (ii) 2.5% of the aggregate gross proceeds raised in the PIPE Financing above $300 million.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TUSCAN HOLDINGS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UNAUDITED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Agreement</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At the Closing, the Company, Mr. Yang Wu (“</w:t>
      </w:r>
      <w:r>
        <w:rPr>
          <w:rFonts w:ascii="Arial" w:cs="Arial" w:eastAsia="Arial" w:hAnsi="Arial"/>
          <w:sz w:val="17"/>
          <w:szCs w:val="17"/>
          <w:u w:val="single" w:color="auto"/>
          <w:color w:val="auto"/>
        </w:rPr>
        <w:t>Wu</w:t>
      </w:r>
      <w:r>
        <w:rPr>
          <w:rFonts w:ascii="Arial" w:cs="Arial" w:eastAsia="Arial" w:hAnsi="Arial"/>
          <w:sz w:val="17"/>
          <w:szCs w:val="17"/>
          <w:color w:val="auto"/>
        </w:rPr>
        <w:t>”) and Tuscan Holdings Acquisition LLC, a Delaware limited liability company (the “</w:t>
      </w:r>
      <w:r>
        <w:rPr>
          <w:rFonts w:ascii="Arial" w:cs="Arial" w:eastAsia="Arial" w:hAnsi="Arial"/>
          <w:sz w:val="17"/>
          <w:szCs w:val="17"/>
          <w:u w:val="single" w:color="auto"/>
          <w:color w:val="auto"/>
        </w:rPr>
        <w:t>Sponsor</w:t>
      </w:r>
      <w:r>
        <w:rPr>
          <w:rFonts w:ascii="Arial" w:cs="Arial" w:eastAsia="Arial" w:hAnsi="Arial"/>
          <w:sz w:val="17"/>
          <w:szCs w:val="17"/>
          <w:color w:val="auto"/>
        </w:rPr>
        <w:t>”), entered into a Stockholders Agreement (the “</w:t>
      </w:r>
      <w:r>
        <w:rPr>
          <w:rFonts w:ascii="Arial" w:cs="Arial" w:eastAsia="Arial" w:hAnsi="Arial"/>
          <w:sz w:val="17"/>
          <w:szCs w:val="17"/>
          <w:u w:val="single" w:color="auto"/>
          <w:color w:val="auto"/>
        </w:rPr>
        <w:t>Stockholders Agreement</w:t>
      </w:r>
      <w:r>
        <w:rPr>
          <w:rFonts w:ascii="Arial" w:cs="Arial" w:eastAsia="Arial" w:hAnsi="Arial"/>
          <w:sz w:val="17"/>
          <w:szCs w:val="17"/>
          <w:color w:val="auto"/>
        </w:rPr>
        <w:t>”), which provides that immediately following the Closing,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shall consist of: (i) Wu, who is the initial Chairman of the board (who is also the Chief Executive Officer of the Company); (ii) Yanzhuan Zheng (who is also the Chief Financial Officer of the Company); (iii) Stanley Whittingham; (iv) Arthur Wong; (v) Craig Webster; (vi) Stephen Vogel; and (vii) Wei Ying. The Stockholders Agreement also provides that the Company’s amended and restated certificate of incorporation (the “</w:t>
      </w:r>
      <w:r>
        <w:rPr>
          <w:rFonts w:ascii="Arial" w:cs="Arial" w:eastAsia="Arial" w:hAnsi="Arial"/>
          <w:sz w:val="17"/>
          <w:szCs w:val="17"/>
          <w:u w:val="single" w:color="auto"/>
          <w:color w:val="auto"/>
        </w:rPr>
        <w:t>Charter</w:t>
      </w:r>
      <w:r>
        <w:rPr>
          <w:rFonts w:ascii="Arial" w:cs="Arial" w:eastAsia="Arial" w:hAnsi="Arial"/>
          <w:sz w:val="17"/>
          <w:szCs w:val="17"/>
          <w:color w:val="auto"/>
        </w:rPr>
        <w:t>”) shall provide that (a) the number of directors which shall constitute the board shall be fixed by and in the manner provided in the Bylaws, except that any increase or decrease in the number of directors shall require the affirmative vote of the Wu Directors (as defined below), and (b) the board shall be divided into three classes designated Class I, Class II and Class III, as follows:</w:t>
      </w:r>
    </w:p>
    <w:p>
      <w:pPr>
        <w:spacing w:after="0" w:line="178" w:lineRule="exact"/>
        <w:rPr>
          <w:sz w:val="20"/>
          <w:szCs w:val="20"/>
          <w:color w:val="auto"/>
        </w:rPr>
      </w:pPr>
    </w:p>
    <w:p>
      <w:pPr>
        <w:ind w:left="130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Class I Directors shall be Stephen Vogel and Wei Ying, each of whom shall initially serve for a term expiring at the first annual meeting of stockholders held after the Closing;</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Class II Directors shall be Stanley Whittingham and Arthur Wong, each of whom shall initially serve for a term expiring at the second annual meeting of stockholders held after the Closing; and</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Class III Directors shall be Wu, Yanzhuan Zheng and Craig Webster, each of whom shall initially serve for a term expiring at the third annual meeting of stockholders held after the Closing.</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Wu has the right, but not the obligation, to nominate for election to the board at every meeting of the stockholders of the Company at which directors are elected a number of individuals (rounded up to the nearest whole number) equal to (a) the total number of directors, multiplied by (b) the quotient obtained by dividing the shares of common stock beneficially owned by Wu by the total number of outstanding shares of common stock (each, a “</w:t>
      </w:r>
      <w:r>
        <w:rPr>
          <w:rFonts w:ascii="Arial" w:cs="Arial" w:eastAsia="Arial" w:hAnsi="Arial"/>
          <w:sz w:val="17"/>
          <w:szCs w:val="17"/>
          <w:u w:val="single" w:color="auto"/>
          <w:color w:val="auto"/>
        </w:rPr>
        <w:t>Wu Director</w:t>
      </w:r>
      <w:r>
        <w:rPr>
          <w:rFonts w:ascii="Arial" w:cs="Arial" w:eastAsia="Arial" w:hAnsi="Arial"/>
          <w:sz w:val="17"/>
          <w:szCs w:val="17"/>
          <w:color w:val="auto"/>
        </w:rPr>
        <w:t>”) less the number of Wu Directors then serving on the board and whose terms in office are not expiring at such meeting. Wu, Yanzhuan Zheng, Stanley Whittingham and Arthur Wong were nominated by Wu as the initial Wu Directors.</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So long as the Sponsor beneficially owns at least 5,481,441 shares of common stock, the Sponsor shall have the right, but not the obligation, to nominate for election to the board at every meeting of the stockholders of the Company at which directors are elected, one individual (the “</w:t>
      </w:r>
      <w:r>
        <w:rPr>
          <w:rFonts w:ascii="Arial" w:cs="Arial" w:eastAsia="Arial" w:hAnsi="Arial"/>
          <w:sz w:val="18"/>
          <w:szCs w:val="18"/>
          <w:u w:val="single" w:color="auto"/>
          <w:color w:val="auto"/>
        </w:rPr>
        <w:t>Sponsor</w:t>
      </w:r>
      <w:r>
        <w:rPr>
          <w:rFonts w:ascii="Arial" w:cs="Arial" w:eastAsia="Arial" w:hAnsi="Arial"/>
          <w:sz w:val="18"/>
          <w:szCs w:val="18"/>
          <w:color w:val="auto"/>
        </w:rPr>
        <w:t xml:space="preserve"> </w:t>
      </w:r>
      <w:r>
        <w:rPr>
          <w:rFonts w:ascii="Arial" w:cs="Arial" w:eastAsia="Arial" w:hAnsi="Arial"/>
          <w:sz w:val="18"/>
          <w:szCs w:val="18"/>
          <w:u w:val="single" w:color="auto"/>
          <w:color w:val="auto"/>
        </w:rPr>
        <w:t>Director</w:t>
      </w:r>
      <w:r>
        <w:rPr>
          <w:rFonts w:ascii="Arial" w:cs="Arial" w:eastAsia="Arial" w:hAnsi="Arial"/>
          <w:sz w:val="18"/>
          <w:szCs w:val="18"/>
          <w:color w:val="auto"/>
        </w:rPr>
        <w:t>”) less the number of Sponsor Directors then serving on the board and whose terms in office are not expiring at such meeting. Stephen Vogel was nominated by the Sponsor as the initial Sponsor Director.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 Agreements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the Closing Date, we entered into indemnity agreements with Wu, Yanzhuan Zheng, Craig Webster, Wei Ying, Stanley Whittingham, Arthur Wong and Stephen Vogel, each of whom became a director following the Business Combination, and Wenjuan Mattis, Ph.D., Shane Smith, Shengxian Wu, Ph.D. Sascha Rene Kelterborn, Sarah Alexander and Lu Gao each of who became executive officers of the Company following the Business Combination. Each indemnity agreement provides that, subject to limited exceptions, and among other things, we will indemnify the director or executive officer to the fullest extent permitted by law for claims arising in his or her capacity as our director or officer.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to Escrow Agreement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At the Closing, the Sponsor and related parties entered into an amendment to the Escrow Agreement pursuant to which the 6,750,000 shares held by Tuscan Holdings Acquisition LLC (“Sponsor”), and the 30,000 shares held by each of Stefan M. Selig, Richard O. Rieger and Amy Butte (together with the Sponsor, the “Founders”) are being held post-Closing. Pursuant to the amended Escrow Agreement:</w:t>
      </w:r>
    </w:p>
    <w:p>
      <w:pPr>
        <w:spacing w:after="0" w:line="165" w:lineRule="exact"/>
        <w:rPr>
          <w:sz w:val="20"/>
          <w:szCs w:val="20"/>
          <w:color w:val="auto"/>
        </w:rPr>
      </w:pPr>
    </w:p>
    <w:p>
      <w:pPr>
        <w:jc w:val="both"/>
        <w:ind w:left="1300" w:hanging="644"/>
        <w:spacing w:after="0" w:line="273" w:lineRule="auto"/>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5,062,500 shares of common stock held by Sponsor (“</w:t>
      </w:r>
      <w:r>
        <w:rPr>
          <w:rFonts w:ascii="Arial" w:cs="Arial" w:eastAsia="Arial" w:hAnsi="Arial"/>
          <w:sz w:val="17"/>
          <w:szCs w:val="17"/>
          <w:u w:val="single" w:color="auto"/>
          <w:color w:val="auto"/>
        </w:rPr>
        <w:t>Sponsor Upfront Escrow Shares</w:t>
      </w:r>
      <w:r>
        <w:rPr>
          <w:rFonts w:ascii="Arial" w:cs="Arial" w:eastAsia="Arial" w:hAnsi="Arial"/>
          <w:sz w:val="17"/>
          <w:szCs w:val="17"/>
          <w:color w:val="auto"/>
        </w:rPr>
        <w:t>”) and all of the shares of common stock held by Founders other than Sponsor (the “</w:t>
      </w:r>
      <w:r>
        <w:rPr>
          <w:rFonts w:ascii="Arial" w:cs="Arial" w:eastAsia="Arial" w:hAnsi="Arial"/>
          <w:sz w:val="17"/>
          <w:szCs w:val="17"/>
          <w:u w:val="single" w:color="auto"/>
          <w:color w:val="auto"/>
        </w:rPr>
        <w:t>Founder Upfront Escrow Shares</w:t>
      </w:r>
      <w:r>
        <w:rPr>
          <w:rFonts w:ascii="Arial" w:cs="Arial" w:eastAsia="Arial" w:hAnsi="Arial"/>
          <w:sz w:val="17"/>
          <w:szCs w:val="17"/>
          <w:color w:val="auto"/>
        </w:rPr>
        <w:t xml:space="preserve">”) shall be held until (i) with respect to 3,375,000 Sponsor Upfront Escrow Shares and 45,000 Founder Upfront Escrow Shares, the </w:t>
      </w:r>
      <w:r>
        <w:rPr>
          <w:rFonts w:ascii="Arial" w:cs="Arial" w:eastAsia="Arial" w:hAnsi="Arial"/>
          <w:sz w:val="17"/>
          <w:szCs w:val="17"/>
          <w:u w:val="single" w:color="auto"/>
          <w:color w:val="auto"/>
        </w:rPr>
        <w:t>earlier</w:t>
      </w:r>
      <w:r>
        <w:rPr>
          <w:rFonts w:ascii="Arial" w:cs="Arial" w:eastAsia="Arial" w:hAnsi="Arial"/>
          <w:sz w:val="17"/>
          <w:szCs w:val="17"/>
          <w:color w:val="auto"/>
        </w:rPr>
        <w:t xml:space="preserve"> of (A) one year following the date of the Closing (the “</w:t>
      </w:r>
      <w:r>
        <w:rPr>
          <w:rFonts w:ascii="Arial" w:cs="Arial" w:eastAsia="Arial" w:hAnsi="Arial"/>
          <w:sz w:val="17"/>
          <w:szCs w:val="17"/>
          <w:u w:val="single" w:color="auto"/>
          <w:color w:val="auto"/>
        </w:rPr>
        <w:t>Anniversary Release Date</w:t>
      </w:r>
      <w:r>
        <w:rPr>
          <w:rFonts w:ascii="Arial" w:cs="Arial" w:eastAsia="Arial" w:hAnsi="Arial"/>
          <w:sz w:val="17"/>
          <w:szCs w:val="17"/>
          <w:color w:val="auto"/>
        </w:rPr>
        <w:t>”) and (B) the date on which the last sale price of the common stock equals or exceeds $12.50 per share for any 20 trading days within any 30-trading day period following the Closing, and (ii) with respect to the remaining Sponsor Upfront Escrow Shares and Founder Upfront Escrow Shares, the Anniversary Release Date.</w:t>
      </w:r>
    </w:p>
    <w:p>
      <w:pPr>
        <w:spacing w:after="0" w:line="177" w:lineRule="exact"/>
        <w:rPr>
          <w:rFonts w:ascii="Arial" w:cs="Arial" w:eastAsia="Arial" w:hAnsi="Arial"/>
          <w:sz w:val="17"/>
          <w:szCs w:val="17"/>
          <w:color w:val="auto"/>
        </w:rPr>
      </w:pPr>
    </w:p>
    <w:p>
      <w:pPr>
        <w:jc w:val="both"/>
        <w:ind w:left="1300" w:hanging="644"/>
        <w:spacing w:after="0" w:line="311"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Escrow Agent shall hold the 50% of the 1,687,500 shares of common stock held by Sponsor (the “</w:t>
      </w:r>
      <w:r>
        <w:rPr>
          <w:rFonts w:ascii="Arial" w:cs="Arial" w:eastAsia="Arial" w:hAnsi="Arial"/>
          <w:sz w:val="16"/>
          <w:szCs w:val="16"/>
          <w:u w:val="single" w:color="auto"/>
          <w:color w:val="auto"/>
        </w:rPr>
        <w:t>Sponsor Earn-Out Escrow</w:t>
      </w:r>
      <w:r>
        <w:rPr>
          <w:rFonts w:ascii="Arial" w:cs="Arial" w:eastAsia="Arial" w:hAnsi="Arial"/>
          <w:sz w:val="16"/>
          <w:szCs w:val="16"/>
          <w:color w:val="auto"/>
        </w:rPr>
        <w:t xml:space="preserve"> </w:t>
      </w:r>
      <w:r>
        <w:rPr>
          <w:rFonts w:ascii="Arial" w:cs="Arial" w:eastAsia="Arial" w:hAnsi="Arial"/>
          <w:sz w:val="16"/>
          <w:szCs w:val="16"/>
          <w:u w:val="single" w:color="auto"/>
          <w:color w:val="auto"/>
        </w:rPr>
        <w:t>Shares</w:t>
      </w:r>
      <w:r>
        <w:rPr>
          <w:rFonts w:ascii="Arial" w:cs="Arial" w:eastAsia="Arial" w:hAnsi="Arial"/>
          <w:sz w:val="16"/>
          <w:szCs w:val="16"/>
          <w:color w:val="auto"/>
        </w:rPr>
        <w:t xml:space="preserve">”) until the </w:t>
      </w:r>
      <w:r>
        <w:rPr>
          <w:rFonts w:ascii="Arial" w:cs="Arial" w:eastAsia="Arial" w:hAnsi="Arial"/>
          <w:sz w:val="16"/>
          <w:szCs w:val="16"/>
          <w:u w:val="single" w:color="auto"/>
          <w:color w:val="auto"/>
        </w:rPr>
        <w:t>later</w:t>
      </w:r>
      <w:r>
        <w:rPr>
          <w:rFonts w:ascii="Arial" w:cs="Arial" w:eastAsia="Arial" w:hAnsi="Arial"/>
          <w:sz w:val="16"/>
          <w:szCs w:val="16"/>
          <w:color w:val="auto"/>
        </w:rPr>
        <w:t xml:space="preserve"> of (A) the Anniversary Release Date and (B) the date on which the last sale price of the common stock equals or exceeds $12.00 per share for any 20 trading days within any 30-trading day period following the Closing (the “</w:t>
      </w:r>
      <w:r>
        <w:rPr>
          <w:rFonts w:ascii="Arial" w:cs="Arial" w:eastAsia="Arial" w:hAnsi="Arial"/>
          <w:sz w:val="16"/>
          <w:szCs w:val="16"/>
          <w:u w:val="single" w:color="auto"/>
          <w:color w:val="auto"/>
        </w:rPr>
        <w:t>First Earn-Out Target</w:t>
      </w:r>
      <w:r>
        <w:rPr>
          <w:rFonts w:ascii="Arial" w:cs="Arial" w:eastAsia="Arial" w:hAnsi="Arial"/>
          <w:sz w:val="16"/>
          <w:szCs w:val="16"/>
          <w:color w:val="auto"/>
        </w:rPr>
        <w: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TUSCAN HOLDINGS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UNAUDITED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211" w:lineRule="exact"/>
        <w:rPr>
          <w:sz w:val="20"/>
          <w:szCs w:val="20"/>
          <w:color w:val="auto"/>
        </w:rPr>
      </w:pPr>
    </w:p>
    <w:p>
      <w:pPr>
        <w:jc w:val="both"/>
        <w:ind w:left="1300" w:hanging="644"/>
        <w:spacing w:after="0" w:line="263"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Escrow Agent shall hold the other 50% of the Sponsor Earn-Out Escrow Shares until the </w:t>
      </w:r>
      <w:r>
        <w:rPr>
          <w:rFonts w:ascii="Arial" w:cs="Arial" w:eastAsia="Arial" w:hAnsi="Arial"/>
          <w:sz w:val="18"/>
          <w:szCs w:val="18"/>
          <w:u w:val="single" w:color="auto"/>
          <w:color w:val="auto"/>
        </w:rPr>
        <w:t>later</w:t>
      </w:r>
      <w:r>
        <w:rPr>
          <w:rFonts w:ascii="Arial" w:cs="Arial" w:eastAsia="Arial" w:hAnsi="Arial"/>
          <w:sz w:val="18"/>
          <w:szCs w:val="18"/>
          <w:color w:val="auto"/>
        </w:rPr>
        <w:t xml:space="preserve"> of (A) the Anniversary Release Date and (B) the date on which the last sale price of the common stock equals or exceeds $15.00 per share for any 20 trading days within any 30-trading day period following the Closing (the “</w:t>
      </w:r>
      <w:r>
        <w:rPr>
          <w:rFonts w:ascii="Arial" w:cs="Arial" w:eastAsia="Arial" w:hAnsi="Arial"/>
          <w:sz w:val="18"/>
          <w:szCs w:val="18"/>
          <w:u w:val="single" w:color="auto"/>
          <w:color w:val="auto"/>
        </w:rPr>
        <w:t>Second Earn-Out Target</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1300" w:hanging="644"/>
        <w:spacing w:after="0" w:line="275" w:lineRule="auto"/>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the event that neither the First Earn-Out Target Release Notice nor the Second Earn-Out Target Release Notice is delivered on or prior to the fifth anniversary of the Closing, then the Escrow Agent shall release all the Sponsor Earn-Out Escrow Shares to the Company for cancellation for no consideration. In the event that the Second Earn-Out Target Release Notice is not delivered (and the First Earn-Out Target Release Notice has been delivered) on or prior to the fifth anniversary of the Closing, then the Escrow Agent shall release 50% of the Sponsor Earn-Out Escrow Shares to the Company for cancellation for no consideration.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Preferred Stock — </w:t>
      </w:r>
      <w:r>
        <w:rPr>
          <w:rFonts w:ascii="Arial" w:cs="Arial" w:eastAsia="Arial" w:hAnsi="Arial"/>
          <w:sz w:val="18"/>
          <w:szCs w:val="18"/>
          <w:color w:val="auto"/>
        </w:rPr>
        <w:t>The Company is authorized to issue 1,000,000 shares of preferred stock with a par value of $0.0001 per share with such</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designation, rights and preferences as may be determined from time to time by the Company’s board of directors. As of June 30, 2021 and December 31, 2020, there were no shares of preferred stock issued or outstanding.</w:t>
      </w:r>
    </w:p>
    <w:p>
      <w:pPr>
        <w:spacing w:after="0" w:line="176"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Common Stock </w:t>
      </w:r>
      <w:r>
        <w:rPr>
          <w:rFonts w:ascii="Arial" w:cs="Arial" w:eastAsia="Arial" w:hAnsi="Arial"/>
          <w:sz w:val="16"/>
          <w:szCs w:val="16"/>
          <w:color w:val="auto"/>
        </w:rPr>
        <w:t>— The Company is authorized to issue 65,000,000 shares of common stock with a par value of $0.0001 per share. Holders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are entitled to one vote for each share. As of June 30, 2021 and December 31, 2020, there were 7,887,000 and 8,808,069 shares of common stock issued and outstanding, excluding 27,583,510 and 26,675,733 shares of common stock subject to possible redemption, respectively.</w:t>
      </w:r>
    </w:p>
    <w:p>
      <w:pPr>
        <w:spacing w:after="0" w:line="14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 determined the common stock subject to redemption to be equal to the redemption value of approximately $10.21 per share of common stock while also taking into consideration a redemption cannot result in net tangible assets being less than $5,000,001. Upon considering the impact of the PIPE Financing and associated Subscription Agreements, it was concluded that the redemption value should include all shares of common stock Public Shares resulting in the common stock subject to possible redemption being equal to $281,581,276. This resulted in a measurement adjustment to the initial carrying value of the common stock subject to redemption with the offset recorded to additional paid-in capital and accumulated deficit.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Representative Shares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November 2018, the Company issued to the designees of EarlyBirdCapital, for a nominal consideration, 300,000 shares (after giving effect to the Stock Dividend) of common stock (the “Representative Shares”). The Company accounted for the Representative Shares as an offering cost of the Initial Public Offering, with a corresponding credit to stockholders’ equity. The Company estimated the fair value of Representative Shares to be $1,200 based upon the price of the Founder Shares issued to the Sponsor. The holders of the Representative Shares have agreed not to transfer, assign or sell any such shares until the completion of a Business Combination. In addition, the holders have agreed (i) to waive their redemption rights (or to sell any shares in a tender offer) with respect to such shares in connection with the completion of a Business Combination and (ii) to waive their rights to liquidating distributions from the Trust Account with respect to such shares if the Company fails to complete a Business Combination within the Combination Period.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WARRANTS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Public Warrants will become exercisable 30 days after the completion of a Business Combination.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a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The Public Warrants will expire five years after the completion of a Business Combination or earlier upon redemption or liquidation.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TUSCAN HOLDINGS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UNAUDITED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Once the Public Warrants become exercisable, the Company may redeem the Public Warrants:</w:t>
      </w:r>
    </w:p>
    <w:p>
      <w:pPr>
        <w:spacing w:after="0" w:line="225"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w:t>
      </w:r>
    </w:p>
    <w:p>
      <w:pPr>
        <w:spacing w:after="0" w:line="225" w:lineRule="exact"/>
        <w:rPr>
          <w:rFonts w:ascii="Arial" w:cs="Arial" w:eastAsia="Arial" w:hAnsi="Arial"/>
          <w:sz w:val="18"/>
          <w:szCs w:val="18"/>
          <w:color w:val="auto"/>
        </w:rPr>
      </w:pPr>
    </w:p>
    <w:p>
      <w:pPr>
        <w:ind w:left="1300" w:hanging="644"/>
        <w:spacing w:after="0" w:line="308" w:lineRule="auto"/>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and only if, the reported last sale price of the Company’s common stock equals or exceeds $18.00 per share for any 20 trading days within a 30-trading day period ending on the third business day prior to the notice of redemption to the warrant holders; and</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and only if, there is a current registration statement in effect with respect to the shares of common stock underlying the warrants.</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“cashless basis,” as described in the warrant agreement.</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Private Warrants are identical to the Public Warrants underlying the Units sold in the Initial Public Offering, except that the Private Warrants will be exercisable for cash or on a cashless basis, at the holder’s option, and be non-redeemable so long as they are held by the initial purchasers or their permitted transferees. If the Private Warrants are held by someone other than the initial purchasers or their permitted transferees, the Private Warrants will be redeemable by the Company and exercisable by such holders on the same basis as the Public Warrants. In addition, so long as the Private Warrants are held by EarlyBirdCapital and its designee, the Private Warrants will expire five years from the effective date of the Initial Public Offering.</w:t>
      </w:r>
    </w:p>
    <w:p>
      <w:pPr>
        <w:spacing w:after="0" w:line="16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addition, if (x) the Company issues additional shares of common stock or equity-linked securities for capital raising purposes in connection with the closing of an initial Business Combination at an issue price or effective issue price of less than $9.50 per share of common stock (with such issue price or effective issue price to be determined in good faith by the Company’s board of directors, and in the case of any such issuance to our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an initial Business Combination on the date of the consummation of an initial Business Combination (net of redemptions), and (z) the volume weighted average trading price of the common stock during the 20 trading day period starting on the trading day prior to the day on which the Company consummated an initial Business Combination (such price, the “Market Value”) is below $9.50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TUSCAN HOLDINGS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UNAUDITED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70"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following table presents information about the Company’s assets and liabilities that are measured at fair value on a recurring basis at June 30, 2021 and December 31, 2020 and indicates the fair value hierarchy of the valuation inputs the Company utilized to determine such fair value: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Level</w:t>
            </w:r>
          </w:p>
        </w:tc>
        <w:tc>
          <w:tcPr>
            <w:tcW w:w="12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7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281,671,994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282,254,978</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Warrant Liability – Private Warrants</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4,183,830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4,204,440</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Promissory Notes – Related Party</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1,686,000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w:t>
            </w: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Private Warrants were accounted for as liabilities in accordance with ASC 815-40 and are presented within warrant liabilities in the condensed balance sheet. The warrant liabilities are measured at fair value at inception and on a recurring basis, with changes in fair value presented within change in fair value of warrant liabilities in the condensed statements of operations.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Private Warrants were valued using a binomial lattice simulation model, which is considered to be a Level 3 fair value measurement. The binomial lattice model’s primary unobservable input utilized in determining the fair value of the Private Warrants is the expected volatility of the common stock. The expected volatility as of the Initial Public Offering date was derived from observable public warrant pricing on comparable ‘blank-check’ companies without an identified target. The expected volatility as of subsequent valuation dates was implied from the Company’s own public warrant pricing.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tcPr>
          <w:p>
            <w:pPr>
              <w:ind w:left="660"/>
              <w:spacing w:after="0"/>
              <w:rPr>
                <w:sz w:val="20"/>
                <w:szCs w:val="20"/>
                <w:color w:val="auto"/>
              </w:rPr>
            </w:pPr>
            <w:r>
              <w:rPr>
                <w:rFonts w:ascii="Arial" w:cs="Arial" w:eastAsia="Arial" w:hAnsi="Arial"/>
                <w:sz w:val="18"/>
                <w:szCs w:val="18"/>
                <w:color w:val="auto"/>
              </w:rPr>
              <w:t>The estimated fair value of the Private Warrants was based on the following significant inputs: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4"/>
              </w:rPr>
              <w:t>June 30,</w:t>
            </w:r>
          </w:p>
        </w:tc>
        <w:tc>
          <w:tcPr>
            <w:tcW w:w="1260" w:type="dxa"/>
            <w:vAlign w:val="bottom"/>
            <w:gridSpan w:val="5"/>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86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Stock price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13.63</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Term</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5.00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Dividend yield</w:t>
            </w:r>
          </w:p>
        </w:tc>
        <w:tc>
          <w:tcPr>
            <w:tcW w:w="1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418"/>
        </w:trPr>
        <w:tc>
          <w:tcPr>
            <w:tcW w:w="8600" w:type="dxa"/>
            <w:vAlign w:val="bottom"/>
          </w:tcPr>
          <w:p>
            <w:pPr>
              <w:ind w:left="660"/>
              <w:spacing w:after="0"/>
              <w:rPr>
                <w:sz w:val="20"/>
                <w:szCs w:val="20"/>
                <w:color w:val="auto"/>
              </w:rPr>
            </w:pPr>
            <w:r>
              <w:rPr>
                <w:rFonts w:ascii="Arial" w:cs="Arial" w:eastAsia="Arial" w:hAnsi="Arial"/>
                <w:sz w:val="18"/>
                <w:szCs w:val="18"/>
                <w:color w:val="auto"/>
              </w:rPr>
              <w:t>The following table presents the changes in the fair value of the Level 3 warrant liabilities: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January 1, 2021</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4,204,440</w:t>
            </w:r>
          </w:p>
        </w:tc>
        <w:tc>
          <w:tcPr>
            <w:tcW w:w="0" w:type="dxa"/>
            <w:vAlign w:val="bottom"/>
          </w:tcPr>
          <w:p>
            <w:pPr>
              <w:spacing w:after="0"/>
              <w:rPr>
                <w:sz w:val="1"/>
                <w:szCs w:val="1"/>
                <w:color w:val="auto"/>
              </w:rPr>
            </w:pPr>
          </w:p>
        </w:tc>
      </w:tr>
      <w:tr>
        <w:trPr>
          <w:trHeight w:val="236"/>
        </w:trPr>
        <w:tc>
          <w:tcPr>
            <w:tcW w:w="8600" w:type="dxa"/>
            <w:vAlign w:val="bottom"/>
          </w:tcPr>
          <w:p>
            <w:pPr>
              <w:spacing w:after="0"/>
              <w:rPr>
                <w:sz w:val="20"/>
                <w:szCs w:val="20"/>
                <w:color w:val="auto"/>
              </w:rPr>
            </w:pPr>
            <w:r>
              <w:rPr>
                <w:rFonts w:ascii="Arial" w:cs="Arial" w:eastAsia="Arial" w:hAnsi="Arial"/>
                <w:sz w:val="18"/>
                <w:szCs w:val="18"/>
                <w:color w:val="auto"/>
              </w:rPr>
              <w:t>Change in fair value</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(20,610)</w:t>
            </w:r>
          </w:p>
        </w:tc>
        <w:tc>
          <w:tcPr>
            <w:tcW w:w="0" w:type="dxa"/>
            <w:vAlign w:val="bottom"/>
          </w:tcPr>
          <w:p>
            <w:pPr>
              <w:spacing w:after="0"/>
              <w:rPr>
                <w:sz w:val="1"/>
                <w:szCs w:val="1"/>
                <w:color w:val="auto"/>
              </w:rPr>
            </w:pPr>
          </w:p>
        </w:tc>
      </w:tr>
      <w:tr>
        <w:trPr>
          <w:trHeight w:val="250"/>
        </w:trPr>
        <w:tc>
          <w:tcPr>
            <w:tcW w:w="8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as of June 30, 2021</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4,183,830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0" w:type="dxa"/>
            <w:vAlign w:val="bottom"/>
            <w:vMerge w:val="restart"/>
          </w:tcPr>
          <w:p>
            <w:pPr>
              <w:ind w:left="554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0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TUSCAN HOLDINGS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UNAUDITED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elected the fair value option for the Convertible Promissory Notes. The fair value of the Convertible Promissory Notes was determined using a binomial lattice simulation model, which is considered to be a Level 3 fair value measurement.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80" w:type="dxa"/>
            <w:vAlign w:val="bottom"/>
          </w:tcPr>
          <w:p>
            <w:pPr>
              <w:ind w:left="660"/>
              <w:spacing w:after="0"/>
              <w:rPr>
                <w:sz w:val="20"/>
                <w:szCs w:val="20"/>
                <w:color w:val="auto"/>
              </w:rPr>
            </w:pPr>
            <w:r>
              <w:rPr>
                <w:rFonts w:ascii="Arial" w:cs="Arial" w:eastAsia="Arial" w:hAnsi="Arial"/>
                <w:sz w:val="18"/>
                <w:szCs w:val="18"/>
                <w:color w:val="auto"/>
              </w:rPr>
              <w:t>The estimated fair value of the Convertible Promissory Notes was based on the following significant inputs: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9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4"/>
              </w:rPr>
              <w:t>June 30,</w:t>
            </w:r>
          </w:p>
        </w:tc>
      </w:tr>
      <w:tr>
        <w:trPr>
          <w:trHeight w:val="241"/>
        </w:trPr>
        <w:tc>
          <w:tcPr>
            <w:tcW w:w="99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20"/>
                <w:szCs w:val="20"/>
                <w:color w:val="auto"/>
              </w:rPr>
            </w:pPr>
          </w:p>
        </w:tc>
      </w:t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60" w:type="dxa"/>
            <w:vAlign w:val="bottom"/>
            <w:shd w:val="clear" w:color="auto" w:fill="CCEEFF"/>
          </w:tcPr>
          <w:p>
            <w:pPr>
              <w:spacing w:after="0"/>
              <w:rPr>
                <w:sz w:val="18"/>
                <w:szCs w:val="18"/>
                <w:color w:val="auto"/>
              </w:rPr>
            </w:pPr>
          </w:p>
        </w:tc>
      </w:tr>
      <w:tr>
        <w:trPr>
          <w:trHeight w:val="216"/>
        </w:trPr>
        <w:tc>
          <w:tcPr>
            <w:tcW w:w="9980" w:type="dxa"/>
            <w:vAlign w:val="bottom"/>
          </w:tcPr>
          <w:p>
            <w:pPr>
              <w:spacing w:after="0"/>
              <w:rPr>
                <w:sz w:val="20"/>
                <w:szCs w:val="20"/>
                <w:color w:val="auto"/>
              </w:rPr>
            </w:pPr>
            <w:r>
              <w:rPr>
                <w:rFonts w:ascii="Arial" w:cs="Arial" w:eastAsia="Arial" w:hAnsi="Arial"/>
                <w:sz w:val="18"/>
                <w:szCs w:val="18"/>
                <w:color w:val="auto"/>
              </w:rPr>
              <w:t>Stock price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13.63</w:t>
            </w:r>
          </w:p>
        </w:tc>
      </w:t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46.9%</w:t>
            </w:r>
          </w:p>
        </w:tc>
      </w:tr>
      <w:tr>
        <w:trPr>
          <w:trHeight w:val="216"/>
        </w:trPr>
        <w:tc>
          <w:tcPr>
            <w:tcW w:w="9980" w:type="dxa"/>
            <w:vAlign w:val="bottom"/>
          </w:tcPr>
          <w:p>
            <w:pPr>
              <w:spacing w:after="0"/>
              <w:rPr>
                <w:sz w:val="20"/>
                <w:szCs w:val="20"/>
                <w:color w:val="auto"/>
              </w:rPr>
            </w:pPr>
            <w:r>
              <w:rPr>
                <w:rFonts w:ascii="Arial" w:cs="Arial" w:eastAsia="Arial" w:hAnsi="Arial"/>
                <w:sz w:val="18"/>
                <w:szCs w:val="18"/>
                <w:color w:val="auto"/>
              </w:rPr>
              <w:t>Term</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5.00</w:t>
            </w:r>
          </w:p>
        </w:tc>
      </w:t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0.78%</w:t>
            </w:r>
          </w:p>
        </w:tc>
      </w:tr>
      <w:tr>
        <w:trPr>
          <w:trHeight w:val="216"/>
        </w:trPr>
        <w:tc>
          <w:tcPr>
            <w:tcW w:w="9980" w:type="dxa"/>
            <w:vAlign w:val="bottom"/>
          </w:tcPr>
          <w:p>
            <w:pPr>
              <w:spacing w:after="0"/>
              <w:rPr>
                <w:sz w:val="20"/>
                <w:szCs w:val="20"/>
                <w:color w:val="auto"/>
              </w:rPr>
            </w:pPr>
            <w:r>
              <w:rPr>
                <w:rFonts w:ascii="Arial" w:cs="Arial" w:eastAsia="Arial" w:hAnsi="Arial"/>
                <w:sz w:val="18"/>
                <w:szCs w:val="18"/>
                <w:color w:val="auto"/>
              </w:rPr>
              <w:t>Dividend yield</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Probability of transaction</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90.00%</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transfers in or out of Level 3 from other levels in the fair value hierarchy during the three and six months ended June 30, 2021.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ind w:left="660"/>
              <w:spacing w:after="0"/>
              <w:rPr>
                <w:sz w:val="20"/>
                <w:szCs w:val="20"/>
                <w:color w:val="auto"/>
              </w:rPr>
            </w:pPr>
            <w:r>
              <w:rPr>
                <w:rFonts w:ascii="Arial" w:cs="Arial" w:eastAsia="Arial" w:hAnsi="Arial"/>
                <w:sz w:val="18"/>
                <w:szCs w:val="18"/>
                <w:color w:val="auto"/>
              </w:rPr>
              <w:t>The following table presents the changes in the fair value of the Level 3 Convertible Promissory Notes: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January 1, 2021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Proceeds received through Convertible Promissory Notes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8"/>
                <w:szCs w:val="18"/>
                <w:color w:val="auto"/>
              </w:rPr>
            </w:pPr>
          </w:p>
        </w:tc>
      </w:tr>
      <w:tr>
        <w:trPr>
          <w:trHeight w:val="250"/>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736,000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Fair value as of June 30, 2021</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1,686,000</w:t>
            </w:r>
          </w:p>
        </w:tc>
        <w:tc>
          <w:tcPr>
            <w:tcW w:w="100" w:type="dxa"/>
            <w:vAlign w:val="bottom"/>
          </w:tcPr>
          <w:p>
            <w:pPr>
              <w:spacing w:after="0"/>
              <w:rPr>
                <w:sz w:val="20"/>
                <w:szCs w:val="20"/>
                <w:color w:val="auto"/>
              </w:rPr>
            </w:pPr>
          </w:p>
        </w:tc>
      </w:tr>
      <w:tr>
        <w:trPr>
          <w:trHeight w:val="21"/>
        </w:trPr>
        <w:tc>
          <w:tcPr>
            <w:tcW w:w="10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condensed consolidated financial statements were issued. Based upon this review, other than as described below, the Company did not identify any subsequent events that would have required adjustment or disclosure in the condensed consolidated financial statements.</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On July 23, 2021, the Company consummated the previously announced merger pursuant to a certain Agreement and Plan of Merger, dated February 1, 2021, between Tuscan Holdings Corp., Microvast and TSCN Merger Sub Inc., a Delaware corporation, pursuant to which Merger Sub merged with and into Microvast, with Microvast surviving the merger.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References in this report (the “Quarterly Report”) to “we,” “us” or the “Company” refer to Tuscan Holdings Corp. References to our “management” or our “management team” refer to our officers and directors, references to the “Sponsor” refer to Tuscan Holdings Acquisition LLC. The following discussion and analysis of the Company’s financial condition and results of operations should be read in conjunction with the financial statements and the notes thereto contained elsewhere in this Quarterly Report. Certain information contained in the discussion and analysis set forth below includes forward-looking statements that involve risks and uncertainties.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This Quarterly Report includes “forward-looking statements” within the meaning of Section 27A of the Securities Act of 1933 and Section 21E of the Exchange Act that are not historical facts and involve risks and uncertainties that could cause actual results to differ materially from those expected and projected. All statements, other than statements of historical fact included in this Form 10-Q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Annual Report on Form 10-K and Form 10-K/A for the year ended December 31, 2020 as filed with the SEC on March 24, 2021 and June 1, 2021, respectively.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blank check company incorporated on November 5, 2018 as a Delaware corporation and formed for the purpose of entering into a merger, share exchange, asset acquisition, stock purchase, recapitalization, reorganization or similar Business Combination with one or more businesses or entities. We intend to effectuate our initial Business Combination using cash from the proceeds of the Initial Public Offering and the sale of the Private Units, our capital stock, debt or a combination of cash, stock and debt.</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entire activity since inception relates to our formation, to prepare for our Initial Public Offering, which was consummated on March 7, 2019, and identifying a company for a Business Combination.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Microvast Business Combination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February 1, 2021, we entered into the Merger Agreement with Microvast and Merger Sub. Pursuant to the Merger Agreement, Merger Sub merged with and into Microvast and Microvast survived the merger and became our wholly owned subsidiary. Under the Merger Agreement, all of the equity interests of Microvast was converted into an aggregate of 210,000,000 shares of common stock. The Microvast shareholders and the investors in Microvast’s majority-owned subsidiary, MPS, have the ability to earn an additional 20,000,000 shares of common stock if the daily volume weighted average price of the common stock is greater than or equal to $18.00 for any 20 trading days within a 30 trading day period (or a change of control occurs that results in the holders of common stock receiving a per share price equal to or in excess of $18.00), during the period commencing on the closing date and ending on the third anniversary of the closing date. Concurrently with the execution of the Merger Agreement, we and Microvast acquired 100% ownership of MPS and discharged certain convertible loans of MPS.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 w:name="page23"/>
    <w:bookmarkEnd w:id="22"/>
    <w:p>
      <w:pPr>
        <w:ind w:left="660"/>
        <w:spacing w:after="0"/>
        <w:rPr>
          <w:sz w:val="20"/>
          <w:szCs w:val="20"/>
          <w:color w:val="auto"/>
        </w:rPr>
      </w:pPr>
      <w:r>
        <w:rPr>
          <w:rFonts w:ascii="Arial" w:cs="Arial" w:eastAsia="Arial" w:hAnsi="Arial"/>
          <w:sz w:val="16"/>
          <w:szCs w:val="16"/>
          <w:color w:val="auto"/>
        </w:rPr>
        <w:t>Additionally, the Merger Agreement issued an aggregate of 6,736,106 shares of common stock in connection with the Bridge Note Conversion.</w:t>
      </w:r>
    </w:p>
    <w:p>
      <w:pPr>
        <w:spacing w:after="0" w:line="24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Further, on February 1, 2021, we, the Sponsor, Microvast and certain of our stockholders entered into the Sponsor Support Agreement, pursuant to which the Sponsor Group agreed, among other things, to vote all equity interests of the Company held by such member of the Sponsor Group in favor of the approval and adoption of the proposed business combination with Microvast. Additionally, such members of the Sponsor Group have agreed not to (a) transfer any of their equity interests in the Company (or enter into any arrangement with respect thereto) other than as set forth therein or (b) exercise any conversion rights of any equity interests held by such member of the Sponsor Group in connection with the approval of the proposed business combination.</w:t>
      </w:r>
    </w:p>
    <w:p>
      <w:pPr>
        <w:spacing w:after="0" w:line="16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Sponsor also agreed that, to the extent that certain of our expenses are in excess of $46,000,000 (unless such expenses shall have been approved by Microvast), the Sponsor will either (i) pay any such excess amount in cash or (ii) forfeit to us such number of shares of common stock held by the Sponsor that would have a value equal to such excess. The Sponsor also agreed to amend the escrow agreement to make certain adjustments to the terms of the escrow of its shares of common stock as set forth in the Sponsor Support Agreement.</w:t>
      </w:r>
    </w:p>
    <w:p>
      <w:pPr>
        <w:spacing w:after="0" w:line="171"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Contemporaneously with the execution of the Merger Agreement, certain investors entered into Subscription Agreements pursuant to which such investors subscribed for an aggregate value of $482,500,000, representing 48,250,000 shares of our common stock at a purchase price of $10.00 per share in a private placement to be consummated immediately prior to the consummation of the Transactions. Affiliates of InterPrivate, our co-sponsor, subscribed to purchase 6.5 million shares in the PIPE Financing for an aggregate purchase price of $65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Extension Amendment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December 3, 2020, we received stockholder approval to extend the date by which it must complete an initial business combination from December 7, 2020 to April 30, 2021. In connection with such extension, holders of 3,198 Public Shares exercised their right to convert their shares into cash at a conversion price of approximately $10.22 per share, for an aggregate conversion amount of approximately $32,684. Additionally, on May 10, 2021, at a reconvened annual meeting of stockholders initially convened on April 28, 2021, we received stockholder approval to further extend the date by which we are required to complete a business combination from April 30, 2021 to July 31, 2021. In connection with such extension, holders of an aggregate of 13,290 Public Shares exercised their right to redeem their shares for cash.</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Commitment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February 12, 2021, we issued an unsecured promissory note to the Sponsor in the aggregate amount of $1,200,000. The Convertible Promissory Notes are non-interest bearing and payable upon the consummation of a Business Combination. The Convertible Promissory Notes are convertible, at the lender’s option, into units of the post Business Combination entity at a price of $10.00 per unit. The units would be identical to the Private Units. If a Business Combination is not consummated, the Convertible Promissory Notes will not be repaid by the Company and all amounts owed thereunder by the Company will be forgiven except to the extent that the Company has funds available to it outside of its Trust Account.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Notification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January 6, 2021, we received a notice from the Listing Qualifications Department of The Nasdaq Stock Market stating that we failed to hold an Annual Meeting of stockholders within 12 months after our fiscal year ended December 31, 2019, as required by Nasdaq Listing Rule 5620(a). In accordance with Nasdaq Listing Rule 5810(c)(2)(G), we submitted a plan to regain compliance on February 4, 2021. Nasdaq accepted our plan and granted us an extension through June 29, 2021 to hold an annual meeting. Nasdaq’s decision is subject to certain conditions, including that we provide periodic updates with respect to our proposed business combination with Microvast. On April 28, 2021, we held an annual meeting of stockholders, in compliance with our plan.</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28, 2021, the Company received a notice from the Listing Qualifications Department of The Nasdaq Stock Market stating that because we failed to timely file our Quarterly Report on Form 10-Q for the quarter ended March 31, 2021, we were not in compliance with Nasdaq Listing Rule 5250(c)(1). The Company believes that compliance with the listing rule was regained on June 2, 2021 with the filing of the Company’s Form 10-Q for the quarter ended March 31, 2021.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only activities through June 30, 2021 were organizational activities, those necessary to consummate the Initial Public Offering, described below, searching for a target company for a Business Combination, and activities in connection with the proposed acquisition of Microvast. We do not expect to generate any operating revenues until after the completion of our Business Combination. We generate non-operating income in the form of interest income on marketable securities held in the Trust Account. We incur expenses as a result of being a public company (for legal, financial reporting, accounting and auditing compliance), as well as for due diligence expenses.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months ended June 30, 2021, we had a net loss of $2,050,595, which consisted of operating costs of $543,914, change in the fair value of convertible promissory notes of $380,000, change in fair value of warrants of $1,119,810, unrealized losses of $420 and provision for incomes taxes of $16,954, offset by interest income of $10,503.</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six months ended June 30, 2021, we had a net loss of $2,099,420, which consisted of change in the fair value of convertible promissory notes of $736,000 and operating costs of $1,434,843, offset by change in the fair value of warrants of $20,610, interest income of $46,299 and a benefit for income taxes of $4,514.</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months ended June 30, 2020, we had a net loss of $297,162, which consisted of operating costs of $251,714, change in the fair value of warrants of $133,965, and unrealized loss on marketable securities held in Trust Account of $938,273, offset by interest income on marketable securities held in Trust Account of $983,408 and benefit from income taxes of $43,382.</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six months ended June 30, 2020, we had a net income of $1,606,293, which consisted of change in fair value of warrants of $3,435, interest income on marketable securities held in Trust Account of $2,010,565, and unrealized gain on marketable securities held in Trust Account of $499,967, offset by operating costs of $480,463 and a provision for income taxes of $427,211.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March 7, 2019, we consummated our Initial Public Offering of 24,000,000 Units, at a price of $10.00 per Unit, generating gross proceeds of $240,000,000. Simultaneously with the closing of the Initial Public Offering, we consummated the sale of 615,000 Private Units to our Sponsor and EarlyBirdCapital and its designee, generating gross proceeds of $6,150,000.</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March 12, 2019, in connection with the underwriters’ exercise of their over-allotment option in full, we consummated the sale of an additional 3,600,000 Units at a price of $10.00 per Unit, generating total gross proceeds of $36,000,000. In addition, we also consummated the sale of an additional 72,000 Private Units to our Sponsor and EarlyBirdCapital and its designee at $10.00 per Private Unit, generating total gross proceeds of $720,000.</w:t>
      </w:r>
    </w:p>
    <w:p>
      <w:pPr>
        <w:spacing w:after="0" w:line="14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Following the Initial Public Offering, the exercise of the over-allotment option and the sale of the Private Units, a total of $276,000,000 was placed in the Trust Account. We incurred $6,059,098 in Initial Public Offering related costs, including $5,520,000 of underwriting fees, and $539,098 of other costs.</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As of June 30, 2021, we had marketable securities held in the Trust Account of $281,671,994 (including approximately $7,751,000 of interest income and unrealized gains) consisting of U.S. treasury bills with a maturity of 180 days or less. Interest income on the balance in the Trust Account may be used by us to pay taxes. Through June 30, 2021, we withdrew approximately $2,079,000 of interest earned on the Trust Account to pay our franchise and income tax obligations and share redemptions, of which $629,000 were withdrawn during the three and six months ended June 30, 2021.</w:t>
      </w:r>
    </w:p>
    <w:p>
      <w:pPr>
        <w:spacing w:after="0" w:line="1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the six months ended June 30, 2021, cash used in operating activities was $1,290,879. Net loss of $2,099,420 was affected by change in fair value of warrants of $20,610, interest earned on marketable securities held in Trust Account of $46,299 and a change in the fair value of convertible promissory notes of $736,000. Changes in operating assets and liabilities provided $160,918 of cash from operating activities.</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six months ended June 30, 2020, cash used in operating activities was $545,136. Net income of $1,606,293 was affected by change in fair value of warrants of $3,435, interest earned on marketable securities held in Trust Account $2,010,565, unrealized gain on marketable securities held in Trust Account of $499,967, and deferred income tax provision of $77,924. Changes in operating assets and liabilities provided $284,614 of cash from operating activities.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p>
      <w:pPr>
        <w:jc w:val="both"/>
        <w:ind w:firstLine="648"/>
        <w:spacing w:after="0" w:line="291" w:lineRule="auto"/>
        <w:rPr>
          <w:sz w:val="20"/>
          <w:szCs w:val="20"/>
          <w:color w:val="auto"/>
        </w:rPr>
      </w:pPr>
      <w:r>
        <w:rPr>
          <w:rFonts w:ascii="Arial" w:cs="Arial" w:eastAsia="Arial" w:hAnsi="Arial"/>
          <w:sz w:val="16"/>
          <w:szCs w:val="16"/>
          <w:color w:val="auto"/>
        </w:rPr>
        <w:t>We intend to use substantially all of the funds held in the Trust Account, to acquire a target business and to pay our expenses relating thereto, including a fee payable to EarlyBirdCapital, upon consummation of our initial Business Combination for assisting us in connection with our initial Business Combination. To the extent that our capital stock is used in whole or in part as consideration to effect a Business Combination, the remaining funds held in the Trust Account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Business Combination if the funds available to us outside of the Trust Account were insufficient to cover such expenses.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2021, we had cash of $66,475. We intend to use the funds held outside the Trust Account for identifying and evaluating prospective acquisition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acquire and structuring, negotiating and consummating the Business Combination.</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April 21, 2020, the Company issued an unsecured promissory note to the Sponsor in the aggregate amount of $300,000 (the “Note”), of which $200,000 was drawn upon on such date. On February 12, 2021, the Company issued an unsecured promissory note to the Sponsor in the aggregate amount of $1,200,000 (together, with the Note, the “Convertible Promissory Notes”). The Convertible Promissory Notes are non-interest bearing and payable upon the consummation of a Business Combination. The Convertible Promissory Notes are convertible, at the lender’s option, into units of the post Business Combination entity at a price of $10.00 per unit. The units would be identical to the Private Units. If a Business Combination is not consummated, the Convertible Promissory Notes will not be repaid by the Company and all amounts owed thereunder by the Company will be forgiven except to the extent that the Company has funds available to it outside of its Trust Account.</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order to fund working capital deficiencies or finance transaction costs in connection with a Business Combination, the Sponsor or our officers and directors or their affiliates may, but are not obligated to, loan us funds on a non-interest basis as may be required, except as described above. If we complete our initial Business Combination, we will repay such loaned amounts. In the event that our initial Business Combination does not close, we may use a portion of the working capital held outside the Trust Account to repay such loaned amounts but no proceeds from our Trust Account would be used for such repayment. Up to $1,500,000 of notes may be convertible into Private Units, at a price of $10.00 per unit. The units would be identical to the Private Units.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the Company has secured an aggregate of $482.5 million in funding through the PIPE Financing as part of the consummation of the business that occurred on July 23,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have any off-balance sheet arrangements as of June 30,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do not have any long-term debt, capital lease obligations, operating lease obligations or long-term liabilities other than an agreement to pay an affiliate of our Sponsor a monthly fee of $10,000 for office space, utilities and secretarial and administrative support. We began incurring these fees on March 5, 2019 and will continue to incur these fees monthly until the earlier of the completion of the Business Combination and our liquidation.</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engaged EarlyBirdCapital and Morgan Stanley to provide financial advisory services in connection with our initial business combination, for which such firms will receive fees upon consummation of the transaction with Microvast, as described in more detail in Note 6 to the financial statements. We also engaged Morgan Stanley as placement agent in connection with the PIPE Financing, for which such firm will receive a fee as described in more detail in Note 6 to the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preparation of condensed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Liability</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account for warrants in accordance with the guidance contained in ASC 815-40 under which the warrants do not meet the criteria for equity treatment and must be recorded as liabilities. As the Private Warrants meet the definition of a derivative as contemplated in ASC 815, we classify the Private Warrants as liabilities at their fair value and adjusts the Private Warrants to fair value at each reporting period. This liability is subject to re-measurement at each balance sheet date until exercised, and any change in fair value is recognized in our statements of operations. The Private Warrants for periods where no observable traded price was available were valued using a binomial lattice model.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Subject to Possible Redemption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account for common stock subject to possible redemption in accordance with the guidance in Accounting Standards Codification (“ASC”) Topic 480 “Distinguishing Liabilities from Equity.” Common stock subject to mandatory redemption is classified as a liability instrument and is measured at fair value. Conditionally redeemable common stock (including common stock that feature redemption rights that is either within the control of the holder or subject to redemption upon the occurrence of uncertain events not solely within our control) is classified as temporary equity. At all other times, common stock is classified as stockholders’ equity. Our common stock features certain redemption rights that are considered to be outside of our control and subject to occurrence of uncertain future events. Accordingly, common stock subject to possible redemption is presented at redemption value as temporary equity, outside of the stockholders’ equity section of our condensed balance sheets.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Common Share</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apply the two-class method in calculating earnings per share. Net income (loss) per common share, basic and diluted for common stock subject to possible redemption is calculated by dividing the interest income earned on the Trust Account, net of applicable taxes, if any, by the weighted average number of shares of common stock subject to possible redemption outstanding for the period. Net income (loss) per share, basic and diluted for and non-redeemable common stock is calculated by dividing net loss less income attributable to common stock subject to possible redemption, by the weighted average number of shares of non-redeemable common stock outstanding for the period presented.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August 2020, the FASB issued ASU No. 2020-06, “Debt—Debt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GAAP. ASU 2020-06 removes certain settlement conditions that are required for equity contracts to qualify for the derivative scope exception and it also simplifies the diluted earnings per share calculation in certain areas. ASU 2020-06 is effective for fiscal years beginning after December 15, 2023, including interim periods within those fiscal years, with early adoption permitted. We adopted ASU 2020-06 effective as of January 1, 2021. The adoption of ASU 2020-06 did not have an impact on our financial statements.</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our condensed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required for smaller reporting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Under the supervision and with the participation of our management, including our principal executive officer and principal financial officer, we conducted an evaluation of the effectiveness of our disclosure controls and procedures as of the end of the fiscal quarter ended June 30, 2021, as such term is defined in Rules 13a-15(e) and 15d-15(e) under the Exchange Act. Based on this evaluation, our principal executive officer and principal financial officer have concluded that, solely due to the events that led to the Company’s restatement of its financial statements to reclassify the Company’s Private Warrants as liabilities (which are described in the Company’s Amendment No. 1 to its Annual Report on Form 10-K/A filed on June 1, 2021) (the “Restatement”), during the period covered by this report, a material weakness existed and our disclosure controls and procedures were not effective.</w:t>
      </w:r>
    </w:p>
    <w:p>
      <w:pPr>
        <w:spacing w:after="0" w:line="16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During the most recently completed fiscal quarter, there has been no change in our internal control over financial reporting that has materially affected, or is reasonably likely to materially affect, our internal control over financial reporting, as the circumstances that led to the Restatement of our financial statements had not yet been identified. Due solely to the events that led to our Restatement of our financial statements, management has identified a material weakness in our internal control over financial reporting relating to the accounting for our Private Warrants. To respond to this material weakness, we have devoted, and plan to continue to devote, significant effort and resources to the remediation and improvement of our internal control over financial reporting. While we have processes to identify and appropriately apply applicable accounting requirements, we plan to enhance these processes to better evaluate our research and understanding of the nuances of the complex accounting standards that apply to our financial statements. Our plans at this time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Factors that could cause our actual results to differ materially from those in this report include the risk factors described in our Annual Report on Form 10-K/A for the year ended December 31, 2020 filed with the SEC on June 1, 2021. As of the date of this Report, there have been no material changes to the risk factors disclosed in our Annual Report filed with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No.</w:t>
            </w:r>
          </w:p>
        </w:tc>
        <w:tc>
          <w:tcPr>
            <w:tcW w:w="10100" w:type="dxa"/>
            <w:vAlign w:val="bottom"/>
            <w:gridSpan w:val="3"/>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175"/>
        </w:trPr>
        <w:tc>
          <w:tcPr>
            <w:tcW w:w="102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31.1*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3"/>
            <w:shd w:val="clear" w:color="auto" w:fill="CCEEFF"/>
          </w:tcPr>
          <w:p>
            <w:pPr>
              <w:spacing w:after="0" w:line="176"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Certification of Principal Executive Officer Pursuant to Securities Exchange Act Rules 13a-14(a) and 15(d)-14(a), as adopted Pursuant to</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20" w:type="dxa"/>
            <w:vAlign w:val="bottom"/>
            <w:tcBorders>
              <w:bottom w:val="single" w:sz="8" w:color="0000EE"/>
            </w:tcBorders>
            <w:gridSpan w:val="2"/>
            <w:shd w:val="clear" w:color="auto" w:fill="CCEEFF"/>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Section 302 of the Sarbanes-Oxley Act of 2002</w:t>
              </w:r>
            </w:hyperlink>
          </w:p>
        </w:tc>
        <w:tc>
          <w:tcPr>
            <w:tcW w:w="6680" w:type="dxa"/>
            <w:vAlign w:val="bottom"/>
            <w:tcBorders>
              <w:bottom w:val="single" w:sz="8" w:color="CCEEFF"/>
            </w:tcBorders>
            <w:shd w:val="clear" w:color="auto" w:fill="CCEEFF"/>
          </w:tcPr>
          <w:p>
            <w:pPr>
              <w:spacing w:after="0"/>
              <w:rPr>
                <w:sz w:val="18"/>
                <w:szCs w:val="18"/>
                <w:color w:val="auto"/>
              </w:rPr>
            </w:pPr>
          </w:p>
        </w:tc>
      </w:tr>
      <w:tr>
        <w:trPr>
          <w:trHeight w:val="175"/>
        </w:trPr>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95"/>
              </w:rPr>
              <w:t>31.2*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3"/>
          </w:tcPr>
          <w:p>
            <w:pPr>
              <w:spacing w:after="0" w:line="176" w:lineRule="exact"/>
              <w:rPr>
                <w:rFonts w:ascii="Arial" w:cs="Arial" w:eastAsia="Arial" w:hAnsi="Arial"/>
                <w:sz w:val="18"/>
                <w:szCs w:val="18"/>
                <w:color w:val="0000EE"/>
                <w:w w:val="93"/>
              </w:rPr>
            </w:pPr>
            <w:hyperlink w:anchor="page31">
              <w:r>
                <w:rPr>
                  <w:rFonts w:ascii="Arial" w:cs="Arial" w:eastAsia="Arial" w:hAnsi="Arial"/>
                  <w:sz w:val="18"/>
                  <w:szCs w:val="18"/>
                  <w:color w:val="0000EE"/>
                  <w:w w:val="93"/>
                </w:rPr>
                <w:t>Certification of Principal Financial Officer Pursuant to Securities Exchange Act Rules 13a-14(a) and 15(d)-14(a), as adopted Pursuant to</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Section 302 of the Sarbanes-Oxley Act of 2002</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560" w:type="dxa"/>
            <w:vAlign w:val="bottom"/>
            <w:tcBorders>
              <w:top w:val="single" w:sz="8" w:color="0000EE"/>
            </w:tcBorders>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1"/>
              </w:rPr>
            </w:pPr>
            <w:hyperlink w:anchor="page32">
              <w:r>
                <w:rPr>
                  <w:rFonts w:ascii="Arial" w:cs="Arial" w:eastAsia="Arial" w:hAnsi="Arial"/>
                  <w:sz w:val="18"/>
                  <w:szCs w:val="18"/>
                  <w:color w:val="0000EE"/>
                  <w:w w:val="91"/>
                </w:rPr>
                <w:t>Certification of Principal Executive Officer Pursuant to 18 U.S.C. Section 1350, as adopted Pursuant to Section 906 of the Sarbanes-Oxley</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3"/>
            <w:shd w:val="clear" w:color="auto" w:fill="CCEEFF"/>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Act of 2002</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6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rPr>
              <w:t>32.2**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3"/>
          </w:tcPr>
          <w:p>
            <w:pPr>
              <w:spacing w:after="0" w:line="17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Certification of Principal Financial Officer Pursuant to 18 U.S.C. Section 1350, as adopted Pursuant to Section 906 of the Sarbanes-Oxley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Act of 2002</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216"/>
        </w:trPr>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101.INS*</w:t>
            </w: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Inline XBRL Instance Document.</w:t>
            </w:r>
          </w:p>
        </w:tc>
      </w:tr>
      <w:tr>
        <w:trPr>
          <w:trHeight w:val="216"/>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101.SCH*</w:t>
            </w:r>
          </w:p>
        </w:tc>
        <w:tc>
          <w:tcPr>
            <w:tcW w:w="1010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101.CAL*</w:t>
            </w: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101.DEF*</w:t>
            </w:r>
          </w:p>
        </w:tc>
        <w:tc>
          <w:tcPr>
            <w:tcW w:w="1010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101.LAB*</w:t>
            </w: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101.PRE*</w:t>
            </w:r>
          </w:p>
        </w:tc>
        <w:tc>
          <w:tcPr>
            <w:tcW w:w="10100" w:type="dxa"/>
            <w:vAlign w:val="bottom"/>
            <w:gridSpan w:val="3"/>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16"/>
        </w:trPr>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104*</w:t>
            </w:r>
          </w:p>
        </w:tc>
        <w:tc>
          <w:tcPr>
            <w:tcW w:w="12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Furnished.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MICROVAST HOLDINGS, INC.</w:t>
      </w:r>
    </w:p>
    <w:p>
      <w:pPr>
        <w:spacing w:after="0" w:line="229" w:lineRule="exact"/>
        <w:rPr>
          <w:sz w:val="20"/>
          <w:szCs w:val="20"/>
          <w:color w:val="auto"/>
        </w:rPr>
      </w:pPr>
    </w:p>
    <w:p>
      <w:pPr>
        <w:spacing w:after="0"/>
        <w:tabs>
          <w:tab w:leader="none" w:pos="7300" w:val="left"/>
        </w:tabs>
        <w:rPr>
          <w:sz w:val="20"/>
          <w:szCs w:val="20"/>
          <w:color w:val="auto"/>
        </w:rPr>
      </w:pPr>
      <w:r>
        <w:rPr>
          <w:rFonts w:ascii="Arial" w:cs="Arial" w:eastAsia="Arial" w:hAnsi="Arial"/>
          <w:sz w:val="18"/>
          <w:szCs w:val="18"/>
          <w:color w:val="auto"/>
        </w:rPr>
        <w:t>Date: August 16, 2021</w:t>
      </w:r>
      <w:r>
        <w:rPr>
          <w:sz w:val="20"/>
          <w:szCs w:val="20"/>
          <w:color w:val="auto"/>
        </w:rPr>
        <w:tab/>
      </w:r>
      <w:r>
        <w:rPr>
          <w:rFonts w:ascii="Arial" w:cs="Arial" w:eastAsia="Arial" w:hAnsi="Arial"/>
          <w:sz w:val="16"/>
          <w:szCs w:val="16"/>
          <w:color w:val="auto"/>
        </w:rPr>
        <w:t>/s/ Yang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Yang Wu</w:t>
      </w:r>
    </w:p>
    <w:p>
      <w:pPr>
        <w:spacing w:after="0" w:line="36"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Executive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7300" w:val="left"/>
        </w:tabs>
        <w:rPr>
          <w:sz w:val="20"/>
          <w:szCs w:val="20"/>
          <w:color w:val="auto"/>
        </w:rPr>
      </w:pPr>
      <w:r>
        <w:rPr>
          <w:rFonts w:ascii="Arial" w:cs="Arial" w:eastAsia="Arial" w:hAnsi="Arial"/>
          <w:sz w:val="18"/>
          <w:szCs w:val="18"/>
          <w:color w:val="auto"/>
        </w:rPr>
        <w:t>Date: August 16, 2021</w:t>
      </w:r>
      <w:r>
        <w:rPr>
          <w:sz w:val="20"/>
          <w:szCs w:val="20"/>
          <w:color w:val="auto"/>
        </w:rPr>
        <w:tab/>
      </w:r>
      <w:r>
        <w:rPr>
          <w:rFonts w:ascii="Arial" w:cs="Arial" w:eastAsia="Arial" w:hAnsi="Arial"/>
          <w:sz w:val="15"/>
          <w:szCs w:val="15"/>
          <w:color w:val="auto"/>
        </w:rPr>
        <w:t>/s/ Yanzhuan Zheng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Yanzhuan Zheng</w:t>
      </w:r>
    </w:p>
    <w:p>
      <w:pPr>
        <w:spacing w:after="0" w:line="36"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Yang Wu, certify that:</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Microvast Holdings,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rPr>
          <w:rFonts w:ascii="Arial" w:cs="Arial" w:eastAsia="Arial" w:hAnsi="Arial"/>
          <w:sz w:val="17"/>
          <w:szCs w:val="17"/>
          <w:color w:val="auto"/>
        </w:rPr>
      </w:pPr>
      <w:r>
        <w:rPr>
          <w:rFonts w:ascii="Arial" w:cs="Arial" w:eastAsia="Arial" w:hAnsi="Arial"/>
          <w:sz w:val="17"/>
          <w:szCs w:val="17"/>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sz w:val="20"/>
          <w:szCs w:val="20"/>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August 16,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Yang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Yang Wu</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Yanzhuan Zheng, certify that:</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Microvast Holdings,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rPr>
          <w:rFonts w:ascii="Arial" w:cs="Arial" w:eastAsia="Arial" w:hAnsi="Arial"/>
          <w:sz w:val="17"/>
          <w:szCs w:val="17"/>
          <w:color w:val="auto"/>
        </w:rPr>
      </w:pPr>
      <w:r>
        <w:rPr>
          <w:rFonts w:ascii="Arial" w:cs="Arial" w:eastAsia="Arial" w:hAnsi="Arial"/>
          <w:sz w:val="17"/>
          <w:szCs w:val="17"/>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sz w:val="20"/>
          <w:szCs w:val="20"/>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August 16,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Yanzhuan Zheng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Yanzhuan Zheng</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2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Microvast Holdings, Inc. (the “Company”) on Form 10-Q for the quarterly period ended June 30, 2021, as filed with the Securities and Exchange Commission (the “Report”), I, Yang Wu, Chief Executive Officer of the Company, certify, pursuant to 18 U.S.C. §1350, as added by §906 of the Sarbanes-Oxley Act of 2002, that:</w:t>
      </w:r>
    </w:p>
    <w:p>
      <w:pPr>
        <w:spacing w:after="0" w:line="184" w:lineRule="exact"/>
        <w:rPr>
          <w:sz w:val="20"/>
          <w:szCs w:val="20"/>
          <w:color w:val="auto"/>
        </w:rPr>
      </w:pPr>
    </w:p>
    <w:p>
      <w:pPr>
        <w:ind w:left="680" w:hanging="335"/>
        <w:spacing w:after="0"/>
        <w:tabs>
          <w:tab w:leader="none" w:pos="6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August 16,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Yang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Yang Wu</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Microvast Holdings, Inc. (the “Company”) on Form 10-Q for the quarterly period ended June 30, 2021, as filed with the Securities and Exchange Commission (the “Report”), I, Yanzhuan Zheng, Chief Financial Officer of the Company, certify, pursuant to 18 U.S.C. §1350, as added by §906 of the Sarbanes-Oxley Act of 2002, that:</w:t>
      </w:r>
    </w:p>
    <w:p>
      <w:pPr>
        <w:spacing w:after="0" w:line="184" w:lineRule="exact"/>
        <w:rPr>
          <w:sz w:val="20"/>
          <w:szCs w:val="20"/>
          <w:color w:val="auto"/>
        </w:rPr>
      </w:pPr>
    </w:p>
    <w:p>
      <w:pPr>
        <w:ind w:left="680" w:hanging="335"/>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80" w:right="20" w:hanging="335"/>
        <w:spacing w:after="0" w:line="277"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August 16,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Yanzhuan Zheng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Yanzhuan Zheng</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lvl w:ilvl="1">
      <w:lvlJc w:val="left"/>
      <w:lvlText w:val="☒"/>
      <w:numFmt w:val="bullet"/>
      <w:start w:val="1"/>
    </w:lvl>
  </w:abstractNum>
  <w:abstractNum w:abstractNumId="1">
    <w:nsid w:val="5BD062C2"/>
    <w:multiLevelType w:val="hybridMultilevel"/>
    <w:lvl w:ilvl="0">
      <w:lvlJc w:val="left"/>
      <w:lvlText w:val="\emdash "/>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lowerRoman"/>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
    </w:lvl>
    <w:lvl w:ilvl="1">
      <w:lvlJc w:val="left"/>
      <w:lvlText w:val="%2)"/>
      <w:numFmt w:val="lowerLetter"/>
      <w:start w:val="1"/>
    </w:lvl>
  </w:abstractNum>
  <w:abstractNum w:abstractNumId="10">
    <w:nsid w:val="109CF92E"/>
    <w:multiLevelType w:val="hybridMultilevel"/>
    <w:lvl w:ilvl="0">
      <w:lvlJc w:val="left"/>
      <w:lvlText w:val="(%1)"/>
      <w:numFmt w:val="lowerLetter"/>
      <w:start w:val="2"/>
    </w:lvl>
  </w:abstractNum>
  <w:abstractNum w:abstractNumId="11">
    <w:nsid w:val="DED7263"/>
    <w:multiLevelType w:val="hybridMultilevel"/>
    <w:lvl w:ilvl="0">
      <w:lvlJc w:val="left"/>
      <w:lvlText w:val="%1."/>
      <w:numFmt w:val="decimal"/>
      <w:start w:val="1"/>
    </w:lvl>
    <w:lvl w:ilvl="1">
      <w:lvlJc w:val="left"/>
      <w:lvlText w:val="%2)"/>
      <w:numFmt w:val="lowerLetter"/>
      <w:start w:val="1"/>
    </w:lvl>
  </w:abstractNum>
  <w:abstractNum w:abstractNumId="12">
    <w:nsid w:val="7FDCC233"/>
    <w:multiLevelType w:val="hybridMultilevel"/>
    <w:lvl w:ilvl="0">
      <w:lvlJc w:val="left"/>
      <w:lvlText w:val="(%1)"/>
      <w:numFmt w:val="lowerLetter"/>
      <w:start w:val="2"/>
    </w:lvl>
  </w:abstractNum>
  <w:abstractNum w:abstractNumId="13">
    <w:nsid w:val="1BEFD79F"/>
    <w:multiLevelType w:val="hybridMultilevel"/>
    <w:lvl w:ilvl="0">
      <w:lvlJc w:val="left"/>
      <w:lvlText w:val="%1"/>
      <w:numFmt w:val="decimal"/>
      <w:start w:val="1"/>
    </w:lvl>
    <w:lvl w:ilvl="1">
      <w:lvlJc w:val="left"/>
      <w:lvlText w:val="%2."/>
      <w:numFmt w:val="decimal"/>
      <w:start w:val="1"/>
    </w:lvl>
  </w:abstractNum>
  <w:abstractNum w:abstractNumId="14">
    <w:nsid w:val="41A7C4C9"/>
    <w:multiLevelType w:val="hybridMultilevel"/>
    <w:lvl w:ilvl="0">
      <w:lvlJc w:val="left"/>
      <w:lvlText w:val="%1."/>
      <w:numFmt w:val="decimal"/>
      <w:start w:val="2"/>
    </w:lvl>
    <w:lvl w:ilvl="1">
      <w:lvlJc w:val="left"/>
      <w:lvlText w:val="%2"/>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2021-08-17T08:48:45Z</dcterms:created>
  <dcterms:modified xsi:type="dcterms:W3CDTF">2021-08-17T08:48:45Z</dcterms:modified>
</cp:coreProperties>
</file>