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820" w:right="940" w:hanging="2872"/>
        <w:spacing w:after="0" w:line="476" w:lineRule="auto"/>
        <w:tabs>
          <w:tab w:leader="none" w:pos="1163"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right"/>
        <w:ind w:right="4380"/>
        <w:spacing w:after="0"/>
        <w:tabs>
          <w:tab w:leader="none" w:pos="4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right"/>
        <w:ind w:right="4400"/>
        <w:spacing w:after="0"/>
        <w:rPr>
          <w:sz w:val="20"/>
          <w:szCs w:val="20"/>
          <w:color w:val="auto"/>
        </w:rPr>
      </w:pPr>
      <w:r>
        <w:rPr>
          <w:rFonts w:ascii="Arial" w:cs="Arial" w:eastAsia="Arial" w:hAnsi="Arial"/>
          <w:sz w:val="18"/>
          <w:szCs w:val="18"/>
          <w:b w:val="1"/>
          <w:bCs w:val="1"/>
          <w:color w:val="auto"/>
        </w:rPr>
        <w:t>Commission File No. 001-38826</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TUSCAN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83-2530757</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4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135 E. 57</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Street,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ind w:left="4820"/>
        <w:spacing w:after="0"/>
        <w:rPr>
          <w:sz w:val="20"/>
          <w:szCs w:val="20"/>
          <w:color w:val="auto"/>
        </w:rPr>
      </w:pPr>
      <w:r>
        <w:rPr>
          <w:rFonts w:ascii="Arial" w:cs="Arial" w:eastAsia="Arial" w:hAnsi="Arial"/>
          <w:sz w:val="18"/>
          <w:szCs w:val="18"/>
          <w:b w:val="1"/>
          <w:bCs w:val="1"/>
          <w:color w:val="auto"/>
        </w:rPr>
        <w:t>New York, NY 10022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948-7100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2"/>
        </w:trPr>
        <w:tc>
          <w:tcPr>
            <w:tcW w:w="42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Units, each consisting of one share of common stock and</w:t>
            </w:r>
          </w:p>
        </w:tc>
        <w:tc>
          <w:tcPr>
            <w:tcW w:w="2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THCBU</w:t>
            </w:r>
          </w:p>
        </w:tc>
        <w:tc>
          <w:tcPr>
            <w:tcW w:w="2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one redeemable warrant</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$0.0001 per share</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THCB</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5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Warrants, exercisable for shares of common stock at an</w:t>
            </w:r>
          </w:p>
        </w:tc>
        <w:tc>
          <w:tcPr>
            <w:tcW w:w="24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6"/>
              </w:rPr>
              <w:t>THCBW</w:t>
            </w:r>
          </w:p>
        </w:tc>
        <w:tc>
          <w:tcPr>
            <w:tcW w:w="4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exercise price of $11.50 per share</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40"/>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ind w:left="140"/>
              <w:spacing w:after="0"/>
              <w:rPr>
                <w:sz w:val="20"/>
                <w:szCs w:val="20"/>
                <w:color w:val="auto"/>
              </w:rPr>
            </w:pPr>
            <w:r>
              <w:rPr>
                <w:rFonts w:ascii="Arial" w:cs="Arial" w:eastAsia="Arial" w:hAnsi="Arial"/>
                <w:sz w:val="18"/>
                <w:szCs w:val="18"/>
                <w:color w:val="auto"/>
              </w:rPr>
              <w:t>Accelerated filer</w:t>
            </w:r>
          </w:p>
        </w:tc>
      </w:tr>
      <w:tr>
        <w:trPr>
          <w:trHeight w:val="216"/>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40"/>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ind w:left="140"/>
              <w:spacing w:after="0"/>
              <w:rPr>
                <w:sz w:val="20"/>
                <w:szCs w:val="20"/>
                <w:color w:val="auto"/>
              </w:rPr>
            </w:pPr>
            <w:r>
              <w:rPr>
                <w:rFonts w:ascii="Arial" w:cs="Arial" w:eastAsia="Arial" w:hAnsi="Arial"/>
                <w:sz w:val="18"/>
                <w:szCs w:val="18"/>
                <w:color w:val="auto"/>
                <w:w w:val="91"/>
              </w:rPr>
              <w:t>Smaller reporting company</w:t>
            </w:r>
          </w:p>
        </w:tc>
      </w:tr>
      <w:tr>
        <w:trPr>
          <w:trHeight w:val="283"/>
        </w:trPr>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ind w:left="140"/>
              <w:spacing w:after="0"/>
              <w:rPr>
                <w:sz w:val="20"/>
                <w:szCs w:val="20"/>
                <w:color w:val="auto"/>
              </w:rPr>
            </w:pPr>
            <w:r>
              <w:rPr>
                <w:rFonts w:ascii="Arial" w:cs="Arial" w:eastAsia="Arial" w:hAnsi="Arial"/>
                <w:sz w:val="18"/>
                <w:szCs w:val="18"/>
                <w:color w:val="auto"/>
                <w:w w:val="91"/>
              </w:rPr>
              <w:t>Emerging growth company</w:t>
            </w:r>
          </w:p>
        </w:tc>
      </w:tr>
    </w:tbl>
    <w:p>
      <w:pPr>
        <w:spacing w:after="0" w:line="18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May 21, 2021, there were 35,470,512 shares of the Company’s common stock, par value $0.0001,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60" w:type="dxa"/>
            <w:vAlign w:val="bottom"/>
            <w:gridSpan w:val="9"/>
          </w:tcPr>
          <w:p>
            <w:pPr>
              <w:ind w:left="92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11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2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840" w:type="dxa"/>
            <w:vAlign w:val="bottom"/>
            <w:shd w:val="clear" w:color="auto" w:fill="CCEEFF"/>
          </w:tcPr>
          <w:p>
            <w:pPr>
              <w:spacing w:after="0"/>
              <w:rPr>
                <w:sz w:val="17"/>
                <w:szCs w:val="17"/>
                <w:color w:val="auto"/>
              </w:rPr>
            </w:pPr>
          </w:p>
        </w:tc>
      </w:tr>
      <w:tr>
        <w:trPr>
          <w:trHeight w:val="216"/>
        </w:trPr>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26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2021 (unaudited) and December 31, 2020</w:t>
              </w:r>
            </w:hyperlink>
          </w:p>
        </w:tc>
        <w:tc>
          <w:tcPr>
            <w:tcW w:w="8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for the Three Months Ended March 31, 2021 and 2020 (unaudited)</w:t>
              </w:r>
            </w:hyperlink>
          </w:p>
        </w:tc>
        <w:tc>
          <w:tcPr>
            <w:tcW w:w="8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75"/>
        </w:trPr>
        <w:tc>
          <w:tcPr>
            <w:tcW w:w="6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Changes in Stockholders’ (Deficit) Equity for the Three Months Ended March 31,</w:t>
              </w:r>
            </w:hyperlink>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217"/>
        </w:trPr>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940" w:type="dxa"/>
            <w:vAlign w:val="bottom"/>
            <w:gridSpan w:val="16"/>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 (unaudited)</w:t>
              </w:r>
            </w:hyperlink>
          </w:p>
        </w:tc>
        <w:tc>
          <w:tcPr>
            <w:tcW w:w="840" w:type="dxa"/>
            <w:vAlign w:val="bottom"/>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Cash Flows for the Three Months Ended March 31, 2021 and 2020 (unaudited)</w:t>
              </w:r>
            </w:hyperlink>
          </w:p>
        </w:tc>
        <w:tc>
          <w:tcPr>
            <w:tcW w:w="8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8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926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84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926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84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926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84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92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840" w:type="dxa"/>
            <w:vAlign w:val="bottom"/>
            <w:shd w:val="clear" w:color="auto" w:fill="CCEEFF"/>
          </w:tcPr>
          <w:p>
            <w:pPr>
              <w:spacing w:after="0"/>
              <w:rPr>
                <w:sz w:val="17"/>
                <w:szCs w:val="17"/>
                <w:color w:val="auto"/>
              </w:rPr>
            </w:pPr>
          </w:p>
        </w:tc>
      </w:tr>
      <w:tr>
        <w:trPr>
          <w:trHeight w:val="216"/>
        </w:trPr>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260" w:type="dxa"/>
            <w:vAlign w:val="bottom"/>
            <w:gridSpan w:val="19"/>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84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9260" w:type="dxa"/>
            <w:vAlign w:val="bottom"/>
            <w:gridSpan w:val="19"/>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84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9260" w:type="dxa"/>
            <w:vAlign w:val="bottom"/>
            <w:gridSpan w:val="19"/>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4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75"/>
        </w:trPr>
        <w:tc>
          <w:tcPr>
            <w:tcW w:w="1040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SIGNATURES</w:t>
              </w:r>
            </w:hyperlink>
          </w:p>
        </w:tc>
        <w:tc>
          <w:tcPr>
            <w:tcW w:w="84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29</w:t>
            </w: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98"/>
              </w:rPr>
              <w:t>TUSCAN HOLDINGS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44,096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18,801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22,499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62,897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282,291,194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282,254,978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282,354,091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282,413,438</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638,523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320,978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302,547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302,547</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Advances from related party</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22,179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 related party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3,064,020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4,204,440</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5,061,090</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5,071,612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Common stock subject to possible redemption, 27,596,802 and 26,675,733 as of March 31, 2021 and 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2020, respectively</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281,764,233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272,341,820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5"/>
              </w:rPr>
              <w:t>Common stock, $0.0001 par value; 65,000,000 shares authorized; 7,887,000 and 8,808,069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w w:val="92"/>
              </w:rPr>
              <w:t>outstanding (excluding 27,596,802 and 26,675,733 shares subject to possible redemption) at March 31, 2021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December 31, 2020, respectively</w:t>
            </w:r>
          </w:p>
        </w:tc>
        <w:tc>
          <w:tcPr>
            <w:tcW w:w="1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4,028,907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deficit)/Retained earnings</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(4,472,021)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970,218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(4,471,232)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282,354,091</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282,413,438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(Restated)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890,929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228,749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(890,929)</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(228,749)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earned on marketable securities held in Trust Account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1,027,157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1,438,240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the fair value of convertible promissory notes – related party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1,140,420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137,400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820,636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2,374,048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21,468</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(470,593)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(48,825)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1,903,455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 subject to possible redemption</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26,675,733</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27,086,524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 Non-redeemable common stock</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8,808,069</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8,400,476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loss per common share, Non-redeemable common stock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 Non-redeemable common stock</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17,137,983</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8,400,476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loss per common share, Non-redeemable common stock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gridSpan w:val="4"/>
          </w:tcPr>
          <w:p>
            <w:pPr>
              <w:ind w:left="216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4560" w:type="dxa"/>
            <w:vAlign w:val="bottom"/>
            <w:gridSpan w:val="7"/>
          </w:tcPr>
          <w:p>
            <w:pPr>
              <w:jc w:val="center"/>
              <w:ind w:left="710"/>
              <w:spacing w:after="0"/>
              <w:rPr>
                <w:sz w:val="20"/>
                <w:szCs w:val="20"/>
                <w:color w:val="auto"/>
              </w:rPr>
            </w:pPr>
            <w:r>
              <w:rPr>
                <w:rFonts w:ascii="Arial" w:cs="Arial" w:eastAsia="Arial" w:hAnsi="Arial"/>
                <w:sz w:val="18"/>
                <w:szCs w:val="18"/>
                <w:b w:val="1"/>
                <w:bCs w:val="1"/>
                <w:color w:val="auto"/>
                <w:w w:val="99"/>
              </w:rPr>
              <w:t>THREE MONTHS ENDED MARCH 31, 2021</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60" w:type="dxa"/>
            <w:vAlign w:val="bottom"/>
          </w:tcPr>
          <w:p>
            <w:pPr>
              <w:spacing w:after="0"/>
              <w:rPr>
                <w:sz w:val="24"/>
                <w:szCs w:val="24"/>
                <w:color w:val="auto"/>
              </w:rPr>
            </w:pPr>
          </w:p>
        </w:tc>
        <w:tc>
          <w:tcPr>
            <w:tcW w:w="10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Earnings/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22"/>
                <w:szCs w:val="22"/>
                <w:color w:val="auto"/>
              </w:rPr>
            </w:pPr>
          </w:p>
        </w:tc>
        <w:tc>
          <w:tcPr>
            <w:tcW w:w="10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16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5"/>
              </w:rPr>
              <w:t>(Deficit)</w:t>
            </w:r>
          </w:p>
        </w:tc>
        <w:tc>
          <w:tcPr>
            <w:tcW w:w="0" w:type="dxa"/>
            <w:vAlign w:val="bottom"/>
          </w:tcPr>
          <w:p>
            <w:pPr>
              <w:spacing w:after="0"/>
              <w:rPr>
                <w:sz w:val="1"/>
                <w:szCs w:val="1"/>
                <w:color w:val="auto"/>
              </w:rPr>
            </w:pPr>
          </w:p>
        </w:tc>
      </w:tr>
      <w:tr>
        <w:trPr>
          <w:trHeight w:val="216"/>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8,808,069</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4,028,907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970,218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Change in value of common stock subject to possible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3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(921,069)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(4,028,907)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(5,393,414)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(9,422,413)</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(48,825)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(48,825)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 March 31, 2021</w:t>
            </w:r>
          </w:p>
        </w:tc>
        <w:tc>
          <w:tcPr>
            <w:tcW w:w="1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294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7,887,000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789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(4,472,021)</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(4,471,232</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2940" w:type="dxa"/>
            <w:vAlign w:val="bottom"/>
          </w:tcPr>
          <w:p>
            <w:pPr>
              <w:spacing w:after="0"/>
              <w:rPr>
                <w:sz w:val="24"/>
                <w:szCs w:val="24"/>
                <w:color w:val="auto"/>
              </w:rPr>
            </w:pPr>
          </w:p>
        </w:tc>
        <w:tc>
          <w:tcPr>
            <w:tcW w:w="4560" w:type="dxa"/>
            <w:vAlign w:val="bottom"/>
            <w:gridSpan w:val="7"/>
          </w:tcPr>
          <w:p>
            <w:pPr>
              <w:jc w:val="center"/>
              <w:ind w:left="710"/>
              <w:spacing w:after="0"/>
              <w:rPr>
                <w:sz w:val="20"/>
                <w:szCs w:val="20"/>
                <w:color w:val="auto"/>
              </w:rPr>
            </w:pPr>
            <w:r>
              <w:rPr>
                <w:rFonts w:ascii="Arial" w:cs="Arial" w:eastAsia="Arial" w:hAnsi="Arial"/>
                <w:sz w:val="18"/>
                <w:szCs w:val="18"/>
                <w:b w:val="1"/>
                <w:bCs w:val="1"/>
                <w:color w:val="auto"/>
                <w:w w:val="99"/>
              </w:rPr>
              <w:t>THREE MONTHS ENDED MARCH 31, 2020</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6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0"/>
              </w:rPr>
              <w:t>(Restated)</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6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8,400,476</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1,605,302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3,393,867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5,000,009</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Change in value of common stock subject to possible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3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30,197</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(1,605,302)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(298,163)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(1,903,462)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1,903,455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1,903,455</w:t>
            </w:r>
          </w:p>
        </w:tc>
        <w:tc>
          <w:tcPr>
            <w:tcW w:w="0" w:type="dxa"/>
            <w:vAlign w:val="bottom"/>
          </w:tcPr>
          <w:p>
            <w:pPr>
              <w:spacing w:after="0"/>
              <w:rPr>
                <w:sz w:val="1"/>
                <w:szCs w:val="1"/>
                <w:color w:val="auto"/>
              </w:rPr>
            </w:pPr>
          </w:p>
        </w:tc>
      </w:tr>
      <w:tr>
        <w:trPr>
          <w:trHeight w:val="27"/>
        </w:trPr>
        <w:tc>
          <w:tcPr>
            <w:tcW w:w="2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color w:val="auto"/>
              </w:rPr>
              <w:t>Balance – March 31, 2020</w:t>
            </w:r>
          </w:p>
        </w:tc>
        <w:tc>
          <w:tcPr>
            <w:tcW w:w="1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8,430,673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843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4,999,159</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5,000,002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(Restated)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(48,825)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1,903,455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(1,140,420)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convertible promissory notes – related party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356,000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(35,796)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(1,027,157)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loss on marketable securities held in Trust Account</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(1,438,240)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(21,468)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274,962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69,818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317,545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(155,023)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125,813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to affiliate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303,677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(569,686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(109,922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to pay income taxes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165,598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b w:val="1"/>
                <w:bCs w:val="1"/>
                <w:color w:val="auto"/>
              </w:rPr>
              <w:t>Net cash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165,598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advances from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Proceeds from convertible promissory notes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8"/>
          <w:szCs w:val="18"/>
          <w:color w:val="auto"/>
        </w:rPr>
        <w:t>(22,179)</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color w:val="auto"/>
        </w:rPr>
        <w:t>500,000</w:t>
      </w:r>
      <w:r>
        <w:rPr>
          <w:sz w:val="20"/>
          <w:szCs w:val="20"/>
          <w:color w:val="auto"/>
        </w:rPr>
        <w:tab/>
      </w:r>
      <w:r>
        <w:rPr>
          <w:rFonts w:ascii="Arial" w:cs="Arial" w:eastAsia="Arial" w:hAnsi="Arial"/>
          <w:sz w:val="18"/>
          <w:szCs w:val="18"/>
          <w:color w:val="auto"/>
        </w:rPr>
        <w:t>—</w:t>
      </w:r>
    </w:p>
    <w:p>
      <w:pPr>
        <w:spacing w:after="0" w:line="31"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b w:val="1"/>
          <w:bCs w:val="1"/>
          <w:color w:val="auto"/>
        </w:rPr>
        <w:t>477,821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left="580"/>
        <w:spacing w:after="0"/>
        <w:tabs>
          <w:tab w:leader="none" w:pos="1940" w:val="left"/>
        </w:tabs>
        <w:rPr>
          <w:sz w:val="20"/>
          <w:szCs w:val="20"/>
          <w:color w:val="auto"/>
        </w:rPr>
      </w:pPr>
      <w:r>
        <w:rPr>
          <w:rFonts w:ascii="Arial" w:cs="Arial" w:eastAsia="Arial" w:hAnsi="Arial"/>
          <w:sz w:val="18"/>
          <w:szCs w:val="18"/>
          <w:b w:val="1"/>
          <w:bCs w:val="1"/>
          <w:color w:val="auto"/>
        </w:rPr>
        <w:t>(91,865)</w:t>
      </w:r>
      <w:r>
        <w:rPr>
          <w:sz w:val="20"/>
          <w:szCs w:val="20"/>
          <w:color w:val="auto"/>
        </w:rPr>
        <w:tab/>
      </w:r>
      <w:r>
        <w:rPr>
          <w:rFonts w:ascii="Arial" w:cs="Arial" w:eastAsia="Arial" w:hAnsi="Arial"/>
          <w:sz w:val="18"/>
          <w:szCs w:val="18"/>
          <w:b w:val="1"/>
          <w:bCs w:val="1"/>
          <w:color w:val="auto"/>
        </w:rPr>
        <w:t>55,676</w:t>
      </w:r>
    </w:p>
    <w:p>
      <w:pPr>
        <w:spacing w:after="0" w:line="27" w:lineRule="exact"/>
        <w:rPr>
          <w:sz w:val="20"/>
          <w:szCs w:val="20"/>
          <w:color w:val="auto"/>
        </w:rPr>
      </w:pPr>
    </w:p>
    <w:p>
      <w:pPr>
        <w:ind w:left="540"/>
        <w:spacing w:after="0"/>
        <w:tabs>
          <w:tab w:leader="none" w:pos="1840" w:val="left"/>
        </w:tabs>
        <w:rPr>
          <w:sz w:val="20"/>
          <w:szCs w:val="20"/>
          <w:color w:val="auto"/>
        </w:rPr>
      </w:pPr>
      <w:r>
        <w:rPr>
          <w:rFonts w:ascii="Arial" w:cs="Arial" w:eastAsia="Arial" w:hAnsi="Arial"/>
          <w:sz w:val="16"/>
          <w:szCs w:val="16"/>
          <w:color w:val="auto"/>
        </w:rPr>
        <w:t>135,961</w:t>
      </w:r>
      <w:r>
        <w:rPr>
          <w:sz w:val="20"/>
          <w:szCs w:val="20"/>
          <w:color w:val="auto"/>
        </w:rPr>
        <w:tab/>
      </w:r>
      <w:r>
        <w:rPr>
          <w:rFonts w:ascii="Arial" w:cs="Arial" w:eastAsia="Arial" w:hAnsi="Arial"/>
          <w:sz w:val="16"/>
          <w:szCs w:val="16"/>
          <w:color w:val="auto"/>
        </w:rPr>
        <w:t>140,303</w:t>
      </w:r>
    </w:p>
    <w:p>
      <w:pPr>
        <w:spacing w:after="0" w:line="81" w:lineRule="exact"/>
        <w:rPr>
          <w:sz w:val="20"/>
          <w:szCs w:val="20"/>
          <w:color w:val="auto"/>
        </w:rPr>
      </w:pPr>
    </w:p>
    <w:p>
      <w:pPr>
        <w:spacing w:after="0"/>
        <w:tabs>
          <w:tab w:leader="none" w:pos="620" w:val="left"/>
          <w:tab w:leader="none" w:pos="1320" w:val="left"/>
          <w:tab w:leader="none" w:pos="18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44,096</w:t>
        <w:tab/>
        <w:t>$</w:t>
      </w:r>
      <w:r>
        <w:rPr>
          <w:sz w:val="20"/>
          <w:szCs w:val="20"/>
          <w:color w:val="auto"/>
        </w:rPr>
        <w:tab/>
      </w:r>
      <w:r>
        <w:rPr>
          <w:rFonts w:ascii="Arial" w:cs="Arial" w:eastAsia="Arial" w:hAnsi="Arial"/>
          <w:sz w:val="16"/>
          <w:szCs w:val="16"/>
          <w:b w:val="1"/>
          <w:bCs w:val="1"/>
          <w:color w:val="auto"/>
        </w:rPr>
        <w:t>195,979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769"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1"/>
        </w:trPr>
        <w:tc>
          <w:tcPr>
            <w:tcW w:w="670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9,422,413</w:t>
            </w:r>
          </w:p>
        </w:tc>
        <w:tc>
          <w:tcPr>
            <w:tcW w:w="340" w:type="dxa"/>
            <w:vAlign w:val="bottom"/>
          </w:tcPr>
          <w:p>
            <w:pPr>
              <w:jc w:val="right"/>
              <w:ind w:right="5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u w:val="single" w:color="auto"/>
                <w:color w:val="auto"/>
              </w:rPr>
              <w:t>1,903,462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0</wp:posOffset>
            </wp:positionV>
            <wp:extent cx="156019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Tuscan Holdings Corp. (the “Company”) was incorporated in Delaware on November 5, 2018. The Company was formed for the purpose of entering into a merger, share exchange, asset acquisition, stock purchase, recapitalization, reorganization or similar business combination with one or more businesses or entities (the “Business Combination”).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the Company is not limited to a particular industry or sector for purposes of consummating a Business Combination, the Company is focusing its search on companies in the cannabis industry.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one subsidiary, TSCN Merger Sub Inc., a wholly owned subsidiary of the Company incorporated in Delaware on January 21, 2021 (“Merger Sub”) (see Note 6).</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All activity through March 31, 2021 relates to the Company’s formation, the initial public offering (“Initial Public Offering”), which is described below, identifying a target company for a Business Combination, and activities in connection with the proposed acquisition of Microvast, Inc., a Delaware corporation (“Microvast”) (see Note 6).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March 5, 2019. On March 7, 2019, the Company consummated the Initial Public Offering of 24,000,000 units (the “Units” and, with respect to the shares of common stock included in the Units sold, the “Public Shares”) at $10.00 per Unit, generating gross proceeds of $240,000,000, which is described in Note 3.</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615,000 units (the “Private Units”) at a price of $10.00 per Private Unit in a private placement to Tuscan Holdings Acquisition LLC (the “Sponsor”) and EarlyBirdCapital, Inc. (“EarlyBirdCapital”) and its designee, generating gross proceeds of $6,150,000, which is described in Note 4.</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the closing of the Initial Public Offering on March 7, 2019, an amount of $240,000,000 ($10.00 per Unit) from the net proceeds of the sale of the Units in the Initial Public Offering and the sale of the Private Units was placed in a trust account (“Trust Account”) which are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of 1940, as amended (the “Investment Company Act”), as determined by the Company, until the earlier of: (i) the completion of a Business Combination or (ii) the distribution of the Trust Account, as described below.</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12, 2019, the underwriters exercised their over-allotment option in full, resulting in the sale of an additional 3,600,000 Units for $36,000,000, less the underwriters’ discount of $720,000. In connection with the underwriters’ exercise of their over-allotment option, the Company also consummated the sale of an additional 72,000 Private Units at $10.00 per Private Unit, generating total gross proceeds of $720,000. A total of $36,000,000 was deposited into the Trust Account from the sale of the additional Units pursuant to the over-allotment option and the additional sale of Private Units, bringing the aggregate proceeds held in the Trust Account to $276,000,000.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costs amounted to $6,059,098, consisting of $5,520,000 of underwriting fees and $539,098 of other offering costs.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Units, although substantially all of the net proceeds are intended to be applied generally toward consummating a Business Combination. The Company’s Business Combination must be with one or more target businesses that together have a fair market value of at least 80% of the assets held in the Trust Account (excluding taxes payable on income earned on the Trust Account) at the time of the agreement to enter into a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upon such consummation of a Business Combination and, solely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EarlyBirdCapital have agreed to vote their Founder Shares (as defined in Note 5), Private Shares (as defined in Note 4) and any Public Shares purchased after the Initial Public Offering in favor of approving a Business Combination and not to convert any shares in connection with a stockholder vote to approve a Business Combination or sell any shares to the Company in a tender offer in connection with a Business Combination. Additionally, each public stockholder may elect to redeem their Public Shares irrespective of whether they vote for or against the proposed transaction or do not vote at all.</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Sponsor and EarlyBirdCapital have agreed (a) to waive their rights to liquidating distributions from the Trust Account with respect to the Founder Shares and Private Shares if the Company fails to consummate a Business Combination and (b) not to propose an amendment to the Amended and Restated Certificate of Incorporation that would affect a public stockholders’ ability to convert or sell their shares to the Company in connection with a Business Combination or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had until December 7, 2020 to complete a Business Combination. On December 3, 2020, the Company held a special meeting pursuant to which the Company’s stockholders approved extending the Combination Period from December 7, 2020 to April 30, 2021 (the “Extension Date”). In connection with the approval of the extension, stockholders elected to redeem an aggregate of 3,198 shares of the Company’s common stock. As a result, an aggregate of approximately $32,700 (or approximately $10.22 per share) was released from the Company’s Trust Account to pay such stockholders. Additionally, on May 10, 2021, at a reconvened annual meeting of stockholders initially convened on April 28, 2021, the Company received stockholder approval to further extend the date by which the Company is required to complete a business combination from April 30, 2021 to July 31, 2021 (the “Combination Period”). In connection with such extension, holders of an aggregate of 13,290 Public Shares exercised their right to redeem their shares for cash.</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franchise and income taxes,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an agreement with the Company waiving any right, title, interest or claim of any kind they may have in or to any monies held in the Trust Account and except as to any claims under the Company’s indemnity of the underwriters of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Sponsor will have to indemnify the Trust Account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Compliance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6, 2021, the Company received a notice from the Listing Qualifications Department of The Nasdaq Stock Market stating that the Company failed to hold an Annual Meeting of stockholders within 12 months after its fiscal year ended December 31, 2019, as required by Nasdaq Listing Rule 5620(a). In accordance with Nasdaq Listing Rule 5810(c)(2)(G), the Company submitted a plan to regain compliance on February 4, 2021. Nasdaq accepted the plan and granted the Company an extension through June 29, 2021 to hold an annual meeting. Nasdaq’s decision is subject to certain conditions, including that the Company provide periodic updates with respect to its proposed business combination with Microvast. On April 28, 2021, the Company held an annual meeting of stockholders, in compliance with its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has principally financed its operations from inception using proceeds from the sale of its equity securities to its stockholders prior to the Initial Public Offering and such amount of proceeds from the Initial Public Offering that were placed in an account outside of the Trust Account for working capital purposes. As of March 31, 2021, the Company had $44,096 held outside of the Trust Account. As of April 21, 2020, the Sponsor entered into a convertible promissory note with the Company for an aggregate principal amount of $300,000, of which $200,000 was drawn upon on such date. On February 12, 2021, the Sponsor entered into a convertible promissory note with the Company for an aggregate principal amount of $1,200,000. As a result of the February 12, 2021 convertible promissory note, the Sponsor had committed to the Company an aggregate of $1,500,000, of which a total of $700,000 has been drawn upon as of March 31, 2021. The loans are non-interest bearing, unsecured and due upon the consummation of a Business Combination. In the event that a Business Combination does not close, the loans would be repaid only out of funds held outside the Trust Account to the extent such funds are available. Otherwise, all amounts loaned to the Company would be forgiven. (see Note 5).</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will need to raise further additional capital through loans or additional investments from its Sponsor, stockholders, officers, directors, or third parties. In addition to the loan commitment described herein,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July 31, 2021, the current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Company’s Annual Report on Form 10-K/A for the year ended December 31, 2020 as filed with the SEC on June 1, 2021, which contains the audited financial statements and notes thereto. The interim results for the three months ended March 31, 2021 are not necessarily indicative of the results to be expected for the year ending December 31, 2021 or for any future interim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2021 and December 31, 2020, the assets held in the Trust Account were substantially held in U.S. Treasury Bills. Through March 31, 2021, the Company withdrew approximately $1,417,000 of interest earned in the Trust Account to pay its franchise and income taxes, of which no amounts were withdrawn during the three months ended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warrants in accordance with the guidance contained in ASC 815-40 under which the warrants do not meet the criteria for equity treatment and must be recorded as liabilities. As the Private Warrants meet the definition of a derivative as contemplated in ASC 815, the Company classifies the Private Warrants as liabilities at their fair value and adjusts the Private Warrants to fair value at each reporting period. This liability is subject to re-measurement at each balance sheet date until exercised, and any change in fair value is recognized in the condensed statement of operations. The Private Warrants for periods where no observable traded price was available are valued using a binomial lattice simulation model. For periods subsequent the detachment of the Private Warrants from the Units, the Public Warrant quoted market price was used as the fair value as of each relevant date.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condensed consolidated balance sheets.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income (loss) per common share is computed by dividing net income (loss) by the weighted-average number of shares of common stock outstanding during the period.</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statement of operations includes a presentation of income (loss) per share for common stock subject to possible redemption in a manner similar to the two-class method of income (loss) per share. Net income per common share, basic and diluted, for common stock subject to possible redemption is calculated by dividing the proportionate share of income on marketable securities held by the Trust Account, net of applicable franchise and income taxes, by the weighted average number of shares of common stock subject to possible redemption outstanding for the periods.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loss per common share, basic, for non-redeemable common stock is calculated by dividing the net income, adjusted for income on marketable securities attributable to Common Stock subject to possible redemption, by the weighted average number of non-redeemable common stock outstanding for the period. Net loss per common share, diluted, for non-redeemable common stock is calculated by dividing the non-redeemable net income, adjusted for the change in the fair value of the warrant liability, by the weighted average number of non-redeemable common stock outstanding for the periods, including the effects of any potentially dilutive securities. Diluted loss per common share gives effect to all dilutive potential of shares of common stock outstanding during the period, including warrants, using the treasury stock method. Diluted loss per common share excludes all dilutive potential of shares of common stock if their effect is anti-dilutive.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on marketable securities based on non-redeemable common stock shares’ proportionate interest.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i w:val="1"/>
                <w:iCs w:val="1"/>
                <w:color w:val="auto"/>
              </w:rPr>
              <w:t>Common stock subject to possible redemption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Numerator: Earnings allocable to common stock subject to possible redemption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1,007,949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1,411,345</w:t>
            </w: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Company’s portion available to pay taxes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(28,532)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(510,858)</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earnings allocable to common stock subject to possible redemption</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7,684</w:t>
            </w: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1,908,436</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common stock subject to possible redemption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26,675,733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27,086,524</w:t>
            </w: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common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Non-Redeemable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Basic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Numerator Net (Loss) Income minus Net Earnings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(48,825)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1,903,455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earnings allocable to common stock subject to possible redemption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(1,908,436)</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Non-Redeemable Net Loss –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(56,509</w:t>
            </w:r>
            <w:r>
              <w:rPr>
                <w:rFonts w:ascii="Arial" w:cs="Arial" w:eastAsia="Arial" w:hAnsi="Arial"/>
                <w:sz w:val="25"/>
                <w:szCs w:val="25"/>
                <w:color w:val="auto"/>
                <w:vertAlign w:val="subscript"/>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216" w:lineRule="exact"/>
              <w:rPr>
                <w:sz w:val="20"/>
                <w:szCs w:val="20"/>
                <w:color w:val="auto"/>
              </w:rPr>
            </w:pPr>
            <w:r>
              <w:rPr>
                <w:rFonts w:ascii="Arial" w:cs="Arial" w:eastAsia="Arial" w:hAnsi="Arial"/>
                <w:sz w:val="14"/>
                <w:szCs w:val="14"/>
                <w:color w:val="auto"/>
              </w:rPr>
              <w:t>(4,981</w:t>
            </w:r>
            <w:r>
              <w:rPr>
                <w:rFonts w:ascii="Arial" w:cs="Arial" w:eastAsia="Arial" w:hAnsi="Arial"/>
                <w:sz w:val="25"/>
                <w:szCs w:val="25"/>
                <w:color w:val="auto"/>
                <w:vertAlign w:val="subscript"/>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8,808,069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8,400,476</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common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4"/>
                <w:szCs w:val="14"/>
                <w:color w:val="auto"/>
              </w:rPr>
              <w:t>(0.01</w:t>
            </w:r>
            <w:r>
              <w:rPr>
                <w:rFonts w:ascii="Arial" w:cs="Arial" w:eastAsia="Arial" w:hAnsi="Arial"/>
                <w:sz w:val="25"/>
                <w:szCs w:val="25"/>
                <w:color w:val="auto"/>
                <w:vertAlign w:val="subscript"/>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4"/>
                <w:szCs w:val="14"/>
                <w:color w:val="auto"/>
              </w:rPr>
              <w:t>(0.00</w:t>
            </w:r>
            <w:r>
              <w:rPr>
                <w:rFonts w:ascii="Arial" w:cs="Arial" w:eastAsia="Arial" w:hAnsi="Arial"/>
                <w:sz w:val="25"/>
                <w:szCs w:val="25"/>
                <w:color w:val="auto"/>
                <w:vertAlign w:val="subscript"/>
              </w:rPr>
              <w:t>)</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Diluted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Numerator: Non-Redeemable Net Loss minus Change in fair value of warrant liability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Net Loss – 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(56,509)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Less: Change in fair value of warrant liability</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(1,140,420)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680" w:type="dxa"/>
            <w:vAlign w:val="bottom"/>
            <w:shd w:val="clear" w:color="auto" w:fill="CCEEFF"/>
          </w:tcPr>
          <w:p>
            <w:pPr>
              <w:ind w:left="340"/>
              <w:spacing w:after="0" w:line="195" w:lineRule="exact"/>
              <w:rPr>
                <w:sz w:val="20"/>
                <w:szCs w:val="20"/>
                <w:color w:val="auto"/>
              </w:rPr>
            </w:pPr>
            <w:r>
              <w:rPr>
                <w:rFonts w:ascii="Arial" w:cs="Arial" w:eastAsia="Arial" w:hAnsi="Arial"/>
                <w:sz w:val="14"/>
                <w:szCs w:val="14"/>
                <w:color w:val="auto"/>
              </w:rPr>
              <w:t xml:space="preserve">Non-Redeemable Net Loss – Diluted </w:t>
            </w:r>
            <w:r>
              <w:rPr>
                <w:rFonts w:ascii="Arial" w:cs="Arial" w:eastAsia="Arial" w:hAnsi="Arial"/>
                <w:sz w:val="22"/>
                <w:szCs w:val="22"/>
                <w:color w:val="auto"/>
                <w:vertAlign w:val="superscript"/>
              </w:rPr>
              <w:t>(1)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195" w:lineRule="exact"/>
              <w:rPr>
                <w:sz w:val="20"/>
                <w:szCs w:val="20"/>
                <w:color w:val="auto"/>
              </w:rPr>
            </w:pPr>
            <w:r>
              <w:rPr>
                <w:rFonts w:ascii="Arial" w:cs="Arial" w:eastAsia="Arial" w:hAnsi="Arial"/>
                <w:sz w:val="13"/>
                <w:szCs w:val="13"/>
                <w:color w:val="auto"/>
              </w:rPr>
              <w:t>(1,196,929</w:t>
            </w:r>
            <w:r>
              <w:rPr>
                <w:rFonts w:ascii="Arial" w:cs="Arial" w:eastAsia="Arial" w:hAnsi="Arial"/>
                <w:sz w:val="22"/>
                <w:szCs w:val="22"/>
                <w:color w:val="auto"/>
                <w:vertAlign w:val="subscript"/>
              </w:rPr>
              <w:t>)</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line="195" w:lineRule="exact"/>
              <w:rPr>
                <w:sz w:val="20"/>
                <w:szCs w:val="20"/>
                <w:color w:val="auto"/>
              </w:rPr>
            </w:pPr>
            <w:r>
              <w:rPr>
                <w:rFonts w:ascii="Arial" w:cs="Arial" w:eastAsia="Arial" w:hAnsi="Arial"/>
                <w:sz w:val="13"/>
                <w:szCs w:val="13"/>
                <w:color w:val="auto"/>
              </w:rPr>
              <w:t>(4,981</w:t>
            </w:r>
            <w:r>
              <w:rPr>
                <w:rFonts w:ascii="Arial" w:cs="Arial" w:eastAsia="Arial" w:hAnsi="Arial"/>
                <w:sz w:val="22"/>
                <w:szCs w:val="22"/>
                <w:color w:val="auto"/>
                <w:vertAlign w:val="subscript"/>
              </w:rPr>
              <w:t>)</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Diluted weighted average shares outstanding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17,137,983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8,400,476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Diluted net loss per common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(0.07</w:t>
            </w:r>
            <w:r>
              <w:rPr>
                <w:rFonts w:ascii="Arial" w:cs="Arial" w:eastAsia="Arial" w:hAnsi="Arial"/>
                <w:sz w:val="25"/>
                <w:szCs w:val="25"/>
                <w:color w:val="auto"/>
                <w:vertAlign w:val="subscript"/>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216" w:lineRule="exact"/>
              <w:rPr>
                <w:sz w:val="20"/>
                <w:szCs w:val="20"/>
                <w:color w:val="auto"/>
              </w:rPr>
            </w:pPr>
            <w:r>
              <w:rPr>
                <w:rFonts w:ascii="Arial" w:cs="Arial" w:eastAsia="Arial" w:hAnsi="Arial"/>
                <w:sz w:val="14"/>
                <w:szCs w:val="14"/>
                <w:color w:val="auto"/>
              </w:rPr>
              <w:t>(0.00</w:t>
            </w:r>
            <w:r>
              <w:rPr>
                <w:rFonts w:ascii="Arial" w:cs="Arial" w:eastAsia="Arial" w:hAnsi="Arial"/>
                <w:sz w:val="25"/>
                <w:szCs w:val="25"/>
                <w:color w:val="auto"/>
                <w:vertAlign w:val="subscript"/>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30" w:lineRule="exact"/>
        <w:rPr>
          <w:sz w:val="20"/>
          <w:szCs w:val="20"/>
          <w:color w:val="auto"/>
        </w:rPr>
      </w:pPr>
    </w:p>
    <w:p>
      <w:pPr>
        <w:ind w:left="340" w:hanging="332"/>
        <w:spacing w:after="0" w:line="308"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of March 31, 2020, non-redeemable net loss – diluted is not adjusted for the change in fair value of warrant liability and diluted shares do not include the effect of warrants to purchase 28,287,000 shares of common stock as the inclusion of such warrants would be anti-dilutive.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accompanying condensed consolidated balance sheets, primarily due to their short-term nature, except for the Private Warrants (see Note 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46"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effective as of January 1, 2021. The adoption of ASU 2020-06 did not have an impact on the Company’s financial statements.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7, 2019, the Company consummated the Initial Public Offering and sold 24,000,000 units at a price of $10.00 per Unit. Each Unit consists of one share of common stock and one warrant (“Public Warrant”). On March 12, 2019, in connection with the underwriters’ exercise of the over-allotment option in full, the Company sold an additional 3,600,000 Units at a price of $10.00 per Unit. Each Public Warrant entitles the holder to purchase one share of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Simultaneously with the closing of the Initial Public Offering, the Sponsor and EarlyBirdCapital and its designee purchased an aggregate of 615,000 Private Units at a price of $10.00 per Private Unit, for an aggregate purchase price of $6,150,000. The Sponsor purchased 500,047 Private Units and EarlyBirdCapital and its designee purchased an aggregate of 114,953 Private Units. On March 12, 2019, in connection with the underwriters’ exercise of the over-allotment option in full, the purchasers purchased an aggregate of an additional 72,000 additional Private Units, of which 58,542 Private Units were purchased by the Sponsor and 13,458 Private Units were purchased by EarlyBirdCapital and its designee, for an aggregate purchase price of $720,000. Each Private Unit consists of one share of common stock (“Private Share”) and one warrant (“Private Warrant”). Each Private Warrant is exercisable to purchase one share of common stock at an exercise price of $11.50 per share, subject to adjustment (see Note 7). The proceeds from the Private Units were added to the proceeds from the Initial Public Offering held in the Trust Account. If the Company does not complete a Business Combination within the Combination Period, the proceeds from the sale of the Private Units will be used to fund the redemption of the Public Shares (subject to the requirements of applicable law), and the Private Units and all underlying securities will be worthless.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November 2018, the Sponsor purchased 5,750,000 shares (the “Founder Shares”) of the Company’s common stock for an aggregate price of $25,000. On March 5, 2019, the Company effected a stock dividend of 0.2 shares of common stock for each outstanding share (the “Stock Dividend”), resulting in 6,900,000 Founder Shares being issued and outstanding.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6,900,000 Founder Shares included an aggregate of up to 900,000 shares subject to forfeiture by the Sponsor to the extent that the underwriters’ over-allotment was not exercised in full or in part, so that the holders of the Founder Shares would collectively own 20% of the Company’s issued and outstanding shares after the Initial Public Offering (assuming the holders did not purchase any Public Shares in the Initial Public Offering and excluding the Private Units and Representative Shares (see Note 7). In connection with the underwriters’ exercise of the over-allotment option in full on March 12, 2019, 900,000 Founder Shares are no longer subject to forfeiture.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holders of the Founder Shares have agreed, subject to certain limited exceptions, not to transfer, assign or sell any of the Founder Shares until, with respect to 50% of the Founder Shares, the earlier of one year after the consummation of a Business Combination and the date on which the closing price of the common stock equals or exceeds $12.50 per share (as adjusted for stock splits, stock dividends, reorganizations, recapitalizations and the like) for any 20 trading days within a 30-trading day period commencing after a Business Combination and, with respect to the remaining 50% of the Founder Shares, until the one year after the consummation of a Business Combination, or earlier, in either case, if, subsequent to a Business Combination, the Company completes a liquidation, merger, stock exchange or other similar transaction which results in all of the Company’s stockholders having the right to exchange their shares of common stock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Vogel Partners, LLP, an affiliate of Mr. Vogel, has agreed that, until the earlier of the consummation of an initial business combination or the Company’s liquidation, it will make available to the Company certain general and administrative services, including office space, utilities and administrative support, as the Company may require from time to time. The Company has agreed to pay Vogel Partners, LLP $10,000 per month for these services. For the three months ended March 31, 2021 and 2020, the Company incurred $30,000 in fees for these services. At March 31, 2021 and December 31, 2020, fees amounting to $10,000 are included in accounts payable and accrued expenses in the accompanying condensed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to the extent such funds are available. In the event that a Business Combination does not close, the Company may use a portion of proceeds held outside the Trust Account to repay the Working Capital Loans, but no proceeds held in the Trust Account will be used to repay the Working Capital Loans. The Working Capital Loans would either be repaid upon consummation of a Business Combination, without interest, or, at the lender’s discretion, up to $1,500,000 of such Working Capital Loans may be convertible into units of the post Business Combination entity at a price of $10.00 per unit. The units would be identical to the Private Units.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21, 2020, the Company issued an unsecured promissory note to the Sponsor in the aggregate amount of $300,000 (the “Note”), of which $200,000 was drawn upon on such date. On February 12, 2021, the Company issued an unsecured promissory note to the Sponsor in the aggregate amount of $1,200,000 (together, with the Note, the “Convertible Promissory Notes”). The Convertible Promissory Notes are non-interest bearing and payable upon the consummation of a Business Combination. The Convertible Promissory Notes are convertible, at the lender’s option, into units of the post Business Combination entity at a price of $10.00 per unit. The units would be identical to the Private Units. If a Business Combination is not consummated, the Convertible Promissory Notes will not be repaid by the Company and all amounts owed thereunder by the Company will be forgiven except to the extent that the Company has funds available to it outside of its Trust Account.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and December 31, 2020, the aggregate fair market value of the Convertible Promissory Notes was $1,056,000 and $200,000 (see Note 9).</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a registration rights agreement entered into on March 7, 2019, the holders of the Founder Shares, Representative Shares, Private Units, and any units that may be issued upon conversion of Working Capital Loans (and all underlying securities) are entitled to registration rights. The holders of the majority of these securities are entitled to make up to two demands that the Company register such securities. The holders of the majority of the Founder Shares can elect to exercise these registration rights at any time commencing three months prior to the date on which the Founder Shares are to be released from escrow. The holders of a majority of the Representative Shares, Private Units or units issued in payment of working capital loans made to the Company (or underlying securities) can elect to exercise these registration rights at any time commencing after the Company consummates a Business Combination. Notwithstanding anything to the contrary, EarlyBirdCapital and its designee may only make a demand on one occasion and only during the five-year period beginning on the effective date of the Initial Public Offering. In addition, the holders have certain “piggy-back” registration rights with respect to registration statements filed subsequent to the consummation of a Business Combination; provided, however, that EarlyBirdCapital and its designee may participate in a “piggy-back” registration only during the seven-year period beginning on the effective date of the Initial Public Offering. The Company will bear the expenses incurred in connection with the filing of any such registration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has engaged EarlyBirdCapital as an advisor in connection with a Business Combination to assist the Company in holding meetings with its shareholders to discuss the potential Business Combination and the target business’ attributes, introduce the Company to potential investors that are interested in purchasing the Company’s securities in connection with a Business Combination, assist the Company in obtaining shareholder approval for the Business Combination and assist the Company with its press releases and public filings in connection with the Business Combination. The Company will pay EarlyBirdCapital a cash fee for such services upon the consummation of a Business Combination in an amount equal to $9,660,000 (exclusive of any applicable finders’ fees which might become payable); provided that up to 30% of the fee may be allocated at the Company’s sole discretion to other FINRA members that assist the Company in identifying and consummating a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of Morgan Stanley</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engaged Morgan Stanley &amp; Co. LLC (“Morgan Stanley”) to provide financial advisory services in connection with the Microvast business combination (see below), and, upon consummation of the transaction with Microvast, the Company will pay Morgan Stanley a transaction fee of $5.5 million, plus expenses. Morgan Stanley also acted as placement agent in connection with the PIPE Financing (see below), and the Company is obligated to pay Morgan Stanley a placement fee equal to (i) 3.5% of the sum of (x) the aggregate gross proceeds raised in the PIPE Financing up to $300 million (not including funds from the sale of certain excluded securities) and (y) any borrowings pursuant to a bridge financing provided in connection with the proposed business combination by investors introduced by Morgan Stanley, and (ii) 2.5% of the aggregate gross proceeds raised in the PIPE Financing above $300 million. The fee will not be payable in the event the Company does not consummate a Business Combination.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1, 2021, the Company entered into an agreement and plan of merger (the “Merger Agreement”) with Microvast and Merger Sub. Pursuant to the Merger Agreement, Merger Sub will merge with and into Microvast and Microvast will survive the merger and become a wholly owned subsidiary of the Company. Under the Merger Agreement, all of the equity interests of Microvast will be converted into an aggregate of 210,000,000 shares of common stock (“closing shares”). The Microvast shareholders and the investors in Microvast’s majority-owned subsidiary, Microvast Power System (Houzhou) Co. Ltd. (“MPS”), will also have the ability to earn an additional 20,000,000 shares of common stock (“earnout shares”) if the daily volume weighted average price of the common stock is greater than or equal to $18.00 for any 20 trading days within a 30 trading day period (or a change of control occurs that results in the holders of common stock receiving a per share price equal to or in excess of $18.00), during the period commencing on the closing date and ending on the third anniversary of the closing date. Concurrently with the execution of the Merger Agreement, the Company and Microvast will jointly acquire 100% ownership of MPS and will discharge certain convertible loans of MPS.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Additionally, the Merger Agreement provides that the Company will issue an aggregate of 6,736,111 shares of common stock upon conversion (the “Bridge Notes Conversion”) of an aggregate of $57,500,000 outstanding promissory notes issued by Microvast.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Further, on February 1, 2021, the Company, the Sponsor, Microvast and certain stockholders of the Company entered into the Sponsor Support Agreement (the “Sponsor Support Agreement”), pursuant to which the Sponsor and certain officers and directors of the Company (collectively, the “Sponsor Group”) agreed, among other things, to vote all equity interests of the Company held by such member of the Sponsor Group in favor of the approval and adoption of the proposed business combination with Microvast. Additionally, such members of the Sponsor Group have agreed not to (a) transfer any of their equity interests in the Company (or enter into any arrangement with respect thereto) other than as set forth therein or (b) exercise any conversion rights of any equity interests held by such member of the Sponsor Group in connection with the approval of the proposed business combination.</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Sponsor also agreed that, to the extent that certain expenses of the Company are in excess of $46,000,000 (unless such expenses shall have been approved by Microvast), the Sponsor will either (i) pay any such excess amount in cash or (ii) forfeit to the Company such number of shares of common stock held by the Sponsor that would have a value equal to such excess. The Sponsor also agreed to amend the escrow agreement to make certain adjustments to the terms of the escrow of its shares of common stock as set forth in the Sponsor Support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Contemporaneously with the execution of the Merger Agreement, certain investors entered into subscription agreements (the “Subscription Agreements”), pursuant to which such investors subscribed for an aggregate value of $482,500,000, representing 48,250,000 shares of the Company’s common stock at a purchase price of $10.00 per share in a private placement (the “PIPE Financing”) to be consummated immediately prior to the consummation of the Transactions. Affiliates of InterPrivate, a co-sponsor of the Company, subscribed to purchase 6.5 million shares in the PIPE Financing for an aggregate purchase price of $65 million.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Consummation of the proposed business combination is subject to customary conditions and covenants of the respective parties, including approval of the Company’s stockholders and Tuscan having available cash of at least $250,000,000.</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Preferred Stock — </w:t>
      </w:r>
      <w:r>
        <w:rPr>
          <w:rFonts w:ascii="Arial" w:cs="Arial" w:eastAsia="Arial" w:hAnsi="Arial"/>
          <w:sz w:val="18"/>
          <w:szCs w:val="18"/>
          <w:color w:val="auto"/>
        </w:rPr>
        <w:t>The Company is authorized to issue 1,000,000 shares of preferred stock with a par value of $0.0001 per share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rights and preferences as may be determined from time to time by the Company’s board of directors. At March 31, 2021 and December 31, 2020, there were no shares of preferred stock issued or outstanding.</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 The Company is authorized to issue 65,000,000 shares of common stock with a par value of $0.0001 per share. 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are entitled to one vote for each share. At March 31, 2021 and December 31, 2020, there were 7,887,000 and 8,808,069 shares of common stock issued and outstanding, excluding 27,596,802 and 26,675,733 shares of common stock subject to possible redemption, respectively.</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determined the common stock subject to redemption to be equal to the redemption value of approximately $10.21 per share of common stock while also taking into consideration a redemption cannot result in net tangible assets being less than $5,000,001. Upon considering the impact of the PIPE Financing and associated Subscription Agreements, it was concluded that the redemption value should include all shares of common stock Public Shares resulting in the common stock subject to possible redemption being equal to $281,764,233. This resulted in a measurement adjustment to the initial carrying value of the common stock subject to redemption with the offset recorded to additional paid-in capital and accumulated deficit.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November 2018, the Company issued to the designees of EarlyBirdCapital, for a nominal consideration, 300,000 shares (after giving effect to the Stock Dividend) of common stock (the “Representative Shares”). The Company accounted for the Representative Shares as an offering cost of the Initial Public Offering, with a corresponding credit to stockholders’ equity. The Company estimated the fair value of Representative Shares to be $1,200 based upon the price of the Founder Shares issued to the Sponsor. The holders of the Representative Shares have agreed not to transfer, assign or sell any such shares until the completion of a Business Combination. In addition, the holders have agreed (i) to waive their redemption rights (or to sell any shares in a tender offer)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Public Warrants will become exercisable 30 days after the completion of a Business Combination.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Public Warrants become exercisable, the Company may redeem the Public Warrants: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common stock equals or exceeds $18.00 per share for any 20 trading days within a 30-trading day period ending on the third business day prior to the notice of redemption to the warrant holders; and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the warrants.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Private Warrants are identical to the Public Warrants underlying the Units sold in the Initial Public Offering, except that the Private Warrants will be exercisable for cash or on a cashless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Initial Public Offering.</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an initial Business Combination at an issue price or effective issue price of less than $9.50 per share of common stock (with such issue price or effective issue price to be determined in good faith by the Company’s board of directors, and in the case of any such issuance to our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an initial Business Combination on the date of the consummation of an initial Business Combination (net of redemptions), and (z) the volume weighted average trading price of the common stock during the 20 trading day period starting on the trading day prior to the day on which the Company consummated an initial Business Combination (such price, the “Market Value”) is below $9.50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at March 31, 2021 and December 31, 2020 and indicates the fair value hierarchy of the valuation inputs the Company utilized to determine such fair value: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1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1</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282,291,194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282,254,978</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Warrant Liability – Private Warrants</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3</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3,064,020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4,204,440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 Related Party</w:t>
            </w:r>
          </w:p>
        </w:tc>
        <w:tc>
          <w:tcPr>
            <w:tcW w:w="11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3</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1,056,000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Private Warrants were accounted for as liabilities in accordance with ASC 815-40 and are presented within warrant liabilities in the condensed balance sheet. The warrant liabilities are measured at fair value at inception and on a recurring basis, with changes in fair value presented within change in fair value of warrant liabilities in the condensed statement of operations.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Private Warrants were valued using a binomial lattice simulation model, which is considered to be a Level 3 fair value measurement. The binomial lattice model’s primary unobservable input utilized in determining the fair value of the Private Warrants is the expected volatility of the common stock. The expected volatility as of the Initial Public Offering date was derived from observable public warrant pricing on comparable ‘blank-check’ companies without an identified target. The expected volatility as of subsequent valuation dates was implied from the Company’s own public warrant pricing.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ind w:left="660"/>
              <w:spacing w:after="0"/>
              <w:rPr>
                <w:sz w:val="20"/>
                <w:szCs w:val="20"/>
                <w:color w:val="auto"/>
              </w:rPr>
            </w:pPr>
            <w:r>
              <w:rPr>
                <w:rFonts w:ascii="Arial" w:cs="Arial" w:eastAsia="Arial" w:hAnsi="Arial"/>
                <w:sz w:val="18"/>
                <w:szCs w:val="18"/>
                <w:color w:val="auto"/>
              </w:rPr>
              <w:t>The estimated fair value of the Private Warrants was based on the following significant inputs: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gridSpan w:val="5"/>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Stock price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12.30</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Term</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Dividend yield</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418"/>
        </w:trPr>
        <w:tc>
          <w:tcPr>
            <w:tcW w:w="8600" w:type="dxa"/>
            <w:vAlign w:val="bottom"/>
          </w:tcPr>
          <w:p>
            <w:pPr>
              <w:ind w:left="660"/>
              <w:spacing w:after="0"/>
              <w:rPr>
                <w:sz w:val="20"/>
                <w:szCs w:val="20"/>
                <w:color w:val="auto"/>
              </w:rPr>
            </w:pPr>
            <w:r>
              <w:rPr>
                <w:rFonts w:ascii="Arial" w:cs="Arial" w:eastAsia="Arial" w:hAnsi="Arial"/>
                <w:sz w:val="18"/>
                <w:szCs w:val="18"/>
                <w:color w:val="auto"/>
              </w:rPr>
              <w:t>The following table presents the changes in the fair value of the Level 3 warrant liabilities: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4,204,440</w:t>
            </w: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(1,140,420)</w:t>
            </w:r>
          </w:p>
        </w:tc>
      </w:tr>
      <w:tr>
        <w:trPr>
          <w:trHeight w:val="26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3,064,020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47"/>
        </w:trPr>
        <w:tc>
          <w:tcPr>
            <w:tcW w:w="860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elected the fair value option for the Convertible Promissory Notes. The fair value of the Convertible Promissory Notes was determined using a binomial lattice simulation model, which is considered to be a Level 3 fair value measurement.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ind w:left="660"/>
              <w:spacing w:after="0"/>
              <w:rPr>
                <w:sz w:val="20"/>
                <w:szCs w:val="20"/>
                <w:color w:val="auto"/>
              </w:rPr>
            </w:pPr>
            <w:r>
              <w:rPr>
                <w:rFonts w:ascii="Arial" w:cs="Arial" w:eastAsia="Arial" w:hAnsi="Arial"/>
                <w:sz w:val="18"/>
                <w:szCs w:val="18"/>
                <w:color w:val="auto"/>
              </w:rPr>
              <w:t>The estimated fair value of the Convertible Promissory Notes was based on the following significant inputs: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9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9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Stock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19.89</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Term</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Dividend yield</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transfers in or out of Level 3 from other levels in the fair value hierarchy during the three months ended March 31,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660"/>
              <w:spacing w:after="0"/>
              <w:rPr>
                <w:sz w:val="20"/>
                <w:szCs w:val="20"/>
                <w:color w:val="auto"/>
              </w:rPr>
            </w:pPr>
            <w:r>
              <w:rPr>
                <w:rFonts w:ascii="Arial" w:cs="Arial" w:eastAsia="Arial" w:hAnsi="Arial"/>
                <w:sz w:val="18"/>
                <w:szCs w:val="18"/>
                <w:color w:val="auto"/>
              </w:rPr>
              <w:t>The following table presents the changes in the fair value of the Level 3 Convertible Promissory Notes: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Proceeds received Convertible Promissory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Fair value as of March 31,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1,056,000</w:t>
            </w:r>
          </w:p>
        </w:tc>
        <w:tc>
          <w:tcPr>
            <w:tcW w:w="10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consolidated financial statements were issued. Based upon this review, other than as described below, the Company did not identify any subsequent events that would have required adjustment or disclosure in the condensed consolidated financial statements.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28, 2021, the Company convened its annual meeting of stockholders (the “</w:t>
      </w:r>
      <w:r>
        <w:rPr>
          <w:rFonts w:ascii="Arial" w:cs="Arial" w:eastAsia="Arial" w:hAnsi="Arial"/>
          <w:sz w:val="18"/>
          <w:szCs w:val="18"/>
          <w:u w:val="single" w:color="auto"/>
          <w:color w:val="auto"/>
        </w:rPr>
        <w:t>Annual Meeting</w:t>
      </w:r>
      <w:r>
        <w:rPr>
          <w:rFonts w:ascii="Arial" w:cs="Arial" w:eastAsia="Arial" w:hAnsi="Arial"/>
          <w:sz w:val="18"/>
          <w:szCs w:val="18"/>
          <w:color w:val="auto"/>
        </w:rPr>
        <w:t>”) virtually. At the Annual Meeting, the Company’s shareholders approved a proposal to elect Amy Butte as a Class I director, and approved a proposal to adjourn the Annual Meeting to a later date if there had been insufficient votes at the time of the Annual Meeting to approve the proposal to extend the date by which the Company must complete its initial business combination from April 30, 2021 to July 31, 2021 (the “</w:t>
      </w:r>
      <w:r>
        <w:rPr>
          <w:rFonts w:ascii="Arial" w:cs="Arial" w:eastAsia="Arial" w:hAnsi="Arial"/>
          <w:sz w:val="18"/>
          <w:szCs w:val="18"/>
          <w:u w:val="single" w:color="auto"/>
          <w:color w:val="auto"/>
        </w:rPr>
        <w:t>Extension Amendment Proposal</w:t>
      </w:r>
      <w:r>
        <w:rPr>
          <w:rFonts w:ascii="Arial" w:cs="Arial" w:eastAsia="Arial" w:hAnsi="Arial"/>
          <w:sz w:val="18"/>
          <w:szCs w:val="18"/>
          <w:color w:val="auto"/>
        </w:rPr>
        <w:t>”). The Annual Meeting was adjourned to May 10, 2021 solely with respect to the voting on the Extension Amendment Proposal.</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the time the Annual Meeting was convened on April 28, 2021, a quorum representing at least a majority of shares outstanding on the record date of March 17, 2021 was present in person or by proxy. However, the Company had not received the approval of holders of 65% of its shares outstanding on the record date then necessary to approve the Extension Amendment Proposal, as provided in Article Sixth of the Company’s certificate of incorporation (“</w:t>
      </w:r>
      <w:r>
        <w:rPr>
          <w:rFonts w:ascii="Arial" w:cs="Arial" w:eastAsia="Arial" w:hAnsi="Arial"/>
          <w:sz w:val="17"/>
          <w:szCs w:val="17"/>
          <w:u w:val="single" w:color="auto"/>
          <w:color w:val="auto"/>
        </w:rPr>
        <w:t>Article Sixth</w:t>
      </w:r>
      <w:r>
        <w:rPr>
          <w:rFonts w:ascii="Arial" w:cs="Arial" w:eastAsia="Arial" w:hAnsi="Arial"/>
          <w:sz w:val="17"/>
          <w:szCs w:val="17"/>
          <w:color w:val="auto"/>
        </w:rPr>
        <w:t>”). According to Article Sixth, as of May 1, 2021, the vote required for approval of the Extension Amendment Proposal was reduced from 65% of the shares outstanding to a majority of the shares outstanding on the record date, based on the following provisions. Article Sixth provides that at any time during the “Target Business Acquisition Period,” any amendment to Article Sixth requires the affirmative vote of the holders of at least 65% of the then outstanding shares of common stock. The “Target Business Acquisition Period” ends on the “Termination Date,” which is defined in Article Sixth as April 30, 2021. Therefore, the 65% vote threshold in Article Sixth will no longer apply as of May 1, 2021, and the Extension Amendment Proposal may be approved by a majority of the shares outstanding on the record date. On May 10, 2021, the Company reconvened the Annual Meeting, at which the Extension Amendment Proposal was approved by the Company’s stockholders. Following the Annual Meeting, the Company filed an amendment to its certificate of incorporation extending the date by which the Company must complete its initial business combination from April 30, 2021 to July 31, 2021.</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28, 2021, the Company received a notice from the Listing Qualifications Department of The Nasdaq Stock Market stating that because we failed to timely file our Quarterly Report on Form 10-Q for the quarter ended March 31, 2021, we were not in compliance with Nasdaq Listing Rule 5250(c)(1). This Quarterly Report on Form 10-Q constitutes such filing and, accordingly, as of the date of this filing we should regain compliance with the listing rule.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Tuscan Holdings Corp. References to our “management” or our “management team” refer to our officers and directors, references to the “Sponsor” refer to Tuscan Holdings Acquisition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10-K/A filed with the U.S. Securities and Exchange Commission (the “SEC”) on June 1,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blank check company incorporated on November 5, 2018 as a Delaware corporation and formed for the purpose of entering into a merger, share exchange, asset acquisition, stock purchase, recapitalization, reorganization or similar Business Combination with one or more businesses or entities. We intend to effectuate our initial Business Combination using cash from the proceeds of the Initial Public Offering and the sale of the Private Units, our capital stock, debt or a combination of cash, stock and debt.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entire activity since inception relates to our formation, to prepare for our Initial Public Offering, which was consummated on March 7, 2019, and identifying a company for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Microvast Business Combination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1, 2021, we entered into the Merger Agreement with Microvast and Merger Sub. Pursuant to the Merger Agreement, Merger Sub will merge with and into Microvast and Microvast will survive the merger and become our wholly owned subsidiary. Under the Merger Agreement, all of the equity interests of Microvast will be converted into an aggregate of 210,000,000 shares of common stock. The Microvast shareholders and the investors in Microvast’s majority-owned subsidiary, MPS, will also have the ability to earn an additional 20,000,000 shares of common stock if the daily volume weighted average price of the common stock is greater than or equal to $18.00 for any 20 trading days within a 30 trading day period (or a change of control occurs that results in the holders of common stock receiving a per share price equal to or in excess of $18.00), during the period commencing on the closing date and ending on the third anniversary of the closing date. Concurrently with the execution of the Merger Agreement, we and Microvast will jointly acquire 100% ownership of MPS and will discharge certain convertible loans of MPS.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both"/>
        <w:ind w:right="20" w:firstLine="648"/>
        <w:spacing w:after="0" w:line="277" w:lineRule="auto"/>
        <w:rPr>
          <w:sz w:val="20"/>
          <w:szCs w:val="20"/>
          <w:color w:val="auto"/>
        </w:rPr>
      </w:pPr>
      <w:r>
        <w:rPr>
          <w:rFonts w:ascii="Arial" w:cs="Arial" w:eastAsia="Arial" w:hAnsi="Arial"/>
          <w:sz w:val="18"/>
          <w:szCs w:val="18"/>
          <w:color w:val="auto"/>
        </w:rPr>
        <w:t>Additionally, the Merger Agreement provides that we will issue an aggregate of 6,736,111 shares of common stock in connection with the Bridge Note Conversion.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on February 1, 2021, we, the Sponsor, Microvast and certain of our stockholders entered into the Sponsor Support Agreement, pursuant to which the Sponsor Group agreed, among other things, to vote all equity interests of the Company held by such member of the Sponsor Group in favor of the approval and adoption of the proposed business combination with Microvast. Additionally, such members of the Sponsor Group have agreed not to (a) transfer any of their equity interests in the Company (or enter into any arrangement with respect thereto) other than as set forth therein or (b) exercise any conversion rights of any equity interests held by such member of the Sponsor Group in connection with the approval of the proposed business combination.</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Sponsor also agreed that, to the extent that certain of our expenses are in excess of $46,000,000 (unless such expenses shall have been approved by Microvast), the Sponsor will either (i) pay any such excess amount in cash or (ii) forfeit to us such number of shares of common stock held by the Sponsor that would have a value equal to such excess. The Sponsor also agreed to amend the escrow agreement to make certain adjustments to the terms of the escrow of its shares of common stock as set forth in the Sponsor Support Agreement.</w:t>
      </w:r>
    </w:p>
    <w:p>
      <w:pPr>
        <w:spacing w:after="0" w:line="17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Contemporaneously with the execution of the Merger Agreement, certain investors entered into Subscription Agreements pursuant to which such investors subscribed for an aggregate value of $482,500,000, representing 48,250,000 shares of our common stock at a purchase price of $10.00 per share in a private placement to be consummated immediately prior to the consummation of the Transactions. Affiliates of InterPrivate, our co-sponsor, subscribed to purchase 6.5 million shares in the PIPE Financing for an aggregate purchase price of $65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Amendment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3, 2020, we received stockholder approval to extend the date by which it must complete an initial business combination from December 7, 2020 to April 30, 2021. In connection with such extension, holders of 3,198 Public Shares exercised their right to convert their shares into cash at a conversion price of approximately $10.22 per share, for an aggregate conversion amount of approximately $32,684. Additionally, on May 10, 2021, at a reconvened annual meeting of stockholders initially convened on April 28, 2021, we received stockholder approval to further extend the date by which we are required to complete a business combination from April 30, 2021 to July 31, 2021. In connection with such extension, holders of an aggregate of 13,290 Public Shares exercised their right to redeem their shares for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12, 2021, we issued an unsecured promissory note to the Sponsor in the aggregate amount of $1,200,000. The Convertible Promissory Notes are non-interest bearing and payable upon the consummation of a Business Combination. The Convertible Promissory Notes are convertible, at the lender’s option, into units of the post Business Combination entity at a price of $10.00 per unit. The units would be identical to the Private Units. If a Business Combination is not consummated, the Convertible Promissory Notes will not be repaid by the Company and all amounts owed thereunder by the Company will be forgiven except to the extent that the Company has funds available to it outside of its Trust Account.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Notification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6, 2021, we received a notice from the Listing Qualifications Department of The Nasdaq Stock Market stating that we failed to hold an Annual Meeting of stockholders within 12 months after our fiscal year ended December 31, 2019, as required by Nasdaq Listing Rule 5620(a). In accordance with Nasdaq Listing Rule 5810(c)(2)(G), we submitted a plan to regain compliance on February 4, 2021. Nasdaq accepted our plan and granted us an extension through June 29, 2021 to hold an annual meeting. Nasdaq’s decision is subject to certain conditions, including that we provide periodic updates with respect to our proposed business combination with Microvast. On April 28, 2021, we held an annual meeting of stockholders, in compliance with our plan.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28, 2021, the Company received a notice from the Listing Qualifications Department of The Nasdaq Stock Market stating that because we failed to timely file our Quarterly Report on Form 10-Q for the quarter ended March 31, 2021, we were not in compliance with Nasdaq Listing Rule 5250(c)(1). This Quarterly Report on Form 10-Q constitutes such filing and, accordingly, as of the date of this filing we should regain compliance with the listing rule.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only activities through March 31, 2021 were organizational activities, those necessary to consummate the Initial Public Offering, described below, searching for a target company for a Business Combination, and activities in connection with the proposed acquisition of Microvast.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2021, we had a net loss of $48,825, which consisted of operating costs of $890,929 and a change in the fair value of convertible promissory notes of $356,000, offset by a change in fair value of warrants of $1,140,240, interest income of $35,796 and an unrealized gain of $420.</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 months ended March 31, 2020, we had a net income of $1,903,455, which consisted of change in fair value of warrants of $137,400, interest income of $1,027,157 and unrealized gains of $1,438,240, offset by operating costs of $228,749 and a provision for income taxes of $470,593.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7, 2019, we consummated our Initial Public Offering of 24,000,000 Units, at a price of $10.00 per Unit, generating gross proceeds of $240,000,000. Simultaneously with the closing of the Initial Public Offering, we consummated the sale of 615,000 Private Units to our Sponsor and EarlyBirdCapital and its designee, generating gross proceeds of $6,150,000.</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March 12, 2019, in connection with the underwriters’ exercise of their over-allotment option in full, we consummated the sale of an additional 3,600,000 Units at a price of $10.00 per Unit, generating total gross proceeds of $36,000,000. In addition, we also consummated the sale of an additional 72,000 Private Units to our Sponsor and EarlyBirdCapital and its designee at $10.00 per Private Unit, generating total gross proceeds of $720,000.</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Units, a total of $276,000,000 was placed in the Trust Account. We incurred $6,059,098 in Initial Public Offering related costs, including $5,520,000 of underwriting fees, and $539,098 of other costs.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2021, we had marketable securities held in the Trust Account of $282,291,194 (including approximately $6,300,000 of interest income and unrealized gains) consisting of U.S. treasury bills with a maturity of 180 days or less. Interest income on the balance in the Trust Account may be used by us to pay taxes. Through March 31, 2021, we withdrew approximately $1,417,000 of interest earned on the Trust Account to pay our franchise and income tax obligations, of which no amounts were withdrawn during the three months ended Mar h 31, 2021.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2021, cash used in operating activities was $569,686. Net loss of $48,825 was affected by change in fair value of warrants of $1,140,420, interest earned on marketable securities held in Trust Account of $35,796, unrealized gain on marketable securities held in Trust Account of $420 and a change in the fair value of convertible promissory notes of $356,000. Changes in operating assets and liabilities provided $321,243 of cash from operating activities.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2020, cash used in operating activities was $109,922. Net income of $1,903,455 was affected by change in fair value of warrants of $137,400, interest earned on marketable securities held in Trust Account $1,027,157, unrealized gain on marketable securities held in Trust Account of $1,438,240, and deferred income tax provision of $274,962. Changes in operating assets and liabilities provided $314,458 of cash from operating activities.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both"/>
        <w:ind w:firstLine="648"/>
        <w:spacing w:after="0" w:line="291" w:lineRule="auto"/>
        <w:rPr>
          <w:sz w:val="20"/>
          <w:szCs w:val="20"/>
          <w:color w:val="auto"/>
        </w:rPr>
      </w:pPr>
      <w:r>
        <w:rPr>
          <w:rFonts w:ascii="Arial" w:cs="Arial" w:eastAsia="Arial" w:hAnsi="Arial"/>
          <w:sz w:val="16"/>
          <w:szCs w:val="16"/>
          <w:color w:val="auto"/>
        </w:rPr>
        <w:t>We intend to use substantially all of the funds held in the Trust Account, to acquire a target business and to pay our expenses relating thereto, including a fee payable to EarlyBirdCapital, upon consummation of our initial Business Combination for assisting us in connection with our initial Business Combination. To the extent that our capital stock is used in whole or in part as consideration to effect a Business Combination, the remaining funds held in the Trust Account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Business Combination if the funds available to us outside of the Trust Account were insufficient to cover such expenses.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2021, we had cash of $44,096. We intend to use the funds held outside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21, 2020, the Company issued an unsecured promissory note to the Sponsor in the aggregate amount of $300,000 (the “Note”), of which $200,000 was drawn upon on such date. On February 12, 2021, the Company issued an unsecured promissory note to the Sponsor in the aggregate amount of $1,200,000 (together, with the Note, the “Convertible Promissory Notes”). The Convertible Promissory Notes are non-interest bearing and payable upon the consummation of a Business Combination. The Convertible Promissory Notes are convertible, at the lender’s option, into units of the post Business Combination entity at a price of $10.00 per unit. The units would be identical to the Private Units. If a Business Combination is not consummated, the Convertible Promissory Notes will not be repaid by the Company and all amounts owed thereunder by the Company will be forgiven except to the extent that the Company has funds available to it outside of its Trust Account.</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a Business Combination, the Sponsor or our officers and directors or their affiliates may, but are not obligated to, loan us funds on a non-interest basis as may be required, except as described above. If we complete our initial Business Combination, we will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notes may be convertible into Private Units, at a price of $10.00 per unit. The units would be identical to the Private Units.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described above, our Sponsor committed to loan us a total of $1.5 million (inclusive of amounts currently outstanding). We will need to raise additional capital through loans or additional investments from our Sponsor, stockholders, officers, directors, or third parties. Other than the $1.5 million loan (inclusive of amounts currently outstanding) committed to us by our Sponsor, our Sponsor, officers, directors, or their affiliates may, but are not obligated to, loan us funds, from time to time or at any time, in whatever amount they deem reasonable in their sole discretion, to meet our working capital needs. Accordingly, we may not be able to obtain additional financing. If we are unable to raise such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 These conditions raise substantial doubt about our ability to continue as a going concern through July 31, 2021, the date that we will be required to cease all operations, except for the purpose of winding up, if a business combination is not consummated. The financial statements included in this Form 10-Q do not include any adjustments relating to the recovery of the recorded assets or the classification of the liabilities that might be necessary should we be unable to continue as a going concern.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March 31, 2021.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do not have any long-term debt, capital lease obligations, operating lease obligations or long-term liabilities other than an agreement to pay an affiliate of our Sponsor a monthly fee of $10,000 for office space, utilities and secretarial and administrative support. We began incurring these fees on March 5, 2019 and will continue to incur these fees monthly until the earlier of the completion of the Business Combination and our liquidation.</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engaged EarlyBirdCapital and Morgan Stanley to provide financial advisory services in connection with our initial business combination, for which such firms will receive fees upon consummation of the transaction with Microvast, as described in more detail in Note 6 to the financial statements. We also engaged Morgan Stanley as placement agent in connection with the PIPE Financing, for which such firm will receive a fee as described in more detail in Note 6 to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account for warrants in accordance with the guidance contained in ASC 815-40 under which the warrants do not meet the criteria for equity treatment and must be recorded as liabilities. As the Private Warrants meet the definition of a derivative as contemplated in ASC 815, we classify the Private Warrants as liabilities at their fair value and adjusts the Private Warrants to fair value at each reporting period. This liability is subject to re-measurement at each balance sheet date until exercised, and any change in fair value is recognized in our statement of operations. The Private Warrants for periods where no observable traded price was available were valued using a binomial lattice model.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account for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condensed balance sheets.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(loss) per common share, basic and diluted for common stock subject to possible redemption is calculated by dividing the interest income earned on the Trust Account, net of applicable taxes, if any, by the weighted average number of shares of common stock subject to possible redemption outstanding for the period. Net income (loss) per share, basic and diluted for and non-redeemable common stock is calculated by dividing net loss less income attributable to common stock subject to possible redemption, by the weighted average number of shares of non-redeemable common stock outstanding for the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adopted ASU 2020-06 effective as of January 1, 2021. The adoption of ASU 2020-06 did not have an impact on our financial statements.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March 31, 2021, as such term is defined in Rules 13a-15(e) and 15d-15(e) under the Exchange Act. Based on this evaluation, our principal executive officer and principal financial and accounting officer have concluded that, solely due to the events that led to the Company’s restatement of its financial statements to reclassify the Company’s Private Warrants as liabilities (which are described in the Company’s Amendment No. 1 to its Annual Report on Form 10-K/A filed on June 1, 2021) (the “Restatement”), during the period covered by this report, a material weakness existed and our disclosure controls and procedures were not effective.</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the most recently completed fiscal quarter, there has been no change in our internal control over financial reporting that has materially affected, or is reasonably likely to materially affect, our internal control over financial reporting, as the circumstances that led to the Restatement of our financial statements had not yet been identified. Due solely to the events that led to our Restatement of our financial statements, management has identified a material weakness in our internal control over financial reporting relating to the accounting for our Private Warrants. 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10-K/A for the year ended December 31, 2020 filed with the SEC on June 1, 2021. As of the date of this Report, there have been no material changes to the risk factors disclosed in our Annual Report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Section 302 of the Sarbanes-Oxley Act of 2002</w:t>
              </w:r>
            </w:hyperlink>
          </w:p>
        </w:tc>
        <w:tc>
          <w:tcPr>
            <w:tcW w:w="6680" w:type="dxa"/>
            <w:vAlign w:val="bottom"/>
            <w:tcBorders>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Act of 2002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101.INS*</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101.LAB*</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0712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1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TUSCAN HOLDINGS CORP.</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6"/>
          <w:szCs w:val="16"/>
          <w:color w:val="auto"/>
        </w:rPr>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Stephen A. Vogel</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6"/>
          <w:szCs w:val="16"/>
          <w:color w:val="auto"/>
        </w:rPr>
        <w:t>/s/ Ruth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Ruth Epstein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A. Vogel,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Tuscan Holdings Corp.;</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Ruth Epstein,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Tuscan Holdings Corp.;</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Ruth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Ruth Epstein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3" w:name="page34"/>
    <w:bookmarkEnd w:id="3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Tuscan Holdings Corp. (the “Company”) on Form 10-Q for the quarterly period ended March 31, 2021, as filed with the Securities and Exchange Commission (the “Report”), I, Stephen A. Vogel, Chief Executive Officer of the Company, certify, pursuant to 18 U.S.C. §1350, as added by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4" w:name="page35"/>
    <w:bookmarkEnd w:id="34"/>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Tuscan Holdings Corp. (the “Company”) on Form 10-Q for the quarterly period ended March 31, 2021, as filed with the Securities and Exchange Commission (the “Report”), I, Ruth Epstein, Chief Financial Officer of the Company, certify, pursuant to 18 U.S.C. §1350, as added by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Ruth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Ruth Epstein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2021-06-02T05:14:55Z</dcterms:created>
  <dcterms:modified xsi:type="dcterms:W3CDTF">2021-06-02T05:14:55Z</dcterms:modified>
</cp:coreProperties>
</file>