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10,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940" w:type="dxa"/>
            <w:vAlign w:val="bottom"/>
          </w:tcPr>
          <w:p>
            <w:pPr>
              <w:jc w:val="center"/>
              <w:ind w:left="590"/>
              <w:spacing w:after="0"/>
              <w:rPr>
                <w:sz w:val="20"/>
                <w:szCs w:val="20"/>
                <w:color w:val="auto"/>
              </w:rPr>
            </w:pPr>
            <w:r>
              <w:rPr>
                <w:rFonts w:ascii="Arial" w:cs="Arial" w:eastAsia="Arial" w:hAnsi="Arial"/>
                <w:sz w:val="18"/>
                <w:szCs w:val="18"/>
                <w:b w:val="1"/>
                <w:bCs w:val="1"/>
                <w:color w:val="auto"/>
                <w:w w:val="93"/>
              </w:rPr>
              <w:t>Delaware</w:t>
            </w:r>
          </w:p>
        </w:tc>
        <w:tc>
          <w:tcPr>
            <w:tcW w:w="460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0"/>
              </w:rPr>
              <w:t>001-38826</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83-2530757</w:t>
            </w:r>
          </w:p>
        </w:tc>
      </w:tr>
      <w:tr>
        <w:trPr>
          <w:trHeight w:val="198"/>
        </w:trPr>
        <w:tc>
          <w:tcPr>
            <w:tcW w:w="2940" w:type="dxa"/>
            <w:vAlign w:val="bottom"/>
            <w:tcBorders>
              <w:top w:val="single" w:sz="8" w:color="auto"/>
            </w:tcBorders>
          </w:tcPr>
          <w:p>
            <w:pPr>
              <w:jc w:val="center"/>
              <w:ind w:left="590"/>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(Commission file number)</w:t>
            </w: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jc w:val="center"/>
              <w:ind w:right="75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2940" w:type="dxa"/>
            <w:vAlign w:val="bottom"/>
          </w:tcPr>
          <w:p>
            <w:pPr>
              <w:jc w:val="center"/>
              <w:ind w:left="590"/>
              <w:spacing w:after="0"/>
              <w:rPr>
                <w:sz w:val="20"/>
                <w:szCs w:val="20"/>
                <w:color w:val="auto"/>
              </w:rPr>
            </w:pPr>
            <w:r>
              <w:rPr>
                <w:rFonts w:ascii="Arial" w:cs="Arial" w:eastAsia="Arial" w:hAnsi="Arial"/>
                <w:sz w:val="18"/>
                <w:szCs w:val="18"/>
                <w:b w:val="1"/>
                <w:bCs w:val="1"/>
                <w:color w:val="auto"/>
                <w:w w:val="90"/>
              </w:rPr>
              <w:t>of incorporation)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8"/>
              </w:rPr>
              <w:t>135 E. 57</w:t>
            </w:r>
            <w:r>
              <w:rPr>
                <w:rFonts w:ascii="Arial" w:cs="Arial" w:eastAsia="Arial" w:hAnsi="Arial"/>
                <w:sz w:val="29"/>
                <w:szCs w:val="29"/>
                <w:b w:val="1"/>
                <w:bCs w:val="1"/>
                <w:color w:val="auto"/>
                <w:w w:val="88"/>
                <w:vertAlign w:val="superscript"/>
              </w:rPr>
              <w:t>th</w:t>
            </w:r>
            <w:r>
              <w:rPr>
                <w:rFonts w:ascii="Arial" w:cs="Arial" w:eastAsia="Arial" w:hAnsi="Arial"/>
                <w:sz w:val="18"/>
                <w:szCs w:val="18"/>
                <w:b w:val="1"/>
                <w:bCs w:val="1"/>
                <w:color w:val="auto"/>
                <w:w w:val="88"/>
              </w:rPr>
              <w:t xml:space="preserve"> Street, 18</w:t>
            </w:r>
            <w:r>
              <w:rPr>
                <w:rFonts w:ascii="Arial" w:cs="Arial" w:eastAsia="Arial" w:hAnsi="Arial"/>
                <w:sz w:val="29"/>
                <w:szCs w:val="29"/>
                <w:b w:val="1"/>
                <w:bCs w:val="1"/>
                <w:color w:val="auto"/>
                <w:w w:val="88"/>
                <w:vertAlign w:val="superscript"/>
              </w:rPr>
              <w:t>th</w:t>
            </w:r>
            <w:r>
              <w:rPr>
                <w:rFonts w:ascii="Arial" w:cs="Arial" w:eastAsia="Arial" w:hAnsi="Arial"/>
                <w:sz w:val="18"/>
                <w:szCs w:val="18"/>
                <w:b w:val="1"/>
                <w:bCs w:val="1"/>
                <w:color w:val="auto"/>
                <w:w w:val="88"/>
              </w:rPr>
              <w:t xml:space="preserve"> Floor</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2"/>
              </w:rPr>
              <w:t>New York, NY 10022</w:t>
            </w:r>
          </w:p>
        </w:tc>
        <w:tc>
          <w:tcPr>
            <w:tcW w:w="276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Registrant’s telephone number, including area code: (646) 948-7100</w:t>
            </w:r>
          </w:p>
        </w:tc>
        <w:tc>
          <w:tcPr>
            <w:tcW w:w="2760" w:type="dxa"/>
            <w:vAlign w:val="bottom"/>
          </w:tcPr>
          <w:p>
            <w:pPr>
              <w:spacing w:after="0"/>
              <w:rPr>
                <w:sz w:val="24"/>
                <w:szCs w:val="24"/>
                <w:color w:val="auto"/>
              </w:rPr>
            </w:pPr>
          </w:p>
        </w:tc>
      </w:tr>
      <w:tr>
        <w:trPr>
          <w:trHeight w:val="414"/>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2"/>
              </w:rPr>
              <w:t>Not Applicable</w:t>
            </w:r>
          </w:p>
        </w:tc>
        <w:tc>
          <w:tcPr>
            <w:tcW w:w="276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p>
        </w:tc>
        <w:tc>
          <w:tcPr>
            <w:tcW w:w="5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1"/>
              </w:rPr>
              <w:t>(Former Name, or Former Address, if Changed Since Last Report)</w:t>
            </w:r>
          </w:p>
        </w:tc>
        <w:tc>
          <w:tcPr>
            <w:tcW w:w="276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jc w:val="both"/>
        <w:ind w:right="4420" w:firstLine="8"/>
        <w:spacing w:after="0" w:line="224"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Name of each exchange</w:t>
            </w:r>
          </w:p>
        </w:tc>
        <w:tc>
          <w:tcPr>
            <w:tcW w:w="0" w:type="dxa"/>
            <w:vAlign w:val="bottom"/>
          </w:tcPr>
          <w:p>
            <w:pPr>
              <w:spacing w:after="0"/>
              <w:rPr>
                <w:sz w:val="1"/>
                <w:szCs w:val="1"/>
                <w:color w:val="auto"/>
              </w:rPr>
            </w:pPr>
          </w:p>
        </w:tc>
      </w:tr>
      <w:tr>
        <w:trPr>
          <w:trHeight w:val="198"/>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c>
          <w:tcPr>
            <w:tcW w:w="0" w:type="dxa"/>
            <w:vAlign w:val="bottom"/>
          </w:tcPr>
          <w:p>
            <w:pPr>
              <w:spacing w:after="0"/>
              <w:rPr>
                <w:sz w:val="1"/>
                <w:szCs w:val="1"/>
                <w:color w:val="auto"/>
              </w:rPr>
            </w:pPr>
          </w:p>
        </w:tc>
      </w:tr>
      <w:tr>
        <w:trPr>
          <w:trHeight w:val="198"/>
        </w:trPr>
        <w:tc>
          <w:tcPr>
            <w:tcW w:w="508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7"/>
              </w:rPr>
              <w:t>Units, each consisting of one share of common stock and one-half</w:t>
            </w:r>
          </w:p>
        </w:tc>
        <w:tc>
          <w:tcPr>
            <w:tcW w:w="1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rPr>
              <w:t>THCBU</w:t>
            </w:r>
          </w:p>
        </w:tc>
        <w:tc>
          <w:tcPr>
            <w:tcW w:w="100" w:type="dxa"/>
            <w:vAlign w:val="bottom"/>
            <w:tcBorders>
              <w:top w:val="single" w:sz="8" w:color="CCEEFF"/>
            </w:tcBorders>
            <w:shd w:val="clear" w:color="auto" w:fill="CCEEFF"/>
          </w:tcPr>
          <w:p>
            <w:pPr>
              <w:spacing w:after="0"/>
              <w:rPr>
                <w:sz w:val="17"/>
                <w:szCs w:val="17"/>
                <w:color w:val="auto"/>
              </w:rPr>
            </w:pPr>
          </w:p>
        </w:tc>
        <w:tc>
          <w:tcPr>
            <w:tcW w:w="37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34"/>
        </w:trPr>
        <w:tc>
          <w:tcPr>
            <w:tcW w:w="52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0"/>
              </w:rPr>
              <w:t>of one redeemable warrant</w:t>
            </w:r>
          </w:p>
        </w:tc>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THCB</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198"/>
        </w:trPr>
        <w:tc>
          <w:tcPr>
            <w:tcW w:w="5200" w:type="dxa"/>
            <w:vAlign w:val="bottom"/>
            <w:gridSpan w:val="2"/>
            <w:shd w:val="clear" w:color="auto" w:fill="CCEEFF"/>
          </w:tcPr>
          <w:p>
            <w:pPr>
              <w:jc w:val="center"/>
              <w:ind w:right="120"/>
              <w:spacing w:after="0" w:line="198" w:lineRule="exact"/>
              <w:rPr>
                <w:sz w:val="20"/>
                <w:szCs w:val="20"/>
                <w:color w:val="auto"/>
              </w:rPr>
            </w:pPr>
            <w:r>
              <w:rPr>
                <w:rFonts w:ascii="Arial" w:cs="Arial" w:eastAsia="Arial" w:hAnsi="Arial"/>
                <w:sz w:val="18"/>
                <w:szCs w:val="18"/>
                <w:b w:val="1"/>
                <w:bCs w:val="1"/>
                <w:color w:val="auto"/>
                <w:w w:val="88"/>
              </w:rPr>
              <w:t>Redeemable warrants, exercisable for shares of common stock at</w:t>
            </w:r>
          </w:p>
        </w:tc>
        <w:tc>
          <w:tcPr>
            <w:tcW w:w="2340" w:type="dxa"/>
            <w:vAlign w:val="bottom"/>
            <w:gridSpan w:val="2"/>
            <w:shd w:val="clear" w:color="auto" w:fill="CCEEFF"/>
          </w:tcPr>
          <w:p>
            <w:pPr>
              <w:jc w:val="center"/>
              <w:ind w:right="120"/>
              <w:spacing w:after="0" w:line="198" w:lineRule="exact"/>
              <w:rPr>
                <w:sz w:val="20"/>
                <w:szCs w:val="20"/>
                <w:color w:val="auto"/>
              </w:rPr>
            </w:pPr>
            <w:r>
              <w:rPr>
                <w:rFonts w:ascii="Arial" w:cs="Arial" w:eastAsia="Arial" w:hAnsi="Arial"/>
                <w:sz w:val="18"/>
                <w:szCs w:val="18"/>
                <w:b w:val="1"/>
                <w:bCs w:val="1"/>
                <w:color w:val="auto"/>
              </w:rPr>
              <w:t>THCBW</w:t>
            </w:r>
          </w:p>
        </w:tc>
        <w:tc>
          <w:tcPr>
            <w:tcW w:w="37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34"/>
        </w:trPr>
        <w:tc>
          <w:tcPr>
            <w:tcW w:w="52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7"/>
              </w:rPr>
              <w:t>an exercise price of $11.50 per share</w:t>
            </w:r>
          </w:p>
        </w:tc>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previously disclosed, on April 28, 2021, Tuscan Holdings Corp., a Delaware corporation (“</w:t>
      </w:r>
      <w:r>
        <w:rPr>
          <w:rFonts w:ascii="Arial" w:cs="Arial" w:eastAsia="Arial" w:hAnsi="Arial"/>
          <w:sz w:val="18"/>
          <w:szCs w:val="18"/>
          <w:u w:val="single" w:color="auto"/>
          <w:color w:val="auto"/>
        </w:rPr>
        <w:t>Tuscan</w:t>
      </w:r>
      <w:r>
        <w:rPr>
          <w:rFonts w:ascii="Arial" w:cs="Arial" w:eastAsia="Arial" w:hAnsi="Arial"/>
          <w:sz w:val="18"/>
          <w:szCs w:val="18"/>
          <w:color w:val="auto"/>
        </w:rPr>
        <w:t>”) convened its annual meeting of stockholders (the “</w:t>
      </w:r>
      <w:r>
        <w:rPr>
          <w:rFonts w:ascii="Arial" w:cs="Arial" w:eastAsia="Arial" w:hAnsi="Arial"/>
          <w:sz w:val="18"/>
          <w:szCs w:val="18"/>
          <w:u w:val="single" w:color="auto"/>
          <w:color w:val="auto"/>
        </w:rPr>
        <w:t>Annual Meeting</w:t>
      </w:r>
      <w:r>
        <w:rPr>
          <w:rFonts w:ascii="Arial" w:cs="Arial" w:eastAsia="Arial" w:hAnsi="Arial"/>
          <w:sz w:val="18"/>
          <w:szCs w:val="18"/>
          <w:color w:val="auto"/>
        </w:rPr>
        <w:t>”) virtually, which was adjourned to May 10, 2021 solely with respect to the voting on the proposal to extend the date by which Tuscan must complete its initial business combination from April 30, 2021 to July 31, 2021 (the “</w:t>
      </w:r>
      <w:r>
        <w:rPr>
          <w:rFonts w:ascii="Arial" w:cs="Arial" w:eastAsia="Arial" w:hAnsi="Arial"/>
          <w:sz w:val="18"/>
          <w:szCs w:val="18"/>
          <w:u w:val="single" w:color="auto"/>
          <w:color w:val="auto"/>
        </w:rPr>
        <w:t>Extension Amendment Proposal</w:t>
      </w:r>
      <w:r>
        <w:rPr>
          <w:rFonts w:ascii="Arial" w:cs="Arial" w:eastAsia="Arial" w:hAnsi="Arial"/>
          <w:sz w:val="18"/>
          <w:szCs w:val="18"/>
          <w:color w:val="auto"/>
        </w:rPr>
        <w:t>”). A total of 19,372,052 shares of Tuscan’s Common Stock, or 54.59% of the Common Stock outstanding as of March 17, 2021, the record date for the Annual Meeting, were represented virtually or by proxy at the reconvened Annual Meeting.</w:t>
      </w:r>
    </w:p>
    <w:p>
      <w:pPr>
        <w:spacing w:after="0" w:line="18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is a brief description of the final voting results for the proposal submitted to a vote of the stockholders at the reconvened Annual Meeting on May 10, 2021.</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The Extension Amendment Proposal — Approval of the proposal to amend Tuscan’s amended and restated certificate of incorporation, as amended (the “charter”), to extend the date by which Tuscan has to consummate a business combination from April 30, 2021 to July 31, 2021.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approved the proposal to amend Tuscan’s charter to extend the date by which Tuscan has to consummate a business combination from April 30, 2021 to July 31, 2021. The voting results were as follows: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5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9"/>
              </w:rPr>
              <w:t>Votes For</w:t>
            </w:r>
          </w:p>
        </w:tc>
        <w:tc>
          <w:tcPr>
            <w:tcW w:w="23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6"/>
              </w:rPr>
              <w:t>Votes Against</w:t>
            </w:r>
          </w:p>
        </w:tc>
        <w:tc>
          <w:tcPr>
            <w:tcW w:w="19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6"/>
              </w:rPr>
              <w:t>Abstentions</w:t>
            </w:r>
          </w:p>
        </w:tc>
        <w:tc>
          <w:tcPr>
            <w:tcW w:w="21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25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19,264,441</w:t>
            </w:r>
          </w:p>
        </w:tc>
        <w:tc>
          <w:tcPr>
            <w:tcW w:w="23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97,278</w:t>
            </w:r>
          </w:p>
        </w:tc>
        <w:tc>
          <w:tcPr>
            <w:tcW w:w="19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10,333</w:t>
            </w:r>
          </w:p>
        </w:tc>
        <w:tc>
          <w:tcPr>
            <w:tcW w:w="21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Following the Meeting, Tuscan filed the amendment to the charter with the Secretary of State of the State of Delaware. A copy of the amendment is attached hereto as Exhibit 3.1.</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included in Item 5.07 is incorporated by reference in this item to the extent required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connection with the proposed business combination transaction involving Tuscan and Microvast, Inc., a Delaware corporation (“Microvast”), Tuscan filed a preliminary proxy statement with the SEC on February 16, 2020 and intends to file a definitive proxy statement (collectively, “Merger Proxy Statement”). This document is not a substitute for the Merger Proxy Statement. INVESTORS AND SECURITY HOLDERS AND OTHER INTERESTED PARTIES ARE URGED TO READ THE MERGER PROXY STATEMENT FOR MORE INFORMATION ABOUT THE PROPOSED BUSINESS COMBINATION WITH MICROVAST AND TO READ ANY OTHER RELEVANT DOCUMENTS THAT ARE FILED OR WILL BE FILED WITH THE SEC, AS WELL AS ANY AMENDMENTS OR SUPPLEMENTS TO THESE DOCUMENTS, CAREFULLY AND IN THEIR ENTIRETY WHEN THEY BECOME AVAILABLE. The Merger Proxy Statement and other documents that may be filed with the SEC (when they are available) can be obtained free of charge from the SEC’s website at www.sec.gov. These documents (when they are available) can also be obtained free of charge from Tuscan upon written request to Tuscan at Tuscan Holdings Corp., 135 E. 57th St., 17th Floor, New York, NY 10022.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This Current Report on Form 8-K is for informational purposes only and is not intended to and shall not constitute a proxy statement or the solicitation of a proxy, consent or authorization with respect to any securities or in respect of the Merger and is not intended to and shall not constitute an offer to sell or the solicitation of an offer to sell or the solicitation of an offer to buy or subscribe for any securities or a solicitation of any vote or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This Current Report on Form 8-K is not a solicitation of a proxy from any investor or securityholder. However, Tuscan and certain of its directors and executive officers may be deemed to be participants in the solicitation of proxies in connection with the business combination under the rules of the SEC. Information about Tuscan’s directors and executive officers and their ownership of Tuscan’s securities is set forth in Tuscan’s filings with the SEC, including Tuscan’s Annual Report on Form 10-K for the fiscal year ended December 31, 2020, which was filed with the SEC on March 25, 2021, and the definitive proxy statement for the annual meeting which was filed with the SEC on March 25, 2021 and mailed to Tuscan’s stockholders on or about March 25, 2021. These documents can be obtained free of charge from Tuscan upon written request to Tuscan at Tuscan Holdings Corp., 135 E. 57th St., 17th Floor, New York, NY 10022.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This Current Report on Form 8-K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7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 addition to factors previously disclosed in Tuscan’s reports filed with the SEC and those identified elsewhere in this Current Report on Form 8-K, the following factors, among others, could cause actual results and the timing of events to differ materially from the anticipated results or other expectations expressed in the forward-looking statements: (1) inability to complete the proposed business combination with Microvast within the required time period or, if Tuscan does not complete the proposed business combination with Microvast, any other business combination; (2) the inability to complete the proposed business combination with Microvast due to the failure to meet one or more closing conditions or the occurrence of any event, change or other circumstances that could give rise to the termination of the definitive agreement; and (3) the impact of the ongoing COVID-19 pandemic.</w:t>
      </w:r>
    </w:p>
    <w:p>
      <w:pPr>
        <w:spacing w:after="0" w:line="16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All information set forth herein speaks only as of the date hereof, and we disclaim any intention or obligation to update any forward-looking statements as a result of developments occurring after the date of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780"/>
              <w:spacing w:after="0"/>
              <w:rPr>
                <w:sz w:val="20"/>
                <w:szCs w:val="20"/>
                <w:color w:val="auto"/>
              </w:rPr>
            </w:pPr>
            <w:r>
              <w:rPr>
                <w:rFonts w:ascii="Arial" w:cs="Arial" w:eastAsia="Arial" w:hAnsi="Arial"/>
                <w:sz w:val="18"/>
                <w:szCs w:val="18"/>
                <w:b w:val="1"/>
                <w:bCs w:val="1"/>
                <w:color w:val="auto"/>
                <w:w w:val="95"/>
              </w:rPr>
              <w:t>(d)</w:t>
            </w:r>
          </w:p>
        </w:tc>
        <w:tc>
          <w:tcPr>
            <w:tcW w:w="10220" w:type="dxa"/>
            <w:vAlign w:val="bottom"/>
            <w:gridSpan w:val="4"/>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439"/>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10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57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b w:val="1"/>
                <w:bCs w:val="1"/>
                <w:color w:val="0000EE"/>
                <w:w w:val="90"/>
              </w:rPr>
            </w:pPr>
            <w:hyperlink w:anchor="page5">
              <w:r>
                <w:rPr>
                  <w:rFonts w:ascii="Arial" w:cs="Arial" w:eastAsia="Arial" w:hAnsi="Arial"/>
                  <w:sz w:val="18"/>
                  <w:szCs w:val="18"/>
                  <w:b w:val="1"/>
                  <w:bCs w:val="1"/>
                  <w:color w:val="0000EE"/>
                  <w:w w:val="90"/>
                </w:rPr>
                <w:t>Second Amendment to Amended and Restated Certificate of Incorporation</w:t>
              </w:r>
            </w:hyperlink>
          </w:p>
        </w:tc>
        <w:tc>
          <w:tcPr>
            <w:tcW w:w="4340" w:type="dxa"/>
            <w:vAlign w:val="bottom"/>
            <w:tcBorders>
              <w:bottom w:val="single" w:sz="8" w:color="CCEEFF"/>
            </w:tcBorders>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99.1</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Press Release, dated May 10, 2021.</w:t>
              </w:r>
            </w:hyperlink>
          </w:p>
        </w:tc>
      </w:tr>
      <w:tr>
        <w:trPr>
          <w:trHeight w:val="574"/>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660" w:type="dxa"/>
            <w:vAlign w:val="bottom"/>
            <w:tcBorders>
              <w:top w:val="single" w:sz="8" w:color="0000EE"/>
              <w:bottom w:val="single" w:sz="8" w:color="auto"/>
            </w:tcBorders>
          </w:tcPr>
          <w:p>
            <w:pPr>
              <w:spacing w:after="0"/>
              <w:rPr>
                <w:sz w:val="24"/>
                <w:szCs w:val="24"/>
                <w:color w:val="auto"/>
              </w:rPr>
            </w:pPr>
          </w:p>
        </w:tc>
        <w:tc>
          <w:tcPr>
            <w:tcW w:w="3100" w:type="dxa"/>
            <w:vAlign w:val="bottom"/>
            <w:tcBorders>
              <w:top w:val="single" w:sz="8" w:color="CCEEFF"/>
              <w:bottom w:val="single" w:sz="8" w:color="auto"/>
            </w:tcBorders>
          </w:tcPr>
          <w:p>
            <w:pPr>
              <w:spacing w:after="0"/>
              <w:rPr>
                <w:sz w:val="24"/>
                <w:szCs w:val="24"/>
                <w:color w:val="auto"/>
              </w:rPr>
            </w:pPr>
          </w:p>
        </w:tc>
        <w:tc>
          <w:tcPr>
            <w:tcW w:w="43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2"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TUSCAN HOLDINGS CORP.</w:t>
      </w:r>
    </w:p>
    <w:p>
      <w:pPr>
        <w:spacing w:after="0" w:line="229"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6"/>
          <w:szCs w:val="16"/>
          <w:color w:val="auto"/>
        </w:rPr>
        <w:t>By: /s/ Stephen A. Vogel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Stephen A. Vogel</w:t>
      </w:r>
    </w:p>
    <w:p>
      <w:pPr>
        <w:spacing w:after="0" w:line="23"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4" w:name="page5"/>
    <w:bookmarkEnd w:id="4"/>
    <w:p>
      <w:pPr>
        <w:ind w:left="10180"/>
        <w:spacing w:after="0"/>
        <w:rPr>
          <w:sz w:val="20"/>
          <w:szCs w:val="20"/>
          <w:color w:val="auto"/>
        </w:rPr>
      </w:pPr>
      <w:r>
        <w:rPr>
          <w:rFonts w:ascii="Arial" w:cs="Arial" w:eastAsia="Arial" w:hAnsi="Arial"/>
          <w:sz w:val="21"/>
          <w:szCs w:val="21"/>
          <w:b w:val="1"/>
          <w:bCs w:val="1"/>
          <w:color w:val="auto"/>
        </w:rPr>
        <w:t>Exhibit 3.1</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242 of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Delaware General Corporation Law</w:t>
      </w:r>
    </w:p>
    <w:p>
      <w:pPr>
        <w:spacing w:after="0" w:line="200" w:lineRule="exact"/>
        <w:rPr>
          <w:sz w:val="20"/>
          <w:szCs w:val="20"/>
          <w:color w:val="auto"/>
        </w:rPr>
      </w:pPr>
    </w:p>
    <w:p>
      <w:pPr>
        <w:spacing w:after="0" w:line="24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The undersigned, being a duly authorized officer of </w:t>
      </w:r>
      <w:r>
        <w:rPr>
          <w:rFonts w:ascii="Arial" w:cs="Arial" w:eastAsia="Arial" w:hAnsi="Arial"/>
          <w:sz w:val="18"/>
          <w:szCs w:val="18"/>
          <w:b w:val="1"/>
          <w:bCs w:val="1"/>
          <w:color w:val="auto"/>
        </w:rPr>
        <w:t>TUSCAN HOLDINGS CORP.</w:t>
      </w:r>
      <w:r>
        <w:rPr>
          <w:rFonts w:ascii="Arial" w:cs="Arial" w:eastAsia="Arial" w:hAnsi="Arial"/>
          <w:sz w:val="18"/>
          <w:szCs w:val="18"/>
          <w:color w:val="auto"/>
        </w:rPr>
        <w:t xml:space="preserve"> (the “Corporation”), a corporation existing under the laws of the State of Delaware, does hereby certify as follows:</w:t>
      </w:r>
    </w:p>
    <w:p>
      <w:pPr>
        <w:spacing w:after="0" w:line="166"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name of the Corporation is Tuscan Holdings Corp.</w:t>
      </w:r>
    </w:p>
    <w:p>
      <w:pPr>
        <w:spacing w:after="0" w:line="252"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Corporation’s Certificate of Incorporation was filed in the office of the Secretary of State of the State of Delaware on November 5, 2018, and an Amended and Restated Certificate of Incorporation was filed in the office of the Secretary of State of the State of Delaware on March 5, 2019. A first amendment to the Amended and Restated Certificate of Incorporation was filed in the office of the Secretary of State of the State of Delaware on December 3, 2020.</w:t>
      </w:r>
    </w:p>
    <w:p>
      <w:pPr>
        <w:spacing w:after="0" w:line="21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Second Amendment to the Amended and Restated Certificate of Incorporation further amends the Amended and Restated Certificate of Incorporation of the Corporation.</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Amendment to the Amended and Restated Certificate of Incorporation was duly adopted in accordance with the provisions of Section 242 of the General Corporation Law of the State of Delaware.</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Section F of ARTICLE SIXTH is hereby deleted and replaced in its entirety as follows:</w:t>
      </w:r>
    </w:p>
    <w:p>
      <w:pPr>
        <w:spacing w:after="0" w:line="225" w:lineRule="exact"/>
        <w:rPr>
          <w:rFonts w:ascii="Arial" w:cs="Arial" w:eastAsia="Arial" w:hAnsi="Arial"/>
          <w:sz w:val="18"/>
          <w:szCs w:val="18"/>
          <w:color w:val="auto"/>
        </w:rPr>
      </w:pPr>
    </w:p>
    <w:p>
      <w:pPr>
        <w:jc w:val="both"/>
        <w:ind w:left="660" w:firstLine="324"/>
        <w:spacing w:after="0" w:line="269" w:lineRule="auto"/>
        <w:rPr>
          <w:rFonts w:ascii="Arial" w:cs="Arial" w:eastAsia="Arial" w:hAnsi="Arial"/>
          <w:sz w:val="18"/>
          <w:szCs w:val="18"/>
          <w:color w:val="auto"/>
        </w:rPr>
      </w:pPr>
      <w:r>
        <w:rPr>
          <w:rFonts w:ascii="Arial" w:cs="Arial" w:eastAsia="Arial" w:hAnsi="Arial"/>
          <w:sz w:val="17"/>
          <w:szCs w:val="17"/>
          <w:color w:val="auto"/>
        </w:rPr>
        <w:t>F. In the event that the Corporation does not consummate a Business Combination on or before July 31, 2021 (the “Termination Date”), the Corporation shall (i) cease all operations except for the purposes of winding up, (ii) as promptly as reasonably possible but not more than ten (10) business days thereafter, redeem 100% of the IPO Shares for cash for a redemption price per share equal to the amount then held in the Trust Account, including the interest earned thereon, less any interest for income or franchise taxes payable, divided by the total number of IPO Shares then outstanding (which redemption will completely extinguish such holders’ rights as stockholders, including the right to receive further liquidation distributions, if any), subject to applicable law, and (iii) as promptly as reasonably possible following such redemption, subject to approval of the Corporation’s then stockholders and subject to the requirements of the GCL, including the adoption of a resolution by the Board pursuant to Section 275(a) of the GCL finding the dissolution of the Corporation advisable and the provision of such notices as are required by said Section 275(a) of the GCL, dissolve and liquidate, subject (in the case of clauses (ii) and (iii) above) to the Corporation’s obligations under the GCL to provide for claims of creditors and other requirements of applicable law.</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have signed this Amendment to the Amended and Restated Certificate of Incorporation this 10th day of May 2021.</w:t>
      </w:r>
    </w:p>
    <w:p>
      <w:pPr>
        <w:spacing w:after="0" w:line="39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Stephen A. Vogel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Stephen A. Vogel</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Tuscan Holdings Corp. Stockholders Approve Extension of the Date to Consummate Business Combination</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 York, May 10, 2021 / PRNewswire -- Tuscan Holdings Corp. (Nasdaq:THCB) (“Tuscan”) announced that at today’s reconvened 2021 Annual Meeting of Stockholders, stockholders approved the proposal to amend Tuscan’s Amended and Restated Certificate of Incorporation, as amended, to extend the date by which Tuscan must complete a business combination from April 30, 2021 to July 31, 2021. The amendment effecting this extension has been filed with the Delaware Secretary of State and extends the time for Tuscan to complete its previously announced proposed business combination with Microvast, Inc. (“Microvast”), a leading global provider of next-generation battery technologies for commercial and specialty electric vehicles participating in a $30 billion commercial EV total addressable market.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Commenting on the results of the meeting, Stephen Vogel, Tuscan's Chairman and CEO said, “We are pleased with the support our shareholders have provided in connection with the extension proposal. We have filed with the SEC the preliminary proxy statement for our business combination with Microvast. We continue to progress with our proposed transaction with Microvast and look forward to being in position to schedule the special meeting of stockholders to vote to approve the business combination.”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proposed business combination transaction involving Tuscan and Microvast, Tuscan filed a preliminary proxy statement with the SEC on February 16, 2020 and intends to file a definitive proxy statement (collectively, “Merger Proxy Statement”). This document is not a substitute for the Merger Proxy Statement. INVESTORS AND SECURITY HOLDERS AND OTHER INTERESTED PARTIES ARE URGED TO READ THE MERGER PROXY STATEMENT FOR MORE INFORMATION ABOUT THE PROPOSED BUSINESS COMBINATION WITH MICROVAST, AND TO READ ANY OTHER RELEVANT DOCUMENTS THAT ARE FILED OR WILL BE FILED WITH THE SEC, AS WELL AS ANY AMENDMENTS OR SUPPLEMENTS TO THESE DOCUMENTS, CAREFULLY AND IN THEIR ENTIRETY WHEN THEY BECOME AVAILABLE. The Merger Proxy Statement and other documents that may be filed with the SEC (when they are available) can be obtained free of charge from the SEC’s website at www.sec.gov. These documents (when they are available) can also be obtained free of charge from Tuscan upon written request to Tuscan at Tuscan Holdings Corp., 135 E. 57th St., 17th Floor, New York, NY 10022.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document is not a proxy statement or solicitation of a proxy or authorization with respect to any securities or in respect of the proposed transactions and shall not constitute an offer to sell or a solicitation of an offer to buy the securities of Tuscan Holdings Corp., nor shall there be any sale of such securities in any state or jurisdiction where such offer, solicitation, or sale would be unlawful.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communication is not a solicitation of a proxy from any investor or securityholder. However, Tuscan and certain of its directors and executive officers may be deemed to be participants in the solicitation of proxies in connection with the business combination under the rules of the SEC. Information about Tuscan’s directors and executive officers and their ownership of Tuscan’s securities is set forth in Tuscan’s filings with the SEC, including Tuscan’s Annual Report on Form 10-K for the fiscal year ended December 31, 2020, which was filed with the SEC on March 25, 2021, and the definitive proxy statement for the annual meeting which was filed with the SEC on March 25, 2021 and mailed to Tuscan’s stockholders on or about March 25, 2021. These documents can be obtained free of charge from Tuscan upon written request to Tuscan at Tuscan Holdings Corp., 135 E. 57th St., 17th Floor, New York, NY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factors previously disclosed in Tuscan’s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inability to complete the proposed business combination with Microvast within the required time period or, if Tuscan does not complete the proposed business combination with Microvast, any other business combination; (2) the inability to complete the proposed business combination with Microvast due to the failure to meet one or more closing conditions or the occurrence of any event, change or other circumstances that could give rise to the termination of the definitive agreement; and (3) the impact of the ongoing COVID-19 pandemic.</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information set forth herein speaks only as of the date hereof, and we disclaim any intention or obligation to update any forward-looking statements as a result of developments occurring after the date of this communication.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Tuscan Holdings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Vogel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stephen@vpllp.com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Advantage Proxy,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 Free: 877-870-8565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Collect: 866-870-8565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ksmith@advantageproxy.com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 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Ashish Gupta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646-677-1875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Ashish.Gupta@icrinc.com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lvl w:ilvl="1">
      <w:lvlJc w:val="left"/>
      <w:lvlText w:val="%2"/>
      <w:numFmt w:val="upp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2021-05-11T05:21:47Z</dcterms:created>
  <dcterms:modified xsi:type="dcterms:W3CDTF">2021-05-11T05:21:47Z</dcterms:modified>
</cp:coreProperties>
</file>