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25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85"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3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For the transition period from to________________</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1"/>
              </w:rPr>
              <w:t>Microvast Holdings,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434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5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001-38826</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89"/>
              </w:rPr>
              <w:t>83-2530757</w:t>
            </w:r>
          </w:p>
        </w:tc>
        <w:tc>
          <w:tcPr>
            <w:tcW w:w="0" w:type="dxa"/>
            <w:vAlign w:val="bottom"/>
          </w:tcPr>
          <w:p>
            <w:pPr>
              <w:spacing w:after="0"/>
              <w:rPr>
                <w:sz w:val="1"/>
                <w:szCs w:val="1"/>
                <w:color w:val="auto"/>
              </w:rPr>
            </w:pPr>
          </w:p>
        </w:tc>
      </w:tr>
      <w:tr>
        <w:trPr>
          <w:trHeight w:val="189"/>
        </w:trPr>
        <w:tc>
          <w:tcPr>
            <w:tcW w:w="3500" w:type="dxa"/>
            <w:vAlign w:val="bottom"/>
          </w:tcPr>
          <w:p>
            <w:pPr>
              <w:jc w:val="center"/>
              <w:ind w:left="350"/>
              <w:spacing w:after="0" w:line="189" w:lineRule="exact"/>
              <w:rPr>
                <w:sz w:val="20"/>
                <w:szCs w:val="20"/>
                <w:color w:val="auto"/>
              </w:rPr>
            </w:pPr>
            <w:r>
              <w:rPr>
                <w:rFonts w:ascii="Arial" w:cs="Arial" w:eastAsia="Arial" w:hAnsi="Arial"/>
                <w:sz w:val="18"/>
                <w:szCs w:val="18"/>
                <w:color w:val="auto"/>
                <w:w w:val="92"/>
              </w:rPr>
              <w:t>(State or other jurisdiction</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5"/>
          </w:tcPr>
          <w:p>
            <w:pPr>
              <w:jc w:val="center"/>
              <w:ind w:right="640"/>
              <w:spacing w:after="0" w:line="189" w:lineRule="exact"/>
              <w:rPr>
                <w:sz w:val="20"/>
                <w:szCs w:val="20"/>
                <w:color w:val="auto"/>
              </w:rPr>
            </w:pPr>
            <w:r>
              <w:rPr>
                <w:rFonts w:ascii="Arial" w:cs="Arial" w:eastAsia="Arial" w:hAnsi="Arial"/>
                <w:sz w:val="18"/>
                <w:szCs w:val="18"/>
                <w:color w:val="auto"/>
                <w:w w:val="93"/>
              </w:rPr>
              <w:t>(Commission File Number)</w:t>
            </w:r>
          </w:p>
        </w:tc>
        <w:tc>
          <w:tcPr>
            <w:tcW w:w="340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3500" w:type="dxa"/>
            <w:vAlign w:val="bottom"/>
          </w:tcPr>
          <w:p>
            <w:pPr>
              <w:jc w:val="center"/>
              <w:ind w:left="370"/>
              <w:spacing w:after="0"/>
              <w:rPr>
                <w:sz w:val="20"/>
                <w:szCs w:val="20"/>
                <w:color w:val="auto"/>
              </w:rPr>
            </w:pPr>
            <w:r>
              <w:rPr>
                <w:rFonts w:ascii="Arial" w:cs="Arial" w:eastAsia="Arial" w:hAnsi="Arial"/>
                <w:sz w:val="18"/>
                <w:szCs w:val="18"/>
                <w:color w:val="auto"/>
                <w:w w:val="92"/>
              </w:rPr>
              <w:t>of incorporation or organization)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0" w:type="dxa"/>
            <w:vAlign w:val="bottom"/>
          </w:tcPr>
          <w:p>
            <w:pPr>
              <w:jc w:val="center"/>
              <w:ind w:right="4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80"/>
        </w:trPr>
        <w:tc>
          <w:tcPr>
            <w:tcW w:w="7840" w:type="dxa"/>
            <w:vAlign w:val="bottom"/>
            <w:gridSpan w:val="8"/>
          </w:tcPr>
          <w:p>
            <w:pPr>
              <w:jc w:val="center"/>
              <w:ind w:right="2260"/>
              <w:spacing w:after="0"/>
              <w:rPr>
                <w:sz w:val="20"/>
                <w:szCs w:val="20"/>
                <w:color w:val="auto"/>
              </w:rPr>
            </w:pPr>
            <w:r>
              <w:rPr>
                <w:rFonts w:ascii="Arial" w:cs="Arial" w:eastAsia="Arial" w:hAnsi="Arial"/>
                <w:sz w:val="18"/>
                <w:szCs w:val="18"/>
                <w:b w:val="1"/>
                <w:bCs w:val="1"/>
                <w:color w:val="auto"/>
                <w:w w:val="89"/>
              </w:rPr>
              <w:t>12603 Southwest Freeway, Suite 210</w:t>
            </w:r>
          </w:p>
        </w:tc>
        <w:tc>
          <w:tcPr>
            <w:tcW w:w="3400" w:type="dxa"/>
            <w:vAlign w:val="bottom"/>
            <w:vMerge w:val="restart"/>
          </w:tcPr>
          <w:p>
            <w:pPr>
              <w:jc w:val="right"/>
              <w:ind w:right="2470"/>
              <w:spacing w:after="0"/>
              <w:rPr>
                <w:sz w:val="20"/>
                <w:szCs w:val="20"/>
                <w:color w:val="auto"/>
              </w:rPr>
            </w:pPr>
            <w:r>
              <w:rPr>
                <w:rFonts w:ascii="Arial" w:cs="Arial" w:eastAsia="Arial" w:hAnsi="Arial"/>
                <w:sz w:val="18"/>
                <w:szCs w:val="18"/>
                <w:b w:val="1"/>
                <w:bCs w:val="1"/>
                <w:color w:val="auto"/>
              </w:rPr>
              <w:t>77477</w:t>
            </w:r>
          </w:p>
        </w:tc>
        <w:tc>
          <w:tcPr>
            <w:tcW w:w="0" w:type="dxa"/>
            <w:vAlign w:val="bottom"/>
          </w:tcPr>
          <w:p>
            <w:pPr>
              <w:spacing w:after="0"/>
              <w:rPr>
                <w:sz w:val="1"/>
                <w:szCs w:val="1"/>
                <w:color w:val="auto"/>
              </w:rPr>
            </w:pPr>
          </w:p>
        </w:tc>
      </w:tr>
      <w:tr>
        <w:trPr>
          <w:trHeight w:val="241"/>
        </w:trPr>
        <w:tc>
          <w:tcPr>
            <w:tcW w:w="350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90"/>
              </w:rPr>
              <w:t>Stafford, Texas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gridSpan w:val="8"/>
          </w:tcPr>
          <w:p>
            <w:pPr>
              <w:jc w:val="center"/>
              <w:ind w:right="2260"/>
              <w:spacing w:after="0"/>
              <w:rPr>
                <w:sz w:val="20"/>
                <w:szCs w:val="20"/>
                <w:color w:val="auto"/>
              </w:rPr>
            </w:pPr>
            <w:r>
              <w:rPr>
                <w:rFonts w:ascii="Arial" w:cs="Arial" w:eastAsia="Arial" w:hAnsi="Arial"/>
                <w:sz w:val="18"/>
                <w:szCs w:val="18"/>
                <w:color w:val="auto"/>
                <w:w w:val="93"/>
              </w:rPr>
              <w:t>(Address Of Principal Executive Offices)</w:t>
            </w:r>
          </w:p>
        </w:tc>
        <w:tc>
          <w:tcPr>
            <w:tcW w:w="3400" w:type="dxa"/>
            <w:vAlign w:val="bottom"/>
          </w:tcPr>
          <w:p>
            <w:pPr>
              <w:jc w:val="center"/>
              <w:ind w:right="20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85"/>
        </w:trPr>
        <w:tc>
          <w:tcPr>
            <w:tcW w:w="3500" w:type="dxa"/>
            <w:vAlign w:val="bottom"/>
          </w:tcPr>
          <w:p>
            <w:pPr>
              <w:spacing w:after="0"/>
              <w:rPr>
                <w:sz w:val="24"/>
                <w:szCs w:val="24"/>
                <w:color w:val="auto"/>
              </w:rPr>
            </w:pPr>
          </w:p>
        </w:tc>
        <w:tc>
          <w:tcPr>
            <w:tcW w:w="370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90"/>
              </w:rPr>
              <w:t>(281) 491-9505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34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80" w:type="dxa"/>
            <w:vAlign w:val="bottom"/>
            <w:tcBorders>
              <w:bottom w:val="single" w:sz="8" w:color="CCEEFF"/>
            </w:tcBorders>
          </w:tcPr>
          <w:p>
            <w:pPr>
              <w:spacing w:after="0"/>
              <w:rPr>
                <w:sz w:val="22"/>
                <w:szCs w:val="22"/>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Borders>
              <w:bottom w:val="single" w:sz="8" w:color="CCEEFF"/>
            </w:tcBorders>
          </w:tcPr>
          <w:p>
            <w:pPr>
              <w:spacing w:after="0"/>
              <w:rPr>
                <w:sz w:val="22"/>
                <w:szCs w:val="22"/>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50"/>
        </w:trPr>
        <w:tc>
          <w:tcPr>
            <w:tcW w:w="43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Common stock, par value $0.0001 per share</w:t>
            </w:r>
          </w:p>
        </w:tc>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MVST</w:t>
            </w: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5"/>
        </w:trPr>
        <w:tc>
          <w:tcPr>
            <w:tcW w:w="43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Redeemable warrants, exercisable for shares of common</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rPr>
              <w:t>MVSTW</w:t>
            </w:r>
          </w:p>
        </w:tc>
        <w:tc>
          <w:tcPr>
            <w:tcW w:w="42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3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stock at an exercise price of $11.50 per share</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6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5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1080"/>
              <w:spacing w:after="0"/>
              <w:rPr>
                <w:sz w:val="20"/>
                <w:szCs w:val="20"/>
                <w:color w:val="auto"/>
              </w:rPr>
            </w:pPr>
            <w:r>
              <w:rPr>
                <w:rFonts w:ascii="Arial" w:cs="Arial" w:eastAsia="Arial" w:hAnsi="Arial"/>
                <w:sz w:val="18"/>
                <w:szCs w:val="18"/>
                <w:color w:val="auto"/>
              </w:rPr>
              <w:t>o</w:t>
            </w:r>
          </w:p>
        </w:tc>
        <w:tc>
          <w:tcPr>
            <w:tcW w:w="374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o</w:t>
            </w:r>
          </w:p>
        </w:tc>
      </w:tr>
      <w:tr>
        <w:trPr>
          <w:trHeight w:val="256"/>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1080"/>
              <w:spacing w:after="0"/>
              <w:rPr>
                <w:sz w:val="20"/>
                <w:szCs w:val="20"/>
                <w:color w:val="auto"/>
              </w:rPr>
            </w:pPr>
            <w:r>
              <w:rPr>
                <w:rFonts w:ascii="Arial" w:cs="Arial" w:eastAsia="Arial" w:hAnsi="Arial"/>
                <w:sz w:val="18"/>
                <w:szCs w:val="18"/>
                <w:color w:val="auto"/>
              </w:rPr>
              <w:t>x</w:t>
            </w:r>
          </w:p>
        </w:tc>
        <w:tc>
          <w:tcPr>
            <w:tcW w:w="374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100"/>
              <w:spacing w:after="0"/>
              <w:rPr>
                <w:sz w:val="20"/>
                <w:szCs w:val="20"/>
                <w:color w:val="auto"/>
              </w:rPr>
            </w:pPr>
            <w:r>
              <w:rPr>
                <w:rFonts w:ascii="Arial" w:cs="Arial" w:eastAsia="Arial" w:hAnsi="Arial"/>
                <w:sz w:val="18"/>
                <w:szCs w:val="18"/>
                <w:color w:val="auto"/>
                <w:w w:val="88"/>
              </w:rPr>
              <w:t>x</w:t>
            </w:r>
          </w:p>
        </w:tc>
      </w:tr>
      <w:tr>
        <w:trPr>
          <w:trHeight w:val="256"/>
        </w:trPr>
        <w:tc>
          <w:tcPr>
            <w:tcW w:w="30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80" w:type="dxa"/>
            <w:vAlign w:val="bottom"/>
          </w:tcPr>
          <w:p>
            <w:pPr>
              <w:ind w:left="1080"/>
              <w:spacing w:after="0"/>
              <w:rPr>
                <w:sz w:val="20"/>
                <w:szCs w:val="20"/>
                <w:color w:val="auto"/>
              </w:rPr>
            </w:pPr>
            <w:r>
              <w:rPr>
                <w:rFonts w:ascii="Arial" w:cs="Arial" w:eastAsia="Arial" w:hAnsi="Arial"/>
                <w:sz w:val="18"/>
                <w:szCs w:val="18"/>
                <w:color w:val="auto"/>
              </w:rPr>
              <w:t>x</w:t>
            </w:r>
          </w:p>
        </w:tc>
        <w:tc>
          <w:tcPr>
            <w:tcW w:w="374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26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7, 2022, there were 309,292,067 shares of the Company’s common stock, par value $0.0001,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63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30"/>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line="163" w:lineRule="exact"/>
              <w:rPr>
                <w:sz w:val="20"/>
                <w:szCs w:val="20"/>
                <w:color w:val="auto"/>
              </w:rPr>
            </w:pPr>
            <w:r>
              <w:rPr>
                <w:rFonts w:ascii="Arial" w:cs="Arial" w:eastAsia="Arial" w:hAnsi="Arial"/>
                <w:sz w:val="18"/>
                <w:szCs w:val="18"/>
                <w:b w:val="1"/>
                <w:bCs w:val="1"/>
                <w:color w:val="0000FF"/>
              </w:rPr>
              <w:t>PART I. FINANCIAL INFORMATION</w:t>
            </w:r>
          </w:p>
        </w:tc>
        <w:tc>
          <w:tcPr>
            <w:tcW w:w="9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Financial Statements (Unaudited)</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Condensed Consolidated Balance Sheets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Condensed Consolidated Statements of Operations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Condensed Consolidated Statements of Comprehensive Loss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Condensed Consolidated Statements of Changes in Shareholders’ (Deficit)/Equity</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Condensed Consolidated Statements of Cash Flows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Notes to Unaudited Condensed Consolidated Financial Statements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Controls and Procedures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41</w:t>
            </w:r>
          </w:p>
        </w:tc>
      </w:tr>
      <w:tr>
        <w:trPr>
          <w:trHeight w:val="216"/>
        </w:trPr>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PART II. OTHER INFORMATION</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Legal Proceedings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1A.</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Risk Factors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Unregistered Sales of Equity Securities and Use of Proceeds from Registered Securities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Defaults Upon Senior Securities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Mine Safety Disclosures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Other Information</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520" w:type="dxa"/>
            <w:vAlign w:val="bottom"/>
            <w:gridSpan w:val="20"/>
            <w:shd w:val="clear" w:color="auto" w:fill="CCEEFF"/>
          </w:tcPr>
          <w:p>
            <w:pPr>
              <w:ind w:left="140"/>
              <w:spacing w:after="0" w:line="202" w:lineRule="exact"/>
              <w:rPr>
                <w:sz w:val="20"/>
                <w:szCs w:val="20"/>
                <w:color w:val="auto"/>
              </w:rPr>
            </w:pPr>
            <w:r>
              <w:rPr>
                <w:rFonts w:ascii="Arial" w:cs="Arial" w:eastAsia="Arial" w:hAnsi="Arial"/>
                <w:sz w:val="18"/>
                <w:szCs w:val="18"/>
                <w:color w:val="0000FF"/>
              </w:rPr>
              <w:t>Exhibits</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43</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3"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This report (“Report”)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There are important risks, uncertainties, events and factors that could cause our actual results or performance to differ materially from those in the forward-looking statements contained in this document, including:</w:t>
      </w:r>
    </w:p>
    <w:p>
      <w:pPr>
        <w:spacing w:after="0" w:line="2"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operations in the People’s Republic of China (the “PRC” or “China”);</w:t>
      </w:r>
    </w:p>
    <w:p>
      <w:pPr>
        <w:spacing w:after="0" w:line="7" w:lineRule="exact"/>
        <w:rPr>
          <w:rFonts w:ascii="Arial" w:cs="Arial" w:eastAsia="Arial" w:hAnsi="Arial"/>
          <w:sz w:val="18"/>
          <w:szCs w:val="18"/>
          <w:color w:val="auto"/>
        </w:rPr>
      </w:pPr>
    </w:p>
    <w:p>
      <w:pPr>
        <w:ind w:left="980" w:hanging="324"/>
        <w:spacing w:after="0" w:line="236"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ind w:left="980" w:right="220" w:hanging="324"/>
        <w:spacing w:after="0" w:line="234"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conflict between Russia and Ukraine and any restrictive actions that have been or may be taken by the United States (the “U.S.”) and/or other countries in response thereto, such as sanctions or export controls;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cybersecurity and data privacy;</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inflation and rising interest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availability and price of raw materials;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highly competitive market in which we compete, including with respect to our competitive landscape, technology evolution or regulatory changes;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heightened awareness of environmental issues and concern about global warming and climate change;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not be able to execute our growth strategies or achieve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are unable to secure or protect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risk that we may experience effects from global supply chain challenges, including delays in delivering our products to our customers;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our customers or third-party suppliers are unable to meet their obligations fully or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our customers will adjust, cancel or suspend their orders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risk that we will need to raise additional capital to execute our business plan, which may not be available on acceptable terms or at all;</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of product liability or regulatory lawsuits or proceedings relating to our products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not be able to develop and maintain effective internal controls;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us or any of our directors or officers.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foregoing list of factors is not exhaustive and new factors may emerge from time to time that could also affect actual performance and results. For more information, please see the risk factors included in our Annual Report on Form 10-K for the year ended December 31, 2021 in Part I, Item 1A and in the Registration Statement on Form S-3, (File No. 333-258978), which was initially filed on July 28, 2022, and as further amended.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r>
      <w:tr>
        <w:trPr>
          <w:trHeight w:val="239"/>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295,816</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83,179</w:t>
            </w:r>
          </w:p>
        </w:tc>
      </w:tr>
      <w:tr>
        <w:trPr>
          <w:trHeight w:val="176"/>
        </w:trPr>
        <w:tc>
          <w:tcPr>
            <w:tcW w:w="7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Accounts receivable (net of allowance for credit losses of $5,005 and $5,436 as of December 31, 2021 and</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2022, respectively)</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4,505</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82,262</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19,060</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due from related parties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706,606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567,529</w:t>
            </w:r>
          </w:p>
        </w:tc>
      </w:tr>
      <w:tr>
        <w:trPr>
          <w:trHeight w:val="23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36,704</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253,057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286,346</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use rights, net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52,816</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995,291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972,928</w:t>
            </w:r>
          </w:p>
        </w:tc>
      </w:tr>
      <w:tr>
        <w:trPr>
          <w:trHeight w:val="250"/>
        </w:trPr>
        <w:tc>
          <w:tcPr>
            <w:tcW w:w="7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35,972</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60,953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72,811</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79,520</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Advance from customers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6,589</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bank borrowings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Income tax payables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 payable-current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29,259</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175,594</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231,835</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bonds payable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43,888</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Long-term bank borrowings</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37,956</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Share-based compensation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904"/>
        </w:trPr>
        <w:tc>
          <w:tcPr>
            <w:tcW w:w="7960" w:type="dxa"/>
            <w:vAlign w:val="bottom"/>
          </w:tcPr>
          <w:p>
            <w:pPr>
              <w:ind w:left="55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7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r>
      <w:tr>
        <w:trPr>
          <w:trHeight w:val="239"/>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29,564</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308,593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357,072</w:t>
            </w:r>
          </w:p>
        </w:tc>
      </w:tr>
      <w:tr>
        <w:trPr>
          <w:trHeight w:val="20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16)</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0"/>
        </w:trPr>
        <w:tc>
          <w:tcPr>
            <w:tcW w:w="7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6"/>
        </w:trPr>
        <w:tc>
          <w:tcPr>
            <w:tcW w:w="7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Common Stock (par value of US$0.0001 per share, 750,000,000 and 750,000,000 shares authorized as of</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8"/>
        </w:trPr>
        <w:tc>
          <w:tcPr>
            <w:tcW w:w="79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88"/>
              </w:rPr>
              <w:t>December 31, 2021 and September 30, 2022; 300,530,516 and 309,292,067 shares issued, and 298,843,016</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307,604,567 shares outstanding as of December 31, 2021 and September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1,306,034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1,398,171</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reserves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(632,099)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(757,467)</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income/(loss)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(30,911)</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686,698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615,856</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995,291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972,928</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2380" w:right="2140" w:hanging="8"/>
        <w:spacing w:after="0" w:line="323" w:lineRule="auto"/>
        <w:rPr>
          <w:sz w:val="20"/>
          <w:szCs w:val="20"/>
          <w:color w:val="auto"/>
        </w:rPr>
      </w:pPr>
      <w:r>
        <w:rPr>
          <w:rFonts w:ascii="Arial" w:cs="Arial" w:eastAsia="Arial" w:hAnsi="Arial"/>
          <w:sz w:val="16"/>
          <w:szCs w:val="16"/>
          <w:b w:val="1"/>
          <w:bCs w:val="1"/>
          <w:color w:val="auto"/>
        </w:rPr>
        <w:t>UNAUDITED CONDENSED CONSOLIDATED STATEMENTS OF OPERATIONS (In thousands of U.S. dollars, except share and per share data, or as otherwise noted)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7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4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27"/>
        </w:trPr>
        <w:tc>
          <w:tcPr>
            <w:tcW w:w="4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139,698</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(129,100)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(132,851)</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(loss)/profit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(35,885)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(43,896)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6,847</w:t>
            </w:r>
          </w:p>
        </w:tc>
      </w:tr>
      <w:tr>
        <w:trPr>
          <w:trHeight w:val="20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(83,021)</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(33,010)</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(133,400)</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Subsidy income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(113,296)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(37,090)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(146,471)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(125,320)</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Loss on changes in fair value of convertible notes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changes in fair value of warrant liability</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(loss) income,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(116,476)</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(36,544)</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(159,844)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(124,502)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Less: Accretion of Series C1 Preferred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Accretion of Series C2 Preferred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Less: Accretion of Series D1 Preferred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10,708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Accretion for noncontrolling interests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55"/>
        </w:trPr>
        <w:tc>
          <w:tcPr>
            <w:tcW w:w="4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loss attributable to Common Stock shareholders of</w:t>
            </w: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r>
      <w:tr>
        <w:trPr>
          <w:trHeight w:val="243"/>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Microvast Holdings,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(120,003)</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(36,544)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(187,464)</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(124,502)</w:t>
            </w:r>
          </w:p>
        </w:tc>
      </w:tr>
      <w:tr>
        <w:trPr>
          <w:trHeight w:val="156"/>
        </w:trPr>
        <w:tc>
          <w:tcPr>
            <w:tcW w:w="4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loss per share attributable to Common Stock</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of Microvast Holdings, Inc.</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(0.49)</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175"/>
        </w:trPr>
        <w:tc>
          <w:tcPr>
            <w:tcW w:w="4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 average shares used in calculating net loss per share of</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243,861,780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305,977,372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147,836,650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301,821,464</w:t>
            </w:r>
          </w:p>
        </w:tc>
      </w:tr>
    </w:tbl>
    <w:p>
      <w:pPr>
        <w:spacing w:after="0" w:line="29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27"/>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(37,612)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(162,217)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(162,114)</w:t>
            </w:r>
          </w:p>
        </w:tc>
      </w:tr>
    </w:tbl>
    <w:p>
      <w:pPr>
        <w:spacing w:after="0" w:line="29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7"/>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7"/>
              <w:spacing w:after="0" w:line="145" w:lineRule="exact"/>
              <w:rPr>
                <w:sz w:val="20"/>
                <w:szCs w:val="20"/>
                <w:color w:val="auto"/>
              </w:rPr>
            </w:pPr>
            <w:r>
              <w:rPr>
                <w:rFonts w:ascii="Arial" w:cs="Arial" w:eastAsia="Arial" w:hAnsi="Arial"/>
                <w:sz w:val="14"/>
                <w:szCs w:val="14"/>
                <w:b w:val="1"/>
                <w:bCs w:val="1"/>
                <w:color w:val="auto"/>
                <w:w w:val="97"/>
              </w:rPr>
              <w:t>Microvast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98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7"/>
              <w:spacing w:after="0" w:line="135" w:lineRule="exact"/>
              <w:rPr>
                <w:sz w:val="20"/>
                <w:szCs w:val="20"/>
                <w:color w:val="auto"/>
              </w:rPr>
            </w:pPr>
            <w:r>
              <w:rPr>
                <w:rFonts w:ascii="Arial" w:cs="Arial" w:eastAsia="Arial" w:hAnsi="Arial"/>
                <w:sz w:val="14"/>
                <w:szCs w:val="14"/>
                <w:b w:val="1"/>
                <w:bCs w:val="1"/>
                <w:color w:val="auto"/>
                <w:w w:val="91"/>
              </w:rPr>
              <w:t>Holdings, Inc.</w:t>
            </w:r>
          </w:p>
        </w:tc>
        <w:tc>
          <w:tcPr>
            <w:tcW w:w="0" w:type="dxa"/>
            <w:vAlign w:val="bottom"/>
          </w:tcPr>
          <w:p>
            <w:pPr>
              <w:spacing w:after="0"/>
              <w:rPr>
                <w:sz w:val="1"/>
                <w:szCs w:val="1"/>
                <w:color w:val="auto"/>
              </w:rPr>
            </w:pPr>
          </w:p>
        </w:tc>
      </w:tr>
      <w:tr>
        <w:trPr>
          <w:trHeight w:val="109"/>
        </w:trPr>
        <w:tc>
          <w:tcPr>
            <w:tcW w:w="312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9"/>
                <w:szCs w:val="9"/>
                <w:color w:val="auto"/>
              </w:rPr>
            </w:pPr>
          </w:p>
        </w:tc>
        <w:tc>
          <w:tcPr>
            <w:tcW w:w="108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9"/>
                <w:szCs w:val="9"/>
                <w:color w:val="auto"/>
              </w:rPr>
            </w:pPr>
          </w:p>
        </w:tc>
        <w:tc>
          <w:tcPr>
            <w:tcW w:w="102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7"/>
              </w:rPr>
              <w:t>Statutory</w:t>
            </w:r>
          </w:p>
        </w:tc>
        <w:tc>
          <w:tcPr>
            <w:tcW w:w="100" w:type="dxa"/>
            <w:vAlign w:val="bottom"/>
          </w:tcPr>
          <w:p>
            <w:pPr>
              <w:spacing w:after="0"/>
              <w:rPr>
                <w:sz w:val="9"/>
                <w:szCs w:val="9"/>
                <w:color w:val="auto"/>
              </w:rPr>
            </w:pPr>
          </w:p>
        </w:tc>
        <w:tc>
          <w:tcPr>
            <w:tcW w:w="1020" w:type="dxa"/>
            <w:vAlign w:val="bottom"/>
            <w:vMerge w:val="restart"/>
          </w:tcPr>
          <w:p>
            <w:pPr>
              <w:jc w:val="center"/>
              <w:ind w:right="27"/>
              <w:spacing w:after="0" w:line="12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reserves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(Deficit)/Equity</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99,028,297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(465,457)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(451,306)</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(116,476)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(116,476)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for Series C1 Preferred</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Accretion for Series C2 Preferred</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for Series D1 Preferred</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Accretion for redeemable noncontrolling interests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for the exiting noncontrolling interests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3"/>
        </w:trPr>
        <w:tc>
          <w:tcPr>
            <w:tcW w:w="312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the reverse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line="141" w:lineRule="exact"/>
              <w:rPr>
                <w:sz w:val="20"/>
                <w:szCs w:val="20"/>
                <w:color w:val="auto"/>
              </w:rPr>
            </w:pPr>
            <w:r>
              <w:rPr>
                <w:rFonts w:ascii="Arial" w:cs="Arial" w:eastAsia="Arial" w:hAnsi="Arial"/>
                <w:sz w:val="14"/>
                <w:szCs w:val="14"/>
                <w:color w:val="auto"/>
              </w:rPr>
              <w:t>recapitalization, net of issuance costs of $42.8</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191,254,950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1,241,648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1,241,671</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million</w:t>
            </w: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8,551,647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49,551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49,552</w:t>
            </w: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298,834,894</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1,291,199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(585,460)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716,784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7"/>
              <w:spacing w:after="0" w:line="15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67"/>
              <w:spacing w:after="0" w:line="162" w:lineRule="exact"/>
              <w:rPr>
                <w:sz w:val="20"/>
                <w:szCs w:val="20"/>
                <w:color w:val="auto"/>
              </w:rPr>
            </w:pPr>
            <w:r>
              <w:rPr>
                <w:rFonts w:ascii="Arial" w:cs="Arial" w:eastAsia="Arial" w:hAnsi="Arial"/>
                <w:sz w:val="16"/>
                <w:szCs w:val="16"/>
                <w:b w:val="1"/>
                <w:bCs w:val="1"/>
                <w:color w:val="auto"/>
                <w:w w:val="90"/>
              </w:rPr>
              <w:t>Microvast</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98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other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Holdings, Inc.</w:t>
            </w:r>
          </w:p>
        </w:tc>
        <w:tc>
          <w:tcPr>
            <w:tcW w:w="0" w:type="dxa"/>
            <w:vAlign w:val="bottom"/>
          </w:tcPr>
          <w:p>
            <w:pPr>
              <w:spacing w:after="0"/>
              <w:rPr>
                <w:sz w:val="1"/>
                <w:szCs w:val="1"/>
                <w:color w:val="auto"/>
              </w:rPr>
            </w:pPr>
          </w:p>
        </w:tc>
      </w:tr>
      <w:tr>
        <w:trPr>
          <w:trHeight w:val="136"/>
        </w:trPr>
        <w:tc>
          <w:tcPr>
            <w:tcW w:w="312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paid-in</w:t>
            </w:r>
          </w:p>
        </w:tc>
        <w:tc>
          <w:tcPr>
            <w:tcW w:w="1180" w:type="dxa"/>
            <w:vAlign w:val="bottom"/>
            <w:gridSpan w:val="3"/>
            <w:vMerge w:val="restart"/>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Accumulated</w:t>
            </w:r>
          </w:p>
        </w:tc>
        <w:tc>
          <w:tcPr>
            <w:tcW w:w="1200" w:type="dxa"/>
            <w:vAlign w:val="bottom"/>
            <w:gridSpan w:val="3"/>
            <w:vMerge w:val="restart"/>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Statutory</w:t>
            </w:r>
          </w:p>
        </w:tc>
        <w:tc>
          <w:tcPr>
            <w:tcW w:w="112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capital</w:t>
            </w: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deficit</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Income (loss)</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reserves</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(Deficit)/Equity</w:t>
            </w: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99,028,297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(397,996)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(384,602)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(159,844)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for Series C1 Preferred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Accretion for Series C2 Preferred</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for Series D1 Preferred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r>
        <w:trPr>
          <w:trHeight w:val="166"/>
        </w:trPr>
        <w:tc>
          <w:tcPr>
            <w:tcW w:w="3120" w:type="dxa"/>
            <w:vAlign w:val="bottom"/>
          </w:tcPr>
          <w:p>
            <w:pPr>
              <w:ind w:left="20"/>
              <w:spacing w:after="0" w:line="166" w:lineRule="exact"/>
              <w:rPr>
                <w:sz w:val="20"/>
                <w:szCs w:val="20"/>
                <w:color w:val="auto"/>
              </w:rPr>
            </w:pPr>
            <w:r>
              <w:rPr>
                <w:rFonts w:ascii="Arial" w:cs="Arial" w:eastAsia="Arial" w:hAnsi="Arial"/>
                <w:sz w:val="16"/>
                <w:szCs w:val="16"/>
                <w:color w:val="auto"/>
              </w:rPr>
              <w:t>Accretion for redeemable noncontrolling</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(5,841)</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Accretion for the exiting noncontrolling</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66"/>
        </w:trPr>
        <w:tc>
          <w:tcPr>
            <w:tcW w:w="3120" w:type="dxa"/>
            <w:vAlign w:val="bottom"/>
          </w:tcPr>
          <w:p>
            <w:pPr>
              <w:ind w:left="20"/>
              <w:spacing w:after="0" w:line="166" w:lineRule="exact"/>
              <w:rPr>
                <w:sz w:val="20"/>
                <w:szCs w:val="20"/>
                <w:color w:val="auto"/>
              </w:rPr>
            </w:pPr>
            <w:r>
              <w:rPr>
                <w:rFonts w:ascii="Arial" w:cs="Arial" w:eastAsia="Arial" w:hAnsi="Arial"/>
                <w:sz w:val="16"/>
                <w:szCs w:val="16"/>
                <w:color w:val="auto"/>
                <w:w w:val="98"/>
              </w:rPr>
              <w:t>Issuance of common stock upon the reverse</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Arial" w:cs="Arial" w:eastAsia="Arial" w:hAnsi="Arial"/>
                <w:sz w:val="16"/>
                <w:szCs w:val="16"/>
                <w:color w:val="auto"/>
                <w:w w:val="94"/>
              </w:rPr>
              <w:t>recapitalization, net of issuance costs of $42.8</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6"/>
                <w:szCs w:val="16"/>
                <w:color w:val="auto"/>
              </w:rPr>
              <w:t>million</w:t>
            </w:r>
          </w:p>
        </w:tc>
        <w:tc>
          <w:tcPr>
            <w:tcW w:w="1080" w:type="dxa"/>
            <w:vAlign w:val="bottom"/>
          </w:tcPr>
          <w:p>
            <w:pPr>
              <w:jc w:val="right"/>
              <w:spacing w:after="0"/>
              <w:rPr>
                <w:sz w:val="20"/>
                <w:szCs w:val="20"/>
                <w:color w:val="auto"/>
              </w:rPr>
            </w:pPr>
            <w:r>
              <w:rPr>
                <w:rFonts w:ascii="Arial" w:cs="Arial" w:eastAsia="Arial" w:hAnsi="Arial"/>
                <w:sz w:val="14"/>
                <w:szCs w:val="14"/>
                <w:color w:val="auto"/>
              </w:rPr>
              <w:t>191,254,950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1,241,648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1,241,671</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8,551,647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49,552</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298,834,894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1,291,199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(585,460)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716,784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SHAREHOLDERS’ (DEFICIT)/EQUITY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7"/>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7"/>
              <w:spacing w:after="0" w:line="145" w:lineRule="exact"/>
              <w:rPr>
                <w:sz w:val="20"/>
                <w:szCs w:val="20"/>
                <w:color w:val="auto"/>
              </w:rPr>
            </w:pPr>
            <w:r>
              <w:rPr>
                <w:rFonts w:ascii="Arial" w:cs="Arial" w:eastAsia="Arial" w:hAnsi="Arial"/>
                <w:sz w:val="14"/>
                <w:szCs w:val="14"/>
                <w:b w:val="1"/>
                <w:bCs w:val="1"/>
                <w:color w:val="auto"/>
                <w:w w:val="94"/>
              </w:rPr>
              <w:t>Microvast</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98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109"/>
        </w:trPr>
        <w:tc>
          <w:tcPr>
            <w:tcW w:w="314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9"/>
                <w:szCs w:val="9"/>
                <w:color w:val="auto"/>
              </w:rPr>
            </w:pPr>
          </w:p>
        </w:tc>
        <w:tc>
          <w:tcPr>
            <w:tcW w:w="106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100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Statutory</w:t>
            </w:r>
          </w:p>
        </w:tc>
        <w:tc>
          <w:tcPr>
            <w:tcW w:w="100" w:type="dxa"/>
            <w:vAlign w:val="bottom"/>
          </w:tcPr>
          <w:p>
            <w:pPr>
              <w:spacing w:after="0"/>
              <w:rPr>
                <w:sz w:val="9"/>
                <w:szCs w:val="9"/>
                <w:color w:val="auto"/>
              </w:rPr>
            </w:pPr>
          </w:p>
        </w:tc>
        <w:tc>
          <w:tcPr>
            <w:tcW w:w="1000" w:type="dxa"/>
            <w:vAlign w:val="bottom"/>
            <w:vMerge w:val="restart"/>
          </w:tcPr>
          <w:p>
            <w:pPr>
              <w:jc w:val="center"/>
              <w:ind w:right="27"/>
              <w:spacing w:after="0" w:line="12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6"/>
                <w:szCs w:val="16"/>
                <w:color w:val="auto"/>
              </w:rPr>
            </w:pPr>
          </w:p>
        </w:tc>
        <w:tc>
          <w:tcPr>
            <w:tcW w:w="1000" w:type="dxa"/>
            <w:vAlign w:val="bottom"/>
          </w:tcPr>
          <w:p>
            <w:pPr>
              <w:jc w:val="center"/>
              <w:ind w:right="2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300,859,266</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1,378,774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(720,923)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654,004</w:t>
            </w:r>
          </w:p>
        </w:tc>
        <w:tc>
          <w:tcPr>
            <w:tcW w:w="0" w:type="dxa"/>
            <w:vAlign w:val="bottom"/>
          </w:tcPr>
          <w:p>
            <w:pPr>
              <w:spacing w:after="0"/>
              <w:rPr>
                <w:sz w:val="1"/>
                <w:szCs w:val="1"/>
                <w:color w:val="auto"/>
              </w:rPr>
            </w:pPr>
          </w:p>
        </w:tc>
      </w:tr>
      <w:tr>
        <w:trPr>
          <w:trHeight w:val="182"/>
        </w:trPr>
        <w:tc>
          <w:tcPr>
            <w:tcW w:w="31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(36,544)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4"/>
              </w:rPr>
              <w:t>Issuance of common stock in connection with vesting</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6,745,301</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share-based awards</w:t>
            </w: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19,398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(21,002)</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rPr>
                <w:sz w:val="20"/>
                <w:szCs w:val="20"/>
                <w:color w:val="auto"/>
              </w:rPr>
            </w:pPr>
            <w:r>
              <w:rPr>
                <w:rFonts w:ascii="Arial" w:cs="Arial" w:eastAsia="Arial" w:hAnsi="Arial"/>
                <w:sz w:val="14"/>
                <w:szCs w:val="14"/>
                <w:color w:val="auto"/>
              </w:rPr>
              <w:t>Balance as of September 30, 2022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307,604,567</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1,398,171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(757,467)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(30,911)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615,856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2"/>
              </w:rPr>
              <w:t>Nine Months Ended September 30, 2022</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7"/>
              <w:spacing w:after="0" w:line="162"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7"/>
              <w:spacing w:after="0" w:line="162" w:lineRule="exact"/>
              <w:rPr>
                <w:sz w:val="20"/>
                <w:szCs w:val="20"/>
                <w:color w:val="auto"/>
              </w:rPr>
            </w:pPr>
            <w:r>
              <w:rPr>
                <w:rFonts w:ascii="Arial" w:cs="Arial" w:eastAsia="Arial" w:hAnsi="Arial"/>
                <w:sz w:val="16"/>
                <w:szCs w:val="16"/>
                <w:b w:val="1"/>
                <w:bCs w:val="1"/>
                <w:color w:val="auto"/>
                <w:w w:val="93"/>
              </w:rPr>
              <w:t>Microvast</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98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9"/>
              </w:rPr>
              <w:t>Holdings, Inc.</w:t>
            </w: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95"/>
              </w:rPr>
              <w:t>paid-in</w:t>
            </w:r>
          </w:p>
        </w:tc>
        <w:tc>
          <w:tcPr>
            <w:tcW w:w="1180" w:type="dxa"/>
            <w:vAlign w:val="bottom"/>
            <w:gridSpan w:val="3"/>
            <w:vMerge w:val="restart"/>
          </w:tcPr>
          <w:p>
            <w:pPr>
              <w:jc w:val="center"/>
              <w:ind w:right="6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200" w:type="dxa"/>
            <w:vAlign w:val="bottom"/>
            <w:gridSpan w:val="3"/>
            <w:vMerge w:val="restart"/>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1"/>
                <w:szCs w:val="11"/>
                <w:color w:val="auto"/>
              </w:rPr>
            </w:pPr>
          </w:p>
        </w:tc>
        <w:tc>
          <w:tcPr>
            <w:tcW w:w="100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Statutory</w:t>
            </w:r>
          </w:p>
        </w:tc>
        <w:tc>
          <w:tcPr>
            <w:tcW w:w="110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Income (loss)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reserves</w:t>
            </w:r>
          </w:p>
        </w:tc>
        <w:tc>
          <w:tcPr>
            <w:tcW w:w="100" w:type="dxa"/>
            <w:vAlign w:val="bottom"/>
          </w:tcPr>
          <w:p>
            <w:pPr>
              <w:spacing w:after="0"/>
              <w:rPr>
                <w:sz w:val="16"/>
                <w:szCs w:val="16"/>
                <w:color w:val="auto"/>
              </w:rPr>
            </w:pPr>
          </w:p>
        </w:tc>
        <w:tc>
          <w:tcPr>
            <w:tcW w:w="1000" w:type="dxa"/>
            <w:vAlign w:val="bottom"/>
          </w:tcPr>
          <w:p>
            <w:pPr>
              <w:jc w:val="center"/>
              <w:ind w:right="27"/>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53"/>
        </w:trPr>
        <w:tc>
          <w:tcPr>
            <w:tcW w:w="3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298,843,016</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1,306,034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(632,099)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686,698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(124,502)</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Cumulative effect adjustment related to opening</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retained earnings for adoption of ASU2016-13,</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82"/>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Financial instruments- Credit losses (Topic 326)</w:t>
            </w:r>
          </w:p>
        </w:tc>
        <w:tc>
          <w:tcPr>
            <w:tcW w:w="1160" w:type="dxa"/>
            <w:vAlign w:val="bottom"/>
            <w:tcBorders>
              <w:bottom w:val="single" w:sz="8" w:color="CCEEFF"/>
            </w:tcBorders>
            <w:gridSpan w:val="2"/>
            <w:vMerge w:val="continue"/>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96"/>
              </w:rPr>
              <w:t>Issuance of common stock in connection with</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6"/>
                <w:szCs w:val="16"/>
                <w:color w:val="auto"/>
              </w:rPr>
              <w:t>vesting of share-based awards</w:t>
            </w:r>
          </w:p>
        </w:tc>
        <w:tc>
          <w:tcPr>
            <w:tcW w:w="1080" w:type="dxa"/>
            <w:vAlign w:val="bottom"/>
          </w:tcPr>
          <w:p>
            <w:pPr>
              <w:jc w:val="right"/>
              <w:spacing w:after="0"/>
              <w:rPr>
                <w:sz w:val="20"/>
                <w:szCs w:val="20"/>
                <w:color w:val="auto"/>
              </w:rPr>
            </w:pPr>
            <w:r>
              <w:rPr>
                <w:rFonts w:ascii="Arial" w:cs="Arial" w:eastAsia="Arial" w:hAnsi="Arial"/>
                <w:sz w:val="14"/>
                <w:szCs w:val="14"/>
                <w:color w:val="auto"/>
              </w:rPr>
              <w:t>8,761,551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92,138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(37,612)</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307,604,567</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1,398,171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(30,911)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615,856</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2380" w:right="2340" w:hanging="18"/>
        <w:spacing w:after="0" w:line="323" w:lineRule="auto"/>
        <w:rPr>
          <w:sz w:val="20"/>
          <w:szCs w:val="20"/>
          <w:color w:val="auto"/>
        </w:rPr>
      </w:pPr>
      <w:r>
        <w:rPr>
          <w:rFonts w:ascii="Arial" w:cs="Arial" w:eastAsia="Arial" w:hAnsi="Arial"/>
          <w:sz w:val="16"/>
          <w:szCs w:val="16"/>
          <w:b w:val="1"/>
          <w:bCs w:val="1"/>
          <w:color w:val="auto"/>
        </w:rPr>
        <w:t>UNAUDITED CONDENSED CONSOLIDATED STATEMENTS OF CASH FLOWS (In thousands of U.S. dollars, except share and per share data, or as otherwise noted)</w:t>
      </w:r>
    </w:p>
    <w:p>
      <w:pPr>
        <w:spacing w:after="0" w:line="200" w:lineRule="exact"/>
        <w:rPr>
          <w:sz w:val="20"/>
          <w:szCs w:val="20"/>
          <w:color w:val="auto"/>
        </w:rPr>
      </w:pPr>
    </w:p>
    <w:p>
      <w:pPr>
        <w:spacing w:after="0" w:line="341"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Nine Months Ended</w:t>
      </w:r>
    </w:p>
    <w:p>
      <w:pPr>
        <w:jc w:val="center"/>
        <w:ind w:left="816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26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(124,502)</w:t>
            </w: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w w:val="91"/>
              </w:rPr>
              <w:t>Adjustments to reconcile net loss to net cash used in operating activities: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 and intangible assets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Noncash lease expenses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72,925</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Changes in fair value of warrant liability</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fair value of convertible notes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Allowance of credit losses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obsolete inventories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warranty</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(39,517)</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due from/to related parties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(19,284)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Advance from customers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(58,595)</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(84,722)</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Proceeds on disposal of property, plant and equipment</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6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(84,719)</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58,708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bank borrowings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(24,482)</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Loans borrowing from related parties</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related party loans</w:t>
            </w: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Merger and Private Investment in Public Equity (“PIPE”) financing</w:t>
            </w: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4"/>
        </w:trPr>
        <w:tc>
          <w:tcPr>
            <w:tcW w:w="5500" w:type="dxa"/>
            <w:vAlign w:val="bottom"/>
          </w:tcPr>
          <w:p>
            <w:pPr>
              <w:spacing w:after="0"/>
              <w:rPr>
                <w:sz w:val="24"/>
                <w:szCs w:val="24"/>
                <w:color w:val="auto"/>
              </w:rPr>
            </w:pPr>
          </w:p>
        </w:tc>
        <w:tc>
          <w:tcPr>
            <w:tcW w:w="2680" w:type="dxa"/>
            <w:vAlign w:val="bottom"/>
          </w:tcPr>
          <w:p>
            <w:pPr>
              <w:jc w:val="right"/>
              <w:ind w:right="243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Nine Months Ended</w:t>
      </w:r>
    </w:p>
    <w:p>
      <w:pPr>
        <w:jc w:val="center"/>
        <w:ind w:left="816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transaction fee in connection with the merger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Payment to exited noncontrolling interests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convertible notes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generated from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634,370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34,226</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cash, cash equivalents and 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(120,410)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the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612,509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415,699</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Nine Months Ended</w:t>
      </w:r>
    </w:p>
    <w:p>
      <w:pPr>
        <w:jc w:val="center"/>
        <w:ind w:left="816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vMerge w:val="restart"/>
          </w:tcPr>
          <w:p>
            <w:pPr>
              <w:ind w:left="20"/>
              <w:spacing w:after="0"/>
              <w:rPr>
                <w:sz w:val="20"/>
                <w:szCs w:val="20"/>
                <w:color w:val="auto"/>
              </w:rPr>
            </w:pPr>
            <w:r>
              <w:rPr>
                <w:rFonts w:ascii="Arial" w:cs="Arial" w:eastAsia="Arial" w:hAnsi="Arial"/>
                <w:sz w:val="18"/>
                <w:szCs w:val="18"/>
                <w:color w:val="auto"/>
              </w:rPr>
              <w:t>Reconciliation to amounts on consolidated balance sheets</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295,816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119,883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415,699</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Microvast Holdings, Inc. (“Microvast” or the “Company”) and its subsidiaries (collectively, the “Group”) are primarily engaged in developing, manufacturing, and selling electronic power products for electric vehicles primarily in the Asia &amp; Pacific region and Europe.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The unaudited condensed consolidated financial statements have been prepared in accordance with the rules and regulations of the Security and Exchange Commission and U.S. generally accepted accounting standards (“U.S. GAAP”) for interim financial reporting. Accordingly, certain information and disclosures normally included in the notes to the annual financial statements prepared in accordance with U.S. GAAP have been omitted from these interim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audited consolidated financial statements for the period ended December 31, 2021 included in the Company’s Annual Report on Form 10-K filed with the SEC on March 29, 2022, which provides a more complete discussion of the Company’s accounting policies and certain other information. In the opinion of the management, the accompanying unaudited condensed consolidated financial statements reflect all adjustments (which include normal recurring adjustments) necessary for a fair statement of financial results for the interim periods presented. The Company believes that the disclosures are adequate to make the information presented not misleading.</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2022 are not necessarily indicative of the results to be expected for any subsequent quarter or for the fiscal year ending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information as of December 31, 2021 included on the condensed consolidated balance sheets is derived from the Group’s audited consolidated financial statements for the year ended December 31, 2021.</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Except for the adoption of ASU 2016-02, Leases (Topic 842) and ASU 2016-13, Financial Instruments — Credit Losses (Topic 326) on January 1, 2022, there have been no significant changes to the significant accounting policies disclosed in Note 2 of the audited consolidated financial statements as of December 31, 2021 and 2020 and for the years ended December 31, 2021, 2020, and 2019.</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accounting estimates reflected in the Group’s financial statements include allowance for credit losses, provision for obsolete inventories, impairment of long-lived assets, valuation allowance for deferred tax assets, product warranty, fair value measurement of warrant liability and share 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upon consolidation.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23, 2021 (the “Closing Date”), Tuscan Holdings Corp. (“Tuscan”), consummated the previously announced merger with Microvast, Inc., a Delaware corporation, pursuant to the Agreement and Plan of Merger (the “Merger Agreement”) dated February 1, 2021, between Tuscan, Microvast, Inc. and TSCN Merger Sub Inc., a Delaware corporation (“Merger Sub”), pursuant to which the Merger Sub merged with and into Microvast, Inc., with Microvast, Inc. surviving the merger (the “Business Combination,” and, collectively with the other transactions described in the Merger Agreement, the “Reverse Recapitalization”). As a result of the Business Combination, Tuscan was renamed “Microvast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estimates-continued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Business Combination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Business Combination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Business Combination are presented as those of Microvast, Inc. The shares and net loss per share available to holders of the Company’s Common Stock, prior to the Business Combination, have been retroactively restated as shares reflecting the Common Exchange Ratio (as defined below) established in the Business Combination Agreement.</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Each of the options to purchase Microvast, Inc.’s common stock that was outstanding before the Business Combination was converted into options to acquire Common Stock by computing the number of shares and converting the exercise price based on the exchange ratio of 160.3 (the “Common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3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Pursuant to the JOBS Act, an emerging growth company (the “EGC”) may adopt new or revised accounting standards that may be issued by FASB or the SEC either (i) within the same periods as those otherwise applicable to non-EGCs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also intends to take advantage of some of the reduced regulatory and reporting requirements of EGCs pursuant to the JOBS Act so long as the Company qualifies as an EGC,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Group’s revenue consists primarily of sales of lithium-ion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and 2022, the Group derived revenues from geographic regions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b w:val="1"/>
                <w:bCs w:val="1"/>
                <w:i w:val="1"/>
                <w:iCs w:val="1"/>
                <w:color w:val="auto"/>
              </w:rPr>
              <w:t>Revenue recognition-continued</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0"/>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4"/>
                <w:szCs w:val="24"/>
                <w:color w:val="auto"/>
              </w:rPr>
            </w:pPr>
          </w:p>
        </w:tc>
        <w:tc>
          <w:tcPr>
            <w:tcW w:w="28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36"/>
        </w:trPr>
        <w:tc>
          <w:tcPr>
            <w:tcW w:w="27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46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8"/>
              </w:rPr>
              <w:t>People’s Republic of China ('PRC')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19,720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26,542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52,012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80,326</w:t>
            </w: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Other Asia &amp; Pacific countries</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12,072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i w:val="1"/>
                <w:iCs w:val="1"/>
                <w:color w:val="auto"/>
              </w:rPr>
              <w:t>7,394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i w:val="1"/>
                <w:iCs w:val="1"/>
                <w:color w:val="auto"/>
              </w:rPr>
              <w:t>21,348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45,420</w:t>
            </w: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Asia &amp; Pacific</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73,360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125,746</w:t>
            </w:r>
          </w:p>
        </w:tc>
      </w:tr>
      <w:tr>
        <w:trPr>
          <w:trHeight w:val="257"/>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3,432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11,466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11,062</w:t>
            </w: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378</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36,894</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38,616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85,204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139,698</w:t>
            </w:r>
          </w:p>
        </w:tc>
      </w:tr>
      <w:tr>
        <w:trPr>
          <w:trHeight w:val="21"/>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Contract balances include accounts receivable and advances from customers. Accounts receivable represent cash not received from customers and are recorded when the rights to consideration is unconditional. The allowance for credit losses reflects the best estimate of probable losses inherent to the accounts receivable balance. Contract liabilities, recorded in advance from customers in the consolidated balance sheets, represent payment received in advance or payment received related to a material right provided to a customer to acquire additional goods or services at a discount in a future period. During the three months ended September 30, 2021 and 2022, the Group recognized $60 and $722 of revenue previously included in advance from customers as of July 1, 2021 and July 1, 2022, respectively. During the nine months ended September 30, 2021 and 2022, the Group recognized $1,381 and $550 of revenue previously included in advance from customers as of January 1, 2021 and January 1, 2022, respectively, which consist of payments received in advance related to its sales of lithium batteries.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 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stock options and performance-based awards with a market condition, such as awards using total shareholder return (“TSR”) as a performance metric, compensation expense is recognized on a straight-line basis over the estimated service period of the award, regardless of whether the market condition is satisfied. Forfeitures are recognized as they occur. Liability-classified awards are remeasured at their fair-value-based measurement as of each reporting date until settlement.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On January 1, 2022, the Company adopted ASU No. 2016-02, Leases (Topic 842) (“ASC 842”), using the modified retrospective transition method resulting in the recording of operating lease right-of-use (ROU) assets of $18,826 and operating lease liabilities of $18,776 upon adoption. Prior period amounts have not been adjusted and continue to be reported in accordance with the previous accounting guidance. The adoption of the new guidance did not have a material effect on the unaudited condensed consolidated statements of operations. As of September 30, 2022, the Company recorded operating lease right-of-use (ROU) assets of $15,509 and operating lease liabilities of $15,432, including current portion in the amount of $1,902, which was recorded under accrued expenses and other current liabilities on the balance sheet.</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leases-continued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lease inception. Operating leases are required to record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 and electronic appliances, the Company elected the short-term lease exemption as their lease terms are 12 months or less.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warrants in accordance with the guidance contained in ASC 815-40 under which the warrants do not meet the criteria for equity treatment and must be recorded as liabilities. As the Private Warrants (as defined in Note 10 – Warrants) meet the definition of a derivative as contemplated in ASC 815, the Company classifies the Private Warrants as liabilities. This liability is subject to re-measurement at each balance sheet date until exercised, and any change in fair value is recognized in the condensed statements of operations. The Private Warrants are valued using a Monte Carlo simulation model on the basis of the quoted market price of Public Warrants (as defined in Note 10 –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public companies, the guidance is effective for fiscal years beginning after December 15, 2018, including interim periods within those fiscal years. Early application of the guidance is permitted. In July 2018, ASU 2016-02 was updated with ASU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financial statements.</w:t>
      </w:r>
    </w:p>
    <w:p>
      <w:pPr>
        <w:spacing w:after="0" w:line="1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an EGC, the Company adopted this standard on January 1, 2022, and elected not to recast the comparative periods presented. The adoption did not have a material impact on the Company's unaudited condensed consolidated statements of operations or consolidated statements of cash flows, and the adoption of Topic 842 did not result in a cumulative-effect adjustment to retained earnings. Further information is disclosed in Note 12 –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2016, the FASB issued ASU 2016-13, Financial Instruments — 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loans, debt securities, trade receivables, net investments in leases, off balance sheet credit exposures, reinsurance receivables, and any other financial assets not excluded from the scope that have the contractual right to receive cash. This ASU is effective for fiscal years, and interim periods within those fiscal years, beginning after December 15, 2019. As an EGC, the Company adopted this standard on January 1, 2022, using a modified retrospective transition method and did not restate the comparable periods, which resulted in a cumulative-effect adjustment to decrease the opening balance of retained earnings on January 1, 2022 by $866. The adoption did not have a material impact on the Company’s unaudited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August 2020, the FASB issued ASU 2020-06, “Debt with Conversion and Other Options (Subtopic 470-20) and Derivatives and Hedging-Contracts in Entity’s Own Equity (Subtopic 815-40)-Accounting for Convertible Instruments and Contracts in an Entity’s Own Equity.” The ASU 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For SEC filers, excluding smaller reporting companies, ASU 2020-06 is effective for fiscal years beginning after December 15, 2021 including interim periods within those fiscal years. Early adoption is permitted, but no earlier than fiscal years beginning after December 15, 2020. For all other entities, ASU 2020-06 is effective for fiscal years beginning after December 15, 2023, including interim periods within those fiscal years. The Company is currently evaluating the impact that ASU 2020-06 may have on the condensed consolidated financial statements and related disclosures.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NOTE 3. ACCOUNTS RECEIVABLE</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27"/>
        </w:trPr>
        <w:tc>
          <w:tcPr>
            <w:tcW w:w="44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48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93,722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88,143</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3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4"/>
              </w:rPr>
              <w:t>(5,005)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4"/>
              </w:rPr>
              <w:t>(5,436)</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88,717</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8"/>
              </w:rPr>
              <w:t>82,707</w:t>
            </w:r>
          </w:p>
        </w:tc>
      </w:tr>
      <w:tr>
        <w:trPr>
          <w:trHeight w:val="912"/>
        </w:trPr>
        <w:tc>
          <w:tcPr>
            <w:tcW w:w="4480" w:type="dxa"/>
            <w:vAlign w:val="bottom"/>
          </w:tcPr>
          <w:p>
            <w:pPr>
              <w:spacing w:after="0"/>
              <w:rPr>
                <w:sz w:val="24"/>
                <w:szCs w:val="24"/>
                <w:color w:val="auto"/>
              </w:rPr>
            </w:pPr>
          </w:p>
        </w:tc>
        <w:tc>
          <w:tcPr>
            <w:tcW w:w="3480" w:type="dxa"/>
            <w:vAlign w:val="bottom"/>
          </w:tcPr>
          <w:p>
            <w:pPr>
              <w:jc w:val="right"/>
              <w:ind w:right="215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1"/>
        </w:trPr>
        <w:tc>
          <w:tcPr>
            <w:tcW w:w="44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NOTE 3. ACCOUNTS RECEIVABLE-continued</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Movement of allowance for credit losses was as follows: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4860" w:type="dxa"/>
            <w:vAlign w:val="bottom"/>
          </w:tcPr>
          <w:p>
            <w:pPr>
              <w:spacing w:after="0"/>
              <w:rPr>
                <w:sz w:val="24"/>
                <w:szCs w:val="24"/>
                <w:color w:val="auto"/>
              </w:rPr>
            </w:pPr>
          </w:p>
        </w:tc>
        <w:tc>
          <w:tcPr>
            <w:tcW w:w="27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6"/>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24"/>
                <w:szCs w:val="24"/>
                <w:color w:val="auto"/>
              </w:rPr>
            </w:pPr>
          </w:p>
        </w:tc>
      </w:tr>
      <w:tr>
        <w:trPr>
          <w:trHeight w:val="239"/>
        </w:trPr>
        <w:tc>
          <w:tcPr>
            <w:tcW w:w="48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0"/>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0"/>
                <w:szCs w:val="20"/>
                <w:color w:val="auto"/>
              </w:rPr>
            </w:pPr>
          </w:p>
        </w:tc>
      </w:tr>
      <w:tr>
        <w:trPr>
          <w:trHeight w:val="227"/>
        </w:trPr>
        <w:tc>
          <w:tcPr>
            <w:tcW w:w="48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20" w:type="dxa"/>
            <w:vAlign w:val="bottom"/>
          </w:tcPr>
          <w:p>
            <w:pPr>
              <w:spacing w:after="0"/>
              <w:rPr>
                <w:sz w:val="19"/>
                <w:szCs w:val="19"/>
                <w:color w:val="auto"/>
              </w:rPr>
            </w:pPr>
          </w:p>
        </w:tc>
      </w:tr>
      <w:tr>
        <w:trPr>
          <w:trHeight w:val="202"/>
        </w:trPr>
        <w:tc>
          <w:tcPr>
            <w:tcW w:w="4860" w:type="dxa"/>
            <w:vAlign w:val="bottom"/>
          </w:tcPr>
          <w:p>
            <w:pPr>
              <w:ind w:left="20"/>
              <w:spacing w:after="0" w:line="201" w:lineRule="exact"/>
              <w:rPr>
                <w:sz w:val="20"/>
                <w:szCs w:val="20"/>
                <w:color w:val="auto"/>
              </w:rPr>
            </w:pPr>
            <w:r>
              <w:rPr>
                <w:rFonts w:ascii="Arial" w:cs="Arial" w:eastAsia="Arial" w:hAnsi="Arial"/>
                <w:sz w:val="18"/>
                <w:szCs w:val="18"/>
                <w:color w:val="auto"/>
                <w:w w:val="99"/>
              </w:rPr>
              <w:t>Cumulative-effect adjustment upon adoption of ASU2016-13,</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Financial instruments- Credit losses (Topic 326)</w:t>
            </w:r>
          </w:p>
        </w:tc>
        <w:tc>
          <w:tcPr>
            <w:tcW w:w="102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2"/>
                <w:szCs w:val="22"/>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(Reversal) of expenses</w:t>
            </w: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2"/>
                <w:szCs w:val="22"/>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Write off</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9"/>
                <w:szCs w:val="19"/>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Balance at end of the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5,436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4,796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5,436</w:t>
            </w:r>
          </w:p>
        </w:tc>
        <w:tc>
          <w:tcPr>
            <w:tcW w:w="20" w:type="dxa"/>
            <w:vAlign w:val="bottom"/>
          </w:tcPr>
          <w:p>
            <w:pPr>
              <w:spacing w:after="0"/>
              <w:rPr>
                <w:sz w:val="19"/>
                <w:szCs w:val="19"/>
                <w:color w:val="auto"/>
              </w:rPr>
            </w:pPr>
          </w:p>
        </w:tc>
      </w:tr>
      <w:tr>
        <w:trPr>
          <w:trHeight w:val="520"/>
        </w:trPr>
        <w:tc>
          <w:tcPr>
            <w:tcW w:w="486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4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24"/>
                <w:szCs w:val="24"/>
                <w:color w:val="auto"/>
              </w:rPr>
            </w:pPr>
          </w:p>
        </w:tc>
      </w:tr>
      <w:tr>
        <w:trPr>
          <w:trHeight w:val="239"/>
        </w:trPr>
        <w:tc>
          <w:tcPr>
            <w:tcW w:w="48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w:t>
            </w:r>
          </w:p>
        </w:tc>
        <w:tc>
          <w:tcPr>
            <w:tcW w:w="2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30,632</w:t>
            </w:r>
          </w:p>
        </w:tc>
        <w:tc>
          <w:tcPr>
            <w:tcW w:w="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82,262</w:t>
            </w:r>
          </w:p>
        </w:tc>
        <w:tc>
          <w:tcPr>
            <w:tcW w:w="20" w:type="dxa"/>
            <w:vAlign w:val="bottom"/>
            <w:tcBorders>
              <w:bottom w:val="single" w:sz="8" w:color="auto"/>
            </w:tcBorders>
          </w:tcPr>
          <w:p>
            <w:pPr>
              <w:spacing w:after="0"/>
              <w:rPr>
                <w:sz w:val="19"/>
                <w:szCs w:val="19"/>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Provision for obsolete inventories at $6,569 and $1,229 were recognized for the three months ended September 30, 2021 and 2022, respectively. Provision for obsolete inventories at $12,667 and $3,148 were recognized for the nine months ended September 30, 2021 and 2022,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 AND OTHER CURRENT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r>
      <w:tr>
        <w:trPr>
          <w:trHeight w:val="241"/>
        </w:trPr>
        <w:tc>
          <w:tcPr>
            <w:tcW w:w="476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5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current</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Payables for purchase of property, plant and equipment</w:t>
            </w: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38,044</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11,753</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Accrued payroll and welfare</w:t>
            </w: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3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1,919</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 payable</w:t>
            </w:r>
          </w:p>
        </w:tc>
        <w:tc>
          <w:tcPr>
            <w:tcW w:w="3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r>
      <w:tr>
        <w:trPr>
          <w:trHeight w:val="25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current</w:t>
            </w:r>
          </w:p>
        </w:tc>
        <w:tc>
          <w:tcPr>
            <w:tcW w:w="3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5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79,520</w:t>
            </w:r>
          </w:p>
        </w:tc>
      </w:tr>
      <w:tr>
        <w:trPr>
          <w:trHeight w:val="911"/>
        </w:trPr>
        <w:tc>
          <w:tcPr>
            <w:tcW w:w="4760" w:type="dxa"/>
            <w:vAlign w:val="bottom"/>
          </w:tcPr>
          <w:p>
            <w:pPr>
              <w:spacing w:after="0"/>
              <w:rPr>
                <w:sz w:val="24"/>
                <w:szCs w:val="24"/>
                <w:color w:val="auto"/>
              </w:rPr>
            </w:pPr>
          </w:p>
        </w:tc>
        <w:tc>
          <w:tcPr>
            <w:tcW w:w="3200" w:type="dxa"/>
            <w:vAlign w:val="bottom"/>
          </w:tcPr>
          <w:p>
            <w:pPr>
              <w:jc w:val="right"/>
              <w:ind w:right="215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01"/>
        </w:trPr>
        <w:tc>
          <w:tcPr>
            <w:tcW w:w="476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NOTE 6. PRODUCT WARRANTY</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Movement of product warranty was as follows: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4940" w:type="dxa"/>
            <w:vAlign w:val="bottom"/>
          </w:tcPr>
          <w:p>
            <w:pPr>
              <w:spacing w:after="0"/>
              <w:rPr>
                <w:sz w:val="24"/>
                <w:szCs w:val="24"/>
                <w:color w:val="auto"/>
              </w:rPr>
            </w:pPr>
          </w:p>
        </w:tc>
        <w:tc>
          <w:tcPr>
            <w:tcW w:w="3220" w:type="dxa"/>
            <w:vAlign w:val="bottom"/>
            <w:gridSpan w:val="6"/>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7"/>
          </w:tcPr>
          <w:p>
            <w:pPr>
              <w:ind w:left="48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4"/>
                <w:szCs w:val="24"/>
                <w:color w:val="auto"/>
              </w:rPr>
            </w:pPr>
          </w:p>
        </w:tc>
      </w:tr>
      <w:tr>
        <w:trPr>
          <w:trHeight w:val="239"/>
        </w:trPr>
        <w:tc>
          <w:tcPr>
            <w:tcW w:w="4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7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r>
      <w:tr>
        <w:trPr>
          <w:trHeight w:val="248"/>
        </w:trPr>
        <w:tc>
          <w:tcPr>
            <w:tcW w:w="49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43,703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19,356</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20" w:type="dxa"/>
            <w:vAlign w:val="bottom"/>
          </w:tcPr>
          <w:p>
            <w:pPr>
              <w:spacing w:after="0"/>
              <w:rPr>
                <w:sz w:val="22"/>
                <w:szCs w:val="22"/>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Provided during the period</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44,610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8,263</w:t>
            </w:r>
          </w:p>
        </w:tc>
        <w:tc>
          <w:tcPr>
            <w:tcW w:w="20" w:type="dxa"/>
            <w:vAlign w:val="bottom"/>
          </w:tcPr>
          <w:p>
            <w:pPr>
              <w:spacing w:after="0"/>
              <w:rPr>
                <w:sz w:val="21"/>
                <w:szCs w:val="21"/>
                <w:color w:val="auto"/>
              </w:rPr>
            </w:pPr>
          </w:p>
        </w:tc>
      </w:tr>
      <w:tr>
        <w:trPr>
          <w:trHeight w:val="26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Utilized during the period</w:t>
            </w: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9"/>
              </w:rPr>
              <w:t>(12,099)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20" w:type="dxa"/>
            <w:vAlign w:val="bottom"/>
          </w:tcPr>
          <w:p>
            <w:pPr>
              <w:spacing w:after="0"/>
              <w:rPr>
                <w:sz w:val="22"/>
                <w:szCs w:val="22"/>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18"/>
                <w:szCs w:val="18"/>
                <w:color w:val="auto"/>
              </w:rPr>
              <w:t>Exchange difference</w:t>
            </w:r>
          </w:p>
        </w:tc>
        <w:tc>
          <w:tcPr>
            <w:tcW w:w="104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center"/>
              <w:ind w:left="630"/>
              <w:spacing w:after="0"/>
              <w:rPr>
                <w:sz w:val="20"/>
                <w:szCs w:val="20"/>
                <w:color w:val="auto"/>
              </w:rPr>
            </w:pPr>
            <w:r>
              <w:rPr>
                <w:rFonts w:ascii="Arial" w:cs="Arial" w:eastAsia="Arial" w:hAnsi="Arial"/>
                <w:sz w:val="18"/>
                <w:szCs w:val="18"/>
                <w:color w:val="auto"/>
                <w:w w:val="91"/>
              </w:rPr>
              <w:t>(4,857)</w:t>
            </w:r>
          </w:p>
        </w:tc>
        <w:tc>
          <w:tcPr>
            <w:tcW w:w="20" w:type="dxa"/>
            <w:vAlign w:val="bottom"/>
          </w:tcPr>
          <w:p>
            <w:pPr>
              <w:spacing w:after="0"/>
              <w:rPr>
                <w:sz w:val="22"/>
                <w:szCs w:val="22"/>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the period</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51,867</w:t>
            </w:r>
          </w:p>
        </w:tc>
        <w:tc>
          <w:tcPr>
            <w:tcW w:w="100" w:type="dxa"/>
            <w:vAlign w:val="bottom"/>
            <w:tcBorders>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38,907</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51,867</w:t>
            </w: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38,907</w:t>
            </w:r>
          </w:p>
        </w:tc>
        <w:tc>
          <w:tcPr>
            <w:tcW w:w="20" w:type="dxa"/>
            <w:vAlign w:val="bottom"/>
          </w:tcPr>
          <w:p>
            <w:pPr>
              <w:spacing w:after="0"/>
              <w:rPr>
                <w:sz w:val="21"/>
                <w:szCs w:val="21"/>
                <w:color w:val="auto"/>
              </w:rPr>
            </w:pPr>
          </w:p>
        </w:tc>
      </w:tr>
      <w:tr>
        <w:trPr>
          <w:trHeight w:val="513"/>
        </w:trPr>
        <w:tc>
          <w:tcPr>
            <w:tcW w:w="4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24"/>
                <w:szCs w:val="24"/>
                <w:color w:val="auto"/>
              </w:rPr>
            </w:pPr>
          </w:p>
        </w:tc>
      </w:tr>
      <w:tr>
        <w:trPr>
          <w:trHeight w:val="239"/>
        </w:trPr>
        <w:tc>
          <w:tcPr>
            <w:tcW w:w="49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 current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20,922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12,350</w:t>
            </w:r>
          </w:p>
        </w:tc>
        <w:tc>
          <w:tcPr>
            <w:tcW w:w="2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warranty – non-current</w:t>
            </w:r>
          </w:p>
        </w:tc>
        <w:tc>
          <w:tcPr>
            <w:tcW w:w="10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37,536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7"/>
              </w:rPr>
              <w:t>26,557</w:t>
            </w:r>
          </w:p>
        </w:tc>
        <w:tc>
          <w:tcPr>
            <w:tcW w:w="20" w:type="dxa"/>
            <w:vAlign w:val="bottom"/>
            <w:tcBorders>
              <w:bottom w:val="single" w:sz="8" w:color="auto"/>
            </w:tcBorders>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58,458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b w:val="1"/>
                <w:bCs w:val="1"/>
                <w:color w:val="auto"/>
                <w:w w:val="87"/>
              </w:rPr>
              <w:t>38,907</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BANK BORROWINGS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27, 2022, the Group entered into a $111 million (RMB800 million) loan facilities agreement with a group of lenders led by a PRC Bank (the "2022 Facility Agreement"). The 2022 Facility Agreement has an effective drawdown period until June 9, 2023 and the interest rate is prime plus 115 basis points where prime is based on Loan Prime Rate published by the National Inter-bank Funding Center of the PRC. The interest is payable on a quarterly basis. The loan facilities can only be used for the construction project of manufacturing capacity expansion at the Group’s facility located in Huzhou, China. The 2022 Facility Agreement contains certain customary restrictive covenants, including but not limited to disposal of assets and dividend distribution without consent of the lender, and certain customary events of default.</w:t>
      </w:r>
    </w:p>
    <w:p>
      <w:pPr>
        <w:spacing w:after="0" w:line="19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repayment schedule of the 2022 Facility Agreement is listed in the below table. As of September 30, 2022, the Group had outstanding borrowings of $42,173 under the 2022 Facility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Repayment Date</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1"/>
              </w:rPr>
              <w:t>Repayment Amount</w:t>
            </w:r>
          </w:p>
        </w:tc>
      </w:tr>
      <w:tr>
        <w:trPr>
          <w:trHeight w:val="223"/>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10, 2023</w:t>
            </w:r>
          </w:p>
        </w:tc>
        <w:tc>
          <w:tcPr>
            <w:tcW w:w="14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 million (RMB30 million)</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December 10, 2023</w:t>
            </w:r>
          </w:p>
        </w:tc>
        <w:tc>
          <w:tcPr>
            <w:tcW w:w="3760" w:type="dxa"/>
            <w:vAlign w:val="bottom"/>
          </w:tcPr>
          <w:p>
            <w:pPr>
              <w:jc w:val="center"/>
              <w:spacing w:after="0"/>
              <w:rPr>
                <w:sz w:val="20"/>
                <w:szCs w:val="20"/>
                <w:color w:val="auto"/>
              </w:rPr>
            </w:pPr>
            <w:r>
              <w:rPr>
                <w:rFonts w:ascii="Arial" w:cs="Arial" w:eastAsia="Arial" w:hAnsi="Arial"/>
                <w:sz w:val="18"/>
                <w:szCs w:val="18"/>
                <w:color w:val="auto"/>
                <w:w w:val="98"/>
              </w:rPr>
              <w:t>$9.8 million (RMB70 million)</w:t>
            </w:r>
          </w:p>
        </w:tc>
      </w:tr>
      <w:tr>
        <w:trPr>
          <w:trHeight w:val="22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10, 2024</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$14.1 million (RMB100 million)</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December 10, 2024</w:t>
            </w:r>
          </w:p>
        </w:tc>
        <w:tc>
          <w:tcPr>
            <w:tcW w:w="3760" w:type="dxa"/>
            <w:vAlign w:val="bottom"/>
          </w:tcPr>
          <w:p>
            <w:pPr>
              <w:jc w:val="center"/>
              <w:spacing w:after="0"/>
              <w:rPr>
                <w:sz w:val="20"/>
                <w:szCs w:val="20"/>
                <w:color w:val="auto"/>
              </w:rPr>
            </w:pPr>
            <w:r>
              <w:rPr>
                <w:rFonts w:ascii="Arial" w:cs="Arial" w:eastAsia="Arial" w:hAnsi="Arial"/>
                <w:sz w:val="18"/>
                <w:szCs w:val="18"/>
                <w:color w:val="auto"/>
                <w:w w:val="96"/>
              </w:rPr>
              <w:t>$14.1 million (RMB100 million)</w:t>
            </w:r>
          </w:p>
        </w:tc>
      </w:tr>
      <w:tr>
        <w:trPr>
          <w:trHeight w:val="23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10, 2025</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$14.1 million (RMB100 million)</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December 10, 2025</w:t>
            </w:r>
          </w:p>
        </w:tc>
        <w:tc>
          <w:tcPr>
            <w:tcW w:w="3760" w:type="dxa"/>
            <w:vAlign w:val="bottom"/>
          </w:tcPr>
          <w:p>
            <w:pPr>
              <w:jc w:val="center"/>
              <w:spacing w:after="0"/>
              <w:rPr>
                <w:sz w:val="20"/>
                <w:szCs w:val="20"/>
                <w:color w:val="auto"/>
              </w:rPr>
            </w:pPr>
            <w:r>
              <w:rPr>
                <w:rFonts w:ascii="Arial" w:cs="Arial" w:eastAsia="Arial" w:hAnsi="Arial"/>
                <w:sz w:val="18"/>
                <w:szCs w:val="18"/>
                <w:color w:val="auto"/>
                <w:w w:val="96"/>
              </w:rPr>
              <w:t>$14.1 million (RMB100 million)</w:t>
            </w:r>
          </w:p>
        </w:tc>
      </w:tr>
      <w:tr>
        <w:trPr>
          <w:trHeight w:val="22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10, 2026</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$21.1 million (RMB150 million)</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December 10, 2026</w:t>
            </w:r>
          </w:p>
        </w:tc>
        <w:tc>
          <w:tcPr>
            <w:tcW w:w="3760" w:type="dxa"/>
            <w:vAlign w:val="bottom"/>
          </w:tcPr>
          <w:p>
            <w:pPr>
              <w:jc w:val="center"/>
              <w:spacing w:after="0"/>
              <w:rPr>
                <w:sz w:val="20"/>
                <w:szCs w:val="20"/>
                <w:color w:val="auto"/>
              </w:rPr>
            </w:pPr>
            <w:r>
              <w:rPr>
                <w:rFonts w:ascii="Arial" w:cs="Arial" w:eastAsia="Arial" w:hAnsi="Arial"/>
                <w:sz w:val="18"/>
                <w:szCs w:val="18"/>
                <w:color w:val="auto"/>
                <w:w w:val="96"/>
              </w:rPr>
              <w:t>$21.1 million (RMB150 million)</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BANK BORROWINGS-continued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also entered into short-term loan agreements and bank facilities with Chinese banks. The original terms of the loans from Chinese banks are within 12 months and the interest rates range from 4.50% to 4.75% per annum.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Changes in bank borrowings are as follows: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8"/>
        </w:trPr>
        <w:tc>
          <w:tcPr>
            <w:tcW w:w="4860" w:type="dxa"/>
            <w:vAlign w:val="bottom"/>
          </w:tcPr>
          <w:p>
            <w:pPr>
              <w:spacing w:after="0"/>
              <w:rPr>
                <w:sz w:val="24"/>
                <w:szCs w:val="24"/>
                <w:color w:val="auto"/>
              </w:rPr>
            </w:pPr>
          </w:p>
        </w:tc>
        <w:tc>
          <w:tcPr>
            <w:tcW w:w="3320" w:type="dxa"/>
            <w:vAlign w:val="bottom"/>
            <w:gridSpan w:val="7"/>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26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Nine Months Ended</w:t>
            </w:r>
          </w:p>
        </w:tc>
        <w:tc>
          <w:tcPr>
            <w:tcW w:w="640" w:type="dxa"/>
            <w:vAlign w:val="bottom"/>
          </w:tcPr>
          <w:p>
            <w:pPr>
              <w:spacing w:after="0"/>
              <w:rPr>
                <w:sz w:val="24"/>
                <w:szCs w:val="24"/>
                <w:color w:val="auto"/>
              </w:rPr>
            </w:pPr>
          </w:p>
        </w:tc>
      </w:tr>
      <w:tr>
        <w:trPr>
          <w:trHeight w:val="239"/>
        </w:trPr>
        <w:tc>
          <w:tcPr>
            <w:tcW w:w="4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r>
      <w:tr>
        <w:trPr>
          <w:trHeight w:val="227"/>
        </w:trPr>
        <w:tc>
          <w:tcPr>
            <w:tcW w:w="48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13,301</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Proceeds from bank borrowings</w:t>
            </w:r>
          </w:p>
        </w:tc>
        <w:tc>
          <w:tcPr>
            <w:tcW w:w="10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26,603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58,708</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principal</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(24,482)</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difference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22,851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44,985</w:t>
            </w:r>
          </w:p>
        </w:tc>
      </w:tr>
      <w:tr>
        <w:trPr>
          <w:trHeight w:val="506"/>
        </w:trPr>
        <w:tc>
          <w:tcPr>
            <w:tcW w:w="4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of bank borrowings includes:</w:t>
            </w:r>
          </w:p>
        </w:tc>
        <w:tc>
          <w:tcPr>
            <w:tcW w:w="10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1"/>
                <w:szCs w:val="2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37,956</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44,985</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assets of the Group have been pledged to secure the above bank facilities granted to the Group. The aggregate carrying amount of the assets pledged by the Group as of December 31, 2021 and September 30, 2022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74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use rights</w:t>
            </w:r>
          </w:p>
        </w:tc>
        <w:tc>
          <w:tcPr>
            <w:tcW w:w="3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12,328</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43,207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39,164</w:t>
            </w:r>
          </w:p>
        </w:tc>
      </w:tr>
      <w:tr>
        <w:trPr>
          <w:trHeight w:val="520"/>
        </w:trPr>
        <w:tc>
          <w:tcPr>
            <w:tcW w:w="4740" w:type="dxa"/>
            <w:vAlign w:val="bottom"/>
          </w:tcPr>
          <w:p>
            <w:pPr>
              <w:spacing w:after="0"/>
              <w:rPr>
                <w:sz w:val="20"/>
                <w:szCs w:val="20"/>
                <w:color w:val="auto"/>
              </w:rPr>
            </w:pPr>
            <w:r>
              <w:rPr>
                <w:rFonts w:ascii="Arial" w:cs="Arial" w:eastAsia="Arial" w:hAnsi="Arial"/>
                <w:sz w:val="18"/>
                <w:szCs w:val="18"/>
                <w:b w:val="1"/>
                <w:bCs w:val="1"/>
                <w:color w:val="auto"/>
              </w:rPr>
              <w:t>NOTE 8. OTHER NON-CURRENT LIABILITIES</w:t>
            </w: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47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r>
      <w:tr>
        <w:trPr>
          <w:trHeight w:val="239"/>
        </w:trPr>
        <w:tc>
          <w:tcPr>
            <w:tcW w:w="474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r>
      <w:tr>
        <w:trPr>
          <w:trHeight w:val="22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 non-current</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26,557</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subsidy income- non-current</w:t>
            </w:r>
          </w:p>
        </w:tc>
        <w:tc>
          <w:tcPr>
            <w:tcW w:w="3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29,564</w:t>
            </w:r>
          </w:p>
        </w:tc>
      </w:tr>
      <w:tr>
        <w:trPr>
          <w:trHeight w:val="898"/>
        </w:trPr>
        <w:tc>
          <w:tcPr>
            <w:tcW w:w="4740" w:type="dxa"/>
            <w:vAlign w:val="bottom"/>
          </w:tcPr>
          <w:p>
            <w:pPr>
              <w:spacing w:after="0"/>
              <w:rPr>
                <w:sz w:val="24"/>
                <w:szCs w:val="24"/>
                <w:color w:val="auto"/>
              </w:rPr>
            </w:pPr>
          </w:p>
        </w:tc>
        <w:tc>
          <w:tcPr>
            <w:tcW w:w="3220" w:type="dxa"/>
            <w:vAlign w:val="bottom"/>
          </w:tcPr>
          <w:p>
            <w:pPr>
              <w:jc w:val="right"/>
              <w:ind w:right="21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NOTE 9. BONDS PAYABLE</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r>
      <w:tr>
        <w:trPr>
          <w:trHeight w:val="239"/>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 payable-current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960" w:type="dxa"/>
            <w:vAlign w:val="bottom"/>
          </w:tcPr>
          <w:p>
            <w:pPr>
              <w:ind w:left="20"/>
              <w:spacing w:after="0" w:line="207" w:lineRule="exact"/>
              <w:rPr>
                <w:sz w:val="20"/>
                <w:szCs w:val="20"/>
                <w:color w:val="auto"/>
              </w:rPr>
            </w:pPr>
            <w:r>
              <w:rPr>
                <w:rFonts w:ascii="Arial" w:cs="Arial" w:eastAsia="Arial" w:hAnsi="Arial"/>
                <w:sz w:val="18"/>
                <w:szCs w:val="18"/>
                <w:color w:val="auto"/>
              </w:rPr>
              <w:t>Huzhou Saiyuan Equity Investment Partnership Firm (Limited Partnership) ("Huzhou Saiyun"</w:t>
            </w:r>
            <w:r>
              <w:rPr>
                <w:rFonts w:ascii="MS PGothic" w:cs="MS PGothic" w:eastAsia="MS PGothic" w:hAnsi="MS PGothic"/>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29,259</w:t>
            </w:r>
          </w:p>
        </w:tc>
      </w:tr>
      <w:tr>
        <w:trPr>
          <w:trHeight w:val="223"/>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29,259</w:t>
            </w:r>
          </w:p>
        </w:tc>
      </w:tr>
      <w:tr>
        <w:trPr>
          <w:trHeight w:val="250"/>
        </w:trPr>
        <w:tc>
          <w:tcPr>
            <w:tcW w:w="7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bonds payable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Huzhou Saiyuan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43,888</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73,147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43,888</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convertible bonds. As of September 30, 2022, the subscription and outstanding balance of the convertible bonds was $73,147 (RMB500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4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Issuance Date</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Subscribed Amount</w:t>
            </w:r>
          </w:p>
        </w:tc>
        <w:tc>
          <w:tcPr>
            <w:tcW w:w="100" w:type="dxa"/>
            <w:vAlign w:val="bottom"/>
          </w:tcPr>
          <w:p>
            <w:pPr>
              <w:spacing w:after="0"/>
              <w:rPr>
                <w:sz w:val="21"/>
                <w:szCs w:val="21"/>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2260" w:type="dxa"/>
            <w:vAlign w:val="bottom"/>
            <w:gridSpan w:val="3"/>
          </w:tcPr>
          <w:p>
            <w:pPr>
              <w:ind w:left="300"/>
              <w:spacing w:after="0"/>
              <w:rPr>
                <w:sz w:val="20"/>
                <w:szCs w:val="20"/>
                <w:color w:val="auto"/>
              </w:rPr>
            </w:pPr>
            <w:r>
              <w:rPr>
                <w:rFonts w:ascii="Arial" w:cs="Arial" w:eastAsia="Arial" w:hAnsi="Arial"/>
                <w:sz w:val="18"/>
                <w:szCs w:val="18"/>
                <w:b w:val="1"/>
                <w:bCs w:val="1"/>
                <w:color w:val="auto"/>
              </w:rPr>
              <w:t>Repayment Amount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1, 2019</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$29,259 (RMB200 million)</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$29,259</w:t>
            </w:r>
          </w:p>
        </w:tc>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(RMB200 million)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28, 2024</w:t>
            </w:r>
          </w:p>
        </w:tc>
        <w:tc>
          <w:tcPr>
            <w:tcW w:w="700" w:type="dxa"/>
            <w:vAlign w:val="bottom"/>
          </w:tcPr>
          <w:p>
            <w:pPr>
              <w:jc w:val="right"/>
              <w:spacing w:after="0"/>
              <w:rPr>
                <w:sz w:val="20"/>
                <w:szCs w:val="20"/>
                <w:color w:val="auto"/>
              </w:rPr>
            </w:pPr>
            <w:r>
              <w:rPr>
                <w:rFonts w:ascii="Arial" w:cs="Arial" w:eastAsia="Arial" w:hAnsi="Arial"/>
                <w:sz w:val="18"/>
                <w:szCs w:val="18"/>
                <w:color w:val="auto"/>
              </w:rPr>
              <w:t>$14,629</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(RMB100 million)</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0%~4%</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December 31, 2018</w:t>
            </w:r>
          </w:p>
        </w:tc>
        <w:tc>
          <w:tcPr>
            <w:tcW w:w="100" w:type="dxa"/>
            <w:vAlign w:val="bottom"/>
            <w:shd w:val="clear" w:color="auto" w:fill="CCEEFF"/>
          </w:tcPr>
          <w:p>
            <w:pPr>
              <w:spacing w:after="0"/>
              <w:rPr>
                <w:sz w:val="20"/>
                <w:szCs w:val="20"/>
                <w:color w:val="auto"/>
              </w:rPr>
            </w:pP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5"/>
              </w:rPr>
              <w:t>$29,259 (RMB200 million)</w:t>
            </w: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11, 2024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(RMB50 million)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w:t>
            </w:r>
          </w:p>
        </w:tc>
        <w:tc>
          <w:tcPr>
            <w:tcW w:w="0" w:type="dxa"/>
            <w:vAlign w:val="bottom"/>
          </w:tcPr>
          <w:p>
            <w:pPr>
              <w:spacing w:after="0"/>
              <w:rPr>
                <w:sz w:val="1"/>
                <w:szCs w:val="1"/>
                <w:color w:val="auto"/>
              </w:rPr>
            </w:pPr>
          </w:p>
        </w:tc>
      </w:tr>
      <w:tr>
        <w:trPr>
          <w:trHeight w:val="107"/>
        </w:trPr>
        <w:tc>
          <w:tcPr>
            <w:tcW w:w="2140" w:type="dxa"/>
            <w:vAlign w:val="bottom"/>
            <w:vMerge w:val="continue"/>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20" w:type="dxa"/>
            <w:vAlign w:val="bottom"/>
            <w:vMerge w:val="continue"/>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1, 2024</w:t>
            </w:r>
          </w:p>
        </w:tc>
        <w:tc>
          <w:tcPr>
            <w:tcW w:w="700" w:type="dxa"/>
            <w:vAlign w:val="bottom"/>
          </w:tcPr>
          <w:p>
            <w:pPr>
              <w:jc w:val="right"/>
              <w:spacing w:after="0"/>
              <w:rPr>
                <w:sz w:val="20"/>
                <w:szCs w:val="20"/>
                <w:color w:val="auto"/>
              </w:rPr>
            </w:pPr>
            <w:r>
              <w:rPr>
                <w:rFonts w:ascii="Arial" w:cs="Arial" w:eastAsia="Arial" w:hAnsi="Arial"/>
                <w:sz w:val="18"/>
                <w:szCs w:val="18"/>
                <w:color w:val="auto"/>
              </w:rPr>
              <w:t>$7,315</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(RMB50 million)</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0%~4%</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2020</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$14,629 (RMB100 million)</w:t>
            </w:r>
          </w:p>
        </w:tc>
        <w:tc>
          <w:tcPr>
            <w:tcW w:w="1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13, 2026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6"/>
        </w:trPr>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BONDS PAYABLE-continued</w:t>
      </w:r>
    </w:p>
    <w:p>
      <w:pPr>
        <w:spacing w:after="0" w:line="200" w:lineRule="exact"/>
        <w:rPr>
          <w:sz w:val="20"/>
          <w:szCs w:val="20"/>
          <w:color w:val="auto"/>
        </w:rPr>
      </w:pPr>
    </w:p>
    <w:p>
      <w:pPr>
        <w:spacing w:after="0" w:line="25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September 2022, MPS entered into supplement agreements with Huzhou Saiyuan to change the repayment schedule as follows: (i) $14,629 (RMB100 million) will be repaid, together with interest accrued, on or before November 10, 2022, (ii) $14,630 (RMB100 million) will be repaid, together with interest accrued, on or before December 31, 2022, and (iii) the remaining $43,888 (RMB300 million) will be repaid, together with interest accrued, on or before January 31, 2027. The applicable interest rate will be increased to 12% if the Group is in default on the repayment of the bonds at the respective due dates. The remaining terms and conditions of the convertible bonds are unchanged.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promissory notes was contingent upon the occurrence of a Private Investment in Public Equity (“PIPE”) financing, a Liquidity Event or a new financing after June 30, 2022 but before the maturity date (“Next Financing”).</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option was elected for the measurement of the convertible notes. Changes in fair value, a loss of $3,018 and $9,861 were recorded in the unaudited condensed consolidated statements of operations for the three and nine months ended September 30, 2021,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23, 2021, upon the completion of the Business Combination between Microvast, Inc. and Tuscan, the convertible promissory notes were converted into 6,736,106 shares of Common Stock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assumed 27,600,000 publicly-traded warrants (“Public Warrants”) and 837,000 private placement warrants issued to Tuscan Holdings Acquisition LLC (the “Sponsor”) and EarlyBirdCapital, Inc. (“EarlyBirdCapital”) (“Private Warrants” and together with the Public Warrants, the “Warrants”) upon the Business Combination, all of which were issued in connection with Tuscan’s initial public offering (other than 150,000 Private Warrants that were issued in connection with the closing of the Business Combination) and entitle the holder to purchase one share of the Company’s Common Stock at an exercise price of $11.50 per share. During the three and nine months ended September 30, 2022, none of the Public Warrants or the Private Warrants were exercised.</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Public Warrants became exercisable 30 days after the completion of the Business Combination. No Warrants were exercisable for cash until the Company registered Common Stock issuable upon exercise of the Warrants with the SEC. Since the registration of shares was not completed within 90 days following the Business Combination, warrant holders were able to exercise Warrants on a net-share settlement basis until the registration statement became effective on June 8, 2022. The Public Warrants will expire five years after the completion of the Business Combination or earlier upon redemption or liquidation.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9" w:lineRule="exact"/>
        <w:rPr>
          <w:rFonts w:ascii="Arial" w:cs="Arial" w:eastAsia="Arial" w:hAnsi="Arial"/>
          <w:sz w:val="18"/>
          <w:szCs w:val="18"/>
          <w:color w:val="auto"/>
        </w:rPr>
      </w:pPr>
    </w:p>
    <w:p>
      <w:pPr>
        <w:ind w:left="980" w:right="20" w:hanging="324"/>
        <w:spacing w:after="0" w:line="265" w:lineRule="auto"/>
        <w:tabs>
          <w:tab w:leader="none" w:pos="975"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classified the Public Warrants as equity. If the Company calls the Public Warrants for redemption, management will have the option to require all holders that wish to exercise the Public Warrants to do so on a net-share settlement basis.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Business Combination.</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warrant liability was remeasured at fair value as of September 30, 2022, resulting in a gain of $101 and $921 for the three and nine months ended September 30, 2022, classified within changes in fair value of warrant liability in the unaudited condensed consolidated statements of operations, respectively.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Private Warrants were valued using the following assumptions under the Monte Carlo Model that assumes optimal exercise of the Company’s redemption option at the earliest possible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w:t>
            </w:r>
          </w:p>
        </w:tc>
      </w:tr>
      <w:tr>
        <w:trPr>
          <w:trHeight w:val="239"/>
        </w:trPr>
        <w:tc>
          <w:tcPr>
            <w:tcW w:w="95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7"/>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price of public stock</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11.50</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67.38 %</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4.09 %</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0.00 %</w:t>
            </w:r>
          </w:p>
        </w:tc>
      </w:tr>
    </w:tbl>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measured its financial assets and liabilities, including cash and cash equivalents, restricted cash and warrant liability at fair value on a recurring basis as of December 31, 2021 and September 30, 2022. Cash and cash equivalents and restricted cash are classified within Level 1 of the fair value hierarchy because they are valued based on the quoted market price in an active market. The fair value of the warrant liability is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See Note 10 – Warrants.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September 30, 2022, information about inputs for the fair value measurements of the Group’s assets and liabilities that are measured at fair value on a recurring basis in periods subsequent to their initial recognition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4120" w:type="dxa"/>
            <w:vAlign w:val="bottom"/>
            <w:tcBorders>
              <w:bottom w:val="single" w:sz="8" w:color="auto"/>
            </w:tcBorders>
            <w:gridSpan w:val="7"/>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89"/>
              </w:rPr>
              <w:t>Fair Value Measurement as of December 31, 2021</w:t>
            </w: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88"/>
              </w:rPr>
              <w:t>Quoted Prices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Significant Other</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Active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7"/>
              </w:rPr>
              <w:t>for Identical Assets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0"/>
              </w:rPr>
              <w:t>Observable Inputs</w:t>
            </w:r>
          </w:p>
        </w:tc>
        <w:tc>
          <w:tcPr>
            <w:tcW w:w="18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0"/>
              </w:rPr>
              <w:t>Unobservable Inputs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1"/>
                <w:szCs w:val="21"/>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(Level 2)</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(Level 3)</w:t>
            </w:r>
          </w:p>
        </w:tc>
        <w:tc>
          <w:tcPr>
            <w:tcW w:w="380" w:type="dxa"/>
            <w:vAlign w:val="bottom"/>
          </w:tcPr>
          <w:p>
            <w:pPr>
              <w:spacing w:after="0"/>
              <w:rPr>
                <w:sz w:val="21"/>
                <w:szCs w:val="21"/>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55,178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55,178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financial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w:t>
            </w:r>
          </w:p>
        </w:tc>
        <w:tc>
          <w:tcPr>
            <w:tcW w:w="0" w:type="dxa"/>
            <w:vAlign w:val="bottom"/>
          </w:tcPr>
          <w:p>
            <w:pPr>
              <w:spacing w:after="0"/>
              <w:rPr>
                <w:sz w:val="1"/>
                <w:szCs w:val="1"/>
                <w:color w:val="auto"/>
              </w:rPr>
            </w:pPr>
          </w:p>
        </w:tc>
      </w:tr>
      <w:tr>
        <w:trPr>
          <w:trHeight w:val="898"/>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basis-continued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7"/>
          </w:tcPr>
          <w:p>
            <w:pPr>
              <w:jc w:val="right"/>
              <w:ind w:right="190"/>
              <w:spacing w:after="0"/>
              <w:rPr>
                <w:sz w:val="20"/>
                <w:szCs w:val="20"/>
                <w:color w:val="auto"/>
              </w:rPr>
            </w:pPr>
            <w:r>
              <w:rPr>
                <w:rFonts w:ascii="Arial" w:cs="Arial" w:eastAsia="Arial" w:hAnsi="Arial"/>
                <w:sz w:val="18"/>
                <w:szCs w:val="18"/>
                <w:b w:val="1"/>
                <w:bCs w:val="1"/>
                <w:color w:val="auto"/>
              </w:rPr>
              <w:t>Fair Value Measurement as of September 30, 2022</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Quoted Prices in</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Significant Other</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Active Market</w:t>
            </w: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78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89"/>
              </w:rPr>
              <w:t>for Identical Assets</w:t>
            </w: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1"/>
              </w:rPr>
              <w:t>Observable Inputs</w:t>
            </w: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9"/>
              </w:rPr>
              <w:t>Unobservable Inputs</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(Level 2)</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(Level 3)</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295,816</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295,816</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119,883</w:t>
            </w: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119,883</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415,699</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415,699</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financial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balances for Level 3 convertible notes during the nine months ended September 30,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Convertible Notes</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Issuance of convertible notes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57,500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of convertible notes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Conversion as of Merger</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(67,361)</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Level 3 warrant liability during the nine months ended September 30, 2021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warrant liability upon Merger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measured the long-lived assets using the income approach—discounted cash flow method, when events or changes in circumstances indicate that the carrying amount of an asset may no longer be recoverable.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has operating leases for office spaces and warehouses. Certain leases include renewal options and/or termination options, which are factored into the Group's determination of lease payments when appropriate.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cost for the three and nine months ended September 30, 2022 was $743 and $2,290, respectively, which excluded cost of short-term contracts. Short-term lease cost for the three and nine months ended September 30, 2022 was $87 and $296,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the weighted average remaining lease term was 11.9 years and weighted average discount rate was 4.9% for the Group's operating leases.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Supplemental cash flow information of the leases were as follows:</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18"/>
        </w:trPr>
        <w:tc>
          <w:tcPr>
            <w:tcW w:w="8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Nine months ended</w:t>
            </w:r>
          </w:p>
        </w:tc>
      </w:tr>
      <w:tr>
        <w:trPr>
          <w:trHeight w:val="239"/>
        </w:trPr>
        <w:tc>
          <w:tcPr>
            <w:tcW w:w="89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September 30, 2022</w:t>
            </w:r>
          </w:p>
        </w:tc>
      </w:tr>
      <w:tr>
        <w:trPr>
          <w:trHeight w:val="227"/>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553"/>
        </w:trPr>
        <w:tc>
          <w:tcPr>
            <w:tcW w:w="8960" w:type="dxa"/>
            <w:vAlign w:val="bottom"/>
          </w:tcPr>
          <w:p>
            <w:pPr>
              <w:spacing w:after="0"/>
              <w:rPr>
                <w:sz w:val="20"/>
                <w:szCs w:val="20"/>
                <w:color w:val="auto"/>
              </w:rPr>
            </w:pPr>
            <w:r>
              <w:rPr>
                <w:rFonts w:ascii="Arial" w:cs="Arial" w:eastAsia="Arial" w:hAnsi="Arial"/>
                <w:sz w:val="18"/>
                <w:szCs w:val="18"/>
                <w:color w:val="auto"/>
                <w:w w:val="93"/>
              </w:rPr>
              <w:t>The following is a maturity analysis of the annual undiscounted cash flows for lease liabilities as of September 30, 2022:</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43"/>
        </w:trPr>
        <w:tc>
          <w:tcPr>
            <w:tcW w:w="8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As of September 30, 2022</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period ending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r>
      <w:tr>
        <w:trPr>
          <w:trHeight w:val="22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future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20,252</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15,432</w:t>
            </w:r>
          </w:p>
        </w:tc>
      </w:tr>
      <w:tr>
        <w:trPr>
          <w:trHeight w:val="21"/>
        </w:trPr>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July 21, 2021, the Company adopted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schedules, using the Common Exchange Ratio of 160.3. The 2021 Plan reserved 5% of the fully-diluted shares of Common Stock outstanding immediately following the Closing Date plus the shares underlying awards rolled over from the 2012 Plan for issuance in accordance with the 2021 Plan’s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 - continued</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April 14, 2022, the Company's former Chief Financial Officer's ("Former CFO") employment with the Company terminated. Simultaneously, a transition services agreement was entered into between the Company and the Former CFO for the provision of advisory services to the Company with an initial term of 18 months commencing on the date of the Former CFO's termination of employment. Upon the Former CFO's termination of employment, all 1,122,100 stock options and 2,860,713 capped non-vested share units held by the Former CFO immediately vested in full and a $4,897 cash payment was made to the Former CFO related to the settlement of capped non-vested share units. The Former CFO's stock options remain exercisable until three months following the termination of his transition services agreement with the Company. Because he continues to provide advisory services to the Company, the Former CFO is an eligible person rendering services under the 2012 Plan, and the accelerated vesting and extended exercise period of his stock options were in accordance with the terms and conditions of the Former CFO's employment agreement and stock option award agreement. As such, the changes are not considered a modification under ASC 718. During the nine months ended September 30, 2022, $16,778 of share-based compensation expense was recognized in connection with the vesting of the Former CFO's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14, 2022 and June 7, 2022, the Company granted 1,800,000 and 600,000 stock options to two new executive officers and two employees, subject to service conditions, respectively. The service conditions require the participant’s continued employment with the Company through the applicable vesting dates.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July 7, 2022, the Company granted 500,000 stock options to an employee with an exercise price of $2.42. The vesting of these options is subject to a service condition of continued employment with the Company through the applicable vesting dates and performance condition which requires the achievement of certain performance criteria as defined in the award agreement. The criteria is probable to achieve and therefore related expenses were recognized.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the stock options was determined using the Black Scholes model with the following assumptions:</w:t>
      </w:r>
    </w:p>
    <w:p>
      <w:pPr>
        <w:spacing w:after="0" w:line="250"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Nine months ended</w:t>
      </w:r>
    </w:p>
    <w:p>
      <w:pPr>
        <w:ind w:left="9340"/>
        <w:spacing w:after="0"/>
        <w:rPr>
          <w:sz w:val="20"/>
          <w:szCs w:val="20"/>
          <w:color w:val="auto"/>
        </w:rPr>
      </w:pPr>
      <w:r>
        <w:rPr>
          <w:rFonts w:ascii="Arial" w:cs="Arial" w:eastAsia="Arial" w:hAnsi="Arial"/>
          <w:sz w:val="18"/>
          <w:szCs w:val="18"/>
          <w:b w:val="1"/>
          <w:bCs w:val="1"/>
          <w:color w:val="auto"/>
        </w:rPr>
        <w:t>September 30,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2.42</w:t>
            </w:r>
          </w:p>
        </w:tc>
        <w:tc>
          <w:tcPr>
            <w:tcW w:w="4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5.69</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Expected terms (years)</w:t>
            </w:r>
          </w:p>
        </w:tc>
        <w:tc>
          <w:tcPr>
            <w:tcW w:w="26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6.00</w:t>
            </w:r>
          </w:p>
        </w:tc>
        <w:tc>
          <w:tcPr>
            <w:tcW w:w="760" w:type="dxa"/>
            <w:vAlign w:val="bottom"/>
          </w:tcPr>
          <w:p>
            <w:pPr>
              <w:spacing w:after="0"/>
              <w:rPr>
                <w:sz w:val="19"/>
                <w:szCs w:val="19"/>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56.16 %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57.84 %</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2.79 %</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3.02 %</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760" w:type="dxa"/>
            <w:vAlign w:val="bottom"/>
            <w:tcBorders>
              <w:bottom w:val="single" w:sz="8" w:color="auto"/>
            </w:tcBorders>
            <w:shd w:val="clear" w:color="auto" w:fill="CCEEFF"/>
          </w:tcPr>
          <w:p>
            <w:pPr>
              <w:spacing w:after="0"/>
              <w:rPr>
                <w:sz w:val="19"/>
                <w:szCs w:val="19"/>
                <w:color w:val="auto"/>
              </w:rPr>
            </w:pPr>
          </w:p>
        </w:tc>
      </w:tr>
      <w:tr>
        <w:trPr>
          <w:trHeight w:val="224"/>
        </w:trPr>
        <w:tc>
          <w:tcPr>
            <w:tcW w:w="8960" w:type="dxa"/>
            <w:vAlign w:val="bottom"/>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3.19</w:t>
            </w:r>
          </w:p>
        </w:tc>
      </w:tr>
    </w:tbl>
    <w:p>
      <w:pPr>
        <w:spacing w:after="0" w:line="3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estimated based on the historical stock price volatility of comparable listed companies over a period comparable to the expected term of the options. Risk-free interest rate was estimated based on the market yield of US Government Bonds with maturity close to the expected term of the options. The dividend yield was estimated by the Company based on its expected dividend policy over the expected term of the options.</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and nine months ended September 30, 2022, the Company recorded share-based compensation expense of $14,081 and $46,043 related to the option awards,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options-continued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options activity for the nine months ended September 30, 2021 and 2022 was as follows (all stock award activity was retroactively restated to reflect the conversion in July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84"/>
        </w:trPr>
        <w:tc>
          <w:tcPr>
            <w:tcW w:w="4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00"/>
              <w:spacing w:after="0" w:line="184" w:lineRule="exact"/>
              <w:rPr>
                <w:sz w:val="20"/>
                <w:szCs w:val="20"/>
                <w:color w:val="auto"/>
              </w:rPr>
            </w:pPr>
            <w:r>
              <w:rPr>
                <w:rFonts w:ascii="Arial" w:cs="Arial" w:eastAsia="Arial" w:hAnsi="Arial"/>
                <w:sz w:val="18"/>
                <w:szCs w:val="18"/>
                <w:b w:val="1"/>
                <w:bCs w:val="1"/>
                <w:color w:val="auto"/>
                <w:w w:val="89"/>
              </w:rPr>
              <w:t>Exercise Price</w:t>
            </w:r>
          </w:p>
        </w:tc>
        <w:tc>
          <w:tcPr>
            <w:tcW w:w="120" w:type="dxa"/>
            <w:vAlign w:val="bottom"/>
          </w:tcPr>
          <w:p>
            <w:pPr>
              <w:spacing w:after="0"/>
              <w:rPr>
                <w:sz w:val="16"/>
                <w:szCs w:val="16"/>
                <w:color w:val="auto"/>
              </w:rPr>
            </w:pPr>
          </w:p>
        </w:tc>
        <w:tc>
          <w:tcPr>
            <w:tcW w:w="1540" w:type="dxa"/>
            <w:vAlign w:val="bottom"/>
            <w:gridSpan w:val="2"/>
          </w:tcPr>
          <w:p>
            <w:pPr>
              <w:jc w:val="center"/>
              <w:ind w:right="260"/>
              <w:spacing w:after="0" w:line="184" w:lineRule="exact"/>
              <w:rPr>
                <w:sz w:val="20"/>
                <w:szCs w:val="20"/>
                <w:color w:val="auto"/>
              </w:rPr>
            </w:pPr>
            <w:r>
              <w:rPr>
                <w:rFonts w:ascii="Arial" w:cs="Arial" w:eastAsia="Arial" w:hAnsi="Arial"/>
                <w:sz w:val="18"/>
                <w:szCs w:val="18"/>
                <w:b w:val="1"/>
                <w:bCs w:val="1"/>
                <w:color w:val="auto"/>
                <w:w w:val="95"/>
              </w:rPr>
              <w:t>Grant Date</w:t>
            </w:r>
          </w:p>
        </w:tc>
        <w:tc>
          <w:tcPr>
            <w:tcW w:w="16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r>
      <w:tr>
        <w:trPr>
          <w:trHeight w:val="234"/>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 options life</w:t>
            </w: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(US$)</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Fair Value (US $)</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34,737,967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spacing w:after="0"/>
              <w:rPr>
                <w:sz w:val="20"/>
                <w:szCs w:val="20"/>
                <w:color w:val="auto"/>
              </w:rPr>
            </w:pPr>
            <w:r>
              <w:rPr>
                <w:rFonts w:ascii="Arial" w:cs="Arial" w:eastAsia="Arial" w:hAnsi="Arial"/>
                <w:sz w:val="18"/>
                <w:szCs w:val="18"/>
                <w:color w:val="auto"/>
              </w:rPr>
              <w:t>(1,186,220)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33,551,747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w w:val="96"/>
              </w:rPr>
              <w:t>Expected to vest and exercisable as of September 30, 2021</w:t>
            </w:r>
          </w:p>
        </w:tc>
        <w:tc>
          <w:tcPr>
            <w:tcW w:w="1580" w:type="dxa"/>
            <w:vAlign w:val="bottom"/>
          </w:tcPr>
          <w:p>
            <w:pPr>
              <w:jc w:val="right"/>
              <w:spacing w:after="0"/>
              <w:rPr>
                <w:sz w:val="20"/>
                <w:szCs w:val="20"/>
                <w:color w:val="auto"/>
              </w:rPr>
            </w:pPr>
            <w:r>
              <w:rPr>
                <w:rFonts w:ascii="Arial" w:cs="Arial" w:eastAsia="Arial" w:hAnsi="Arial"/>
                <w:sz w:val="18"/>
                <w:szCs w:val="18"/>
                <w:color w:val="auto"/>
              </w:rPr>
              <w:t>33,551,747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33,503,657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Grant</w:t>
            </w:r>
          </w:p>
        </w:tc>
        <w:tc>
          <w:tcPr>
            <w:tcW w:w="1580" w:type="dxa"/>
            <w:vAlign w:val="bottom"/>
          </w:tcPr>
          <w:p>
            <w:pPr>
              <w:jc w:val="right"/>
              <w:spacing w:after="0"/>
              <w:rPr>
                <w:sz w:val="20"/>
                <w:szCs w:val="20"/>
                <w:color w:val="auto"/>
              </w:rPr>
            </w:pPr>
            <w:r>
              <w:rPr>
                <w:rFonts w:ascii="Arial" w:cs="Arial" w:eastAsia="Arial" w:hAnsi="Arial"/>
                <w:sz w:val="18"/>
                <w:szCs w:val="18"/>
                <w:color w:val="auto"/>
              </w:rPr>
              <w:t>2,900,000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spacing w:after="0"/>
              <w:rPr>
                <w:sz w:val="20"/>
                <w:szCs w:val="20"/>
                <w:color w:val="auto"/>
              </w:rPr>
            </w:pPr>
            <w:r>
              <w:rPr>
                <w:rFonts w:ascii="Arial" w:cs="Arial" w:eastAsia="Arial" w:hAnsi="Arial"/>
                <w:sz w:val="18"/>
                <w:szCs w:val="18"/>
                <w:color w:val="auto"/>
              </w:rPr>
              <w:t>(227,092)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w w:val="96"/>
              </w:rPr>
              <w:t>Expected to vest and exercisable as of September 30, 2022</w:t>
            </w:r>
          </w:p>
        </w:tc>
        <w:tc>
          <w:tcPr>
            <w:tcW w:w="1580" w:type="dxa"/>
            <w:vAlign w:val="bottom"/>
          </w:tcPr>
          <w:p>
            <w:pPr>
              <w:jc w:val="right"/>
              <w:spacing w:after="0"/>
              <w:rPr>
                <w:sz w:val="20"/>
                <w:szCs w:val="20"/>
                <w:color w:val="auto"/>
              </w:rPr>
            </w:pPr>
            <w:r>
              <w:rPr>
                <w:rFonts w:ascii="Arial" w:cs="Arial" w:eastAsia="Arial" w:hAnsi="Arial"/>
                <w:sz w:val="18"/>
                <w:szCs w:val="18"/>
                <w:color w:val="auto"/>
              </w:rPr>
              <w:t>24,300,735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unrecognized equity-based compensation costs as of September 30, 2022 related to the stock options was $103,243, which is expected to be recognized over a weighted-average period of 1.9 years. The aggregate intrinsic value of the stock options as of September 30, 2022 was $0.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capped non-vested share units ("CRSUs") represent rights for the holder to receive cash determined by the number of shares granted multiplied by the lower of the fair market value and the capped price, which will be settled in the form of cash payments. The CRSUs were accounted for as liability classified awards.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June 27, 2022, the Board of Directors and Compensation Committee approved a modification of the settlement terms of 20,023,699 CRSUs under the 2021 Plan from cash settlement to share settlement (the “Modification”). Pursuant to the Modification, on each vesting date, if the stock price is higher than the capped price, the number of shares to be issued will be calculated based on the following formula: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to be issued = Capped price* Number of shares vested /Vesting date stock price</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the stock price is equal to or less than the capped price, the Company will grant a fixed number of shares on each vesting date based on the vesting schedule. All other terms of the CRSUs remain unchanged. The Modification resulted in a change of the CRSUs’ classification from liability to equity, as the predominant feature of the modified CRSUs was the granting of a fixed number of shares on each vesting date instead of a fixed monetary amount. The determination of the predominant feature was based on the estimated probability of how the awards will be settled using the Monte Carlo model.</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the Modification date, the Company reclassified the amounts previously recorded as a share-based compensation liability to additional paid-in capital. The modified CRSUs were accounted for as an equity award going forward from the date of the Modification with compensation expenses recognized for each tranche at the fair value measured on the modification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Capped Non-vested share units-continued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At the Modification date, the Company used the Monte Carlo valuation model in determining the fair value of the CRSUs with assumptions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5080" w:type="dxa"/>
            <w:vAlign w:val="bottom"/>
            <w:gridSpan w:val="2"/>
          </w:tcPr>
          <w:p>
            <w:pPr>
              <w:jc w:val="right"/>
              <w:spacing w:after="0"/>
              <w:rPr>
                <w:sz w:val="20"/>
                <w:szCs w:val="20"/>
                <w:color w:val="auto"/>
              </w:rPr>
            </w:pPr>
            <w:r>
              <w:rPr>
                <w:rFonts w:ascii="Arial" w:cs="Arial" w:eastAsia="Arial" w:hAnsi="Arial"/>
                <w:sz w:val="18"/>
                <w:szCs w:val="18"/>
                <w:b w:val="1"/>
                <w:bCs w:val="1"/>
                <w:color w:val="auto"/>
              </w:rPr>
              <w:t>Modification Date</w:t>
            </w:r>
          </w:p>
        </w:tc>
        <w:tc>
          <w:tcPr>
            <w:tcW w:w="700" w:type="dxa"/>
            <w:vAlign w:val="bottom"/>
          </w:tcPr>
          <w:p>
            <w:pPr>
              <w:spacing w:after="0"/>
              <w:rPr>
                <w:sz w:val="20"/>
                <w:szCs w:val="20"/>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080" w:type="dxa"/>
            <w:vAlign w:val="bottom"/>
            <w:gridSpan w:val="2"/>
          </w:tcPr>
          <w:p>
            <w:pPr>
              <w:jc w:val="right"/>
              <w:ind w:right="590"/>
              <w:spacing w:after="0"/>
              <w:rPr>
                <w:sz w:val="20"/>
                <w:szCs w:val="20"/>
                <w:color w:val="auto"/>
              </w:rPr>
            </w:pPr>
            <w:r>
              <w:rPr>
                <w:rFonts w:ascii="Arial" w:cs="Arial" w:eastAsia="Arial" w:hAnsi="Arial"/>
                <w:sz w:val="18"/>
                <w:szCs w:val="18"/>
                <w:color w:val="auto"/>
              </w:rPr>
              <w:t>50.93 % ~</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73.89 %</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0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1.15 %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Expected dividend yields</w:t>
            </w:r>
          </w:p>
        </w:tc>
        <w:tc>
          <w:tcPr>
            <w:tcW w:w="5080" w:type="dxa"/>
            <w:vAlign w:val="bottom"/>
            <w:gridSpan w:val="2"/>
          </w:tcPr>
          <w:p>
            <w:pPr>
              <w:jc w:val="right"/>
              <w:ind w:right="450"/>
              <w:spacing w:after="0"/>
              <w:rPr>
                <w:sz w:val="20"/>
                <w:szCs w:val="20"/>
                <w:color w:val="auto"/>
              </w:rPr>
            </w:pPr>
            <w:r>
              <w:rPr>
                <w:rFonts w:ascii="Arial" w:cs="Arial" w:eastAsia="Arial" w:hAnsi="Arial"/>
                <w:sz w:val="18"/>
                <w:szCs w:val="18"/>
                <w:color w:val="auto"/>
              </w:rPr>
              <w:t>0.00%</w:t>
            </w:r>
          </w:p>
        </w:tc>
        <w:tc>
          <w:tcPr>
            <w:tcW w:w="700" w:type="dxa"/>
            <w:vAlign w:val="bottom"/>
          </w:tcPr>
          <w:p>
            <w:pPr>
              <w:spacing w:after="0"/>
              <w:rPr>
                <w:sz w:val="20"/>
                <w:szCs w:val="20"/>
                <w:color w:val="auto"/>
              </w:rPr>
            </w:pPr>
          </w:p>
        </w:tc>
      </w:tr>
    </w:tbl>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Expected term was the time left (in years) from the Modification date to the vesting date based on the terms of the applicable award agreements. The volatility of the underlying common stock was estimated based on the historical stock price volatility of comparable listed companies over a period comparable to the expected term of the awards. Risk-free interest rate was estimated based on the market yield of US Government Bonds with maturity close to the expected term of the awards. The dividend yield was estimated by the Company based on its expected dividend policy over the expected term of the awards.</w:t>
      </w:r>
    </w:p>
    <w:p>
      <w:pPr>
        <w:spacing w:after="0" w:line="201"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During the three and nine months ended September 30, 2022, the Company recorded share-based compensation expense of $4,367 and $29,481, respectively, related to these CRSUs awards.</w:t>
      </w: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CRSUs' activity for the nine months ended September 30, 2021 and 2022 was as follows (all award activity was retroactively restated to reflect the conversion in July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3940" w:type="dxa"/>
            <w:vAlign w:val="bottom"/>
            <w:gridSpan w:val="2"/>
            <w:vMerge w:val="restart"/>
          </w:tcPr>
          <w:p>
            <w:pPr>
              <w:jc w:val="center"/>
              <w:ind w:left="2090"/>
              <w:spacing w:after="0"/>
              <w:rPr>
                <w:sz w:val="20"/>
                <w:szCs w:val="20"/>
                <w:color w:val="auto"/>
              </w:rPr>
            </w:pPr>
            <w:r>
              <w:rPr>
                <w:rFonts w:ascii="Arial" w:cs="Arial" w:eastAsia="Arial" w:hAnsi="Arial"/>
                <w:sz w:val="18"/>
                <w:szCs w:val="18"/>
                <w:b w:val="1"/>
                <w:bCs w:val="1"/>
                <w:color w:val="auto"/>
                <w:w w:val="92"/>
              </w:rPr>
              <w:t>Number on</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Grant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3940" w:type="dxa"/>
            <w:vAlign w:val="bottom"/>
            <w:gridSpan w:val="2"/>
          </w:tcPr>
          <w:p>
            <w:pPr>
              <w:jc w:val="center"/>
              <w:ind w:left="2090"/>
              <w:spacing w:after="0" w:line="189" w:lineRule="exact"/>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Date Fair 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3940" w:type="dxa"/>
            <w:vAlign w:val="bottom"/>
            <w:gridSpan w:val="2"/>
          </w:tcPr>
          <w:p>
            <w:pPr>
              <w:jc w:val="center"/>
              <w:ind w:left="209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 (US$)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3860" w:type="dxa"/>
            <w:vAlign w:val="bottom"/>
            <w:tcBorders>
              <w:top w:val="single" w:sz="8" w:color="auto"/>
            </w:tcBorders>
            <w:shd w:val="clear" w:color="auto" w:fill="CCEEFF"/>
          </w:tcPr>
          <w:p>
            <w:pPr>
              <w:ind w:left="2980"/>
              <w:spacing w:after="0"/>
              <w:rPr>
                <w:sz w:val="20"/>
                <w:szCs w:val="20"/>
                <w:color w:val="auto"/>
              </w:rPr>
            </w:pPr>
            <w:r>
              <w:rPr>
                <w:rFonts w:ascii="Arial" w:cs="Arial" w:eastAsia="Arial" w:hAnsi="Arial"/>
                <w:sz w:val="18"/>
                <w:szCs w:val="18"/>
                <w:color w:val="auto"/>
                <w:w w:val="95"/>
              </w:rPr>
              <w:t>23,027,399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20"/>
              <w:spacing w:after="0"/>
              <w:rPr>
                <w:sz w:val="20"/>
                <w:szCs w:val="20"/>
                <w:color w:val="auto"/>
              </w:rPr>
            </w:pPr>
            <w:r>
              <w:rPr>
                <w:rFonts w:ascii="Arial" w:cs="Arial" w:eastAsia="Arial" w:hAnsi="Arial"/>
                <w:sz w:val="18"/>
                <w:szCs w:val="18"/>
                <w:color w:val="auto"/>
              </w:rPr>
              <w:t>Outstanding as of September 30, 2021</w:t>
            </w:r>
          </w:p>
        </w:tc>
        <w:tc>
          <w:tcPr>
            <w:tcW w:w="3860" w:type="dxa"/>
            <w:vAlign w:val="bottom"/>
          </w:tcPr>
          <w:p>
            <w:pPr>
              <w:ind w:left="2980"/>
              <w:spacing w:after="0"/>
              <w:rPr>
                <w:sz w:val="20"/>
                <w:szCs w:val="20"/>
                <w:color w:val="auto"/>
              </w:rPr>
            </w:pPr>
            <w:r>
              <w:rPr>
                <w:rFonts w:ascii="Arial" w:cs="Arial" w:eastAsia="Arial" w:hAnsi="Arial"/>
                <w:sz w:val="18"/>
                <w:szCs w:val="18"/>
                <w:color w:val="auto"/>
                <w:w w:val="95"/>
              </w:rPr>
              <w:t>23,027,399</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3860" w:type="dxa"/>
            <w:vAlign w:val="bottom"/>
            <w:shd w:val="clear" w:color="auto" w:fill="CCEEFF"/>
          </w:tcPr>
          <w:p>
            <w:pPr>
              <w:ind w:left="2980"/>
              <w:spacing w:after="0"/>
              <w:rPr>
                <w:sz w:val="20"/>
                <w:szCs w:val="20"/>
                <w:color w:val="auto"/>
              </w:rPr>
            </w:pPr>
            <w:r>
              <w:rPr>
                <w:rFonts w:ascii="Arial" w:cs="Arial" w:eastAsia="Arial" w:hAnsi="Arial"/>
                <w:sz w:val="18"/>
                <w:szCs w:val="18"/>
                <w:color w:val="auto"/>
                <w:w w:val="95"/>
              </w:rPr>
              <w:t>23,027,399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Vested</w:t>
            </w:r>
          </w:p>
        </w:tc>
        <w:tc>
          <w:tcPr>
            <w:tcW w:w="3860" w:type="dxa"/>
            <w:vAlign w:val="bottom"/>
          </w:tcPr>
          <w:p>
            <w:pPr>
              <w:ind w:left="2980"/>
              <w:spacing w:after="0"/>
              <w:rPr>
                <w:sz w:val="20"/>
                <w:szCs w:val="20"/>
                <w:color w:val="auto"/>
              </w:rPr>
            </w:pPr>
            <w:r>
              <w:rPr>
                <w:rFonts w:ascii="Arial" w:cs="Arial" w:eastAsia="Arial" w:hAnsi="Arial"/>
                <w:sz w:val="18"/>
                <w:szCs w:val="18"/>
                <w:color w:val="auto"/>
                <w:w w:val="93"/>
              </w:rPr>
              <w:t>(9,582,930)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3860" w:type="dxa"/>
            <w:vAlign w:val="bottom"/>
            <w:shd w:val="clear" w:color="auto" w:fill="CCEEFF"/>
          </w:tcPr>
          <w:p>
            <w:pPr>
              <w:ind w:left="2980"/>
              <w:spacing w:after="0"/>
              <w:rPr>
                <w:sz w:val="20"/>
                <w:szCs w:val="20"/>
                <w:color w:val="auto"/>
              </w:rPr>
            </w:pPr>
            <w:r>
              <w:rPr>
                <w:rFonts w:ascii="Arial" w:cs="Arial" w:eastAsia="Arial" w:hAnsi="Arial"/>
                <w:sz w:val="18"/>
                <w:szCs w:val="18"/>
                <w:color w:val="auto"/>
                <w:w w:val="95"/>
              </w:rPr>
              <w:t>13,444,469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unrecognized equity-based compensation costs as of September 30, 2022 related to CRSUs was $15,798.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Business Combination, the Company granted 693,232 restricted stock units (“RSUs”) and 1,274,222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relative to a comparator group during a specified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2" w:lineRule="exact"/>
        <w:rPr>
          <w:sz w:val="20"/>
          <w:szCs w:val="20"/>
          <w:color w:val="auto"/>
        </w:rPr>
      </w:pPr>
    </w:p>
    <w:p>
      <w:pPr>
        <w:ind w:right="260" w:firstLine="8"/>
        <w:spacing w:after="0" w:line="202" w:lineRule="auto"/>
        <w:tabs>
          <w:tab w:leader="none" w:pos="138" w:val="left"/>
        </w:tabs>
        <w:numPr>
          <w:ilvl w:val="0"/>
          <w:numId w:val="3"/>
        </w:numPr>
        <w:rPr>
          <w:rFonts w:ascii="Arial" w:cs="Arial" w:eastAsia="Arial" w:hAnsi="Arial"/>
          <w:sz w:val="28"/>
          <w:szCs w:val="28"/>
          <w:color w:val="auto"/>
          <w:vertAlign w:val="superscript"/>
        </w:rPr>
      </w:pPr>
      <w:r>
        <w:rPr>
          <w:rFonts w:ascii="Arial" w:cs="Arial" w:eastAsia="Arial" w:hAnsi="Arial"/>
          <w:sz w:val="18"/>
          <w:szCs w:val="18"/>
          <w:color w:val="auto"/>
        </w:rPr>
        <w:t>The amount represents the Modification date value per share as of July 25, 2021. As of the Modification date, the settled price was the capped price as described above.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Units-continued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RSUs is determined by the market closing price of Common Stock at the grant date and is amortized over the vesting period on a straight-line basis. The fair value of PSUs that include vesting based on market conditions are estimated using the Monte Carlo valuation method. For PSU awards with performance conditions, share-based compensation expense is only recognized if the performance conditions become probable to be satisfied. Compensation cost for these awards is amortized on a straight-line basis over the vesting period based on the grant date fair value, regardless of whether the market condition is satisfied. Accordingly, the Company recorded share-based compensation expense of $345 and $1,048 related to these RSUs and $621 and $1,653 related to these PSUs during the three and nine months ended September 30, 2022,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assumptions were used for respective period to calculate the fair value of common stock to be issued under TSR awards on the date of grant using the Monte Carlo model: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7"/>
                <w:szCs w:val="17"/>
                <w:color w:val="auto"/>
              </w:rPr>
            </w:pP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916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September 30, 2022</w:t>
            </w:r>
          </w:p>
        </w:tc>
      </w:tr>
      <w:tr>
        <w:trPr>
          <w:trHeight w:val="227"/>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060" w:type="dxa"/>
            <w:vAlign w:val="bottom"/>
          </w:tcPr>
          <w:p>
            <w:pPr>
              <w:jc w:val="right"/>
              <w:spacing w:after="0"/>
              <w:rPr>
                <w:sz w:val="20"/>
                <w:szCs w:val="20"/>
                <w:color w:val="auto"/>
              </w:rPr>
            </w:pPr>
            <w:r>
              <w:rPr>
                <w:rFonts w:ascii="Arial" w:cs="Arial" w:eastAsia="Arial" w:hAnsi="Arial"/>
                <w:sz w:val="18"/>
                <w:szCs w:val="18"/>
                <w:color w:val="auto"/>
              </w:rPr>
              <w:t>59.50 %</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Expected dividend yields</w:t>
            </w:r>
          </w:p>
        </w:tc>
        <w:tc>
          <w:tcPr>
            <w:tcW w:w="2060" w:type="dxa"/>
            <w:vAlign w:val="bottom"/>
          </w:tcPr>
          <w:p>
            <w:pPr>
              <w:jc w:val="right"/>
              <w:spacing w:after="0"/>
              <w:rPr>
                <w:sz w:val="20"/>
                <w:szCs w:val="20"/>
                <w:color w:val="auto"/>
              </w:rPr>
            </w:pPr>
            <w:r>
              <w:rPr>
                <w:rFonts w:ascii="Arial" w:cs="Arial" w:eastAsia="Arial" w:hAnsi="Arial"/>
                <w:sz w:val="18"/>
                <w:szCs w:val="18"/>
                <w:color w:val="auto"/>
              </w:rPr>
              <w:t>0.00 %</w:t>
            </w:r>
          </w:p>
        </w:tc>
      </w:tr>
    </w:tbl>
    <w:p>
      <w:pPr>
        <w:spacing w:after="0" w:line="36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Expected term was derived based on the remaining time from the grant date through the end of the performance period. The volatility of the underlying common stock during the lives of the awards was estimated based on the historical stock price volatility of comparable listed companies over a period comparable to the expected term of the awards. Risk-free interest rate was estimated based on the market yield of US Government Bond with maturity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close to the expected term of the awards. The dividend yield was estimated by the Company based on its expected dividend policy over the expected term of the awards.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w w:val="89"/>
              </w:rPr>
              <w:t>The non-vested shares activity for the nine months ended September 30, 2021 and 2022 was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00" w:type="dxa"/>
            <w:vAlign w:val="bottom"/>
          </w:tcPr>
          <w:p>
            <w:pPr>
              <w:spacing w:after="0"/>
              <w:rPr>
                <w:sz w:val="24"/>
                <w:szCs w:val="2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24"/>
                <w:szCs w:val="24"/>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8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7"/>
              </w:rPr>
              <w:t>Non-Vested</w:t>
            </w:r>
          </w:p>
        </w:tc>
        <w:tc>
          <w:tcPr>
            <w:tcW w:w="220" w:type="dxa"/>
            <w:vAlign w:val="bottom"/>
          </w:tcPr>
          <w:p>
            <w:pPr>
              <w:spacing w:after="0"/>
              <w:rPr>
                <w:sz w:val="16"/>
                <w:szCs w:val="16"/>
                <w:color w:val="auto"/>
              </w:rPr>
            </w:pPr>
          </w:p>
        </w:tc>
        <w:tc>
          <w:tcPr>
            <w:tcW w:w="170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9"/>
                <w:szCs w:val="19"/>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Per Share (US$)</w:t>
            </w:r>
          </w:p>
        </w:tc>
        <w:tc>
          <w:tcPr>
            <w:tcW w:w="0" w:type="dxa"/>
            <w:vAlign w:val="bottom"/>
          </w:tcPr>
          <w:p>
            <w:pPr>
              <w:spacing w:after="0"/>
              <w:rPr>
                <w:sz w:val="1"/>
                <w:szCs w:val="1"/>
                <w:color w:val="auto"/>
              </w:rPr>
            </w:pP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Grant</w:t>
            </w:r>
          </w:p>
        </w:tc>
        <w:tc>
          <w:tcPr>
            <w:tcW w:w="1720" w:type="dxa"/>
            <w:vAlign w:val="bottom"/>
          </w:tcPr>
          <w:p>
            <w:pPr>
              <w:jc w:val="right"/>
              <w:spacing w:after="0"/>
              <w:rPr>
                <w:sz w:val="20"/>
                <w:szCs w:val="20"/>
                <w:color w:val="auto"/>
              </w:rPr>
            </w:pPr>
            <w:r>
              <w:rPr>
                <w:rFonts w:ascii="Arial" w:cs="Arial" w:eastAsia="Arial" w:hAnsi="Arial"/>
                <w:sz w:val="18"/>
                <w:szCs w:val="18"/>
                <w:color w:val="auto"/>
              </w:rPr>
              <w:t>197,940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Outstanding as of September 30, 2021</w:t>
            </w:r>
          </w:p>
        </w:tc>
        <w:tc>
          <w:tcPr>
            <w:tcW w:w="1720" w:type="dxa"/>
            <w:vAlign w:val="bottom"/>
          </w:tcPr>
          <w:p>
            <w:pPr>
              <w:jc w:val="right"/>
              <w:spacing w:after="0"/>
              <w:rPr>
                <w:sz w:val="20"/>
                <w:szCs w:val="20"/>
                <w:color w:val="auto"/>
              </w:rPr>
            </w:pPr>
            <w:r>
              <w:rPr>
                <w:rFonts w:ascii="Arial" w:cs="Arial" w:eastAsia="Arial" w:hAnsi="Arial"/>
                <w:sz w:val="18"/>
                <w:szCs w:val="18"/>
                <w:color w:val="auto"/>
              </w:rPr>
              <w:t>191,783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Grant</w:t>
            </w:r>
          </w:p>
        </w:tc>
        <w:tc>
          <w:tcPr>
            <w:tcW w:w="1720" w:type="dxa"/>
            <w:vAlign w:val="bottom"/>
          </w:tcPr>
          <w:p>
            <w:pPr>
              <w:jc w:val="right"/>
              <w:spacing w:after="0"/>
              <w:rPr>
                <w:sz w:val="20"/>
                <w:szCs w:val="20"/>
                <w:color w:val="auto"/>
              </w:rPr>
            </w:pPr>
            <w:r>
              <w:rPr>
                <w:rFonts w:ascii="Arial" w:cs="Arial" w:eastAsia="Arial" w:hAnsi="Arial"/>
                <w:sz w:val="18"/>
                <w:szCs w:val="18"/>
                <w:color w:val="auto"/>
              </w:rPr>
              <w:t>1,239,854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unrecognized equity-based compensation costs as of September 30, 2022 related to the non-vested shares was $7,213.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classification of share-based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6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Ended</w:t>
            </w: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60" w:type="dxa"/>
            <w:vAlign w:val="bottom"/>
          </w:tcPr>
          <w:p>
            <w:pPr>
              <w:spacing w:after="0"/>
              <w:rPr>
                <w:sz w:val="21"/>
                <w:szCs w:val="21"/>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2022</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2022</w:t>
            </w:r>
          </w:p>
        </w:tc>
        <w:tc>
          <w:tcPr>
            <w:tcW w:w="0" w:type="dxa"/>
            <w:vAlign w:val="bottom"/>
          </w:tcPr>
          <w:p>
            <w:pPr>
              <w:spacing w:after="0"/>
              <w:rPr>
                <w:sz w:val="1"/>
                <w:szCs w:val="1"/>
                <w:color w:val="auto"/>
              </w:rPr>
            </w:pPr>
          </w:p>
        </w:tc>
      </w:tr>
      <w:tr>
        <w:trPr>
          <w:trHeight w:val="223"/>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12,834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55,528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19,414</w:t>
            </w: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78,225</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w w:val="99"/>
              </w:rPr>
              <w:t>NOTE 14. RELATED PARTY BALANCES AND TRANSACTIONS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7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Relationship with the Group</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Ochem Chemical Co., Ltd (“Ochem”)</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color w:val="auto"/>
                <w:w w:val="93"/>
              </w:rPr>
              <w:t>Controlled by CEO</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Ochemate Material Technologies Co., Ltd (“Ochemate”)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4"/>
          </w:tcPr>
          <w:p>
            <w:pPr>
              <w:jc w:val="center"/>
              <w:ind w:right="380"/>
              <w:spacing w:after="0"/>
              <w:rPr>
                <w:sz w:val="20"/>
                <w:szCs w:val="20"/>
                <w:color w:val="auto"/>
              </w:rPr>
            </w:pPr>
            <w:r>
              <w:rPr>
                <w:rFonts w:ascii="Arial" w:cs="Arial" w:eastAsia="Arial" w:hAnsi="Arial"/>
                <w:sz w:val="18"/>
                <w:szCs w:val="18"/>
                <w:color w:val="auto"/>
                <w:w w:val="93"/>
              </w:rPr>
              <w:t>Controlled by CEO</w:t>
            </w:r>
          </w:p>
        </w:tc>
      </w:tr>
      <w:tr>
        <w:trPr>
          <w:trHeight w:val="512"/>
        </w:trPr>
        <w:tc>
          <w:tcPr>
            <w:tcW w:w="4860" w:type="dxa"/>
            <w:vAlign w:val="bottom"/>
          </w:tcPr>
          <w:p>
            <w:pPr>
              <w:spacing w:after="0"/>
              <w:rPr>
                <w:sz w:val="20"/>
                <w:szCs w:val="20"/>
                <w:color w:val="auto"/>
              </w:rPr>
            </w:pPr>
            <w:r>
              <w:rPr>
                <w:rFonts w:ascii="Arial" w:cs="Arial" w:eastAsia="Arial" w:hAnsi="Arial"/>
                <w:sz w:val="18"/>
                <w:szCs w:val="18"/>
                <w:color w:val="auto"/>
              </w:rPr>
              <w:t>(1) Related party transaction</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73"/>
        </w:trPr>
        <w:tc>
          <w:tcPr>
            <w:tcW w:w="4860" w:type="dxa"/>
            <w:vAlign w:val="bottom"/>
          </w:tcPr>
          <w:p>
            <w:pPr>
              <w:spacing w:after="0"/>
              <w:rPr>
                <w:sz w:val="24"/>
                <w:szCs w:val="24"/>
                <w:color w:val="auto"/>
              </w:rPr>
            </w:pPr>
          </w:p>
        </w:tc>
        <w:tc>
          <w:tcPr>
            <w:tcW w:w="3160" w:type="dxa"/>
            <w:vAlign w:val="bottom"/>
            <w:gridSpan w:val="7"/>
          </w:tcPr>
          <w:p>
            <w:pPr>
              <w:jc w:val="right"/>
              <w:ind w:right="210"/>
              <w:spacing w:after="0"/>
              <w:rPr>
                <w:sz w:val="20"/>
                <w:szCs w:val="20"/>
                <w:color w:val="auto"/>
              </w:rPr>
            </w:pPr>
            <w:r>
              <w:rPr>
                <w:rFonts w:ascii="Arial" w:cs="Arial" w:eastAsia="Arial" w:hAnsi="Arial"/>
                <w:sz w:val="18"/>
                <w:szCs w:val="18"/>
                <w:b w:val="1"/>
                <w:bCs w:val="1"/>
                <w:color w:val="auto"/>
                <w:w w:val="92"/>
              </w:rPr>
              <w:t>Three Months Ended September 30,</w:t>
            </w:r>
          </w:p>
        </w:tc>
        <w:tc>
          <w:tcPr>
            <w:tcW w:w="3220" w:type="dxa"/>
            <w:vAlign w:val="bottom"/>
            <w:gridSpan w:val="7"/>
          </w:tcPr>
          <w:p>
            <w:pPr>
              <w:ind w:left="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8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 sold to Ochem</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(2) Interest-free loans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MPS received certain interest-free loans from related parties, Ochemate and Ochem, for the nine months ended September 30, 2021 and 2022 with aggregated amounts of $8,426 and $0,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for the amount due from Ochem was $85 as of December 31, 2021 and $0 as of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15. NET LOSS PER SHARE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180" w:type="dxa"/>
            <w:vAlign w:val="bottom"/>
            <w:gridSpan w:val="7"/>
          </w:tcPr>
          <w:p>
            <w:pPr>
              <w:spacing w:after="0"/>
              <w:rPr>
                <w:sz w:val="20"/>
                <w:szCs w:val="20"/>
                <w:color w:val="auto"/>
              </w:rPr>
            </w:pPr>
            <w:r>
              <w:rPr>
                <w:rFonts w:ascii="Arial" w:cs="Arial" w:eastAsia="Arial" w:hAnsi="Arial"/>
                <w:sz w:val="18"/>
                <w:szCs w:val="18"/>
                <w:color w:val="auto"/>
                <w:w w:val="93"/>
              </w:rPr>
              <w:t>The following table sets forth the computation of basic and diluted net loss per share for the periods indicated: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1"/>
                <w:szCs w:val="2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Net loss attributable to common stock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(120,003)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(36,544)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(187,464)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(124,502)</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2"/>
        </w:trPr>
        <w:tc>
          <w:tcPr>
            <w:tcW w:w="5020" w:type="dxa"/>
            <w:vAlign w:val="bottom"/>
          </w:tcPr>
          <w:p>
            <w:pPr>
              <w:ind w:left="20"/>
              <w:spacing w:after="0" w:line="201" w:lineRule="exact"/>
              <w:rPr>
                <w:sz w:val="20"/>
                <w:szCs w:val="20"/>
                <w:color w:val="auto"/>
              </w:rPr>
            </w:pPr>
            <w:r>
              <w:rPr>
                <w:rFonts w:ascii="Arial" w:cs="Arial" w:eastAsia="Arial" w:hAnsi="Arial"/>
                <w:sz w:val="18"/>
                <w:szCs w:val="18"/>
                <w:color w:val="auto"/>
                <w:w w:val="99"/>
              </w:rPr>
              <w:t>Weighted average common stock used in computing basic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5020" w:type="dxa"/>
            <w:vAlign w:val="bottom"/>
          </w:tcPr>
          <w:p>
            <w:pPr>
              <w:ind w:left="180"/>
              <w:spacing w:after="0"/>
              <w:rPr>
                <w:sz w:val="20"/>
                <w:szCs w:val="20"/>
                <w:color w:val="auto"/>
              </w:rPr>
            </w:pPr>
            <w:r>
              <w:rPr>
                <w:rFonts w:ascii="Arial" w:cs="Arial" w:eastAsia="Arial" w:hAnsi="Arial"/>
                <w:sz w:val="18"/>
                <w:szCs w:val="18"/>
                <w:color w:val="auto"/>
              </w:rPr>
              <w:t>diluted net loss per share</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243,861,780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305,977,372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147,836,650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301,821,464</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2021 and 2022, the following Common Stock outstanding were excluded from the calculation of diluted net loss per share, as their inclusion would have been anti-dilutive for the periods prescribed.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16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Three Months Ended September 30,</w:t>
            </w:r>
          </w:p>
        </w:tc>
        <w:tc>
          <w:tcPr>
            <w:tcW w:w="30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50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exercise of 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33,641,132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27,032,668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33,869,470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31,529,919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Shares issuable upon vesting of non-vested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98,094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1,815,043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33,093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1,282,482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vesting of Capped non-vested shares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15,017,783</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5,280,978</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Shares issuable upon exercise of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21,327,750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28,437,000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7,187,374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28,437,000</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conversion of Series B2 Preferred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7,153,219</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8,076,300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Shares issuable upon conversion of Series C1 Preferred</w:t>
            </w:r>
          </w:p>
        </w:tc>
        <w:tc>
          <w:tcPr>
            <w:tcW w:w="1480" w:type="dxa"/>
            <w:vAlign w:val="bottom"/>
          </w:tcPr>
          <w:p>
            <w:pPr>
              <w:jc w:val="right"/>
              <w:spacing w:after="0"/>
              <w:rPr>
                <w:sz w:val="20"/>
                <w:szCs w:val="20"/>
                <w:color w:val="auto"/>
              </w:rPr>
            </w:pPr>
            <w:r>
              <w:rPr>
                <w:rFonts w:ascii="Arial" w:cs="Arial" w:eastAsia="Arial" w:hAnsi="Arial"/>
                <w:sz w:val="18"/>
                <w:szCs w:val="18"/>
                <w:color w:val="auto"/>
              </w:rPr>
              <w:t>6,398,475</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19,896,422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conversion of Series C2 Preferred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4,842,260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15,057,284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Shares issuable upon conversion of Series D1 Preferred</w:t>
            </w:r>
          </w:p>
        </w:tc>
        <w:tc>
          <w:tcPr>
            <w:tcW w:w="1480" w:type="dxa"/>
            <w:vAlign w:val="bottom"/>
          </w:tcPr>
          <w:p>
            <w:pPr>
              <w:jc w:val="right"/>
              <w:spacing w:after="0"/>
              <w:rPr>
                <w:sz w:val="20"/>
                <w:szCs w:val="20"/>
                <w:color w:val="auto"/>
              </w:rPr>
            </w:pPr>
            <w:r>
              <w:rPr>
                <w:rFonts w:ascii="Arial" w:cs="Arial" w:eastAsia="Arial" w:hAnsi="Arial"/>
                <w:sz w:val="18"/>
                <w:szCs w:val="18"/>
                <w:color w:val="auto"/>
              </w:rPr>
              <w:t>5,335,362</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16,590,614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conversion of Series D2 Preferred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1,606,919</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4,996,808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w w:val="96"/>
              </w:rPr>
              <w:t>Shares issuable upon conversion of non-controlling interests of a</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subsidiary</w:t>
            </w:r>
          </w:p>
        </w:tc>
        <w:tc>
          <w:tcPr>
            <w:tcW w:w="1480" w:type="dxa"/>
            <w:vAlign w:val="bottom"/>
          </w:tcPr>
          <w:p>
            <w:pPr>
              <w:jc w:val="right"/>
              <w:spacing w:after="0"/>
              <w:rPr>
                <w:sz w:val="20"/>
                <w:szCs w:val="20"/>
                <w:color w:val="auto"/>
              </w:rPr>
            </w:pPr>
            <w:r>
              <w:rPr>
                <w:rFonts w:ascii="Arial" w:cs="Arial" w:eastAsia="Arial" w:hAnsi="Arial"/>
                <w:sz w:val="18"/>
                <w:szCs w:val="18"/>
                <w:color w:val="auto"/>
              </w:rPr>
              <w:t>4,125,761</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12,829,289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vesting of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5,054,942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19,999,988</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Shares issuable that may be subject to cancellation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1,265,625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1,687,500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426,511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1,687,500</w:t>
            </w:r>
          </w:p>
        </w:tc>
      </w:tr>
      <w:tr>
        <w:trPr>
          <w:trHeight w:val="904"/>
        </w:trPr>
        <w:tc>
          <w:tcPr>
            <w:tcW w:w="502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 - Matthew Smith</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September 4, 2017, Matthew Smith, a former employee of the Company, sent a demand letter alleging claims for breach of contract (involving stock options). On February 5, 2018, Mr. Smith filed suit against the Company asserting claims for breach of contract and asserting discrimination and retaliation claims. Mr. Smith sought the following relief: (1) a declaration that he owns 2,600 ordinary shares (the equivalent of 416,780 shares following the Business Combination) and (2) various damages and other equitable remedies over $1,000. The Company denied all allegations and wrongful conduct.</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Following a jury trial in September 2022, the jury returned a unanimous verdict in favor of Microvast, Mr. Wu and Mr. Zheng. All claims by Mr. Smith against Microvast, Mr. Wu and Mr. Zheng have been dismissed with prejudice.</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accrual for contingency loss was recorded in the unaudited condensed consolidated financial statements for the three and nine months ended September 30, 2021 and 2022 related to this matter.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commitments for construction of property and purchase of property, plant and equipment were $260,513 as of September 30, 2022, which is mainly for the construction of lithium battery production 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Department of Energy Grant Funding - Polyaramid Separator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2022, the Company was notified by the U.S. Department of Energy ("DOE") that it had been selected, in collaboration with General Motors, to negotiate and receive $200 million in grant funding as part of President Biden's Bipartisan Infrastructure Law under the DOE's Battery Materials Processing and Battery Manufacturing initiative. The grant funding, together with additional funding to be arranged by the Company, is expected to support the construction of a new polyaramid separator manufacturing facility in the U.S. The specific terms and conditions of the grant funding remain under negotiation. Once finalized, the grant funding will remain subject to the conditions precedent and other terms and conditions to be agreed between the Company and the DOE.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in this Report to the “Company,” “Microvast Holdings, Inc.,” “Microvast,” “our,” “us” or “we” refer to Microvast Holdings, Inc.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 technology innovator for lithium ion batteries. We design, develop and manufacture battery systems for electric vehicles and energy storage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jc w:val="both"/>
        <w:ind w:firstLine="648"/>
        <w:spacing w:after="0" w:line="234" w:lineRule="auto"/>
        <w:rPr>
          <w:sz w:val="20"/>
          <w:szCs w:val="20"/>
          <w:color w:val="auto"/>
        </w:rPr>
      </w:pPr>
      <w:r>
        <w:rPr>
          <w:rFonts w:ascii="Arial" w:cs="Arial" w:eastAsia="Arial" w:hAnsi="Arial"/>
          <w:sz w:val="18"/>
          <w:szCs w:val="18"/>
          <w:color w:val="auto"/>
        </w:rPr>
        <w:t>We offer our customers a broad range of cell chemistries: lithium titanate oxide (“LTO”), lithium iron phosphate (“LFP”), nickel manganese cobalt version 1 (“NMC-1”) and nickel manganese cobalt version 2 (“NMC-2”). Based on our customer’s application, we design, develop and integrate the preferred chemistry into our cell, module, pack and container manufacturing capabilities. Our strategic priority is to offer these battery solutions for commercial vehicles and energy storage systems. We define commercial vehicles as light, medium, heavy-duty trucks, buses, trains, mining trucks, marine applications, automated guided and specialty vehicles. For energy storage applications, we focus on high-performance applications such as energy shifting, grid management and frequency regulation.</w:t>
      </w:r>
    </w:p>
    <w:p>
      <w:pPr>
        <w:spacing w:after="0" w:line="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also intend to market our full concentration gradient (“FCG”) cathode and polyamide separator to passenger car original equipment manufacturers (“OEMs”) and consumer electronics manufacturers.</w:t>
      </w:r>
    </w:p>
    <w:p>
      <w:pPr>
        <w:spacing w:after="0" w:line="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As of September 30, 2022, we had a backlog order of approximately $140.6 million for our battery systems, equivalent to approximately 477.4 megawatt hours (“MWh”), compared to a backlog order of approximately $52.7 million for our battery systems, equivalent to approximately 214.6 MWh, as of September 30, 2021. The backlog increase was a result of increased customer demand for our products. Our revenue for the nine months ended September 30, 2022 increased $54.5 million, or 64.0%, compared to the same period in 2021.</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After initially focusing on the Asia &amp; Pacific regions, we have expanded and continue to expand our presence and product promotion to Europe and the U.S. to capitalize on their rapidly growing electrification markets. We have many prototype projects ongoing with regard to sports cars, commercial vehicles, trucks, port equipment and marine applications with customers in the Western Hemisphere. In addition, we are jointly developing electric power-train solutions with leading commercial vehicle OEMs and a first-tier automotive supplier using LTO, NMC-1 and NMC-2 technologies.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3,2022, we launched our new energy division (“Microvast Energy”). The new division will design, develop and manufacture Battery Energy Storage Systems that are co-located with solar solutions or operate as stand-alone energy assets using our battery technology. The engineering, sales, marketing and customer care departments for Microvast Energy are headquartered in northern Colorado,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Business Combination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23, 2021, Microvast Holdings, Inc. (formerly known as Tuscan Holdings Corp.) consummated the previously announced acquisition of Microvast, Inc., a Delaware corporation, pursuant to the Agreement and Plan of Merger dated February 1, 2021, between Tuscan Holdings Corp., Microvast and TSCN Merger Sub Inc., a Delaware corporation (“Merger Sub”), pursuant to which Merger Sub merged with and into Microvast, with Microvast surviving the merger (the “Business Combination”).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future success will be dependent on several factors, including the factors discussed below. While these areas represent opportunities for us, they also represent challenges and risks that we must successfully address in order to continue the growth of our business and improve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Product Innovation</w:t>
      </w:r>
    </w:p>
    <w:p>
      <w:pPr>
        <w:spacing w:after="0" w:line="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research and development (“R&amp;D”) in Orlando by purchasing a 75,000 square foot facility dedicated to R&amp;D. We plan to continue expanding our R&amp;D presence in the U.S. We also plan to continue leveraging our knowledge base in the PRC and to continue expanding our R&amp;D efforts there as well. We expect our results of operations will continue to be impacted by our ability to develop new products with improved performance and reduced ownership cost, as well as the cost of our R&amp;D efforts.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Demand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vehicles and energy storage sectors, including product innovation, general economic and political conditions, environmental concerns, energy demand, government support and economic incentives. While governmental economic incentives and mandates can drive market demand for electric vehicles and energy storage, and as a result, battery systems and components, governmental economic incentives can be gradually reduced or eliminated. Any reduction or elimination of governmental economic incentives may result in reduced demand for our products and adversely affect our financial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Capacity</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growth depends on being able to meet anticipated demand for our products. In order to do this, we will need to increase our manufacturing capacity. As of September 30, 2022, we had a backlog of approximately $140.6 million for our battery systems, equivalent to approximately 477.4 MWh. So far, we have used $87.9 million and $84.7 million of the proceeds from the Business Combination to expand our manufacturing facilities and for the purchase of property and equipment associated with our existing manufacturing and R&amp;D facilities, in 2021 and the first nine months of 2022, respectively. This investment program allows us to increase our manufacturing output, enabling us to address our backlog and to capture growing market opportunities. We expect the total capital expenditures related to these capacity expansions in Huzhou, China and Clarksville, Tennessee, which will give us an additional 4 GWh of capacity, to be in the range of $460.0 million to $490.0 million.</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Future capacity expansions will be carried out in a measured manner based on our ongoing assessment of medium- and long-term demand for our solutions. Any such capacity expansions will require significant additional capital expenditures and will require corresponding expansion of our supporting infrastructure, further development of our sales and marketing team, expansion of our customer base and strengthened quality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Geographic Mix</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After primarily being focused on the Asia &amp; Pacific regions, we have expanded and are continuing to expand our presence and product promotion to Europe and the U.S. to capitalize on the rapidly growing electric vehicle and energy storage markets in those geographies. As we continue to expand our geographic focus to Europe and the U.S., we believe sales of our products in Europe and the U.S. will continue to generate higher gross margins because average sales prices for customers in the U.S. and Europe are typically significantly higher than the average sales prices in the PRC. It has been our experience that buyers in Europe and the U.S. are more motivated by the technologies, and the quality of our products than are buyers in the PRC, making them less sensitive to the price of our products than are similarly situated buyers in the PRC. Therefore, the geographic source of our revenue will have an impact on our revenue and gross margins.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profitability may also be affected by our ability to effectively manage our manufacturing costs. Our manufacturing costs are affected by fluctuations in the price of raw materials. If raw material prices increase, we will have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and economic penalties that may apply to a car manufacturer based on its fleet-wide emissions. Each of these regulations may expand the market size of electric vehicles, which would, in turn, benefit us. We have operations and sales in the Asia &amp; Pacific region, Europe and the U.S. and, as a result, changes in trade restrictions and tariffs could impact our ability to meet projected sales or margins.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To date, COVID-19 has had an adverse impact on our sales and operations. During the nine months ended September 30, 2022, we continued to face unanticipated challenges caused by the continued impact of the global pandemic and emerging variants of the virus, in particular due to continued lockdowns and other restrictive measures in China. During the nine months ended September 30, 2022, the lockdowns did not have a direct impact on our manufacturing facility in Huzhou, China; however, they have impacted the operations of certain of our third-party suppliers and our ability to book transportation of goods. In addition, the lockdowns and other restrictive measures have significantly disrupted supply chains across many industries around the globe. These and future lockdown measures may impact our ability to produce and/or timely deliver goods and services to our clients globally and further disruptions to supply chains in the automotive industry may continue to reduce and/or delay our customers' demand for our products and services. In addition, lengthy mandatory quarantine periods continue to restrict our ability to have non-China based employees and other invitees visit our facilities in China.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conduct our business through one operating segment. Our historical results are reported in accordance with U.S. GAAP and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Since inception, we have financed our operations primarily from capital contributions from equity holders, the issuance of convertible notes and bank borrowings. We expect existing cash, cash equivalents, short-term marketable securities, and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215" w:lineRule="exact"/>
        <w:rPr>
          <w:sz w:val="20"/>
          <w:szCs w:val="20"/>
          <w:color w:val="auto"/>
        </w:rPr>
      </w:pPr>
    </w:p>
    <w:p>
      <w:pPr>
        <w:ind w:right="300" w:firstLine="648"/>
        <w:spacing w:after="0" w:line="324" w:lineRule="auto"/>
        <w:rPr>
          <w:sz w:val="20"/>
          <w:szCs w:val="20"/>
          <w:color w:val="auto"/>
        </w:rPr>
      </w:pPr>
      <w:r>
        <w:rPr>
          <w:rFonts w:ascii="Arial" w:cs="Arial" w:eastAsia="Arial" w:hAnsi="Arial"/>
          <w:sz w:val="16"/>
          <w:szCs w:val="16"/>
          <w:color w:val="auto"/>
        </w:rPr>
        <w:t>As of September 30, 2022, our principal sources of liquidity were our cash and cash equivalents in the amount of $295.8 million. We also have $69.3 million (RMB500 million) available for drawdown under our project finance facility for the construction of our Huzhou 3.1 capacity expansion.</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consolidated net cash position as of September 30, 2022 included cash and cash equivalents of $9.4 million, $5.4 million and $0.3 million held by our PRC, German and UK subsidiaries, respectively, that is not available to fund domestic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the PRC, Europe and the U.S.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continue to assess the effect of the COVID-19 pandemic as well as the Russia/Ukraine crisis on our operations. The extent to which the COVID-19 pandemic will impact our business and operations will depend on future developments that are highly uncertain and cannot be predicted with confidence, such as the continuing spread of the infection, new and emerging variants of the virus, the duration of the pandemic, and the effectiveness of actions taken in the U.S. and other countries to contain and treat the disease. The extent to which the Russia/Ukraine crisis will impact our business and operations will also depend on future developments that are highly uncertain and cannot be predicted with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confidence, including restrictive actions that have been and may be taken in the future by the U.S. and/or other countries, such as sanctions or export controls, and the duration of the conflict.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Financings</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As of September 30, 2022, we had bank borrowings of $45.0 million, the terms of which range from 8 months to 4.2 years. The interest rates of our bank borrowings ranged from 4.50% to 4.80% per annum. As of September 30, 2022, we had convertible bonds of $73.1 million, with interest rates ranging from 0% to 4%. The convertible bonds are due as follows: $29.2 million in 2022 and $43.9 million in 2027. As of September 30, 2022, we were in compliance with all material terms and covenants of our loan agreements, credit agreements, bonds and notes.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On July 23, 2021, we received $708.4 million from the completion of the Business Combination, $705.1 million net of transaction costs paid by Microvast, Inc. We have used $172.6 million of the net proceeds from the Business Combination to expand our manufacturing facilities and for the purchase of property and equipment associated with our existing manufacturing and R&amp;D facilities. In addition, $60.5 million of the net proceeds were used for working capital as of September 30, 2022. For the rest of 2022, we plan to spend an additional $90.0 million to $120.0 million on capacity expansions at our facilities with the timing of payments being linked to various agreed milestones with our third-party contractors.</w:t>
      </w:r>
    </w:p>
    <w:p>
      <w:pPr>
        <w:spacing w:after="0" w:line="20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We believe we will be able to meet our working capital requirements for at least the next 12 months and fund our expansion plans with proceeds from the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other contractual obligations</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future capital requirements will depend on many factors, including, but not limited to, funding for planned production capacity expansion and general working capital. We believe the proceeds from the Business Combination will be sufficient to cover our planned expansions totaling 4GWh and our general working capital needs. In addition, we may in the future enter into arrangements to further increase our production capacity or seek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We lease certain facilities and equipment under non-cancellable lease agreements that expire at various dates through 2036. For additional information, see Note 12 – Leases, in the notes to the unaudited condensed consolidated financial statements in Part I, Item 1 of this Report on Form 10-Q.</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 2021, we started our capacity expansion plans in Huzhou, China, Berlin, Germany and Clarksville, Tennessee. The project in Germany was completed in 2021, and the Huzhou, China and Clarksville, Tennessee projects are expected to be completed in 2023. The completion of these projects is expected to increase our existing production capacity by 4 GWh once operational. We expect the total capital expenditures related to these capacity expansions in Huzhou, China and Clarksville, Tennessee to be in the range of $460.0 million to $490.0 million, which we plan to finance primarily through the proceeds from the Business Combination and bank borrowings, which we believe will be sufficient to cover all of the disclosed and estimated costs.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planned capital expenditures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have not been any other material changes during the three and nine months ended September 30, 2022 to our contractual obligations included in our Annual Report on Form 10-K for the fiscal year ended December 31,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The following table provides a summary of our cash flow data for the periods indicated:</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180" w:type="dxa"/>
            <w:vAlign w:val="bottom"/>
          </w:tcPr>
          <w:p>
            <w:pPr>
              <w:spacing w:after="0"/>
              <w:rPr>
                <w:sz w:val="24"/>
                <w:szCs w:val="24"/>
                <w:color w:val="auto"/>
              </w:rPr>
            </w:pPr>
          </w:p>
        </w:tc>
        <w:tc>
          <w:tcPr>
            <w:tcW w:w="30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 in thousands</w:t>
            </w: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(24,653)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2"/>
              </w:rPr>
              <w:t>(58,595)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ind w:left="840"/>
              <w:spacing w:after="0"/>
              <w:rPr>
                <w:sz w:val="20"/>
                <w:szCs w:val="20"/>
                <w:color w:val="auto"/>
              </w:rPr>
            </w:pPr>
            <w:r>
              <w:rPr>
                <w:rFonts w:ascii="Arial" w:cs="Arial" w:eastAsia="Arial" w:hAnsi="Arial"/>
                <w:sz w:val="18"/>
                <w:szCs w:val="18"/>
                <w:color w:val="auto"/>
                <w:w w:val="92"/>
              </w:rPr>
              <w:t>(40,718)</w:t>
            </w:r>
          </w:p>
        </w:tc>
        <w:tc>
          <w:tcPr>
            <w:tcW w:w="100" w:type="dxa"/>
            <w:vAlign w:val="bottom"/>
          </w:tcPr>
          <w:p>
            <w:pPr>
              <w:spacing w:after="0"/>
              <w:rPr>
                <w:sz w:val="19"/>
                <w:szCs w:val="19"/>
                <w:color w:val="auto"/>
              </w:rPr>
            </w:pPr>
          </w:p>
        </w:tc>
        <w:tc>
          <w:tcPr>
            <w:tcW w:w="1480" w:type="dxa"/>
            <w:vAlign w:val="bottom"/>
          </w:tcPr>
          <w:p>
            <w:pPr>
              <w:jc w:val="center"/>
              <w:ind w:left="730"/>
              <w:spacing w:after="0"/>
              <w:rPr>
                <w:sz w:val="20"/>
                <w:szCs w:val="20"/>
                <w:color w:val="auto"/>
              </w:rPr>
            </w:pPr>
            <w:r>
              <w:rPr>
                <w:rFonts w:ascii="Arial" w:cs="Arial" w:eastAsia="Arial" w:hAnsi="Arial"/>
                <w:sz w:val="18"/>
                <w:szCs w:val="18"/>
                <w:color w:val="auto"/>
                <w:w w:val="92"/>
              </w:rPr>
              <w:t>(84,719)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generated from financing activities</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634,370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34,226</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nine months ended September 30, 2022, our operating activities used $58.6 million in cash. This decrease in cash consisted of (1) a net loss of $124.5 million and non-cash charges of $102.5 million, of which $15.2 million is depreciation of property, plant and equipment and $72.9 million is non-cash share-based compensation expense; and (2) a $36.6 million decrease in cash flows from operating assets and liabilities including $3.6 million cash outflow due to the net increase of accounts receivable and notes receivable and $39.5 million increase in inventories, $16.0 million decrease in accrued and other liabilities and prepaid expense and other current assets, partially offset by $19.4 million increase in accounts payable and notes payable and $3.1 million cash inflow from other operating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2022, cash used in investing activities totaled $84.7 million. This cash outflow primarily consisted of capital expenditures related to the expansion of our manufacturing facilities and to the purchase of property and equipment associated with our existing manufacturing and R&amp;D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2022, cash generated from financing activities totaled $34.2 million. This cash inflow was a result of $58.7 million proceeds from bank borrowings partially offset by $24.5 million repayment on bank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revenue from the sales of our electric battery products, including LpTO, LFP, LpCO, MpCO and HnCO battery power systems. While we have historically marketed and sold our products primarily in the PRC, we have expanded and are continuing to expand our sales presence internationally. The following table sets forth a breakdown of our revenue by major geographic regions in which our customers are located,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8"/>
                <w:szCs w:val="18"/>
                <w:b w:val="1"/>
                <w:bCs w:val="1"/>
                <w:color w:val="auto"/>
                <w:w w:val="84"/>
              </w:rPr>
              <w:t>2022</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r>
      <w:tr>
        <w:trPr>
          <w:trHeight w:val="46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People’s Republic of China ('PRC')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19,720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26,542</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69 %</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Other Asia &amp; Pacific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12,072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7,394</w:t>
            </w:r>
          </w:p>
        </w:tc>
        <w:tc>
          <w:tcPr>
            <w:tcW w:w="1760" w:type="dxa"/>
            <w:vAlign w:val="bottom"/>
            <w:gridSpan w:val="3"/>
          </w:tcPr>
          <w:p>
            <w:pPr>
              <w:jc w:val="right"/>
              <w:spacing w:after="0"/>
              <w:rPr>
                <w:sz w:val="20"/>
                <w:szCs w:val="20"/>
                <w:color w:val="auto"/>
              </w:rPr>
            </w:pPr>
            <w:r>
              <w:rPr>
                <w:rFonts w:ascii="Arial" w:cs="Arial" w:eastAsia="Arial" w:hAnsi="Arial"/>
                <w:sz w:val="18"/>
                <w:szCs w:val="18"/>
                <w:i w:val="1"/>
                <w:iCs w:val="1"/>
                <w:color w:val="auto"/>
              </w:rPr>
              <w:t>19 %</w:t>
            </w:r>
          </w:p>
        </w:tc>
      </w:tr>
      <w:tr>
        <w:trPr>
          <w:trHeight w:val="223"/>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Asia &amp; Pacific</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33,936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3,432</w:t>
            </w: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9 %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36,894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98"/>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2"/>
        </w:trPr>
        <w:tc>
          <w:tcPr>
            <w:tcW w:w="4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1"/>
              </w:rPr>
              <w:t>Nine Months Ended September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w w:val="84"/>
              </w:rPr>
              <w:t>2022</w:t>
            </w:r>
          </w:p>
        </w:tc>
        <w:tc>
          <w:tcPr>
            <w:tcW w:w="200" w:type="dxa"/>
            <w:vAlign w:val="bottom"/>
            <w:tcBorders>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r>
      <w:tr>
        <w:trPr>
          <w:trHeight w:val="46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People’s Republic of China ('PRC')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52,012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80,326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Other Asia &amp; Pacific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21,348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45,420</w:t>
            </w:r>
          </w:p>
        </w:tc>
        <w:tc>
          <w:tcPr>
            <w:tcW w:w="1560" w:type="dxa"/>
            <w:vAlign w:val="bottom"/>
            <w:gridSpan w:val="3"/>
          </w:tcPr>
          <w:p>
            <w:pPr>
              <w:jc w:val="right"/>
              <w:spacing w:after="0"/>
              <w:rPr>
                <w:sz w:val="20"/>
                <w:szCs w:val="20"/>
                <w:color w:val="auto"/>
              </w:rPr>
            </w:pPr>
            <w:r>
              <w:rPr>
                <w:rFonts w:ascii="Arial" w:cs="Arial" w:eastAsia="Arial" w:hAnsi="Arial"/>
                <w:sz w:val="18"/>
                <w:szCs w:val="18"/>
                <w:i w:val="1"/>
                <w:iCs w:val="1"/>
                <w:color w:val="auto"/>
              </w:rPr>
              <w:t>33</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r>
      <w:tr>
        <w:trPr>
          <w:trHeight w:val="223"/>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Asia &amp; Pacific</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125,746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90 %</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11,062</w:t>
            </w: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8 %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85,204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139,698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historically derived a portion of our revenue in a given reporting period from a limited number of key customers, which vary from period to period. The following table summarizes net revenues from customers that accounted for over 10% of our net revenues for the periods indicated:</w:t>
      </w:r>
    </w:p>
    <w:p>
      <w:pPr>
        <w:spacing w:after="0" w:line="160" w:lineRule="exact"/>
        <w:rPr>
          <w:sz w:val="20"/>
          <w:szCs w:val="20"/>
          <w:color w:val="auto"/>
        </w:rPr>
      </w:pPr>
    </w:p>
    <w:p>
      <w:pPr>
        <w:ind w:left="8200"/>
        <w:spacing w:after="0"/>
        <w:rPr>
          <w:sz w:val="20"/>
          <w:szCs w:val="20"/>
          <w:color w:val="auto"/>
        </w:rPr>
      </w:pPr>
      <w:r>
        <w:rPr>
          <w:rFonts w:ascii="Arial" w:cs="Arial" w:eastAsia="Arial" w:hAnsi="Arial"/>
          <w:sz w:val="17"/>
          <w:szCs w:val="17"/>
          <w:b w:val="1"/>
          <w:bCs w:val="1"/>
          <w:color w:val="auto"/>
        </w:rPr>
        <w:t>Three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581"/>
        </w:trPr>
        <w:tc>
          <w:tcPr>
            <w:tcW w:w="7940" w:type="dxa"/>
            <w:vAlign w:val="bottom"/>
          </w:tcPr>
          <w:p>
            <w:pPr>
              <w:spacing w:after="0"/>
              <w:rPr>
                <w:sz w:val="24"/>
                <w:szCs w:val="24"/>
                <w:color w:val="auto"/>
              </w:rPr>
            </w:pPr>
          </w:p>
        </w:tc>
        <w:tc>
          <w:tcPr>
            <w:tcW w:w="33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79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*Revenue from such customers represented less than 10% of our revenue during the respective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Cost of revenues include direct and indirect materials, manufacturing overhead (including depreciation, freight and logistics), warranty reserves and expenses, and labor costs and related personnel expenses, including share-based compensation and other related expenses that are directly attributable to the manufacturing of products.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profit is equal to revenues less cost of revenues. Gross profit margin is equal to gross profit divided by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consist of selling and marketing, general and administrative and research and development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Selling and marketing expenses consist primarily of personnel-related costs associated with our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functions, including share-based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consist primarily of personnel-related expenses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team members, including share-based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consist primarily of personnel-related expenses, including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and expenses consist primarily of interest expense associated with our debt financing arrangements, interest income earned on our cash balances, gains and losses from foreign exchange conversion, and gains and losses on disposal of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income taxes in the U.S. and foreign jurisdictions in which we do business, namely the PRC,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“IRS”),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in the PRC is generally calculated at 25% of the estimated assessable profit of our subsidiaries in the PRC, except that two of our PRC subsidiaries were qualified as “High and New Tech Enterprises” and thus enjoyed a preferential income tax rate of 15%. Federal corporate income tax rate of 21% is applied for our U.S. entity. Income tax in the UK is calculated at an average tax rate of 19% of the estimated assessable profit of our subsidiary in the UK. German enterprise income tax, which is a combination of corporate income tax and trade tax, is calculated at 29.1% of the estimated assessable profit of our subsidiary in Germany.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to the Three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17"/>
                <w:szCs w:val="17"/>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Change</w:t>
            </w:r>
          </w:p>
        </w:tc>
        <w:tc>
          <w:tcPr>
            <w:tcW w:w="15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93"/>
        </w:trPr>
        <w:tc>
          <w:tcPr>
            <w:tcW w:w="4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 in thousands</w:t>
            </w:r>
          </w:p>
        </w:tc>
        <w:tc>
          <w:tcPr>
            <w:tcW w:w="18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8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(72,779)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(36,623)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Gross (loss)/profit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(35,885)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(57,058)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(22,585)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(77,956)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(39,603)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Subsidy income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(113,296)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(37,090)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796.9 %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Loss on changes in fair value of convertible notes</w:t>
            </w:r>
          </w:p>
        </w:tc>
        <w:tc>
          <w:tcPr>
            <w:tcW w:w="18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change in fair value of warrant liability</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18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(116,370)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(36,544)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(116,476)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(36,544)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Our revenues increased from approximately $36.9 million for the three months ended September 30, 2021 to approximately $38.6 million for the same period in 2022, primarily driven by an increase in sales volume from approximately 94.6 MWh for three months ended September 30, 2021 to approximately 112.2 MWh for the same period in 2022, offset by approximately $1.6 million decrease due to the appreciation of US Dollar against RMB with the average exchange rate increased from approximately 6.4699 for the three months ended September 30, 2021 to approximately 6.8520 for the same period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revenues for the three months ended September 30, 2022 decreased by $36.2 million, or 49.7%, compared to the same period in 2021.The decrease in the cost of revenues was primarily due to $34.1 million of additional accrual warranty cost for certain legacy products during the third quarter of 2021, which did not occur in the three months ended September 30, 2022.</w:t>
      </w:r>
    </w:p>
    <w:p>
      <w:pPr>
        <w:spacing w:after="0" w:line="17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gross margin increased from negative 97.3% for the three months ended September 30, 2021 to 5.2% for the same period in 2022. The increase in gross margin was primarily due to (i) better economies of scale resulting from increasing sales volume, and (ii) $34.1 million of additional accrual warranty cost for certain legacy product during the third quarter of 2021, which did not occur in the same period of 2022, offset by the increases in material prices.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Selling and Marketing expenses for the three months ended September 30, 2022 decreased by $1.8 million, or 24.6%, compared to the same period in 2021. The decrease in Selling and Marketing expenses was primarily due to $2.2 million of decreased share-based compensation expenses, offset by the increases related to business expansion.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General and Administrative expenses for the three months ended September 30, 2022 decreased by $34.5 million, or 60.4%, compared to the same period in 2021. The decrease in General and Administrative expenses was primarily due to $31.3 million of decreased share-based compensation expenses and $3.7 million of decreased exchange loss, offset by other increases related to business expansion.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R&amp;D expenses for the three months ended September 30, 2022 decreased by $2.1 million, or 15.2%, compared to the same period in 2021. The decrease in R&amp;D expenses was primarily due to $5.1 million of decreased share-based compensation expenses, offset by (i) $1.0 million of increased personnel-related expenses as we increased headcount of our research team as a result of our efforts to further develop and enhance our products and other increases related to business expansion; (ii) $1.4 million of increased costs of materials used for experiments due to more testing activities and (iii) other increases related to business expansion.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three months ended September 30, 2022, we recorded a gain of $0.1 million due to the change in fair value of the 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10"/>
          </w:tcPr>
          <w:p>
            <w:pPr>
              <w:ind w:left="660"/>
              <w:spacing w:after="0"/>
              <w:rPr>
                <w:sz w:val="20"/>
                <w:szCs w:val="20"/>
                <w:color w:val="auto"/>
              </w:rPr>
            </w:pPr>
            <w:r>
              <w:rPr>
                <w:rFonts w:ascii="Arial" w:cs="Arial" w:eastAsia="Arial" w:hAnsi="Arial"/>
                <w:sz w:val="18"/>
                <w:szCs w:val="18"/>
                <w:b w:val="1"/>
                <w:bCs w:val="1"/>
                <w:i w:val="1"/>
                <w:iCs w:val="1"/>
                <w:color w:val="auto"/>
                <w:w w:val="99"/>
              </w:rPr>
              <w:t>Comparison of the Nine Months Ended September 30, 2022 to the Nine Months Ended September 30, 2021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4"/>
          </w:tcPr>
          <w:p>
            <w:pPr>
              <w:spacing w:after="0"/>
              <w:rPr>
                <w:sz w:val="20"/>
                <w:szCs w:val="20"/>
                <w:color w:val="auto"/>
              </w:rPr>
            </w:pPr>
            <w:r>
              <w:rPr>
                <w:rFonts w:ascii="Arial" w:cs="Arial" w:eastAsia="Arial" w:hAnsi="Arial"/>
                <w:sz w:val="18"/>
                <w:szCs w:val="18"/>
                <w:color w:val="auto"/>
                <w:w w:val="95"/>
              </w:rPr>
              <w:t>The following table sets forth our historical operating results for the periods indicated: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Change</w:t>
            </w:r>
          </w:p>
        </w:tc>
        <w:tc>
          <w:tcPr>
            <w:tcW w:w="15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74"/>
        </w:trPr>
        <w:tc>
          <w:tcPr>
            <w:tcW w:w="4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Amount in thousands</w:t>
            </w:r>
          </w:p>
        </w:tc>
        <w:tc>
          <w:tcPr>
            <w:tcW w:w="200" w:type="dxa"/>
            <w:vAlign w:val="bottom"/>
          </w:tcPr>
          <w:p>
            <w:pPr>
              <w:spacing w:after="0"/>
              <w:rPr>
                <w:sz w:val="15"/>
                <w:szCs w:val="15"/>
                <w:color w:val="auto"/>
              </w:rPr>
            </w:pPr>
          </w:p>
        </w:tc>
        <w:tc>
          <w:tcPr>
            <w:tcW w:w="13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48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85,204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(129,100)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(132,851)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Gross (loss)/profit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(43,896)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(67,810)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(83,021)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and marketing expenses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(14,242)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(105,251)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(133,400)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Subsidy income</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2,676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(146,471)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(125,320)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427.6 %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Loss on changes in fair value of convertible notes</w:t>
            </w:r>
          </w:p>
        </w:tc>
        <w:tc>
          <w:tcPr>
            <w:tcW w:w="2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(9,861)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change in fair value of warrant liability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2932.0 %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(159,520)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(124,502)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(159,844)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(124,502)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revenues increased from approximately $85.2 million for the nine months ended September 30, 2021 to approximately $139.7 million for the same period in 2022, primarily driven by an increase in sales volume from approximately 257.8 MWh for the nine months ended September 30, 2021 to approximately 478.7 MWh for the same period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cost of revenues for the nine months ended September 30, 2022 increased by $3.8 million, or 2.9%, compared to the same period in 2021. The cost of revenues increased primarily due to the increase of sales.</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gross margin increased from negative 51.5% for the nine months ended September 30, 2021 to 4.9% for the same period in 2022. The increase in gross margin was primarily due to better economies of scale resulting from increasing sales volume and $40.8 million of additional accrual warranty cost for the legacy product during the first nine months of 2021 which did not occur in the same period of 2022, offset by (i) the increases in material prices and (ii) $3.5 million of increased share-based compensation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and Marketing expenses for the nine months ended September 30, 2022 increased by $3.1 million, or 22.0%, compared to the same period in 2021. The increase in Selling and Marketing expenses was primarily due to $2.0 million of increased share-based compensation expenses and other increases related to business expansion.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General and Administrative expenses for the nine months ended September 30, 2022 increased by $15.2 million, or 22.4%, compared to the same period in 2021. The increase in General and Administrative expenses was primarily due to (i) $11.4 million of increased share-based compensation expenses, (ii) $3.5 million of increased professional service expense after the Business Combination and (iii) other increases related to business expansion.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R&amp;D expenses for the nine months ended September 30, 2022 increased by $9.8 million, or 42.3%, compared to the same period in 2021. The increase in R&amp;D expenses was primarily due to $2.7 million of increased share-based compensation expenses (ii) $3.4 million of increased personnel-related expenses as we increased headcount of our research team as a result of our efforts to further develop and enhance our products, (iii) $2.2 million of increased costs of materials used for experiments due to more testing activities and (iv) other increases related to business expansion.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Subsidy income decreased from $2.7 million for the nine months ended September 30, 2021 to $1.2 million in the same period in 2022, primarily due to a one-time award granted by local governments in the PRC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nine months ended September 30, 2022, we recorded a gain of $0.9 million due to the change in fair value of the warrant liability.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There have been no substantial changes to these estimates, or the policies related to them during the nine months ended September 30, 2022. For a full discussion of these estimates and policies, see “Management’s Discussion and Analysis of Financial Condition and Results of Operations - Critical Accounting Policies and Estimates” in Item 7 of our Annual Report on Form 10-K for the year ended 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cash and cash equivalents consist of cash and money market accounts. Such interest-earning instruments carry a degree of interest rate risk. To date, fluctuations in interest income have not been significant. Our borrowings under our line of credit carry variable interest rates so such risks are limited as it relates to our current borrowings.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major operational activities are carried out in the PRC and a majority of the transactions are denominated in Renminbi.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Renminbi. The effect of an immediate 10% adverse change in foreign exchange rates on Renminbi-denominated accounts as of September 30, 2022, including intercompany balances, would result in a foreign currency loss of $2.3 million. In the event our foreign sales and expenses increase, our operating results may be more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credit risk primarily relates to our trade and other receivables, restricted cash, cash equivalents and amounts due from related parties. We generally grant credit only to clients and related parties with good credit ratings and also closely monitor overdue debts. In this regard, we consider that the credit risk arising from our balances with counterparties is significantly reduced.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historically experienced higher sales during our third and fourth fiscal quarters as compared to our first and second fiscal quarters due to reduced purchases from our customers, who are mainly Chinese bus OEMs, during the Chinese Spring Festival holiday season in our first fiscal quarter. However, our limited operational history makes it difficult for us to judge the exact nature or extent of the seasonality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supervision and with the participation of our management, including our Chief Executive Officer and Chief Financial Officer, we evaluated the effectiveness of our disclosure controls and procedures (as defined in Rules 13a-15(e) and 15d-15(e) under the Securities Exchange Act of 1934, as amended (the “Exchange Act”)) as of September 30, 2022. Based upon that evaluation, our Chief Executive Officer and Chief Financial Officer concluded that our disclosure controls and procedures were effective as of September 30, 2022 and believed that the unaudited condensed consolidated financial statements included in this Report fairly represent in all material respects our financial condition, results of operations and cash flows at and for the periods presented in accordance with U.S.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have been no changes in internal control over financial reporting during the quarter ended September 30, 2022, that have materially affected, or are reasonably likely to materially affect, Microvast’s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However, the results of litigation and claims are inherently unpredictable. Regardless of the outcome, litigation has the potential to have an adverse impact on us because of defense and settlement costs, diversion of management resources and other factors. See Note 16 – Commitments and Contingencies, in the notes to the unaudited condensed consolidated financial statements, which is incorporated in Part I, Item 1 of this Report on Form 10-Q, which is incorporated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evaluating us and our common stock, we urge you to carefully consider the risks and other information in this Report on Form 10-Q, as well as the risk factors disclosed in Part I, Item 1A of our Annual Report on Form 10-K for the fiscal year ended December 31, 2021, and other reports that we have filed with the SEC, including the section entitled “Risk Factors” in the Registration Statement on Form S-3 (File No. 333-258978), filed on July 28, 2022, as subsequently amended.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our equity securities during the three months ended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furnished as part of, or incorporated by reference into, this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98" w:lineRule="exact"/>
        <w:rPr>
          <w:sz w:val="20"/>
          <w:szCs w:val="20"/>
          <w:color w:val="auto"/>
        </w:rPr>
      </w:pPr>
    </w:p>
    <w:p>
      <w:pPr>
        <w:ind w:left="20"/>
        <w:spacing w:after="0" w:line="319" w:lineRule="auto"/>
        <w:rPr>
          <w:sz w:val="20"/>
          <w:szCs w:val="20"/>
          <w:color w:val="auto"/>
        </w:rPr>
      </w:pPr>
      <w:r>
        <w:rPr>
          <w:rFonts w:ascii="Arial" w:cs="Arial" w:eastAsia="Arial" w:hAnsi="Arial"/>
          <w:sz w:val="16"/>
          <w:szCs w:val="16"/>
          <w:b w:val="1"/>
          <w:bCs w:val="1"/>
          <w:color w:val="auto"/>
        </w:rPr>
        <w:t>Exhibit Number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Exhibit Title</w:t>
      </w:r>
    </w:p>
    <w:p>
      <w:pPr>
        <w:spacing w:after="0" w:line="67" w:lineRule="exact"/>
        <w:rPr>
          <w:sz w:val="20"/>
          <w:szCs w:val="20"/>
          <w:color w:val="auto"/>
        </w:rPr>
      </w:pPr>
    </w:p>
    <w:p>
      <w:pPr>
        <w:ind w:right="240"/>
        <w:spacing w:after="0" w:line="248" w:lineRule="auto"/>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Agreement and Plan of Merger, dated as of February 1, 2021, by and among Tuscan Holdings Corp., TSCN Merger Sub Inc., and</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Microvast, Inc. (incorporated by reference to the Company’s definitive proxy statement on Schedule 14A, filed with the SEC on July 2,</w:t>
        </w:r>
      </w:hyperlink>
    </w:p>
    <w:p>
      <w:pP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4445</wp:posOffset>
            </wp:positionV>
            <wp:extent cx="713232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40"/>
        <w:spacing w:after="0" w:line="234"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Second Amended and Restated Certificate of Incorporation of Microvast Holdings, Inc. (incorporated by reference from Exhibit 3.1 to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Company’s Current Report on Form 8-K, filed with the SEC on July 28, 2021).</w:t>
        </w:r>
      </w:hyperlink>
    </w:p>
    <w:p>
      <w:pPr>
        <w:spacing w:after="0" w:line="1" w:lineRule="exact"/>
        <w:rPr>
          <w:sz w:val="20"/>
          <w:szCs w:val="20"/>
          <w:color w:val="auto"/>
        </w:rPr>
      </w:pPr>
    </w:p>
    <w:p>
      <w:pPr>
        <w:sectPr>
          <w:pgSz w:w="11900" w:h="16838" w:orient="portrait"/>
          <w:cols w:equalWidth="0" w:num="2">
            <w:col w:w="660" w:space="600"/>
            <w:col w:w="99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jc w:val="right"/>
              <w:ind w:right="910"/>
              <w:spacing w:after="0" w:line="184" w:lineRule="exact"/>
              <w:rPr>
                <w:sz w:val="20"/>
                <w:szCs w:val="20"/>
                <w:color w:val="auto"/>
              </w:rPr>
            </w:pPr>
            <w:r>
              <w:rPr>
                <w:rFonts w:ascii="Arial" w:cs="Arial" w:eastAsia="Arial" w:hAnsi="Arial"/>
                <w:sz w:val="18"/>
                <w:szCs w:val="18"/>
                <w:color w:val="auto"/>
                <w:w w:val="95"/>
              </w:rPr>
              <w:t>3.2</w:t>
            </w:r>
          </w:p>
        </w:tc>
        <w:tc>
          <w:tcPr>
            <w:tcW w:w="9980" w:type="dxa"/>
            <w:vAlign w:val="bottom"/>
            <w:gridSpan w:val="9"/>
          </w:tcPr>
          <w:p>
            <w:pPr>
              <w:spacing w:after="0" w:line="184"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Amended and Restated Bylaws of Microvast Holdings, Inc. (incorporated by reference from Exhibit 3.2 to the Company’s Current Report</w:t>
              </w:r>
            </w:hyperlink>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on Form 8-K, filed with the SEC on July 28, 2021).</w:t>
              </w:r>
            </w:hyperlink>
          </w:p>
        </w:tc>
        <w:tc>
          <w:tcPr>
            <w:tcW w:w="60" w:type="dxa"/>
            <w:vAlign w:val="bottom"/>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60" w:type="dxa"/>
            <w:vAlign w:val="bottom"/>
            <w:shd w:val="clear" w:color="auto" w:fill="CCEEFF"/>
          </w:tcPr>
          <w:p>
            <w:pPr>
              <w:jc w:val="right"/>
              <w:ind w:right="910"/>
              <w:spacing w:after="0" w:line="169" w:lineRule="exact"/>
              <w:rPr>
                <w:sz w:val="20"/>
                <w:szCs w:val="20"/>
                <w:color w:val="auto"/>
              </w:rPr>
            </w:pPr>
            <w:r>
              <w:rPr>
                <w:rFonts w:ascii="Arial" w:cs="Arial" w:eastAsia="Arial" w:hAnsi="Arial"/>
                <w:sz w:val="18"/>
                <w:szCs w:val="18"/>
                <w:color w:val="auto"/>
                <w:w w:val="95"/>
              </w:rPr>
              <w:t>4.1</w:t>
            </w:r>
          </w:p>
        </w:tc>
        <w:tc>
          <w:tcPr>
            <w:tcW w:w="9980" w:type="dxa"/>
            <w:vAlign w:val="bottom"/>
            <w:gridSpan w:val="9"/>
            <w:shd w:val="clear" w:color="auto" w:fill="CCEEFF"/>
          </w:tcPr>
          <w:p>
            <w:pPr>
              <w:spacing w:after="0" w:line="169"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Specimen Common Stock Certificate (incorporated by reference from Exhibit 4.4 to the Company’s Current Report on Form 8-K, filed</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with the SEC on July 28, 2021).</w:t>
              </w:r>
            </w:hyperlink>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260" w:type="dxa"/>
            <w:vAlign w:val="bottom"/>
          </w:tcPr>
          <w:p>
            <w:pPr>
              <w:jc w:val="right"/>
              <w:ind w:right="910"/>
              <w:spacing w:after="0" w:line="189" w:lineRule="exact"/>
              <w:rPr>
                <w:sz w:val="20"/>
                <w:szCs w:val="20"/>
                <w:color w:val="auto"/>
              </w:rPr>
            </w:pPr>
            <w:r>
              <w:rPr>
                <w:rFonts w:ascii="Arial" w:cs="Arial" w:eastAsia="Arial" w:hAnsi="Arial"/>
                <w:sz w:val="18"/>
                <w:szCs w:val="18"/>
                <w:color w:val="auto"/>
                <w:w w:val="95"/>
              </w:rPr>
              <w:t>4.2</w:t>
            </w:r>
          </w:p>
        </w:tc>
        <w:tc>
          <w:tcPr>
            <w:tcW w:w="9800" w:type="dxa"/>
            <w:vAlign w:val="bottom"/>
            <w:tcBorders>
              <w:bottom w:val="single" w:sz="8" w:color="0000FF"/>
            </w:tcBorders>
            <w:gridSpan w:val="7"/>
          </w:tcPr>
          <w:p>
            <w:pPr>
              <w:spacing w:after="0" w:line="169"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Specimen Warrant Certificate (incorporated by reference from Exhibit 4.5 to the Company’s Current Report on Form 8-K, filed with the</w:t>
              </w:r>
            </w:hyperlink>
          </w:p>
        </w:tc>
        <w:tc>
          <w:tcPr>
            <w:tcW w:w="180" w:type="dxa"/>
            <w:vAlign w:val="bottom"/>
            <w:gridSpan w:val="2"/>
          </w:tcPr>
          <w:p>
            <w:pPr>
              <w:spacing w:after="0"/>
              <w:rPr>
                <w:sz w:val="16"/>
                <w:szCs w:val="16"/>
                <w:color w:val="auto"/>
              </w:rPr>
            </w:pPr>
          </w:p>
        </w:tc>
      </w:tr>
      <w:tr>
        <w:trPr>
          <w:trHeight w:val="156"/>
        </w:trPr>
        <w:tc>
          <w:tcPr>
            <w:tcW w:w="1260" w:type="dxa"/>
            <w:vAlign w:val="bottom"/>
          </w:tcPr>
          <w:p>
            <w:pPr>
              <w:spacing w:after="0"/>
              <w:rPr>
                <w:sz w:val="13"/>
                <w:szCs w:val="13"/>
                <w:color w:val="auto"/>
              </w:rPr>
            </w:pPr>
          </w:p>
        </w:tc>
        <w:tc>
          <w:tcPr>
            <w:tcW w:w="9800" w:type="dxa"/>
            <w:vAlign w:val="bottom"/>
            <w:gridSpan w:val="7"/>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SEC on July 28, 2021).</w:t>
              </w:r>
            </w:hyperlink>
          </w:p>
        </w:tc>
        <w:tc>
          <w:tcPr>
            <w:tcW w:w="180" w:type="dxa"/>
            <w:vAlign w:val="bottom"/>
            <w:gridSpan w:val="2"/>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60" w:type="dxa"/>
            <w:vAlign w:val="bottom"/>
            <w:shd w:val="clear" w:color="auto" w:fill="CCEEFF"/>
          </w:tcPr>
          <w:p>
            <w:pPr>
              <w:jc w:val="right"/>
              <w:ind w:right="910"/>
              <w:spacing w:after="0" w:line="169" w:lineRule="exact"/>
              <w:rPr>
                <w:sz w:val="20"/>
                <w:szCs w:val="20"/>
                <w:color w:val="auto"/>
              </w:rPr>
            </w:pPr>
            <w:r>
              <w:rPr>
                <w:rFonts w:ascii="Arial" w:cs="Arial" w:eastAsia="Arial" w:hAnsi="Arial"/>
                <w:sz w:val="18"/>
                <w:szCs w:val="18"/>
                <w:color w:val="auto"/>
                <w:w w:val="95"/>
              </w:rPr>
              <w:t>4.3</w:t>
            </w:r>
          </w:p>
        </w:tc>
        <w:tc>
          <w:tcPr>
            <w:tcW w:w="9980" w:type="dxa"/>
            <w:vAlign w:val="bottom"/>
            <w:gridSpan w:val="9"/>
            <w:shd w:val="clear" w:color="auto" w:fill="CCEEFF"/>
          </w:tcPr>
          <w:p>
            <w:pPr>
              <w:spacing w:after="0" w:line="169"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Warrant Agreement (incorporated by reference from Exhibit 4.4 to the Company’s Registration Statement on Form S-1, filed with the</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Company on February 26, 2019).</w:t>
              </w:r>
            </w:hyperlink>
          </w:p>
        </w:tc>
        <w:tc>
          <w:tcPr>
            <w:tcW w:w="36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4.4</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br w:type="column"/>
      </w:r>
    </w:p>
    <w:p>
      <w:pPr>
        <w:ind w:right="260"/>
        <w:spacing w:after="0" w:line="247" w:lineRule="auto"/>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Registration Rights and Lock-Up Agreement, dated as of July 26, 2021, by and among (a) Microvast Holdings, Inc., (b) the Microvast</w:t>
        </w:r>
      </w:hyperlink>
      <w:r>
        <w:rPr>
          <w:rFonts w:ascii="Arial" w:cs="Arial" w:eastAsia="Arial" w:hAnsi="Arial"/>
          <w:sz w:val="16"/>
          <w:szCs w:val="16"/>
          <w:u w:val="single" w:color="auto"/>
          <w:color w:val="0000FF"/>
        </w:rPr>
        <w:t xml:space="preserve"> </w:t>
      </w:r>
      <w:hyperlink r:id="rId76">
        <w:r>
          <w:rPr>
            <w:rFonts w:ascii="Arial" w:cs="Arial" w:eastAsia="Arial" w:hAnsi="Arial"/>
            <w:sz w:val="16"/>
            <w:szCs w:val="16"/>
            <w:u w:val="single" w:color="auto"/>
            <w:color w:val="0000FF"/>
          </w:rPr>
          <w:t>Equity Holders, (c) the CL Holders, (d) Tuscan Holdings Acquisition LLC, Stefan M. Selig, Richard O. Rieger and Amy Butte, and (e)</w:t>
        </w:r>
      </w:hyperlink>
    </w:p>
    <w:p>
      <w:pPr>
        <w:spacing w:after="0" w:line="1" w:lineRule="exact"/>
        <w:rPr>
          <w:sz w:val="20"/>
          <w:szCs w:val="20"/>
          <w:color w:val="auto"/>
        </w:rPr>
      </w:pPr>
    </w:p>
    <w:p>
      <w:pPr>
        <w:ind w:right="120"/>
        <w:spacing w:after="0" w:line="226"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EarlyBirdCapital, Inc. (incorporated by reference from Exhibit 4.1 to the Company’s Current Report on Form 8-K, filed with the SEC on</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July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right="100"/>
        <w:spacing w:after="0" w:line="247" w:lineRule="auto"/>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Stockholders Agreement, dated July 26, 2021, by and among (a) Microvast Holdings, Inc., (b) Yang Wu and (c) Tuscan Holdings</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Acquisition LLC. (incorporated by reference from Exhibit 4.2 to the Company’s Current Report on Form 8-K, filed with the SEC on July</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28, 2021).</w:t>
        </w:r>
      </w:hyperlink>
    </w:p>
    <w:p>
      <w:pPr>
        <w:spacing w:after="0" w:line="1" w:lineRule="exact"/>
        <w:rPr>
          <w:sz w:val="20"/>
          <w:szCs w:val="20"/>
          <w:color w:val="auto"/>
        </w:rPr>
      </w:pPr>
    </w:p>
    <w:p>
      <w:pPr>
        <w:sectPr>
          <w:pgSz w:w="11900" w:h="16838" w:orient="portrait"/>
          <w:cols w:equalWidth="0" w:num="2">
            <w:col w:w="540" w:space="720"/>
            <w:col w:w="9980"/>
          </w:cols>
          <w:pgMar w:left="320" w:top="233" w:right="33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1240" w:type="dxa"/>
            <w:vAlign w:val="bottom"/>
          </w:tcPr>
          <w:p>
            <w:pPr>
              <w:jc w:val="right"/>
              <w:ind w:right="830"/>
              <w:spacing w:after="0" w:line="176" w:lineRule="exact"/>
              <w:rPr>
                <w:sz w:val="20"/>
                <w:szCs w:val="20"/>
                <w:color w:val="auto"/>
              </w:rPr>
            </w:pPr>
            <w:r>
              <w:rPr>
                <w:rFonts w:ascii="Arial" w:cs="Arial" w:eastAsia="Arial" w:hAnsi="Arial"/>
                <w:sz w:val="18"/>
                <w:szCs w:val="18"/>
                <w:color w:val="auto"/>
                <w:w w:val="85"/>
              </w:rPr>
              <w:t>10.1</w:t>
            </w:r>
          </w:p>
        </w:tc>
        <w:tc>
          <w:tcPr>
            <w:tcW w:w="9960" w:type="dxa"/>
            <w:vAlign w:val="bottom"/>
            <w:tcBorders>
              <w:bottom w:val="single" w:sz="8" w:color="0000FF"/>
            </w:tcBorders>
            <w:gridSpan w:val="2"/>
          </w:tcPr>
          <w:p>
            <w:pPr>
              <w:spacing w:after="0" w:line="17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English Translation of Syndicated Loan Agreement, dated September 27, 2022, by and among Microvast Power Systems Co., Ltd. and the</w:t>
              </w:r>
            </w:hyperlink>
          </w:p>
        </w:tc>
      </w:tr>
      <w:tr>
        <w:trPr>
          <w:trHeight w:val="155"/>
        </w:trPr>
        <w:tc>
          <w:tcPr>
            <w:tcW w:w="1240" w:type="dxa"/>
            <w:vAlign w:val="bottom"/>
          </w:tcPr>
          <w:p>
            <w:pPr>
              <w:spacing w:after="0"/>
              <w:rPr>
                <w:sz w:val="13"/>
                <w:szCs w:val="13"/>
                <w:color w:val="auto"/>
              </w:rPr>
            </w:pPr>
          </w:p>
        </w:tc>
        <w:tc>
          <w:tcPr>
            <w:tcW w:w="9960" w:type="dxa"/>
            <w:vAlign w:val="bottom"/>
            <w:gridSpan w:val="2"/>
          </w:tcPr>
          <w:p>
            <w:pPr>
              <w:spacing w:after="0" w:line="15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Lenders listed thereto (incorporated by reference to Exhibit 10.1 to the Company’s Current Report on Form 8-K, filed with the SEC on</w:t>
              </w:r>
            </w:hyperlink>
          </w:p>
        </w:tc>
      </w:tr>
      <w:tr>
        <w:trPr>
          <w:trHeight w:val="20"/>
        </w:trPr>
        <w:tc>
          <w:tcPr>
            <w:tcW w:w="1240" w:type="dxa"/>
            <w:vAlign w:val="bottom"/>
          </w:tcPr>
          <w:p>
            <w:pPr>
              <w:spacing w:after="0" w:line="20" w:lineRule="exact"/>
              <w:rPr>
                <w:sz w:val="1"/>
                <w:szCs w:val="1"/>
                <w:color w:val="auto"/>
              </w:rPr>
            </w:pPr>
          </w:p>
        </w:tc>
        <w:tc>
          <w:tcPr>
            <w:tcW w:w="9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September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00"/>
        <w:spacing w:after="0" w:line="234" w:lineRule="auto"/>
        <w:rPr>
          <w:sz w:val="20"/>
          <w:szCs w:val="20"/>
          <w:color w:val="auto"/>
        </w:rPr>
      </w:pPr>
      <w:r>
        <w:rPr>
          <w:rFonts w:ascii="Arial" w:cs="Arial" w:eastAsia="Arial" w:hAnsi="Arial"/>
          <w:sz w:val="18"/>
          <w:szCs w:val="18"/>
          <w:u w:val="single" w:color="auto"/>
          <w:color w:val="0000FF"/>
        </w:rPr>
        <w:t>Certification of Principal Executive Officer Pursuant to Securities Exchange Act Rules 13a-14(a) and 15(d)-14(a), as adopted Pursuant to Section 302 of the Sarbanes-Oxley Act of 2002.</w:t>
      </w:r>
    </w:p>
    <w:p>
      <w:pPr>
        <w:spacing w:after="0" w:line="1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u w:val="single" w:color="auto"/>
          <w:color w:val="0000FF"/>
        </w:rPr>
        <w:t>Certification of Principal Financial Officer Pursuant to Securities Exchange Act Rules 13a-14(a) and 15(d)-14(a), as adopted Pursuant to Section 302 of the Sarbanes-Oxley Act of 2002.</w:t>
      </w:r>
    </w:p>
    <w:p>
      <w:pPr>
        <w:spacing w:after="0" w:line="1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-256540</wp:posOffset>
            </wp:positionV>
            <wp:extent cx="7132320" cy="26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40"/>
        <w:spacing w:after="0" w:line="235"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540" w:space="720"/>
            <w:col w:w="9980"/>
          </w:cols>
          <w:pgMar w:left="320" w:top="233" w:right="339" w:bottom="1440" w:gutter="0" w:footer="0" w:header="0"/>
          <w:type w:val="continuous"/>
        </w:sectPr>
      </w:pPr>
    </w:p>
    <w:p>
      <w:pPr>
        <w:spacing w:after="0" w:line="151" w:lineRule="exact"/>
        <w:rPr>
          <w:sz w:val="20"/>
          <w:szCs w:val="20"/>
          <w:color w:val="auto"/>
        </w:rPr>
      </w:pPr>
    </w:p>
    <w:p>
      <w:pPr>
        <w:ind w:left="20" w:right="9780" w:firstLine="6"/>
        <w:spacing w:after="0" w:line="510" w:lineRule="auto"/>
        <w:tabs>
          <w:tab w:leader="none" w:pos="371"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1" w:lineRule="exact"/>
        <w:rPr>
          <w:sz w:val="20"/>
          <w:szCs w:val="20"/>
          <w:color w:val="auto"/>
        </w:rPr>
      </w:pPr>
    </w:p>
    <w:p>
      <w:pPr>
        <w:ind w:left="380" w:right="420" w:hanging="354"/>
        <w:spacing w:after="0" w:line="23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color w:val="auto"/>
              </w:rPr>
              <w:t>Dated: November 10, 2022</w:t>
            </w:r>
          </w:p>
        </w:tc>
        <w:tc>
          <w:tcPr>
            <w:tcW w:w="7300" w:type="dxa"/>
            <w:vAlign w:val="bottom"/>
            <w:gridSpan w:val="2"/>
          </w:tcPr>
          <w:p>
            <w:pPr>
              <w:ind w:left="1960"/>
              <w:spacing w:after="0"/>
              <w:rPr>
                <w:sz w:val="20"/>
                <w:szCs w:val="20"/>
                <w:color w:val="auto"/>
              </w:rPr>
            </w:pPr>
            <w:r>
              <w:rPr>
                <w:rFonts w:ascii="Arial" w:cs="Arial" w:eastAsia="Arial" w:hAnsi="Arial"/>
                <w:sz w:val="18"/>
                <w:szCs w:val="18"/>
                <w:b w:val="1"/>
                <w:bCs w:val="1"/>
                <w:color w:val="auto"/>
              </w:rPr>
              <w:t>MICROVAST HOLDINGS, INC.</w:t>
            </w:r>
          </w:p>
        </w:tc>
      </w:tr>
      <w:tr>
        <w:trPr>
          <w:trHeight w:val="547"/>
        </w:trPr>
        <w:tc>
          <w:tcPr>
            <w:tcW w:w="3920" w:type="dxa"/>
            <w:vAlign w:val="bottom"/>
          </w:tcPr>
          <w:p>
            <w:pPr>
              <w:spacing w:after="0"/>
              <w:rPr>
                <w:sz w:val="24"/>
                <w:szCs w:val="24"/>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Webster</w:t>
            </w:r>
          </w:p>
        </w:tc>
      </w:tr>
      <w:tr>
        <w:trPr>
          <w:trHeight w:val="243"/>
        </w:trPr>
        <w:tc>
          <w:tcPr>
            <w:tcW w:w="3920" w:type="dxa"/>
            <w:vAlign w:val="bottom"/>
          </w:tcPr>
          <w:p>
            <w:pPr>
              <w:spacing w:after="0"/>
              <w:rPr>
                <w:sz w:val="21"/>
                <w:szCs w:val="21"/>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Craig Webster</w:t>
            </w:r>
          </w:p>
        </w:tc>
      </w:tr>
      <w:tr>
        <w:trPr>
          <w:trHeight w:val="257"/>
        </w:trPr>
        <w:tc>
          <w:tcPr>
            <w:tcW w:w="3920" w:type="dxa"/>
            <w:vAlign w:val="bottom"/>
          </w:tcPr>
          <w:p>
            <w:pPr>
              <w:spacing w:after="0"/>
              <w:rPr>
                <w:sz w:val="22"/>
                <w:szCs w:val="22"/>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3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Yang Wu,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Microvast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26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03" w:lineRule="exact"/>
        <w:rPr>
          <w:sz w:val="20"/>
          <w:szCs w:val="20"/>
          <w:color w:val="auto"/>
        </w:rPr>
      </w:pPr>
    </w:p>
    <w:p>
      <w:pPr>
        <w:ind w:left="20"/>
        <w:spacing w:after="0"/>
        <w:tabs>
          <w:tab w:leader="none" w:pos="5900" w:val="left"/>
          <w:tab w:leader="none" w:pos="646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31750</wp:posOffset>
            </wp:positionV>
            <wp:extent cx="3034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3" w:lineRule="exact"/>
        <w:rPr>
          <w:sz w:val="20"/>
          <w:szCs w:val="20"/>
          <w:color w:val="auto"/>
        </w:rPr>
      </w:pPr>
    </w:p>
    <w:p>
      <w:pPr>
        <w:ind w:left="6480"/>
        <w:spacing w:after="0"/>
        <w:tabs>
          <w:tab w:leader="none" w:pos="7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Yang Wu</w:t>
      </w:r>
    </w:p>
    <w:p>
      <w:pPr>
        <w:spacing w:after="0" w:line="50" w:lineRule="exact"/>
        <w:rPr>
          <w:sz w:val="20"/>
          <w:szCs w:val="20"/>
          <w:color w:val="auto"/>
        </w:rPr>
      </w:pPr>
    </w:p>
    <w:p>
      <w:pPr>
        <w:ind w:left="648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Director</w:t>
      </w:r>
    </w:p>
    <w:p>
      <w:pPr>
        <w:spacing w:after="0" w:line="5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Craig Webster,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Microvast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26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Date: November 10, 2022</w:t>
            </w: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Craig Webster</w:t>
            </w:r>
          </w:p>
        </w:tc>
      </w:tr>
      <w:tr>
        <w:trPr>
          <w:trHeight w:val="27"/>
        </w:trPr>
        <w:tc>
          <w:tcPr>
            <w:tcW w:w="38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4"/>
        </w:trPr>
        <w:tc>
          <w:tcPr>
            <w:tcW w:w="3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120" w:type="dxa"/>
            <w:vAlign w:val="bottom"/>
          </w:tcPr>
          <w:p>
            <w:pPr>
              <w:ind w:left="160"/>
              <w:spacing w:after="0"/>
              <w:rPr>
                <w:sz w:val="20"/>
                <w:szCs w:val="20"/>
                <w:color w:val="auto"/>
              </w:rPr>
            </w:pPr>
            <w:r>
              <w:rPr>
                <w:rFonts w:ascii="Arial" w:cs="Arial" w:eastAsia="Arial" w:hAnsi="Arial"/>
                <w:sz w:val="18"/>
                <w:szCs w:val="18"/>
                <w:color w:val="auto"/>
              </w:rPr>
              <w:t>Craig Webster</w:t>
            </w:r>
          </w:p>
        </w:tc>
      </w:tr>
      <w:tr>
        <w:trPr>
          <w:trHeight w:val="256"/>
        </w:trPr>
        <w:tc>
          <w:tcPr>
            <w:tcW w:w="38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1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03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Microvast Holdings, Inc. (the “Company”) on Form 10-Q for the quarter ended September 30, 2022, as filed with the Securities and Exchange Commission on the date hereof (the “Report”), I, Yang Wu, Chief Executive Officer and Director, certify, pursuant to 18 U.S.C. Section 1350, as adopted pursuant to Section 906 of the Sarbanes-Oxley Act of 2002, that, to my knowledge:</w:t>
      </w:r>
    </w:p>
    <w:p>
      <w:pPr>
        <w:spacing w:after="0" w:line="5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540" w:firstLine="8"/>
        <w:spacing w:after="0" w:line="399" w:lineRule="auto"/>
        <w:tabs>
          <w:tab w:leader="none" w:pos="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2022</w:t>
      </w:r>
    </w:p>
    <w:p>
      <w:pPr>
        <w:ind w:left="5900"/>
        <w:spacing w:after="0"/>
        <w:rPr>
          <w:sz w:val="20"/>
          <w:szCs w:val="20"/>
          <w:color w:val="auto"/>
        </w:rPr>
      </w:pPr>
      <w:r>
        <w:rPr>
          <w:rFonts w:ascii="Arial" w:cs="Arial" w:eastAsia="Arial" w:hAnsi="Arial"/>
          <w:sz w:val="18"/>
          <w:szCs w:val="18"/>
          <w:color w:val="auto"/>
        </w:rPr>
        <w:t>/s/ Yang Wu</w:t>
      </w:r>
    </w:p>
    <w:p>
      <w:pPr>
        <w:spacing w:after="0" w:line="23" w:lineRule="exact"/>
        <w:rPr>
          <w:sz w:val="20"/>
          <w:szCs w:val="20"/>
          <w:color w:val="auto"/>
        </w:rPr>
      </w:pPr>
    </w:p>
    <w:tbl>
      <w:tblPr>
        <w:tblLayout w:type="fixed"/>
        <w:tblInd w:w="5880" w:type="dxa"/>
        <w:tblCellMar>
          <w:top w:w="0" w:type="dxa"/>
          <w:left w:w="0" w:type="dxa"/>
          <w:bottom w:w="0" w:type="dxa"/>
          <w:right w:w="0" w:type="dxa"/>
        </w:tblCellMar>
      </w:tblPr>
      <w:tr>
        <w:trPr>
          <w:trHeight w:val="222"/>
        </w:trPr>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Yang Wu</w:t>
            </w:r>
          </w:p>
        </w:tc>
      </w:tr>
      <w:tr>
        <w:trPr>
          <w:trHeight w:val="229"/>
        </w:trPr>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70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Microvast Holdings, Inc. (the “Company”) on Form 10-Q for the quarter ended September 30, 2022, as filed with the Securities and Exchange Commission on the date hereof (the “Report”), I, Craig Webster, Chief Financial Officer, certify, pursuant to 18 U.S.C. Section 1350, as adopted pursuant to Section 906 of the Sarbanes-Oxley Act of 2002, that, to my knowledge:</w:t>
      </w:r>
    </w:p>
    <w:p>
      <w:pPr>
        <w:spacing w:after="0" w:line="7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540" w:firstLine="8"/>
        <w:spacing w:after="0" w:line="399"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2022</w:t>
      </w:r>
    </w:p>
    <w:p>
      <w:pPr>
        <w:ind w:left="5920"/>
        <w:spacing w:after="0"/>
        <w:rPr>
          <w:sz w:val="20"/>
          <w:szCs w:val="20"/>
          <w:color w:val="auto"/>
        </w:rPr>
      </w:pPr>
      <w:r>
        <w:rPr>
          <w:rFonts w:ascii="Arial" w:cs="Arial" w:eastAsia="Arial" w:hAnsi="Arial"/>
          <w:sz w:val="18"/>
          <w:szCs w:val="18"/>
          <w:color w:val="auto"/>
        </w:rPr>
        <w:t>/s/ Craig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947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Craig Webster</w:t>
      </w:r>
    </w:p>
    <w:p>
      <w:pPr>
        <w:spacing w:after="0" w:line="50" w:lineRule="exact"/>
        <w:rPr>
          <w:sz w:val="20"/>
          <w:szCs w:val="20"/>
          <w:color w:val="auto"/>
        </w:rPr>
      </w:pPr>
    </w:p>
    <w:p>
      <w:pPr>
        <w:ind w:left="592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5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7"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69" Type="http://schemas.openxmlformats.org/officeDocument/2006/relationships/hyperlink" Target="https://www.sec.gov/Archives/edgar/data/1760689/000121390021035581/defm14a_tuscanholdings.htm#T151" TargetMode="External"/><Relationship Id="rId71" Type="http://schemas.openxmlformats.org/officeDocument/2006/relationships/hyperlink" Target="https://www.sec.gov/Archives/edgar/data/1760689/000121390021039093/ea144448ex3-1_microvast.htm" TargetMode="External"/><Relationship Id="rId72" Type="http://schemas.openxmlformats.org/officeDocument/2006/relationships/hyperlink" Target="https://www.sec.gov/Archives/edgar/data/1760689/000121390021039093/ea144448ex3-2_microvast.htm" TargetMode="External"/><Relationship Id="rId73" Type="http://schemas.openxmlformats.org/officeDocument/2006/relationships/hyperlink" Target="https://www.sec.gov/Archives/edgar/data/1760689/000121390021039093/ea144448ex4-4_microvast.htm" TargetMode="External"/><Relationship Id="rId74" Type="http://schemas.openxmlformats.org/officeDocument/2006/relationships/hyperlink" Target="https://www.sec.gov/Archives/edgar/data/1760689/000121390021039093/ea144448ex4-5_microvast.htm" TargetMode="External"/><Relationship Id="rId75" Type="http://schemas.openxmlformats.org/officeDocument/2006/relationships/hyperlink" Target="https://www.sec.gov/Archives/edgar/data/1760689/000121390019003155/fs12018a1ex4-4_tuscanhold.htm" TargetMode="External"/><Relationship Id="rId76" Type="http://schemas.openxmlformats.org/officeDocument/2006/relationships/hyperlink" Target="https://www.sec.gov/Archives/edgar/data/1760689/000121390021039093/ea144448ex4-1_microvast.htm" TargetMode="External"/><Relationship Id="rId78" Type="http://schemas.openxmlformats.org/officeDocument/2006/relationships/hyperlink" Target="https://www.sec.gov/Archives/edgar/data/1760689/000121390021039093/ea144448ex4-2_microvast.htm" TargetMode="External"/><Relationship Id="rId79" Type="http://schemas.openxmlformats.org/officeDocument/2006/relationships/hyperlink" Target="https://www.sec.gov/Archives/edgar/data/1760689/000176068922000094/exhibit101-syndicatedloan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2022-11-10T18:21:18Z</dcterms:created>
  <dcterms:modified xsi:type="dcterms:W3CDTF">2022-11-10T18:21:18Z</dcterms:modified>
</cp:coreProperties>
</file>