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24,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Microvast Holdings,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9" w:lineRule="exact"/>
        <w:rPr>
          <w:sz w:val="24"/>
          <w:szCs w:val="24"/>
          <w:color w:val="auto"/>
        </w:rPr>
      </w:pPr>
    </w:p>
    <w:tbl>
      <w:tblPr>
        <w:tblLayout w:type="fixed"/>
        <w:tblInd w:w="860" w:type="dxa"/>
        <w:tblCellMar>
          <w:top w:w="0" w:type="dxa"/>
          <w:left w:w="0" w:type="dxa"/>
          <w:bottom w:w="0" w:type="dxa"/>
          <w:right w:w="0" w:type="dxa"/>
        </w:tblCellMar>
      </w:tblPr>
      <w:tr>
        <w:trPr>
          <w:trHeight w:val="203"/>
        </w:trPr>
        <w:tc>
          <w:tcPr>
            <w:tcW w:w="3380" w:type="dxa"/>
            <w:vAlign w:val="bottom"/>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6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6770</w:t>
            </w:r>
          </w:p>
        </w:tc>
        <w:tc>
          <w:tcPr>
            <w:tcW w:w="3100" w:type="dxa"/>
            <w:vAlign w:val="bottom"/>
          </w:tcPr>
          <w:p>
            <w:pPr>
              <w:jc w:val="center"/>
              <w:ind w:left="1759"/>
              <w:spacing w:after="0"/>
              <w:rPr>
                <w:sz w:val="20"/>
                <w:szCs w:val="20"/>
                <w:color w:val="auto"/>
              </w:rPr>
            </w:pPr>
            <w:r>
              <w:rPr>
                <w:rFonts w:ascii="Times New Roman" w:cs="Times New Roman" w:eastAsia="Times New Roman" w:hAnsi="Times New Roman"/>
                <w:sz w:val="16"/>
                <w:szCs w:val="16"/>
                <w:b w:val="1"/>
                <w:bCs w:val="1"/>
                <w:color w:val="auto"/>
              </w:rPr>
              <w:t>83-2530757</w:t>
            </w:r>
          </w:p>
        </w:tc>
        <w:tc>
          <w:tcPr>
            <w:tcW w:w="0" w:type="dxa"/>
            <w:vAlign w:val="bottom"/>
          </w:tcPr>
          <w:p>
            <w:pPr>
              <w:spacing w:after="0"/>
              <w:rPr>
                <w:sz w:val="1"/>
                <w:szCs w:val="1"/>
                <w:color w:val="auto"/>
              </w:rPr>
            </w:pPr>
          </w:p>
        </w:tc>
      </w:tr>
      <w:tr>
        <w:trPr>
          <w:trHeight w:val="203"/>
        </w:trPr>
        <w:tc>
          <w:tcPr>
            <w:tcW w:w="3380" w:type="dxa"/>
            <w:vAlign w:val="bottom"/>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6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(Primary Standard Industrial</w:t>
            </w:r>
          </w:p>
        </w:tc>
        <w:tc>
          <w:tcPr>
            <w:tcW w:w="3100" w:type="dxa"/>
            <w:vAlign w:val="bottom"/>
          </w:tcPr>
          <w:p>
            <w:pPr>
              <w:jc w:val="center"/>
              <w:ind w:left="1759"/>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03"/>
        </w:trPr>
        <w:tc>
          <w:tcPr>
            <w:tcW w:w="3380" w:type="dxa"/>
            <w:vAlign w:val="bottom"/>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6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Classification Code Number)</w:t>
            </w:r>
          </w:p>
        </w:tc>
        <w:tc>
          <w:tcPr>
            <w:tcW w:w="3100" w:type="dxa"/>
            <w:vAlign w:val="bottom"/>
          </w:tcPr>
          <w:p>
            <w:pPr>
              <w:jc w:val="center"/>
              <w:ind w:left="1759"/>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12603 Southwest Freeway, Suite 300</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Stafford, Texas 77477</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(281) 491-9505</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16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201"/>
        </w:trPr>
        <w:tc>
          <w:tcPr>
            <w:tcW w:w="3380" w:type="dxa"/>
            <w:vAlign w:val="bottom"/>
          </w:tcPr>
          <w:p>
            <w:pPr>
              <w:spacing w:after="0"/>
              <w:rPr>
                <w:sz w:val="17"/>
                <w:szCs w:val="17"/>
                <w:color w:val="auto"/>
              </w:rPr>
            </w:pPr>
          </w:p>
        </w:tc>
        <w:tc>
          <w:tcPr>
            <w:tcW w:w="26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___________________</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Isida Tushe</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6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President, General Counsel and Corporate Secretary</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Microvast Holdings, Inc.</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tcPr>
          <w:p>
            <w:pPr>
              <w:spacing w:after="0"/>
              <w:rPr>
                <w:sz w:val="17"/>
                <w:szCs w:val="17"/>
                <w:color w:val="auto"/>
              </w:rPr>
            </w:pPr>
          </w:p>
        </w:tc>
        <w:tc>
          <w:tcPr>
            <w:tcW w:w="26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12603 Southwest Freeway, Suite 300</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Stafford, Texas 77477</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(281) 491-9505</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160" w:type="dxa"/>
            <w:vAlign w:val="bottom"/>
            <w:gridSpan w:val="3"/>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tc>
        <w:tc>
          <w:tcPr>
            <w:tcW w:w="0" w:type="dxa"/>
            <w:vAlign w:val="bottom"/>
          </w:tcPr>
          <w:p>
            <w:pPr>
              <w:spacing w:after="0"/>
              <w:rPr>
                <w:sz w:val="1"/>
                <w:szCs w:val="1"/>
                <w:color w:val="auto"/>
              </w:rPr>
            </w:pPr>
          </w:p>
        </w:tc>
      </w:tr>
      <w:tr>
        <w:trPr>
          <w:trHeight w:val="210"/>
        </w:trPr>
        <w:tc>
          <w:tcPr>
            <w:tcW w:w="3380" w:type="dxa"/>
            <w:vAlign w:val="bottom"/>
            <w:vMerge w:val="restart"/>
          </w:tcPr>
          <w:p>
            <w:pPr>
              <w:jc w:val="center"/>
              <w:ind w:left="240"/>
              <w:spacing w:after="0"/>
              <w:rPr>
                <w:sz w:val="20"/>
                <w:szCs w:val="20"/>
                <w:color w:val="auto"/>
              </w:rPr>
            </w:pPr>
            <w:r>
              <w:rPr>
                <w:rFonts w:ascii="Times New Roman" w:cs="Times New Roman" w:eastAsia="Times New Roman" w:hAnsi="Times New Roman"/>
                <w:sz w:val="16"/>
                <w:szCs w:val="16"/>
                <w:b w:val="1"/>
                <w:bCs w:val="1"/>
                <w:i w:val="1"/>
                <w:iCs w:val="1"/>
                <w:color w:val="auto"/>
                <w:w w:val="99"/>
              </w:rPr>
              <w:t>With copies to:</w:t>
            </w:r>
          </w:p>
        </w:tc>
        <w:tc>
          <w:tcPr>
            <w:tcW w:w="26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___________________</w:t>
            </w:r>
          </w:p>
        </w:tc>
        <w:tc>
          <w:tcPr>
            <w:tcW w:w="310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c>
          <w:tcPr>
            <w:tcW w:w="0" w:type="dxa"/>
            <w:vAlign w:val="bottom"/>
          </w:tcPr>
          <w:p>
            <w:pPr>
              <w:spacing w:after="0"/>
              <w:rPr>
                <w:sz w:val="1"/>
                <w:szCs w:val="1"/>
                <w:color w:val="auto"/>
              </w:rPr>
            </w:pPr>
          </w:p>
        </w:tc>
      </w:tr>
      <w:tr>
        <w:trPr>
          <w:trHeight w:val="193"/>
        </w:trPr>
        <w:tc>
          <w:tcPr>
            <w:tcW w:w="338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Alain Dermarkar</w:t>
            </w:r>
          </w:p>
        </w:tc>
        <w:tc>
          <w:tcPr>
            <w:tcW w:w="2680" w:type="dxa"/>
            <w:vAlign w:val="bottom"/>
          </w:tcPr>
          <w:p>
            <w:pPr>
              <w:spacing w:after="0"/>
              <w:rPr>
                <w:sz w:val="17"/>
                <w:szCs w:val="17"/>
                <w:color w:val="auto"/>
              </w:rPr>
            </w:pPr>
          </w:p>
        </w:tc>
        <w:tc>
          <w:tcPr>
            <w:tcW w:w="3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William B. Nelson</w:t>
            </w:r>
          </w:p>
        </w:tc>
        <w:tc>
          <w:tcPr>
            <w:tcW w:w="0" w:type="dxa"/>
            <w:vAlign w:val="bottom"/>
          </w:tcPr>
          <w:p>
            <w:pPr>
              <w:spacing w:after="0"/>
              <w:rPr>
                <w:sz w:val="1"/>
                <w:szCs w:val="1"/>
                <w:color w:val="auto"/>
              </w:rPr>
            </w:pPr>
          </w:p>
        </w:tc>
      </w:tr>
      <w:tr>
        <w:trPr>
          <w:trHeight w:val="202"/>
        </w:trPr>
        <w:tc>
          <w:tcPr>
            <w:tcW w:w="3380" w:type="dxa"/>
            <w:vAlign w:val="bottom"/>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Allen Overy Shearman Sterling US LLP</w:t>
            </w:r>
          </w:p>
        </w:tc>
        <w:tc>
          <w:tcPr>
            <w:tcW w:w="2680" w:type="dxa"/>
            <w:vAlign w:val="bottom"/>
          </w:tcPr>
          <w:p>
            <w:pPr>
              <w:spacing w:after="0"/>
              <w:rPr>
                <w:sz w:val="17"/>
                <w:szCs w:val="17"/>
                <w:color w:val="auto"/>
              </w:rPr>
            </w:pPr>
          </w:p>
        </w:tc>
        <w:tc>
          <w:tcPr>
            <w:tcW w:w="3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Taylor E. Landry</w:t>
            </w:r>
          </w:p>
        </w:tc>
        <w:tc>
          <w:tcPr>
            <w:tcW w:w="0" w:type="dxa"/>
            <w:vAlign w:val="bottom"/>
          </w:tcPr>
          <w:p>
            <w:pPr>
              <w:spacing w:after="0"/>
              <w:rPr>
                <w:sz w:val="1"/>
                <w:szCs w:val="1"/>
                <w:color w:val="auto"/>
              </w:rPr>
            </w:pPr>
          </w:p>
        </w:tc>
      </w:tr>
      <w:tr>
        <w:trPr>
          <w:trHeight w:val="206"/>
        </w:trPr>
        <w:tc>
          <w:tcPr>
            <w:tcW w:w="3380" w:type="dxa"/>
            <w:vAlign w:val="bottom"/>
          </w:tcPr>
          <w:p>
            <w:pPr>
              <w:jc w:val="center"/>
              <w:ind w:left="240"/>
              <w:spacing w:after="0" w:line="205" w:lineRule="exact"/>
              <w:rPr>
                <w:sz w:val="20"/>
                <w:szCs w:val="20"/>
                <w:color w:val="auto"/>
              </w:rPr>
            </w:pPr>
            <w:r>
              <w:rPr>
                <w:rFonts w:ascii="Times New Roman" w:cs="Times New Roman" w:eastAsia="Times New Roman" w:hAnsi="Times New Roman"/>
                <w:sz w:val="15"/>
                <w:szCs w:val="15"/>
                <w:b w:val="1"/>
                <w:bCs w:val="1"/>
                <w:color w:val="auto"/>
              </w:rPr>
              <w:t>2601 Olive Street, 17</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5"/>
                <w:szCs w:val="15"/>
                <w:b w:val="1"/>
                <w:bCs w:val="1"/>
                <w:color w:val="auto"/>
              </w:rPr>
              <w:t xml:space="preserve"> Floor</w:t>
            </w:r>
          </w:p>
        </w:tc>
        <w:tc>
          <w:tcPr>
            <w:tcW w:w="2680" w:type="dxa"/>
            <w:vAlign w:val="bottom"/>
          </w:tcPr>
          <w:p>
            <w:pPr>
              <w:spacing w:after="0"/>
              <w:rPr>
                <w:sz w:val="17"/>
                <w:szCs w:val="17"/>
                <w:color w:val="auto"/>
              </w:rPr>
            </w:pPr>
          </w:p>
        </w:tc>
        <w:tc>
          <w:tcPr>
            <w:tcW w:w="3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Allen Overy Shearman Sterling US LLP</w:t>
            </w:r>
          </w:p>
        </w:tc>
        <w:tc>
          <w:tcPr>
            <w:tcW w:w="0" w:type="dxa"/>
            <w:vAlign w:val="bottom"/>
          </w:tcPr>
          <w:p>
            <w:pPr>
              <w:spacing w:after="0"/>
              <w:rPr>
                <w:sz w:val="1"/>
                <w:szCs w:val="1"/>
                <w:color w:val="auto"/>
              </w:rPr>
            </w:pPr>
          </w:p>
        </w:tc>
      </w:tr>
      <w:tr>
        <w:trPr>
          <w:trHeight w:val="203"/>
        </w:trPr>
        <w:tc>
          <w:tcPr>
            <w:tcW w:w="3380" w:type="dxa"/>
            <w:vAlign w:val="bottom"/>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w w:val="99"/>
              </w:rPr>
              <w:t>Dallas, Texas 75201</w:t>
            </w:r>
          </w:p>
        </w:tc>
        <w:tc>
          <w:tcPr>
            <w:tcW w:w="2680" w:type="dxa"/>
            <w:vAlign w:val="bottom"/>
          </w:tcPr>
          <w:p>
            <w:pPr>
              <w:spacing w:after="0"/>
              <w:rPr>
                <w:sz w:val="17"/>
                <w:szCs w:val="17"/>
                <w:color w:val="auto"/>
              </w:rPr>
            </w:pPr>
          </w:p>
        </w:tc>
        <w:tc>
          <w:tcPr>
            <w:tcW w:w="3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800 Capitol Street, Suite 2200</w:t>
            </w:r>
          </w:p>
        </w:tc>
        <w:tc>
          <w:tcPr>
            <w:tcW w:w="0" w:type="dxa"/>
            <w:vAlign w:val="bottom"/>
          </w:tcPr>
          <w:p>
            <w:pPr>
              <w:spacing w:after="0"/>
              <w:rPr>
                <w:sz w:val="1"/>
                <w:szCs w:val="1"/>
                <w:color w:val="auto"/>
              </w:rPr>
            </w:pPr>
          </w:p>
        </w:tc>
      </w:tr>
      <w:tr>
        <w:trPr>
          <w:trHeight w:val="203"/>
        </w:trPr>
        <w:tc>
          <w:tcPr>
            <w:tcW w:w="3380" w:type="dxa"/>
            <w:vAlign w:val="bottom"/>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(214) 271-5777</w:t>
            </w:r>
          </w:p>
        </w:tc>
        <w:tc>
          <w:tcPr>
            <w:tcW w:w="2680" w:type="dxa"/>
            <w:vAlign w:val="bottom"/>
          </w:tcPr>
          <w:p>
            <w:pPr>
              <w:spacing w:after="0"/>
              <w:rPr>
                <w:sz w:val="17"/>
                <w:szCs w:val="17"/>
                <w:color w:val="auto"/>
              </w:rPr>
            </w:pPr>
          </w:p>
        </w:tc>
        <w:tc>
          <w:tcPr>
            <w:tcW w:w="31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Houston, Texas 77002</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(713) 354-4900</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p>
    <w:p>
      <w:pPr>
        <w:spacing w:after="0" w:line="2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From time to time after this Registration Statement becomes effective.</w:t>
      </w:r>
    </w:p>
    <w:p>
      <w:pPr>
        <w:spacing w:after="0" w:line="2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5"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ind w:right="42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righ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54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54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54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EB0029"/>
        </w:rPr>
        <w:t>Subject to Completion, dated January 24,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MICROVAST HOLDINGS, INC.</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$250,000,000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may offer and sell the securities listed above from time to time in one or more classes or series and in amounts, at prices and on terms that we will determine at the time of the offering. The aggregate initial offering price of the securities that we will offer will not exceed $250,000,000.</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the selling stockholder named in this prospectus may, from time to time, in one or more offerings, offer and sell up to 5,500,000 shares of our common stock. We will not receive any proceeds from any sale of shares of our common stock by the selling stockholder. For a more detailed discussion of the selling stockholder, please read “Selling Stockholder.”</w:t>
      </w:r>
    </w:p>
    <w:p>
      <w:pPr>
        <w:spacing w:after="0" w:line="17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common stock and public warrants are traded on The Nasdaq Stock Market LLC (“Nasdaq”) under the symbols “MVST” and “MVSTW,” respectively. On January 17, 2025, the last reported sales price of our common stock was $2.06 per share, and the last reported sales price of our public warrants was $0.37 per warrant.</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prospectus describes the general manner in which these securities may be offered and sold. If necessary, the specific manner in which these securities may be offered and sold will be described in one or more supplements to this prospectus. Any prospectus supplement may add, update or change information contained in this prospectus. You should carefully read this prospectus, and any applicable prospectus supplement, as well as the documents incorporated by reference herein or therein before you invest in any of our securities.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securities may be offered and sold on a delayed or continuous basis directly by us or the selling stockholder through agents, underwriters or dealers as designated from time to time, through a combination of these methods or any other method as provided in the applicable prospectus supplement. See “Plan of Distribution.” The prospectus supplement will list any agents, underwriters or dealers that may be involved and the compensation they will receive.</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and are subject to reduced public company reporting requirements. This prospectus complies with the requirements that apply to an issuer that is an emerging growth company.</w:t>
      </w:r>
    </w:p>
    <w:p>
      <w:pPr>
        <w:spacing w:after="0" w:line="1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this prospectus and any accompanying prospectus supplement, together with the documents we incorporate by reference, before you invest in any of our securities.</w:t>
      </w:r>
    </w:p>
    <w:p>
      <w:pPr>
        <w:spacing w:after="0" w:line="155"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Please see “Risk Factors” beginning on page 5 of this prospectus for a discussion of certain risks that you should consider in connection with an investment in the securities.</w:t>
      </w:r>
    </w:p>
    <w:p>
      <w:pPr>
        <w:spacing w:after="0" w:line="1"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passed upon the accuracy or adequacy of this prospectus. Any representation to the contrary is a criminal offense.</w:t>
      </w:r>
    </w:p>
    <w:p>
      <w:pPr>
        <w:spacing w:after="0" w:line="1"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___________________</w:t>
            </w:r>
          </w:p>
        </w:tc>
        <w:tc>
          <w:tcPr>
            <w:tcW w:w="580" w:type="dxa"/>
            <w:vAlign w:val="bottom"/>
          </w:tcPr>
          <w:p>
            <w:pPr>
              <w:spacing w:after="0"/>
              <w:rPr>
                <w:sz w:val="20"/>
                <w:szCs w:val="20"/>
                <w:color w:val="auto"/>
              </w:rPr>
            </w:pPr>
          </w:p>
        </w:tc>
      </w:tr>
      <w:tr>
        <w:trPr>
          <w:trHeight w:val="414"/>
        </w:trPr>
        <w:tc>
          <w:tcPr>
            <w:tcW w:w="2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The date of this prospectus 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75"/>
        </w:trPr>
        <w:tc>
          <w:tcPr>
            <w:tcW w:w="8380" w:type="dxa"/>
            <w:vAlign w:val="bottom"/>
            <w:gridSpan w:val="1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02"/>
        </w:trPr>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EE"/>
            </w:tcBorders>
            <w:shd w:val="clear" w:color="auto" w:fill="CCEEFF"/>
          </w:tcPr>
          <w:p>
            <w:pPr>
              <w:spacing w:after="0"/>
              <w:rPr>
                <w:sz w:val="8"/>
                <w:szCs w:val="8"/>
                <w:color w:val="auto"/>
              </w:rPr>
            </w:pPr>
          </w:p>
        </w:tc>
        <w:tc>
          <w:tcPr>
            <w:tcW w:w="4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440" w:type="dxa"/>
            <w:vAlign w:val="bottom"/>
            <w:tcBorders>
              <w:top w:val="single" w:sz="8" w:color="0000EE"/>
            </w:tcBorders>
            <w:shd w:val="clear" w:color="auto" w:fill="CCEEFF"/>
          </w:tcPr>
          <w:p>
            <w:pPr>
              <w:spacing w:after="0"/>
              <w:rPr>
                <w:sz w:val="8"/>
                <w:szCs w:val="8"/>
                <w:color w:val="auto"/>
              </w:rPr>
            </w:pPr>
          </w:p>
        </w:tc>
        <w:tc>
          <w:tcPr>
            <w:tcW w:w="4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CCEEFF"/>
            </w:tcBorders>
            <w:shd w:val="clear" w:color="auto" w:fill="CCEEFF"/>
          </w:tcPr>
          <w:p>
            <w:pPr>
              <w:spacing w:after="0"/>
              <w:rPr>
                <w:sz w:val="8"/>
                <w:szCs w:val="8"/>
                <w:color w:val="auto"/>
              </w:rPr>
            </w:pPr>
          </w:p>
        </w:tc>
        <w:tc>
          <w:tcPr>
            <w:tcW w:w="2860" w:type="dxa"/>
            <w:vAlign w:val="bottom"/>
            <w:tcBorders>
              <w:top w:val="single" w:sz="8" w:color="CCEEFF"/>
            </w:tcBorders>
            <w:shd w:val="clear" w:color="auto" w:fill="CCEEFF"/>
          </w:tcPr>
          <w:p>
            <w:pPr>
              <w:spacing w:after="0"/>
              <w:rPr>
                <w:sz w:val="8"/>
                <w:szCs w:val="8"/>
                <w:color w:val="auto"/>
              </w:rPr>
            </w:pPr>
          </w:p>
        </w:tc>
      </w:tr>
      <w:tr>
        <w:trPr>
          <w:trHeight w:val="176"/>
        </w:trPr>
        <w:tc>
          <w:tcPr>
            <w:tcW w:w="838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8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01"/>
        </w:trPr>
        <w:tc>
          <w:tcPr>
            <w:tcW w:w="10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9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760" w:type="dxa"/>
            <w:vAlign w:val="bottom"/>
            <w:tcBorders>
              <w:top w:val="single" w:sz="8" w:color="0000EE"/>
            </w:tcBorders>
          </w:tcPr>
          <w:p>
            <w:pPr>
              <w:spacing w:after="0"/>
              <w:rPr>
                <w:sz w:val="8"/>
                <w:szCs w:val="8"/>
                <w:color w:val="auto"/>
              </w:rPr>
            </w:pPr>
          </w:p>
        </w:tc>
        <w:tc>
          <w:tcPr>
            <w:tcW w:w="250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76"/>
        </w:trPr>
        <w:tc>
          <w:tcPr>
            <w:tcW w:w="8380" w:type="dxa"/>
            <w:vAlign w:val="bottom"/>
            <w:gridSpan w:val="1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02"/>
        </w:trPr>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EE"/>
            </w:tcBorders>
            <w:shd w:val="clear" w:color="auto" w:fill="CCEEFF"/>
          </w:tcPr>
          <w:p>
            <w:pPr>
              <w:spacing w:after="0"/>
              <w:rPr>
                <w:sz w:val="8"/>
                <w:szCs w:val="8"/>
                <w:color w:val="auto"/>
              </w:rPr>
            </w:pPr>
          </w:p>
        </w:tc>
        <w:tc>
          <w:tcPr>
            <w:tcW w:w="4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CCEEFF"/>
            </w:tcBorders>
            <w:shd w:val="clear" w:color="auto" w:fill="CCEEFF"/>
          </w:tcPr>
          <w:p>
            <w:pPr>
              <w:spacing w:after="0"/>
              <w:rPr>
                <w:sz w:val="8"/>
                <w:szCs w:val="8"/>
                <w:color w:val="auto"/>
              </w:rPr>
            </w:pPr>
          </w:p>
        </w:tc>
        <w:tc>
          <w:tcPr>
            <w:tcW w:w="2860" w:type="dxa"/>
            <w:vAlign w:val="bottom"/>
            <w:tcBorders>
              <w:top w:val="single" w:sz="8" w:color="CCEEFF"/>
            </w:tcBorders>
            <w:shd w:val="clear" w:color="auto" w:fill="CCEEFF"/>
          </w:tcPr>
          <w:p>
            <w:pPr>
              <w:spacing w:after="0"/>
              <w:rPr>
                <w:sz w:val="8"/>
                <w:szCs w:val="8"/>
                <w:color w:val="auto"/>
              </w:rPr>
            </w:pPr>
          </w:p>
        </w:tc>
      </w:tr>
      <w:tr>
        <w:trPr>
          <w:trHeight w:val="175"/>
        </w:trPr>
        <w:tc>
          <w:tcPr>
            <w:tcW w:w="838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8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02"/>
        </w:trPr>
        <w:tc>
          <w:tcPr>
            <w:tcW w:w="10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76"/>
        </w:trPr>
        <w:tc>
          <w:tcPr>
            <w:tcW w:w="8380" w:type="dxa"/>
            <w:vAlign w:val="bottom"/>
            <w:gridSpan w:val="1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02"/>
        </w:trPr>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EE"/>
            </w:tcBorders>
            <w:shd w:val="clear" w:color="auto" w:fill="CCEEFF"/>
          </w:tcPr>
          <w:p>
            <w:pPr>
              <w:spacing w:after="0"/>
              <w:rPr>
                <w:sz w:val="8"/>
                <w:szCs w:val="8"/>
                <w:color w:val="auto"/>
              </w:rPr>
            </w:pPr>
          </w:p>
        </w:tc>
        <w:tc>
          <w:tcPr>
            <w:tcW w:w="4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CCEEFF"/>
            </w:tcBorders>
            <w:shd w:val="clear" w:color="auto" w:fill="CCEEFF"/>
          </w:tcPr>
          <w:p>
            <w:pPr>
              <w:spacing w:after="0"/>
              <w:rPr>
                <w:sz w:val="8"/>
                <w:szCs w:val="8"/>
                <w:color w:val="auto"/>
              </w:rPr>
            </w:pPr>
          </w:p>
        </w:tc>
        <w:tc>
          <w:tcPr>
            <w:tcW w:w="2860" w:type="dxa"/>
            <w:vAlign w:val="bottom"/>
            <w:tcBorders>
              <w:top w:val="single" w:sz="8" w:color="CCEEFF"/>
            </w:tcBorders>
            <w:shd w:val="clear" w:color="auto" w:fill="CCEEFF"/>
          </w:tcPr>
          <w:p>
            <w:pPr>
              <w:spacing w:after="0"/>
              <w:rPr>
                <w:sz w:val="8"/>
                <w:szCs w:val="8"/>
                <w:color w:val="auto"/>
              </w:rPr>
            </w:pPr>
          </w:p>
        </w:tc>
      </w:tr>
      <w:tr>
        <w:trPr>
          <w:trHeight w:val="175"/>
        </w:trPr>
        <w:tc>
          <w:tcPr>
            <w:tcW w:w="838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8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02"/>
        </w:trPr>
        <w:tc>
          <w:tcPr>
            <w:tcW w:w="10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75"/>
        </w:trPr>
        <w:tc>
          <w:tcPr>
            <w:tcW w:w="8380" w:type="dxa"/>
            <w:vAlign w:val="bottom"/>
            <w:gridSpan w:val="1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102"/>
        </w:trPr>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EE"/>
            </w:tcBorders>
            <w:shd w:val="clear" w:color="auto" w:fill="CCEEFF"/>
          </w:tcPr>
          <w:p>
            <w:pPr>
              <w:spacing w:after="0"/>
              <w:rPr>
                <w:sz w:val="8"/>
                <w:szCs w:val="8"/>
                <w:color w:val="auto"/>
              </w:rPr>
            </w:pPr>
          </w:p>
        </w:tc>
        <w:tc>
          <w:tcPr>
            <w:tcW w:w="4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440" w:type="dxa"/>
            <w:vAlign w:val="bottom"/>
            <w:tcBorders>
              <w:top w:val="single" w:sz="8" w:color="0000EE"/>
            </w:tcBorders>
            <w:shd w:val="clear" w:color="auto" w:fill="CCEEFF"/>
          </w:tcPr>
          <w:p>
            <w:pPr>
              <w:spacing w:after="0"/>
              <w:rPr>
                <w:sz w:val="8"/>
                <w:szCs w:val="8"/>
                <w:color w:val="auto"/>
              </w:rPr>
            </w:pPr>
          </w:p>
        </w:tc>
        <w:tc>
          <w:tcPr>
            <w:tcW w:w="4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240" w:type="dxa"/>
            <w:vAlign w:val="bottom"/>
            <w:tcBorders>
              <w:top w:val="single" w:sz="8" w:color="0000EE"/>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CCEEFF"/>
            </w:tcBorders>
            <w:shd w:val="clear" w:color="auto" w:fill="CCEEFF"/>
          </w:tcPr>
          <w:p>
            <w:pPr>
              <w:spacing w:after="0"/>
              <w:rPr>
                <w:sz w:val="8"/>
                <w:szCs w:val="8"/>
                <w:color w:val="auto"/>
              </w:rPr>
            </w:pPr>
          </w:p>
        </w:tc>
        <w:tc>
          <w:tcPr>
            <w:tcW w:w="2860" w:type="dxa"/>
            <w:vAlign w:val="bottom"/>
            <w:tcBorders>
              <w:top w:val="single" w:sz="8" w:color="CCEEFF"/>
            </w:tcBorders>
            <w:shd w:val="clear" w:color="auto" w:fill="CCEEFF"/>
          </w:tcPr>
          <w:p>
            <w:pPr>
              <w:spacing w:after="0"/>
              <w:rPr>
                <w:sz w:val="8"/>
                <w:szCs w:val="8"/>
                <w:color w:val="auto"/>
              </w:rPr>
            </w:pPr>
          </w:p>
        </w:tc>
      </w:tr>
      <w:tr>
        <w:trPr>
          <w:trHeight w:val="176"/>
        </w:trPr>
        <w:tc>
          <w:tcPr>
            <w:tcW w:w="838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8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w:t>
            </w:r>
          </w:p>
        </w:tc>
      </w:tr>
      <w:tr>
        <w:trPr>
          <w:trHeight w:val="102"/>
        </w:trPr>
        <w:tc>
          <w:tcPr>
            <w:tcW w:w="10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75"/>
        </w:trPr>
        <w:tc>
          <w:tcPr>
            <w:tcW w:w="8380" w:type="dxa"/>
            <w:vAlign w:val="bottom"/>
            <w:gridSpan w:val="1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2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13</w:t>
            </w:r>
          </w:p>
        </w:tc>
      </w:tr>
      <w:tr>
        <w:trPr>
          <w:trHeight w:val="102"/>
        </w:trPr>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EE"/>
            </w:tcBorders>
            <w:shd w:val="clear" w:color="auto" w:fill="CCEEFF"/>
          </w:tcPr>
          <w:p>
            <w:pPr>
              <w:spacing w:after="0"/>
              <w:rPr>
                <w:sz w:val="8"/>
                <w:szCs w:val="8"/>
                <w:color w:val="auto"/>
              </w:rPr>
            </w:pPr>
          </w:p>
        </w:tc>
        <w:tc>
          <w:tcPr>
            <w:tcW w:w="4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440" w:type="dxa"/>
            <w:vAlign w:val="bottom"/>
            <w:tcBorders>
              <w:top w:val="single" w:sz="8" w:color="0000EE"/>
            </w:tcBorders>
            <w:shd w:val="clear" w:color="auto" w:fill="CCEEFF"/>
          </w:tcPr>
          <w:p>
            <w:pPr>
              <w:spacing w:after="0"/>
              <w:rPr>
                <w:sz w:val="8"/>
                <w:szCs w:val="8"/>
                <w:color w:val="auto"/>
              </w:rPr>
            </w:pPr>
          </w:p>
        </w:tc>
        <w:tc>
          <w:tcPr>
            <w:tcW w:w="4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CCEEFF"/>
            </w:tcBorders>
            <w:shd w:val="clear" w:color="auto" w:fill="CCEEFF"/>
          </w:tcPr>
          <w:p>
            <w:pPr>
              <w:spacing w:after="0"/>
              <w:rPr>
                <w:sz w:val="8"/>
                <w:szCs w:val="8"/>
                <w:color w:val="auto"/>
              </w:rPr>
            </w:pPr>
          </w:p>
        </w:tc>
        <w:tc>
          <w:tcPr>
            <w:tcW w:w="2860" w:type="dxa"/>
            <w:vAlign w:val="bottom"/>
            <w:tcBorders>
              <w:top w:val="single" w:sz="8" w:color="CCEEFF"/>
            </w:tcBorders>
            <w:shd w:val="clear" w:color="auto" w:fill="CCEEFF"/>
          </w:tcPr>
          <w:p>
            <w:pPr>
              <w:spacing w:after="0"/>
              <w:rPr>
                <w:sz w:val="8"/>
                <w:szCs w:val="8"/>
                <w:color w:val="auto"/>
              </w:rPr>
            </w:pPr>
          </w:p>
        </w:tc>
      </w:tr>
      <w:tr>
        <w:trPr>
          <w:trHeight w:val="176"/>
        </w:trPr>
        <w:tc>
          <w:tcPr>
            <w:tcW w:w="838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8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14</w:t>
            </w:r>
          </w:p>
        </w:tc>
      </w:tr>
      <w:tr>
        <w:trPr>
          <w:trHeight w:val="101"/>
        </w:trPr>
        <w:tc>
          <w:tcPr>
            <w:tcW w:w="10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76"/>
        </w:trPr>
        <w:tc>
          <w:tcPr>
            <w:tcW w:w="8380" w:type="dxa"/>
            <w:vAlign w:val="bottom"/>
            <w:gridSpan w:val="1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102"/>
        </w:trPr>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EE"/>
            </w:tcBorders>
            <w:shd w:val="clear" w:color="auto" w:fill="CCEEFF"/>
          </w:tcPr>
          <w:p>
            <w:pPr>
              <w:spacing w:after="0"/>
              <w:rPr>
                <w:sz w:val="8"/>
                <w:szCs w:val="8"/>
                <w:color w:val="auto"/>
              </w:rPr>
            </w:pPr>
          </w:p>
        </w:tc>
        <w:tc>
          <w:tcPr>
            <w:tcW w:w="4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CCEEFF"/>
            </w:tcBorders>
            <w:shd w:val="clear" w:color="auto" w:fill="CCEEFF"/>
          </w:tcPr>
          <w:p>
            <w:pPr>
              <w:spacing w:after="0"/>
              <w:rPr>
                <w:sz w:val="8"/>
                <w:szCs w:val="8"/>
                <w:color w:val="auto"/>
              </w:rPr>
            </w:pPr>
          </w:p>
        </w:tc>
        <w:tc>
          <w:tcPr>
            <w:tcW w:w="2860" w:type="dxa"/>
            <w:vAlign w:val="bottom"/>
            <w:tcBorders>
              <w:top w:val="single" w:sz="8" w:color="CCEEFF"/>
            </w:tcBorders>
            <w:shd w:val="clear" w:color="auto" w:fill="CCEEFF"/>
          </w:tcPr>
          <w:p>
            <w:pPr>
              <w:spacing w:after="0"/>
              <w:rPr>
                <w:sz w:val="8"/>
                <w:szCs w:val="8"/>
                <w:color w:val="auto"/>
              </w:rPr>
            </w:pPr>
          </w:p>
        </w:tc>
      </w:tr>
      <w:tr>
        <w:trPr>
          <w:trHeight w:val="175"/>
        </w:trPr>
        <w:tc>
          <w:tcPr>
            <w:tcW w:w="838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8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102"/>
        </w:trPr>
        <w:tc>
          <w:tcPr>
            <w:tcW w:w="10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76"/>
        </w:trPr>
        <w:tc>
          <w:tcPr>
            <w:tcW w:w="8380" w:type="dxa"/>
            <w:vAlign w:val="bottom"/>
            <w:gridSpan w:val="1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102"/>
        </w:trPr>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EE"/>
            </w:tcBorders>
            <w:shd w:val="clear" w:color="auto" w:fill="CCEEFF"/>
          </w:tcPr>
          <w:p>
            <w:pPr>
              <w:spacing w:after="0"/>
              <w:rPr>
                <w:sz w:val="8"/>
                <w:szCs w:val="8"/>
                <w:color w:val="auto"/>
              </w:rPr>
            </w:pPr>
          </w:p>
        </w:tc>
        <w:tc>
          <w:tcPr>
            <w:tcW w:w="48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440" w:type="dxa"/>
            <w:vAlign w:val="bottom"/>
            <w:tcBorders>
              <w:top w:val="single" w:sz="8" w:color="0000EE"/>
            </w:tcBorders>
            <w:shd w:val="clear" w:color="auto" w:fill="CCEEFF"/>
          </w:tcPr>
          <w:p>
            <w:pPr>
              <w:spacing w:after="0"/>
              <w:rPr>
                <w:sz w:val="8"/>
                <w:szCs w:val="8"/>
                <w:color w:val="auto"/>
              </w:rPr>
            </w:pPr>
          </w:p>
        </w:tc>
        <w:tc>
          <w:tcPr>
            <w:tcW w:w="4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120" w:type="dxa"/>
            <w:vAlign w:val="bottom"/>
            <w:tcBorders>
              <w:top w:val="single" w:sz="8" w:color="0000EE"/>
            </w:tcBorders>
            <w:shd w:val="clear" w:color="auto" w:fill="CCEEFF"/>
          </w:tcPr>
          <w:p>
            <w:pPr>
              <w:spacing w:after="0"/>
              <w:rPr>
                <w:sz w:val="8"/>
                <w:szCs w:val="8"/>
                <w:color w:val="auto"/>
              </w:rPr>
            </w:pPr>
          </w:p>
        </w:tc>
        <w:tc>
          <w:tcPr>
            <w:tcW w:w="240" w:type="dxa"/>
            <w:vAlign w:val="bottom"/>
            <w:tcBorders>
              <w:top w:val="single" w:sz="8" w:color="0000EE"/>
            </w:tcBorders>
            <w:shd w:val="clear" w:color="auto" w:fill="CCEEFF"/>
          </w:tcPr>
          <w:p>
            <w:pPr>
              <w:spacing w:after="0"/>
              <w:rPr>
                <w:sz w:val="8"/>
                <w:szCs w:val="8"/>
                <w:color w:val="auto"/>
              </w:rPr>
            </w:pPr>
          </w:p>
        </w:tc>
        <w:tc>
          <w:tcPr>
            <w:tcW w:w="400" w:type="dxa"/>
            <w:vAlign w:val="bottom"/>
            <w:tcBorders>
              <w:top w:val="single" w:sz="8" w:color="0000EE"/>
            </w:tcBorders>
            <w:shd w:val="clear" w:color="auto" w:fill="CCEEFF"/>
          </w:tcPr>
          <w:p>
            <w:pPr>
              <w:spacing w:after="0"/>
              <w:rPr>
                <w:sz w:val="8"/>
                <w:szCs w:val="8"/>
                <w:color w:val="auto"/>
              </w:rPr>
            </w:pPr>
          </w:p>
        </w:tc>
        <w:tc>
          <w:tcPr>
            <w:tcW w:w="940" w:type="dxa"/>
            <w:vAlign w:val="bottom"/>
            <w:tcBorders>
              <w:top w:val="single" w:sz="8" w:color="0000EE"/>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CCEEFF"/>
            </w:tcBorders>
            <w:shd w:val="clear" w:color="auto" w:fill="CCEEFF"/>
          </w:tcPr>
          <w:p>
            <w:pPr>
              <w:spacing w:after="0"/>
              <w:rPr>
                <w:sz w:val="8"/>
                <w:szCs w:val="8"/>
                <w:color w:val="auto"/>
              </w:rPr>
            </w:pPr>
          </w:p>
        </w:tc>
        <w:tc>
          <w:tcPr>
            <w:tcW w:w="2860" w:type="dxa"/>
            <w:vAlign w:val="bottom"/>
            <w:tcBorders>
              <w:top w:val="single" w:sz="8" w:color="CCEEFF"/>
            </w:tcBorders>
            <w:shd w:val="clear" w:color="auto" w:fill="CCEEFF"/>
          </w:tcPr>
          <w:p>
            <w:pPr>
              <w:spacing w:after="0"/>
              <w:rPr>
                <w:sz w:val="8"/>
                <w:szCs w:val="8"/>
                <w:color w:val="auto"/>
              </w:rPr>
            </w:pPr>
          </w:p>
        </w:tc>
      </w:tr>
      <w:tr>
        <w:trPr>
          <w:trHeight w:val="175"/>
        </w:trPr>
        <w:tc>
          <w:tcPr>
            <w:tcW w:w="8380" w:type="dxa"/>
            <w:vAlign w:val="bottom"/>
            <w:gridSpan w:val="16"/>
          </w:tcPr>
          <w:p>
            <w:pPr>
              <w:ind w:left="100"/>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8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18</w:t>
            </w:r>
          </w:p>
        </w:tc>
      </w:tr>
      <w:tr>
        <w:trPr>
          <w:trHeight w:val="1877"/>
        </w:trPr>
        <w:tc>
          <w:tcPr>
            <w:tcW w:w="100" w:type="dxa"/>
            <w:vAlign w:val="bottom"/>
            <w:tcBorders>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 up to a total dollar amount of $250,000,000. In addition, the selling stockholder named in this prospectus may sell up to 5,500,000 shares of our common stock as described in this prospectus in one or more offerings. Unless the context requires otherwise or unless otherwise noted, all references in this prospectus or any accompanying prospectus supplement to “Microvast,” “Company,” “we,” “us” or “our” are to Microvast Holdings, Inc. and, as applicable, its subsidiaries.</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the selling stockholder may offer. Each time we or the selling stockholder, if applicable, sell securities pursuant to the registration statement of which this prospectus forms a part,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You should carefully read this prospectus, any applicable prospectus supplement and related free writing prospectus, together with additional information described under the heading “Where You Can Find More Information” before you invest in any of these securities.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prospectus supplement. We have not authorized any dealer, salesperson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in this prospectus or any prospectus supplement or in any document incorporated by reference in this prospectus or any prospectus supplement is accurate as of any date other than the date of the document containing the information. Some of the market and industry data contained or incorporated by reference in this prospectus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and beliefs and estimates based on such data, may not be reliable.</w:t>
      </w:r>
    </w:p>
    <w:p>
      <w:pPr>
        <w:spacing w:after="0" w:line="19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You should read carefully the entire prospectus, as well as the documents incorporated by reference in the prospectus and the applicable prospectus supplement, before making an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forward-looking statements intended to qualify for the safe harbors from liability established by the Private Securities Litigation Reform Act of 1995, Section 27A of the Securities Act of 1933, as amended (the “Securities Act”), and Section 21E of the Securities Exchange Act of 1934, as amended (the “Exchange Act”). These forward-looking statements are subject to a number of risks and uncertainties, many of which are beyond our control. All statements, other than statements of historical fact included in this prospectus and the documents incorporated by reference, including those regarding our strategy, future operations, financial position, well expectations and drilling plans, estimated production levels, expected oil and natural gas pricing, estimated oil and natural gas reserves or the present value thereof, reserve increases, service costs, impact of inflation, capital expenditures, budget, projected costs, prospects, plans and objectives of management are forward-looking statements. When used in this prospectus and the documents incorporated by reference, the words “will,” “could,” “believe,” “anticipate,” “intend,” “estimate,” “budgeted,” “guidance,” “expect,” “may,” “continue,” “predict,” “potential,” “plan,” “project,” “should” and similar expressions are intended to identify forward-looking statements, although not all forward-looking statements contain such identifying words.</w:t>
      </w:r>
    </w:p>
    <w:p>
      <w:pPr>
        <w:spacing w:after="0" w:line="19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include, but are not limited to, the following risks and uncertainties:</w:t>
      </w:r>
    </w:p>
    <w:p>
      <w:pPr>
        <w:spacing w:after="0" w:line="162"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 going concern;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may not be able to execute our growth strategies or achieve profitability;</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will not be able to raise additional capital to execute our business plan, which may not be available on acceptable terms or at all, or pay our debts as they come due;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existing and any future credit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operations in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mechanics liens filed by contractors that we do not have sufficient funds to pay;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existing and future litigation;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high interest rates and associated Federal Reserve policies, a potential economic recession, and the impact of inflation on our business;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highly competitive market in which we compete, including with respect to our competitive landscape, technology evolution or regulatory changes;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 of raw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 including the ability to attract, hire and retain key employees and contract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awareness of environmental issues and concern about global warming and climate 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unable to secure or protect our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customers or third-party suppliers are unable to meet their obligations fully or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customers will adjust, cancel or suspend their orders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product liability or regulatory lawsuits or proceedings relating to our products or services;</w:t>
      </w:r>
    </w:p>
    <w:p>
      <w:pPr>
        <w:spacing w:after="0" w:line="225" w:lineRule="exact"/>
        <w:rPr>
          <w:rFonts w:ascii="Times New Roman" w:cs="Times New Roman" w:eastAsia="Times New Roman" w:hAnsi="Times New Roman"/>
          <w:sz w:val="18"/>
          <w:szCs w:val="18"/>
          <w:color w:val="auto"/>
        </w:rPr>
      </w:pPr>
    </w:p>
    <w:p>
      <w:pPr>
        <w:ind w:left="980" w:right="4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information technology and operational technology systems and practices to detect and defend against evolving cyberattacks;</w:t>
      </w: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 w:name="page6"/>
    <w:bookmarkEnd w:id="5"/>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laws regarding cybersecurity and data privacy, and any cybersecurity threat or event;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and associated cost of compliance with existing and future laws and governmental regulations, such as the Inflation Reduction Act;</w:t>
      </w:r>
    </w:p>
    <w:p>
      <w:pPr>
        <w:spacing w:after="0" w:line="23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financial and other impacts such as a pandemic, including global supply chain disruptions;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geopolitical events, including the ongoing conflicts between Russia and Ukraine and the Middle East.</w:t>
      </w:r>
    </w:p>
    <w:p>
      <w:pPr>
        <w:spacing w:after="0" w:line="11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Additionally, new risk factors and uncertainties may emerge from time to time, and it is not possible for management to predict all risk factors and uncertainties. As a result of these factors, the forward-looking statements in this prospectus, any accompanying prospectus supplement and the documents incorporated by reference herein may not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any accompanying prospectus supplement and the documents incorporated by reference herein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0" w:lineRule="exact"/>
        <w:rPr>
          <w:sz w:val="20"/>
          <w:szCs w:val="20"/>
          <w:color w:val="auto"/>
        </w:rPr>
      </w:pPr>
    </w:p>
    <w:p>
      <w:pPr>
        <w:spacing w:after="0" w:line="20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Microvast Holdings, Inc. is an advanced battery technology company headquartered in Stafford, Texas. We design, develop and manufacture battery components and systems primarily for electric commercial vehicles and utility-scale energy storage systems.</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Microvast, Inc. was initially incorporated in Texas in 2006, then re-incorporated as a Delaware corporation in December 2015. On July 23, 2021, Tuscan Holdings Corp. (“Tuscan”) a Delaware corporation established in April 2016 for the purpose of effecting a merger, capital stock exchange, asset acquisition, stock purchase, reorganization, or similar business combination with one or more businesses consummated the acquisition of Microvast, Inc. pursuant to an Agreement and Plan of Merger dated February 1, 2021, between Tuscan, Microvast, Inc. and TSCN Merger Sub Inc. (the “Business Combination”). Following the Business Combination, we changed our name from Tuscan to “Microvast Holdings, Inc.”</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12603 Southwest Freeway, Suite 300, Stafford, Texas 77477, and our telephone number is (281) 491-9505. Our website is https://microvast.com. The information posted on our website is not incorporated by reference into this prospectus or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Investing in any of our securities involves significant risks. Before you make a decision to buy our securities, in addition to the risks and uncertainties discussed above under “Forward-Looking Statements,” you should carefully consider the specific risks set forth under the heading “Risk Factors” under Item 1A of Part I of our Annual Report on Form 10-K filed with the SEC, any subsequent Quarterly Reports on Form 10-Q or Current Reports on Form 8-K, and all other information contained or incorporated by reference to this prospectus, as updated by our subsequent filings under the Exchange Act, and the risk factors and other information contained in any applicable prospectus supplement and any applicable free writing prospectus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or any documents incorporated by reference herein are not the only risks and uncertainties that we face. Additional risks and uncertainties not presently known to us or that we currently believe to be immaterial may become material and adversely affect our business. For more information, see “Where You Can Find More Information” and “Information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information incorporated by reference or related free writing prospectus, we intend to use the net proceeds from the sale of securities for general corporate purposes, which may include the repayment or refinancing of all or a portion of any indebtedness outstanding at a particular time, increasing our working capital, acquisitions and capital expenditures.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common stock offered by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and does not purport to be complete. It is subject to and qualified in its entirety by reference to our Second Amended and Restated Certificate of Incorporation (our “Charter”), our Amended and Restated Bylaws (our “Bylaws”), the Stockholders’ Agreement entered on July 26, 2021, the Registration Rights and Lockup Agreement entered into on July 26, 2021, and the applicable provisions of the General Corporation Law of the State of Delaware (the “DGCL”), as applicable.</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authorized the issuance of 800,000,000 shares of capital stock, consisting of 750,000,000 shares of common stock, par value $0.0001 per share, and 50,000,000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Stock Market LLC (“Nasdaq”) under the symbol “MVST.” On January 13, 2025, there were 323,893,237 outstanding shares of common stock held by 274 stockholders of record.</w:t>
      </w:r>
    </w:p>
    <w:p>
      <w:pPr>
        <w:spacing w:after="0" w:line="16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common stock is entitled to one vote for each share of common stock held of record by such holder on all matters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stockholders generally are entitled to vote. The holders of shares of common stock will vote together as a single class (or, if the holders of one or more outstanding series of preferred stock are entitled to vote together with the holders of common stock as a single class, together with the holders of such other series of preferred stock) on all matters submitted to a vote of our stockholders generally. Generally, all matters to be voted on by stockholders must be approved by a majority (or, (1) in the case of election of directors, by a plurality and (2), in the case of amendment of the Charter, so long as Mr. Yang Wu (“Mr. Wu”) maintains beneficial ownership of at least 10% of the total voting power of all the outstanding shares of the Company entitled to vote generally in the election of directors, by a vote of at least 75%) of the votes entitled to be cast by all stockholders present in person or represented by proxy, voting together as a single class. Notwithstanding the foregoing, to the fullest extent permitted by law, holders of common stock, as such, will have no voting power with respect to, and will not be entitled to vote on, any amendment to the Charter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designations relating to any series of preferred stock) or pursuant to the DGCL.</w:t>
      </w:r>
    </w:p>
    <w:p>
      <w:pPr>
        <w:spacing w:after="0" w:line="190"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preferences that may be applicable to any outstanding series of preferred stock or any other outstanding class or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the holders of shares of common stock are entitled to receive such dividends or distributions, if any, as may be declared from time-to-time by the Board of Directors (the “Board”) out of funds or assets legally available therefor.</w:t>
      </w:r>
    </w:p>
    <w:p>
      <w:pPr>
        <w:spacing w:after="0" w:line="173"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In the event of any voluntary or involuntary liquidation, dissolution or winding up of the Company’s affairs,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are entitled to the assets remaining after payment of the Company’s debts and other liabilities, subject to prior distribution rights of preferred stock or any class or series of stock having a preference over the common stock, then outstanding, if any.</w:t>
      </w:r>
    </w:p>
    <w:p>
      <w:pPr>
        <w:spacing w:after="0" w:line="17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The holders of common stock have no preemptive, preferential, or similar rights with respect to issuances of shares of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There are no redemption provisions or sinking fund provisions applicable to the common stock. The rights, preferences and privileges of holders of common stock will be subject to those of the holders of any shares of preferred stock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shares of preferred stock have been issued. The Charter authorizes the Board to establish one or more series of preferred stock. Unless required by law or any stock exchange, the authorized shares of preferred stock will be available for issuance without further action by the holders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ind w:firstLine="648"/>
        <w:spacing w:after="0" w:line="255" w:lineRule="auto"/>
        <w:rPr>
          <w:sz w:val="20"/>
          <w:szCs w:val="20"/>
          <w:color w:val="auto"/>
        </w:rPr>
      </w:pPr>
      <w:r>
        <w:rPr>
          <w:rFonts w:ascii="Times New Roman" w:cs="Times New Roman" w:eastAsia="Times New Roman" w:hAnsi="Times New Roman"/>
          <w:sz w:val="18"/>
          <w:szCs w:val="18"/>
          <w:color w:val="auto"/>
        </w:rPr>
        <w:t>On July 26, 2021, the Company, Mr. Yang Wu and Tuscan Holdings Acquisition LLC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The Stockholders’ Agreement provides that any increase or decrease in the number of directors will require the affirmative vote of the Wu Directors.</w:t>
      </w:r>
    </w:p>
    <w:p>
      <w:pPr>
        <w:spacing w:after="0" w:line="18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So long as the Sponsor beneficially owns at least 5,481,441 shares of common stock, the Sponsor will have the right, but not the obligation, to nominate for election to the Board at every meeting of the stockholders of the Company at which directors are elected, one individual (the “Sponsor Director”) less the number of Sponsor Directors then serving on the Board and whose terms in office are not expiring at such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and Lock-Up Agreement</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July 26,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and block trade registration rights, subject to certain requirements and customary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and the Bylaws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Some provisions of the Charter and the Bylaws, which are summarized in the following paragraphs, are intended to enhance the likelihood of continuity and stability in the composition of the Board and to discourage certain types of transactions that may involve an actual or threatened acquisition of the Company. However, these provisions may have the effect of rendering more difficult, discouraging, delaying, or preventing an acquisition deemed undesirable by Mr. Wu or the Board and therefore depress the trading price of the common stock.</w:t>
      </w:r>
    </w:p>
    <w:p>
      <w:pPr>
        <w:spacing w:after="0" w:line="17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Capital Stock. </w:t>
      </w:r>
      <w:r>
        <w:rPr>
          <w:rFonts w:ascii="Times New Roman" w:cs="Times New Roman" w:eastAsia="Times New Roman" w:hAnsi="Times New Roman"/>
          <w:sz w:val="18"/>
          <w:szCs w:val="18"/>
          <w:color w:val="auto"/>
        </w:rPr>
        <w:t>Our authorized but unissued common stock and preferred stock are available for future issuances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The Charter provides that the Board (other than those directors, if any, elected by the holders of any outstanding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is divided into three classes of directors. The existence of a classified board of directors could discourage a third-party from making a tender offer or otherwise attempting to obtain control of the Company, as the classification of the Board makes it more time consuming for stockholders to replace a majority of the directors.</w:t>
      </w:r>
    </w:p>
    <w:p>
      <w:pPr>
        <w:spacing w:after="0" w:line="18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Directors. </w:t>
      </w:r>
      <w:r>
        <w:rPr>
          <w:rFonts w:ascii="Times New Roman" w:cs="Times New Roman" w:eastAsia="Times New Roman" w:hAnsi="Times New Roman"/>
          <w:sz w:val="18"/>
          <w:szCs w:val="18"/>
          <w:color w:val="auto"/>
        </w:rPr>
        <w:t>The Charter provides that the number of directors on the Board will be fixed in the manner set forth in the Bylaws,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any increase or decrease in the number of directors will require the affirmative vote of the directors appointed by Mr. Wu then in office.</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Board of Director Vacancies. </w:t>
      </w:r>
      <w:r>
        <w:rPr>
          <w:rFonts w:ascii="Times New Roman" w:cs="Times New Roman" w:eastAsia="Times New Roman" w:hAnsi="Times New Roman"/>
          <w:sz w:val="18"/>
          <w:szCs w:val="18"/>
          <w:color w:val="auto"/>
        </w:rPr>
        <w:t>The Charter provides that, with respect to directors elected by the stockholders generally entitled to vote, (i) newly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directorships resulting from an increase in the authorized number of directors or any vacancies on the Board resulting from death, resignation, disqualification, removal or other cause will be filled solely and exclusively by a majority of the directors then in office, although less than a quorum, or by the sole remaining director, and (ii) that any director so elected will hold office until the expiration of the term of office of the director whom he or she has replaced and until his or her successor is elected and qualified, subject to such director’s earlier death, resignation, disqualification or removal, which prevents stockholders from being able to fill vacancies on the Board.</w:t>
      </w:r>
    </w:p>
    <w:p>
      <w:pPr>
        <w:spacing w:after="0" w:line="182"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The Charter provides that any director elected by the stockholders generally entitled to vote may only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for cause.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1" w:name="page12"/>
    <w:bookmarkEnd w:id="11"/>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Meeting of Stockholders. </w:t>
      </w:r>
      <w:r>
        <w:rPr>
          <w:rFonts w:ascii="Times New Roman" w:cs="Times New Roman" w:eastAsia="Times New Roman" w:hAnsi="Times New Roman"/>
          <w:sz w:val="18"/>
          <w:szCs w:val="18"/>
          <w:color w:val="auto"/>
        </w:rPr>
        <w:t>The Charter provides that special meetings of stockholders may only be called by: (1) the Board, (2)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or (3) Mr. Wu, so long as Mr. Wu beneficially owns at least 10% of the total voting power of the outstanding capital stock of the Company, which may delay the ability of our stockholders to force consideration of a proposal or to take action, including the removal of directors.</w:t>
      </w:r>
    </w:p>
    <w:p>
      <w:pPr>
        <w:spacing w:after="0" w:line="173"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Action by Written Consent. </w:t>
      </w:r>
      <w:r>
        <w:rPr>
          <w:rFonts w:ascii="Times New Roman" w:cs="Times New Roman" w:eastAsia="Times New Roman" w:hAnsi="Times New Roman"/>
          <w:sz w:val="18"/>
          <w:szCs w:val="18"/>
          <w:color w:val="auto"/>
        </w:rPr>
        <w:t>The Charter provides that stockholder action can be taken only at an annual or special meeting of stockholders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taken by consent in lieu of a meeting.</w:t>
      </w:r>
    </w:p>
    <w:p>
      <w:pPr>
        <w:spacing w:after="0" w:line="15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Supermajority Requirement for Amendments of the Charter. </w:t>
      </w:r>
      <w:r>
        <w:rPr>
          <w:rFonts w:ascii="Times New Roman" w:cs="Times New Roman" w:eastAsia="Times New Roman" w:hAnsi="Times New Roman"/>
          <w:sz w:val="18"/>
          <w:szCs w:val="18"/>
          <w:color w:val="auto"/>
        </w:rPr>
        <w:t>The DGCL generally provides that the affirmative vote of the holders of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voting power of the shares entitled to vote is required to amend a corporation’s certificate of incorporation, unless the corporation’s certificate of incorporation requires a greater percentage. The Charter provides that, so long as Mr. Wu owns at least 10% of the total voting power of the outstanding capital stock of the Company, the Charter may only be amended by the affirmative vote of at least 75% of the total voting power of the outstanding capital stock of the Company. If Mr. Wu ceases to own at least 10% of the total voting power of the outstanding capital stock of the Company, the Charter may be amended by the affirmative vote of a majority of the total voting power of the outstanding capital stock of the Company. Such requirement for a supermajority to approve amendments to the Charter could enable a minority of the stockholders of the Company to exercise veto power over such amendments.</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Notice Requirements for Stockholder Proposals and Director Nominations. </w:t>
      </w:r>
      <w:r>
        <w:rPr>
          <w:rFonts w:ascii="Times New Roman" w:cs="Times New Roman" w:eastAsia="Times New Roman" w:hAnsi="Times New Roman"/>
          <w:sz w:val="18"/>
          <w:szCs w:val="18"/>
          <w:color w:val="auto"/>
        </w:rPr>
        <w:t>The Charter and Bylaws provide advance notice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seeking to bring business before the special meeting of stockholders or to nominate candidates for election as directors at the special meeting of stockholders. The Bylaws will also specify certain requirements regarding the form and content of a stockholder’s notice. These provisions might make it more difficult to bring matters before the special meeting.</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Forum Selection. </w:t>
      </w:r>
      <w:r>
        <w:rPr>
          <w:rFonts w:ascii="Times New Roman" w:cs="Times New Roman" w:eastAsia="Times New Roman" w:hAnsi="Times New Roman"/>
          <w:sz w:val="18"/>
          <w:szCs w:val="18"/>
          <w:color w:val="auto"/>
        </w:rPr>
        <w:t>The Charter provides that, unless we consent to the selection of an alternative forum, any (1) derivative action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brought on behalf of the Company, (2) action asserting a claim of breach of a fiduciary duty owed by any current or former director, officer, other employee or stockholder of the Company to the Company or the Company’s stockholders, (3) action asserting a claim against the Company or any director or officer of the Company (a) action arising pursuant to any provision of the DGCL or the Charter or the Bylaws or (b) as to which the DGCL confers jurisdiction on the Court of Chancery of the State of Delaware or (iv) action asserting a claim against the Company or any director or officer of the Company governed by the internal affairs doctrine of the law of the State of Delaware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any action asserting claims arising under the Exchange Act or the Securities Act. The forum provision further provides that the federal district courts of the United States of America will, to the fullest extent permitted by applicable law, be the sole and exclusive forum for the resolution of any action asserting claims arising under the Securities Act. To the fullest extent permitted by law, any person or entity purchasing or otherwise acquiring or holding any interest in shares of capital stock of the Company will be deemed to have notice of and consented to the forum provisions in the Charter.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the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duties as a director, including breaches resulting from grossly negligent behavior. However, exculpation does not apply to any director if the director has acted in bad faith or knowingly or intentionally violated the law.</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the Charter and the Bylaws may discourage stockholders from bringing a lawsuit against directors for breach of their fiduciary duties. These provisions also may have the effect of reducing the likelihood of derivative litigation against directors and officers, even though such an action, if successful, might otherwise benefit the Company and its stockholders.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2" w:name="page13"/>
    <w:bookmarkEnd w:id="1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securities is Continental Stock Transfer &amp; Trust Company, 1 State Street, New York, New York 10004.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Nasdaq under the symbol “MVST”.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88" w:right="49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00" w:lineRule="exact"/>
        <w:rPr>
          <w:sz w:val="20"/>
          <w:szCs w:val="20"/>
          <w:color w:val="auto"/>
        </w:rPr>
      </w:pPr>
    </w:p>
    <w:p>
      <w:pPr>
        <w:spacing w:after="0" w:line="205" w:lineRule="exact"/>
        <w:rPr>
          <w:sz w:val="20"/>
          <w:szCs w:val="20"/>
          <w:color w:val="auto"/>
        </w:rPr>
      </w:pPr>
    </w:p>
    <w:p>
      <w:pPr>
        <w:ind w:right="220"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This description is subject to the detailed provisions of a warrant agreement to be entered into between us and a warrant agent we select at the time of issue and the description in the prospectus supplement relating to the applicable series of warrants.</w:t>
      </w:r>
    </w:p>
    <w:p>
      <w:pPr>
        <w:spacing w:after="0" w:line="169"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units or any combination thereof. Such warrants may be issued independently or together with any such securities and may be attached or separate from such securities. We may issue each series of warrants under a separate warrant agreement to be entered into between a warrant agent and us. The warrant agent will act solely as our agent and will not assume any obligation or relationship of agency for or with holders or beneficial owners of warrants.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21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purchasable upon exercise of such warrants and the number of such securities issuable upon exercise of such warrants;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securities purchasable upon exercise of such warrants may be purchased;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07"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89"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34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 named below may offer and sell from time to time in the future up to an aggregate of 5,500,000 shares of our common stock, par value $0.0001 per share, underlying the presently exercisable warrants (the “Common Stock Purchase Warrants”) issued to the selling stockholder in connection with the Loan and Security Agreement (as restated, supplemented or otherwise modified from time to time, the “Loan Agreement”) dated May 28, 2024. The term “selling stockholder” includes the stockholder listed in the table below and its transferees, pledgees, donees, assignees or other successors.</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Information concerning the selling stockholder may change from time to time and any changed information will be set forth in supplements to this prospectus, if and when necessary. The selling stockholder may offer all, some or none of its shares of common stock. We cannot advise you as to whether the selling stockholder will exercise the Common Stock Purchase Warrant or sell any or all of such shares of common stock. In addition, the selling stockholder listed in the table below may have sold, transferred or otherwise disposed of, or may sell, transfer or otherwise dispose of, at any time and from time to time, shares of our common stock in transactions exempt from the registration requirements of the Securities Act after the date on which it provided the information set forth in the table below.</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2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32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 Beneficially Owned After</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2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3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rPr>
                <w:sz w:val="16"/>
                <w:szCs w:val="16"/>
                <w:color w:val="auto"/>
              </w:rPr>
            </w:pPr>
          </w:p>
        </w:tc>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Offering (1) (2) (3)</w:t>
            </w:r>
          </w:p>
        </w:tc>
        <w:tc>
          <w:tcPr>
            <w:tcW w:w="2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140" w:type="dxa"/>
            <w:vAlign w:val="bottom"/>
            <w:tcBorders>
              <w:bottom w:val="single" w:sz="8" w:color="auto"/>
            </w:tcBorders>
            <w:gridSpan w:val="3"/>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rPr>
              <w:t>this Offering (3)</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3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Number (3)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Percent (4)</w:t>
            </w:r>
          </w:p>
        </w:tc>
        <w:tc>
          <w:tcPr>
            <w:tcW w:w="0" w:type="dxa"/>
            <w:vAlign w:val="bottom"/>
          </w:tcPr>
          <w:p>
            <w:pPr>
              <w:spacing w:after="0"/>
              <w:rPr>
                <w:sz w:val="1"/>
                <w:szCs w:val="1"/>
                <w:color w:val="auto"/>
              </w:rPr>
            </w:pPr>
          </w:p>
        </w:tc>
      </w:tr>
      <w:tr>
        <w:trPr>
          <w:trHeight w:val="30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Yang Wu</w:t>
            </w:r>
          </w:p>
        </w:tc>
        <w:tc>
          <w:tcPr>
            <w:tcW w:w="1360" w:type="dxa"/>
            <w:vAlign w:val="bottom"/>
            <w:shd w:val="clear" w:color="auto" w:fill="CCEEFF"/>
          </w:tcPr>
          <w:p>
            <w:pPr>
              <w:ind w:left="140"/>
              <w:spacing w:after="0" w:line="303" w:lineRule="exact"/>
              <w:rPr>
                <w:sz w:val="20"/>
                <w:szCs w:val="20"/>
                <w:color w:val="auto"/>
              </w:rPr>
            </w:pPr>
            <w:r>
              <w:rPr>
                <w:rFonts w:ascii="Times New Roman" w:cs="Times New Roman" w:eastAsia="Times New Roman" w:hAnsi="Times New Roman"/>
                <w:sz w:val="18"/>
                <w:szCs w:val="18"/>
                <w:color w:val="auto"/>
              </w:rPr>
              <w:t>140,536,953</w:t>
            </w:r>
            <w:r>
              <w:rPr>
                <w:rFonts w:ascii="Times New Roman" w:cs="Times New Roman" w:eastAsia="Times New Roman" w:hAnsi="Times New Roman"/>
                <w:sz w:val="29"/>
                <w:szCs w:val="29"/>
                <w:color w:val="auto"/>
                <w:vertAlign w:val="superscript"/>
              </w:rPr>
              <w:t>(5)</w:t>
            </w:r>
          </w:p>
        </w:tc>
        <w:tc>
          <w:tcPr>
            <w:tcW w:w="15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5,500,000</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135,036,953</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below, beneficial ownership is determined in accordance with the rules of the SEC and generally includes voting or investment power with respect to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table above is based upon information obtained from the selling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which are not being offered pursuant to this prospectus.</w:t>
      </w:r>
    </w:p>
    <w:p>
      <w:pPr>
        <w:spacing w:after="0" w:line="22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percentage calculations are based on 323,893,237 shares of common stock outstanding as of January 13, 2025 and are rounded to the nearest tenth of a percent. Warrants, options or other derivative securities that are presently exercisable or exercisable within 60 days are deemed to be beneficially owned by the person holding such securities for the purpose of calculating the percentage ownership of that person, but are not treated as outstanding for the purpose of calculating the percentage ownership of any other person.</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50,000,000 shares of Common Stock of the Company that may be received upon the conversion of certain convertible loans in the aggregate amount of $25,000,000 for which the principal balance may be converted, in whole or in part, in increments of $100,000 into shares of Common Stock at an initial conversion rate of two shares of Common Stock per $1.00 of principal to be converted; (ii) the Common Stock Purchase Warrants to purchase 5,500,000 shares of Common Stock; and (iii) 2,000,000 shares of Common Stock held by the selling stockholder’s children over which the selling stockholder has sole voting and 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 w:name="page17"/>
    <w:bookmarkEnd w:id="1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in a prospectus supplement, information incorporated by reference or related free writing prospectus, including:</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07"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Only underwriters we name in the prospectus supplement, information incorporated by reference or related free writing prospectus are underwriters of the securities offered thereby.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securities at a stipulated price per share and/or warrant;</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whether through an options exchange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sales of other ways not involving market makers or established trading markets, including direct sales to purchasers;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17" w:name="page18"/>
    <w:bookmarkEnd w:id="17"/>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document incorporated by reference or related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and any applicable free writing prospectus will be used by the underwriters to resell the securities.</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related free writing prospectus, as applicable, the name of the dealer and the terms of the transactions.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document incorporated by reference or related free writing prospectus, as applicable, will describe the terms of any such sales, including the terms of any bidding or auction process, if used.</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which may be entered into with us to indemnification against specified liabilities, including liabilities incurred under the Securities Act, or to contribution to payments they may be required to make in respect of such liabilities. If required, the prospectus supplement, document incorporated by reference or related free writing prospectus, as applicable, will describe the terms and conditions of such indemnification or contribution. Some of the agents, underwriters or dealers, or their affiliates may be customers of, engage in transactions with or perform services for us, our subsidiaries or affiliates in the ordinary course of business.</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w:t>
      </w:r>
    </w:p>
    <w:p>
      <w:pPr>
        <w:spacing w:after="0" w:line="22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common stock and public warrants which are listed on Nasdaq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Allen Overy Shearman Sterling US LLP, Houston, Texas.</w:t>
      </w:r>
    </w:p>
    <w:p>
      <w:pPr>
        <w:spacing w:after="0" w:line="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Microvast Holdings, Inc. as of December 31, 2023 and 2022, and for each of the three years in the period ended December 31, 2023, incorporated by reference in this prospectus, have been audited by Deloitte Touche Tohmatsu Certified Public Accountants LLP,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This prospectus, which constitutes a part of the registration statement, does not contain all of the information set forth in the registration statement or the exhibits and schedules filed therewith.</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website address is https://microvast.com.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but do not contain all of the information in the registration statement. The full registration statement may be obtained from the SEC or us, as provided below. Statements in the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SEC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62"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2023, filed with the SEC on April 1, 2024;</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quarterly periods ended September 30, 2024, June 30, 2024 and March 31, 2024, filed with the SEC on November 12, 2024, August 9, 2024 and May 9, 2024, respectively;</w:t>
      </w:r>
    </w:p>
    <w:p>
      <w:pPr>
        <w:spacing w:after="0" w:line="161"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January 18, 2024, February 9, 2024, April 1, 2024, April 12, 2024, April 24, 2024, May 3, 2024, June 4, 2024, July 5, 2024, July 11, 2024, August 21, 2024, August 23, 2024, September 27, 2024, October 18, 2024, October 23, 2024, and December 5, 2024; and</w:t>
      </w:r>
    </w:p>
    <w:p>
      <w:pPr>
        <w:spacing w:after="0" w:line="175"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Exhibit 4.1 to our Annual Report on Form 10-K for the year ended December 31, 2023, as subsequently amended or updated for the purpose of updating the description of our common stock.</w:t>
      </w: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 Microvast Holdings, Inc., 12603 Southwest Freeway, Suite 300, Stafford, Texas 77477.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estimated expenses to be incurred in connection with the offering described in this registration statement, other than underwriting discounts and commissions.</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7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2"/>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40,085.41</w:t>
            </w: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trustee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Listing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bl>
    <w:p>
      <w:pPr>
        <w:ind w:firstLine="648"/>
        <w:spacing w:after="0" w:line="276" w:lineRule="auto"/>
        <w:rPr>
          <w:sz w:val="20"/>
          <w:szCs w:val="20"/>
          <w:color w:val="auto"/>
        </w:rPr>
      </w:pPr>
      <w:r>
        <w:rPr>
          <w:rFonts w:ascii="Times New Roman" w:cs="Times New Roman" w:eastAsia="Times New Roman" w:hAnsi="Times New Roman"/>
          <w:sz w:val="18"/>
          <w:szCs w:val="18"/>
          <w:color w:val="auto"/>
        </w:rPr>
        <w:t>*These fees and expenses are calculated based on the number of issuances and amount of securities offered and accordingly cannot be estimated at this time.</w:t>
      </w:r>
    </w:p>
    <w:p>
      <w:pPr>
        <w:spacing w:after="0" w:line="2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212529"/>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9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12529"/>
        </w:rPr>
        <w:t>Our Certificate of Incorporation provides that our officers and directors are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1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12529"/>
        </w:rPr>
        <w:t>Our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21"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212529"/>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17"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19685</wp:posOffset>
            </wp:positionV>
            <wp:extent cx="70123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1"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Form of Underwriting Agreement</w:t>
      </w:r>
    </w:p>
    <w:p>
      <w:pPr>
        <w:spacing w:after="0" w:line="23" w:lineRule="exact"/>
        <w:rPr>
          <w:sz w:val="20"/>
          <w:szCs w:val="20"/>
          <w:color w:val="auto"/>
        </w:rPr>
      </w:pPr>
    </w:p>
    <w:p>
      <w:pPr>
        <w:ind w:left="1240" w:right="220" w:hanging="418"/>
        <w:spacing w:after="0" w:line="250"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32">
        <w:r>
          <w:rPr>
            <w:rFonts w:ascii="Times New Roman" w:cs="Times New Roman" w:eastAsia="Times New Roman" w:hAnsi="Times New Roman"/>
            <w:sz w:val="18"/>
            <w:szCs w:val="18"/>
            <w:u w:val="single" w:color="auto"/>
            <w:color w:val="0000EE"/>
          </w:rPr>
          <w:t>Agreement and Plan of Merger, dated as of February 1, 2021, by and among Tuscan Holdings Corp., TSCN Merger Sub Inc., and</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Microvast, Inc. (incorporated by reference to the Company’s definitive proxy statement on Schedule 14A, filed with the SEC on July 2,</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2021).</w:t>
        </w:r>
      </w:hyperlink>
    </w:p>
    <w:p>
      <w:pPr>
        <w:spacing w:after="0" w:line="1" w:lineRule="exact"/>
        <w:rPr>
          <w:rFonts w:ascii="Times New Roman" w:cs="Times New Roman" w:eastAsia="Times New Roman" w:hAnsi="Times New Roman"/>
          <w:sz w:val="18"/>
          <w:szCs w:val="18"/>
          <w:u w:val="single" w:color="auto"/>
          <w:color w:val="0000EE"/>
        </w:rPr>
      </w:pPr>
    </w:p>
    <w:p>
      <w:pPr>
        <w:ind w:left="1240" w:right="240" w:hanging="418"/>
        <w:spacing w:after="0" w:line="250"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33">
        <w:r>
          <w:rPr>
            <w:rFonts w:ascii="Times New Roman" w:cs="Times New Roman" w:eastAsia="Times New Roman" w:hAnsi="Times New Roman"/>
            <w:sz w:val="18"/>
            <w:szCs w:val="18"/>
            <w:u w:val="single" w:color="auto"/>
            <w:color w:val="0000EE"/>
          </w:rPr>
          <w:t>Second Amended and Restated Certificate of Incorporation of Microvast Holdings, Inc. (incorporated by reference to Exhibit 3.1 of the</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Company’s Current Report on Form 8-K, filed with the SEC on July 28, 2021).</w:t>
        </w:r>
      </w:hyperlink>
    </w:p>
    <w:p>
      <w:pPr>
        <w:spacing w:after="0" w:line="1" w:lineRule="exact"/>
        <w:rPr>
          <w:sz w:val="20"/>
          <w:szCs w:val="20"/>
          <w:color w:val="auto"/>
        </w:rPr>
      </w:pPr>
    </w:p>
    <w:p>
      <w:pPr>
        <w:ind w:left="1240" w:right="260" w:hanging="418"/>
        <w:spacing w:after="0" w:line="250"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34">
        <w:r>
          <w:rPr>
            <w:rFonts w:ascii="Times New Roman" w:cs="Times New Roman" w:eastAsia="Times New Roman" w:hAnsi="Times New Roman"/>
            <w:sz w:val="18"/>
            <w:szCs w:val="18"/>
            <w:u w:val="single" w:color="auto"/>
            <w:color w:val="0000EE"/>
          </w:rPr>
          <w:t>Amended and Restated Bylaws of Microvast Holdings, Inc. (incorporated by reference to Exhibit 3.2 of the Company’s Current Report</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on Form 8-K, filed with the SEC on July 28, 2021).</w:t>
        </w:r>
      </w:hyperlink>
    </w:p>
    <w:p>
      <w:pPr>
        <w:spacing w:after="0" w:line="1" w:lineRule="exact"/>
        <w:rPr>
          <w:sz w:val="20"/>
          <w:szCs w:val="20"/>
          <w:color w:val="auto"/>
        </w:rPr>
      </w:pPr>
    </w:p>
    <w:p>
      <w:pPr>
        <w:ind w:left="1240" w:right="100" w:hanging="418"/>
        <w:spacing w:after="0" w:line="250"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35">
        <w:r>
          <w:rPr>
            <w:rFonts w:ascii="Times New Roman" w:cs="Times New Roman" w:eastAsia="Times New Roman" w:hAnsi="Times New Roman"/>
            <w:sz w:val="18"/>
            <w:szCs w:val="18"/>
            <w:u w:val="single" w:color="auto"/>
            <w:color w:val="0000EE"/>
          </w:rPr>
          <w:t>Specimen Common Stock Certificate (incorporated by reference to Exhibit 4.4 of the Company’s Current Report on Form 8-K, filed with</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the SEC on July 28, 2021).</w:t>
        </w:r>
      </w:hyperlink>
    </w:p>
    <w:p>
      <w:pPr>
        <w:spacing w:after="0" w:line="1"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Specimen Warrant Certificate</w:t>
      </w:r>
    </w:p>
    <w:p>
      <w:pPr>
        <w:spacing w:after="0" w:line="9"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4.3*</w:t>
        <w:tab/>
        <w:t>Form of Preferred Stock Certificate of Designations</w:t>
      </w:r>
    </w:p>
    <w:p>
      <w:pPr>
        <w:spacing w:after="0" w:line="9"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4.4*</w:t>
        <w:tab/>
        <w:t>Form of Unit Agreement</w:t>
      </w:r>
    </w:p>
    <w:p>
      <w:pPr>
        <w:spacing w:after="0" w:line="9"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Form of Warrant Agreement</w:t>
      </w:r>
    </w:p>
    <w:p>
      <w:pPr>
        <w:spacing w:after="0" w:line="9" w:lineRule="exact"/>
        <w:rPr>
          <w:sz w:val="20"/>
          <w:szCs w:val="20"/>
          <w:color w:val="auto"/>
        </w:rPr>
      </w:pPr>
    </w:p>
    <w:p>
      <w:pPr>
        <w:ind w:left="820"/>
        <w:spacing w:after="0"/>
        <w:tabs>
          <w:tab w:leader="none" w:pos="12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EE"/>
        </w:rPr>
        <w:t>Opinion of Allen Overy Shearman Sterling US LLP (filed herewith)</w:t>
      </w:r>
    </w:p>
    <w:p>
      <w:pPr>
        <w:spacing w:after="0" w:line="9"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Allen Overy Shearman Sterling US LLP (included in Exhibit 5.1)</w:t>
      </w:r>
    </w:p>
    <w:p>
      <w:pPr>
        <w:spacing w:after="0" w:line="9"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Deloitte Touche Tohmatsu Certified Public Accountants LLP (filed herewith)</w:t>
      </w:r>
    </w:p>
    <w:p>
      <w:pPr>
        <w:spacing w:after="0" w:line="9"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 of the initial filing of this Registration Statement)</w:t>
      </w:r>
    </w:p>
    <w:p>
      <w:pPr>
        <w:spacing w:after="0" w:line="9" w:lineRule="exact"/>
        <w:rPr>
          <w:sz w:val="20"/>
          <w:szCs w:val="20"/>
          <w:color w:val="auto"/>
        </w:rPr>
      </w:pPr>
    </w:p>
    <w:p>
      <w:pPr>
        <w:ind w:left="1240" w:hanging="465"/>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 (filed herewith)</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480" w:right="3600" w:hanging="54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by amendment or incorporated by reference in connection with the offering of the securities.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0" w:gutter="0" w:footer="0" w:header="0"/>
        </w:sectPr>
      </w:pPr>
    </w:p>
    <w:bookmarkStart w:id="22" w:name="page23"/>
    <w:bookmarkEnd w:id="22"/>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21"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right="160" w:firstLine="1304"/>
        <w:spacing w:after="0" w:line="256" w:lineRule="auto"/>
        <w:tabs>
          <w:tab w:leader="none" w:pos="156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9" w:lineRule="exact"/>
        <w:rPr>
          <w:rFonts w:ascii="Times New Roman" w:cs="Times New Roman" w:eastAsia="Times New Roman" w:hAnsi="Times New Roman"/>
          <w:sz w:val="18"/>
          <w:szCs w:val="18"/>
          <w:color w:val="auto"/>
        </w:rPr>
      </w:pPr>
    </w:p>
    <w:p>
      <w:pPr>
        <w:ind w:right="40" w:firstLine="1304"/>
        <w:spacing w:after="0" w:line="258" w:lineRule="auto"/>
        <w:tabs>
          <w:tab w:leader="none" w:pos="161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3" w:lineRule="exact"/>
        <w:rPr>
          <w:rFonts w:ascii="Times New Roman" w:cs="Times New Roman" w:eastAsia="Times New Roman" w:hAnsi="Times New Roman"/>
          <w:sz w:val="18"/>
          <w:szCs w:val="18"/>
          <w:color w:val="auto"/>
        </w:rPr>
      </w:pPr>
    </w:p>
    <w:p>
      <w:pPr>
        <w:ind w:right="300" w:firstLine="656"/>
        <w:spacing w:after="0" w:line="266" w:lineRule="auto"/>
        <w:tabs>
          <w:tab w:leader="none" w:pos="9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right="700" w:firstLine="656"/>
        <w:spacing w:after="0" w:line="282" w:lineRule="auto"/>
        <w:tabs>
          <w:tab w:leader="none" w:pos="9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right="20" w:firstLine="1304"/>
        <w:spacing w:after="0" w:line="253" w:lineRule="auto"/>
        <w:tabs>
          <w:tab w:leader="none" w:pos="156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ind w:right="40" w:firstLine="413"/>
        <w:spacing w:after="0" w:line="258"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156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540" w:firstLine="1304"/>
        <w:spacing w:after="0" w:line="282" w:lineRule="auto"/>
        <w:tabs>
          <w:tab w:leader="none" w:pos="161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firstLine="8"/>
        <w:spacing w:after="0" w:line="258"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right="60" w:firstLine="8"/>
        <w:spacing w:after="0" w:line="254"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hereunto duly authorized, in Stafford, Texas, on this 24th day of January, 2025.</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229"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Fariyal Khanbabi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Fariyal Khanbabi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1" w:lineRule="exact"/>
        <w:rPr>
          <w:sz w:val="20"/>
          <w:szCs w:val="20"/>
          <w:color w:val="auto"/>
        </w:rPr>
      </w:pPr>
    </w:p>
    <w:p>
      <w:pPr>
        <w:sectPr>
          <w:pgSz w:w="11900" w:h="16838" w:orient="portrait"/>
          <w:cols w:equalWidth="0" w:num="2">
            <w:col w:w="6100" w:space="260"/>
            <w:col w:w="4880"/>
          </w:cols>
          <w:pgMar w:left="320" w:top="468"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individual whose signature appears below constitutes and appoints each of Yang Wu and Fariyal Khanbabi as such person’s true and lawful attorney-in-fact and agent with full power of substitution and resubstitution, for such person and in such person’s name, place and stead, in any and all capacities, to sign any and all amendments (including post-effective amendments) to this Registration Statement (or to any other registration statement for the same offering that is to be effective upon filing pursuant to Rule 462(b) under the Securities Act),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8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Yang Wu</w:t>
            </w:r>
          </w:p>
        </w:tc>
        <w:tc>
          <w:tcPr>
            <w:tcW w:w="12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24, 2025</w:t>
            </w: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Yang Wu</w:t>
            </w:r>
          </w:p>
        </w:tc>
        <w:tc>
          <w:tcPr>
            <w:tcW w:w="120" w:type="dxa"/>
            <w:vAlign w:val="bottom"/>
          </w:tcPr>
          <w:p>
            <w:pPr>
              <w:spacing w:after="0"/>
              <w:rPr>
                <w:sz w:val="7"/>
                <w:szCs w:val="7"/>
                <w:color w:val="auto"/>
              </w:rPr>
            </w:pPr>
          </w:p>
        </w:tc>
        <w:tc>
          <w:tcPr>
            <w:tcW w:w="5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Fariyal Khanbabi</w:t>
            </w:r>
          </w:p>
        </w:tc>
        <w:tc>
          <w:tcPr>
            <w:tcW w:w="12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24, 2025</w:t>
            </w: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Fariyal Khanbabi</w:t>
            </w:r>
          </w:p>
        </w:tc>
        <w:tc>
          <w:tcPr>
            <w:tcW w:w="120" w:type="dxa"/>
            <w:vAlign w:val="bottom"/>
          </w:tcPr>
          <w:p>
            <w:pPr>
              <w:spacing w:after="0"/>
              <w:rPr>
                <w:sz w:val="7"/>
                <w:szCs w:val="7"/>
                <w:color w:val="auto"/>
              </w:rPr>
            </w:pPr>
          </w:p>
        </w:tc>
        <w:tc>
          <w:tcPr>
            <w:tcW w:w="5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 Gao</w:t>
            </w:r>
          </w:p>
        </w:tc>
        <w:tc>
          <w:tcPr>
            <w:tcW w:w="12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24, 2025</w:t>
            </w: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 Gao</w:t>
            </w:r>
          </w:p>
        </w:tc>
        <w:tc>
          <w:tcPr>
            <w:tcW w:w="120" w:type="dxa"/>
            <w:vAlign w:val="bottom"/>
          </w:tcPr>
          <w:p>
            <w:pPr>
              <w:spacing w:after="0"/>
              <w:rPr>
                <w:sz w:val="7"/>
                <w:szCs w:val="7"/>
                <w:color w:val="auto"/>
              </w:rPr>
            </w:pPr>
          </w:p>
        </w:tc>
        <w:tc>
          <w:tcPr>
            <w:tcW w:w="5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Yixin (Shing) Pan</w:t>
            </w:r>
          </w:p>
        </w:tc>
        <w:tc>
          <w:tcPr>
            <w:tcW w:w="12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24, 2025</w:t>
            </w: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Yixin (Shing) Pan</w:t>
            </w:r>
          </w:p>
        </w:tc>
        <w:tc>
          <w:tcPr>
            <w:tcW w:w="1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Ying Wei</w:t>
            </w:r>
          </w:p>
        </w:tc>
        <w:tc>
          <w:tcPr>
            <w:tcW w:w="12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24, 2025</w:t>
            </w: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Ying Wei</w:t>
            </w:r>
          </w:p>
        </w:tc>
        <w:tc>
          <w:tcPr>
            <w:tcW w:w="1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Arthur Wong</w:t>
            </w:r>
          </w:p>
        </w:tc>
        <w:tc>
          <w:tcPr>
            <w:tcW w:w="12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24, 2025</w:t>
            </w: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Arthur Wong</w:t>
            </w:r>
          </w:p>
        </w:tc>
        <w:tc>
          <w:tcPr>
            <w:tcW w:w="1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Isida Tushe</w:t>
            </w:r>
          </w:p>
        </w:tc>
        <w:tc>
          <w:tcPr>
            <w:tcW w:w="120" w:type="dxa"/>
            <w:vAlign w:val="bottom"/>
          </w:tcPr>
          <w:p>
            <w:pPr>
              <w:spacing w:after="0"/>
              <w:rPr>
                <w:sz w:val="24"/>
                <w:szCs w:val="24"/>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24, 2025</w:t>
            </w: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Isida Tushe</w:t>
            </w:r>
          </w:p>
        </w:tc>
        <w:tc>
          <w:tcPr>
            <w:tcW w:w="1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474470" cy="1200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800 CAPITOL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SUITE 2200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HOUSTON, TX 77002</w:t>
      </w:r>
    </w:p>
    <w:p>
      <w:pPr>
        <w:jc w:val="center"/>
        <w:spacing w:after="0" w:line="238" w:lineRule="auto"/>
        <w:rPr>
          <w:sz w:val="20"/>
          <w:szCs w:val="20"/>
          <w:color w:val="auto"/>
        </w:rPr>
      </w:pPr>
      <w:r>
        <w:rPr>
          <w:rFonts w:ascii="Arial" w:cs="Arial" w:eastAsia="Arial" w:hAnsi="Arial"/>
          <w:sz w:val="14"/>
          <w:szCs w:val="14"/>
          <w:color w:val="auto"/>
        </w:rPr>
        <w:t>+1.713.354.4900</w:t>
      </w:r>
    </w:p>
    <w:p>
      <w:pPr>
        <w:jc w:val="right"/>
        <w:spacing w:after="0"/>
        <w:rPr>
          <w:sz w:val="20"/>
          <w:szCs w:val="20"/>
          <w:color w:val="auto"/>
        </w:rPr>
      </w:pPr>
      <w:r>
        <w:rPr>
          <w:rFonts w:ascii="Times New Roman" w:cs="Times New Roman" w:eastAsia="Times New Roman" w:hAnsi="Times New Roman"/>
          <w:sz w:val="18"/>
          <w:szCs w:val="18"/>
          <w:color w:val="auto"/>
        </w:rPr>
        <w:t>January 23,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Microvast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12603 Southwest Freeway,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Stafford, Texas 77477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Statement/Form S-3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acted as counsel to Microvast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 Registration Statement relates to (a) the offering and sale from time to time, pursuant to Rule 415 under the Securities Act of 1933,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by the Company, of an indeterminate number of the following securities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the aggregate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of which will not exceed $250,000,000: (i) shares of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(ii) shares of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warrants to purchase Common Stock, Preferred Stock or Units or any combination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(iv) units comprised of one or more other securities described in the Prospectus (defined below) in any combination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and (v)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indeterminate amount of shares of Common Stock and Preferred Stock as may be issued upon conversion, exchange or exercise of the Securities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Registration Statement, and (b) the offer and sale from time to time, by a certain stockholder of the Company identified in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an aggregate of up to 5,500,000 shares of common stock, par value $0.0001 per share (the “</w:t>
      </w:r>
      <w:r>
        <w:rPr>
          <w:rFonts w:ascii="Times New Roman" w:cs="Times New Roman" w:eastAsia="Times New Roman" w:hAnsi="Times New Roman"/>
          <w:sz w:val="18"/>
          <w:szCs w:val="18"/>
          <w:u w:val="single" w:color="auto"/>
          <w:color w:val="auto"/>
        </w:rPr>
        <w:t>Selling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underlying the presently exercisable warrants (the “</w:t>
      </w:r>
      <w:r>
        <w:rPr>
          <w:rFonts w:ascii="Times New Roman" w:cs="Times New Roman" w:eastAsia="Times New Roman" w:hAnsi="Times New Roman"/>
          <w:sz w:val="18"/>
          <w:szCs w:val="18"/>
          <w:u w:val="single" w:color="auto"/>
          <w:color w:val="auto"/>
        </w:rPr>
        <w:t>Common Stock Purchase Warrant</w:t>
      </w:r>
      <w:r>
        <w:rPr>
          <w:rFonts w:ascii="Times New Roman" w:cs="Times New Roman" w:eastAsia="Times New Roman" w:hAnsi="Times New Roman"/>
          <w:sz w:val="18"/>
          <w:szCs w:val="18"/>
          <w:color w:val="auto"/>
        </w:rPr>
        <w:t>”) issued to the Selling Stockholder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Loan and Security Agreement (as restated,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dated May 28, 2024,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between the Company and the Selling Stockholder. The offering of the Securities will be as set forth in the prospectus forming part of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as supplemented by one or more supplements to the Prospectus.</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Each Certificate of Designation will be in a form to be filed as an exhibit to a post-effective amendment to the Registration Statement or a current report on Form 8-K, incorporated in such Registration Statement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AOSHEARMAN.COM</w:t>
      </w:r>
    </w:p>
    <w:p>
      <w:pPr>
        <w:spacing w:after="0" w:line="15"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Allen Overy Shearman Sterling US LLP is a limited liability partnership organized under the laws of the State of Delaware. Allen Overy Shearman Sterling US LLP is affiliated with Allen Overy Shearman Sterling LLP, a limited liability partnership registered in England and Wales with registered number OC306763 and with its registered office at One Bishops Square, London E1 6AD. It is authorized and regulated by the Solicitors Regulation Authority of England and Wales (SRA number 401323). The term partner is used to refer to a member of Allen Overy Shearman Sterling LLP or an employee or consultant with equivalent standing and qualifications. A list of the members of Allen Overy Shearman Sterling LLP and of the non-members who are designated as partners is open to inspection at its registered office at One Bishops Square, London E1 6AD.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Warrants will be issued under one or more warrant agreements (each, a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each to be entered into between the Company and a financial institution identified therein as the warrant agent (each, a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Any Warrant Agreement will be in a</w:t>
      </w:r>
    </w:p>
    <w:p>
      <w:pPr>
        <w:ind w:right="4400"/>
        <w:spacing w:after="0" w:line="260" w:lineRule="auto"/>
        <w:rPr>
          <w:sz w:val="20"/>
          <w:szCs w:val="20"/>
          <w:color w:val="auto"/>
        </w:rPr>
      </w:pPr>
      <w:r>
        <w:rPr>
          <w:rFonts w:ascii="Times New Roman" w:cs="Times New Roman" w:eastAsia="Times New Roman" w:hAnsi="Times New Roman"/>
          <w:sz w:val="18"/>
          <w:szCs w:val="18"/>
          <w:color w:val="auto"/>
        </w:rPr>
        <w:t>form to be filed as an exhibit to a post-effective amendment to the Registration Statement or a current report on Form 8-K, incorporated in such Registration Statement by reference.</w:t>
      </w:r>
    </w:p>
    <w:p>
      <w:pPr>
        <w:spacing w:after="0" w:line="181"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Units will be issued under one or more unit agreements (each, a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each to be entered into between the Company and a financial institution identified therein as the unit agent (each, a “</w:t>
      </w:r>
      <w:r>
        <w:rPr>
          <w:rFonts w:ascii="Times New Roman" w:cs="Times New Roman" w:eastAsia="Times New Roman" w:hAnsi="Times New Roman"/>
          <w:sz w:val="18"/>
          <w:szCs w:val="18"/>
          <w:u w:val="single" w:color="auto"/>
          <w:color w:val="auto"/>
        </w:rPr>
        <w:t>Unit Agent</w:t>
      </w:r>
      <w:r>
        <w:rPr>
          <w:rFonts w:ascii="Times New Roman" w:cs="Times New Roman" w:eastAsia="Times New Roman" w:hAnsi="Times New Roman"/>
          <w:sz w:val="18"/>
          <w:szCs w:val="18"/>
          <w:color w:val="auto"/>
        </w:rPr>
        <w:t>”). Any Unit Agreement will be in a form to be filed as an exhibit to a post-effective amendment to the Registration Statement or a current report on Form 8-K, incorporated in such Registration Statement by reference.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Certificates of Designation, any Warrant Agreements, any Unit Agreements, Common Stock Purchase Warrant, the Loan Agreement, and any applicable underwriting or purchase agreement are hereinafter referred to as the “</w:t>
      </w:r>
      <w:r>
        <w:rPr>
          <w:rFonts w:ascii="Times New Roman" w:cs="Times New Roman" w:eastAsia="Times New Roman" w:hAnsi="Times New Roman"/>
          <w:sz w:val="18"/>
          <w:szCs w:val="18"/>
          <w:u w:val="single" w:color="auto"/>
          <w:color w:val="auto"/>
        </w:rPr>
        <w:t>Opinion Documents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such matters, we have reviewed originals or copies of the following documents: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copies of the Second Amended and Restated Certificate of Incorporation, as amended through the date hereof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and Amended and Restated Bylaws of the Company, as amended through the date hereof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copies of such other corporate records of the Company and such agreements, certificates of public officials and of officers or other representatives of the Company, and agreements and other documents as we have deemed necessary as a basis for the opinions expressed below, including the Common Stock Purchase Warrant and the Loan Agreement.</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review of the Registration Statement and other documents, and otherwise for the purposes of this opinion, we have assumed:</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the originals of the documents submitted to us.</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to authentic originals of any documents submitted to us as copies.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7" w:name="page28"/>
    <w:bookmarkEnd w:id="27"/>
    <w:p>
      <w:pPr>
        <w:ind w:right="340" w:firstLine="656"/>
        <w:spacing w:after="0" w:line="282" w:lineRule="auto"/>
        <w:tabs>
          <w:tab w:leader="none" w:pos="11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Opinion Documents is or will be the legal, valid and binding obligation of each party thereto, other than the Company, enforceable against each such party in accordance with its terms.</w:t>
      </w:r>
    </w:p>
    <w:p>
      <w:pPr>
        <w:spacing w:after="0" w:line="161"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execution, delivery and performance by the Company of the Opinion Documents do not and will not:</w:t>
      </w:r>
    </w:p>
    <w:p>
      <w:pPr>
        <w:spacing w:after="0" w:line="225" w:lineRule="exact"/>
        <w:rPr>
          <w:rFonts w:ascii="Times New Roman" w:cs="Times New Roman" w:eastAsia="Times New Roman" w:hAnsi="Times New Roman"/>
          <w:sz w:val="18"/>
          <w:szCs w:val="18"/>
          <w:color w:val="auto"/>
        </w:rPr>
      </w:pPr>
    </w:p>
    <w:p>
      <w:pPr>
        <w:ind w:left="1560" w:hanging="648"/>
        <w:spacing w:after="0"/>
        <w:tabs>
          <w:tab w:leader="none" w:pos="15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Generally Applicable Law, violate any law, rule or regulation applicable to it; or</w:t>
      </w:r>
    </w:p>
    <w:p>
      <w:pPr>
        <w:spacing w:after="0" w:line="225" w:lineRule="exact"/>
        <w:rPr>
          <w:rFonts w:ascii="Times New Roman" w:cs="Times New Roman" w:eastAsia="Times New Roman" w:hAnsi="Times New Roman"/>
          <w:sz w:val="18"/>
          <w:szCs w:val="18"/>
          <w:color w:val="auto"/>
        </w:rPr>
      </w:pPr>
    </w:p>
    <w:p>
      <w:pPr>
        <w:ind w:left="1560" w:hanging="648"/>
        <w:spacing w:after="0"/>
        <w:tabs>
          <w:tab w:leader="none" w:pos="15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conflict with or breach of any agreement or document binding on it.</w:t>
      </w:r>
    </w:p>
    <w:p>
      <w:pPr>
        <w:spacing w:after="0" w:line="225" w:lineRule="exact"/>
        <w:rPr>
          <w:rFonts w:ascii="Times New Roman" w:cs="Times New Roman" w:eastAsia="Times New Roman" w:hAnsi="Times New Roman"/>
          <w:sz w:val="18"/>
          <w:szCs w:val="18"/>
          <w:color w:val="auto"/>
        </w:rPr>
      </w:pPr>
    </w:p>
    <w:p>
      <w:pPr>
        <w:ind w:right="100" w:firstLine="656"/>
        <w:spacing w:after="0" w:line="261" w:lineRule="auto"/>
        <w:tabs>
          <w:tab w:leader="none" w:pos="11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except with respect to Generally Applicable Law, no authorization, approval, consent or other action by, and no notice to or filing with, any governmental authority or regulatory body or any other third party is required for the due execution, delivery or performance by the Company of any Opinion Document or, if any such authorization, approval, consent, action, notice or filing is required, it has been duly obtained, taken, given or made and is in full force and effect.</w:t>
      </w:r>
    </w:p>
    <w:p>
      <w:pPr>
        <w:spacing w:after="0" w:line="179"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become effective and such effectiveness shall not have been terminated or rescinded.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independently established the validity of the foregoing assumptions.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Generally Applicable Law</w:t>
      </w:r>
      <w:r>
        <w:rPr>
          <w:rFonts w:ascii="Times New Roman" w:cs="Times New Roman" w:eastAsia="Times New Roman" w:hAnsi="Times New Roman"/>
          <w:sz w:val="18"/>
          <w:szCs w:val="18"/>
          <w:color w:val="auto"/>
        </w:rPr>
        <w:t>” means the federal law of the United States of America, and the law of the State of New York (including in each case the rules or regulations promulgated thereunder or pursuant thereto), that a New York lawyer exercising customary professional diligence would reasonably be expected to recognize as being applicable to the Company, the Opinion Documents or the transactions governed by the Opinion Documents, and, for purposes of assumption paragraphs (e) and (f) above and our opinions below,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Without limiting the generality of the foregoing definition of Generally Applicable Law, the term “Generally Applicable Law” does not include any law, rule or regulation that is applicable to the Company, the Opinion Documents or such transactions solely because such law, rule or regulation is part of a regulatory regime applicable to any party to any of the Opinion Documents or any of its affiliates due to the specific assets or business of such party or such affiliate.</w:t>
      </w:r>
    </w:p>
    <w:p>
      <w:pPr>
        <w:spacing w:after="0" w:line="1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and upon such other investigation as we have deemed necessary and subject to the qualifications set forth below, we are of the opinion that:</w:t>
      </w:r>
    </w:p>
    <w:p>
      <w:pPr>
        <w:spacing w:after="0" w:line="162" w:lineRule="exact"/>
        <w:rPr>
          <w:sz w:val="20"/>
          <w:szCs w:val="20"/>
          <w:color w:val="auto"/>
        </w:rPr>
      </w:pPr>
    </w:p>
    <w:p>
      <w:pPr>
        <w:ind w:right="20" w:firstLine="656"/>
        <w:spacing w:after="0" w:line="258" w:lineRule="auto"/>
        <w:tabs>
          <w:tab w:leader="none" w:pos="10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final terms of the Preferred Stock have been duly established and approved by the Company in conformity with the Company’s Certificate of Incorporation, (ii) all corporate action necessary for issuance of the Preferred Stock has been taken, including the adoption and filing of a Certificate of Designation relating thereto, and (iii) such shares of Preferred Stock are issued and delivered to the purchasers thereof against payment of the consideration therefor (not less than the par value thereof) duly approved by the Company, such shares of Preferred Stock will be duly authorized, validly issued, fully paid and non-assessable.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60" w:right="160" w:firstLine="656"/>
        <w:spacing w:after="0" w:line="261" w:lineRule="auto"/>
        <w:tabs>
          <w:tab w:leader="none" w:pos="10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final terms of issuance and sale of the applicable shares of Common Stock have been duly approved by the Company in conformity with the Company’s Certificate of Incorporation, (ii) all corporate action necessary for issuance of the Common Stock has been taken and (iii) such shares of Common Stock are issued and delivered to the purchasers thereof against payment of the consideration therefor (not less than the par value thereof) duly approved by the Company, such shares of Common Stock will be duly authorized, validly issued, fully paid and non-assessable.</w:t>
      </w:r>
    </w:p>
    <w:p>
      <w:pPr>
        <w:spacing w:after="0" w:line="179" w:lineRule="exact"/>
        <w:rPr>
          <w:rFonts w:ascii="Times New Roman" w:cs="Times New Roman" w:eastAsia="Times New Roman" w:hAnsi="Times New Roman"/>
          <w:sz w:val="18"/>
          <w:szCs w:val="18"/>
          <w:color w:val="auto"/>
        </w:rPr>
      </w:pPr>
    </w:p>
    <w:p>
      <w:pPr>
        <w:ind w:left="-60" w:right="40" w:firstLine="656"/>
        <w:spacing w:after="0" w:line="273" w:lineRule="auto"/>
        <w:tabs>
          <w:tab w:leader="none" w:pos="10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final terms of the Warrants have been duly established and approved by the Company, (ii) the Warrants and the applicable Warrant Agreement have been duly authorized, (iii) the applicable Warrant Agreement has been duly executed and delivered by the Company and duly authorized, executed and delivered by the applicable Warrant Agent and (iv) certificates representing the Warrants have been duly executed by the Company and countersigned by the applicable Warrant Agent in accordance with the applicable Warrant Agreement and delivered to the purchasers thereof against payment of the consideration therefor duly approved by the Company, the Warrants will be the legal, valid and binding obligations of the Company, enforceable against the Company in accordance with their terms and entitled to the benefits of the applicable Warrant Agreement, and the applicable Warrant Agreement will be the legal, valid and binding obligation of the Company, enforceable against the Company in accordance with its terms.</w:t>
      </w:r>
    </w:p>
    <w:p>
      <w:pPr>
        <w:spacing w:after="0" w:line="171" w:lineRule="exact"/>
        <w:rPr>
          <w:rFonts w:ascii="Times New Roman" w:cs="Times New Roman" w:eastAsia="Times New Roman" w:hAnsi="Times New Roman"/>
          <w:sz w:val="17"/>
          <w:szCs w:val="17"/>
          <w:color w:val="auto"/>
        </w:rPr>
      </w:pPr>
    </w:p>
    <w:p>
      <w:pPr>
        <w:ind w:left="-60" w:firstLine="656"/>
        <w:spacing w:after="0" w:line="255" w:lineRule="auto"/>
        <w:tabs>
          <w:tab w:leader="none" w:pos="10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final terms of the Units have been duly established and approved by the Company, (ii) the Units and the applicable Unit Agreement have been duly authorized, (iii) the applicable Unit Agreement has been duly executed and delivered by the Company and duly authorized, executed and delivered by the applicable Unit Agent and (iv) certificates representing the Units have been duly executed by the Company and countersigned by the applicable Unit Agent in accordance with the applicable Unit Agreement and delivered to the purchasers thereof against payment of the consideration therefor duly approved by the Company, the Units will be the legal, valid and binding obligations of the Company, enforceable against the Company in accordance with their terms and entitled to the benefits of the applicable Unit Agreement, and the applicable Unit Agreement will be the legal, valid and binding obligation of the Company, enforceable against the Company in accordance with its terms.</w:t>
      </w:r>
    </w:p>
    <w:p>
      <w:pPr>
        <w:spacing w:after="0" w:line="188" w:lineRule="exact"/>
        <w:rPr>
          <w:rFonts w:ascii="Times New Roman" w:cs="Times New Roman" w:eastAsia="Times New Roman" w:hAnsi="Times New Roman"/>
          <w:sz w:val="18"/>
          <w:szCs w:val="18"/>
          <w:color w:val="auto"/>
        </w:rPr>
      </w:pPr>
    </w:p>
    <w:p>
      <w:pPr>
        <w:jc w:val="both"/>
        <w:ind w:left="-60" w:right="100" w:firstLine="656"/>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Warrant Shares have been duly authorized by all necessary corporate action of the Company, and, upon issuance, delivery and payment therefor in the manner contemplated by the Registration Statement and the Warrants, the Warrant Shares will be validly issued, fully paid and nonassessable. In rendering the foregoing opinion, we have assumed that the Company will comply with all applicable notice requirements regarding uncertificated shares provided in the DGCL.</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opinions expressed above are subject to the following qualifications: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688" w:right="339" w:bottom="1440" w:gutter="0" w:footer="0" w:header="0"/>
        </w:sectPr>
      </w:pPr>
    </w:p>
    <w:bookmarkStart w:id="29" w:name="page30"/>
    <w:bookmarkEnd w:id="29"/>
    <w:p>
      <w:pPr>
        <w:ind w:firstLine="656"/>
        <w:spacing w:after="0" w:line="282" w:lineRule="auto"/>
        <w:tabs>
          <w:tab w:leader="none" w:pos="11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in paragraphs 1, 3 and 4 above are subject to the effect of any applicable bankruptcy, insolvency, reorganization, moratorium or similar laws affecting creditors’ rights generally (including without limitation all laws relating to fraudulent transfers).</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1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in paragraphs 1, 3 and 4 above are also subject to the effect of general principles of equity, including without limitation concepts of materiality, reasonableness, good faith and fair dealing (regardless of whether considered in a proceeding in equity or at law).</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are limited to Generally Applicable Law, and we do not express any opinion herein concerning any other law.</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is rendered to you in connection with the preparation and filing of the Registration Statement. This opinion letter may not be relied upon by you for any other purpose without our prior written consent.</w:t>
      </w:r>
    </w:p>
    <w:p>
      <w:pPr>
        <w:spacing w:after="0" w:line="162" w:lineRule="exact"/>
        <w:rPr>
          <w:sz w:val="20"/>
          <w:szCs w:val="20"/>
          <w:color w:val="auto"/>
        </w:rPr>
      </w:pPr>
    </w:p>
    <w:p>
      <w:pPr>
        <w:jc w:val="both"/>
        <w:ind w:right="60" w:firstLine="648"/>
        <w:spacing w:after="0" w:line="312" w:lineRule="auto"/>
        <w:rPr>
          <w:sz w:val="20"/>
          <w:szCs w:val="20"/>
          <w:color w:val="auto"/>
        </w:rPr>
      </w:pPr>
      <w:r>
        <w:rPr>
          <w:rFonts w:ascii="Times New Roman" w:cs="Times New Roman" w:eastAsia="Times New Roman" w:hAnsi="Times New Roman"/>
          <w:sz w:val="17"/>
          <w:szCs w:val="17"/>
          <w:color w:val="auto"/>
        </w:rPr>
        <w:t>This opinion letter speaks only as of the date hereof. We expressly disclaim any responsibility to advise you of any development or circumstance of any kind, including any change of law or fact, that may occur after the date of this opinion letter and which might affect the opinions expressed herein.</w:t>
      </w:r>
    </w:p>
    <w:p>
      <w:pPr>
        <w:spacing w:after="0" w:line="14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use of our name under the heading “Legal Matters” in the Prospectus. In giving this consent, we do not hereby admit that we are 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Allen Overy Shearman Sterling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TL/jl/dk/jh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7160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37160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30" w:name="page31"/>
    <w:bookmarkEnd w:id="30"/>
    <w:p>
      <w:pPr>
        <w:ind w:left="10120"/>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842770" cy="745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842770" cy="7454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301625</wp:posOffset>
            </wp:positionV>
            <wp:extent cx="2442845" cy="960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442845" cy="96012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April 1, 2024 relating to the financial statements of Microvast Holdings, Inc. appearing in the Annual Report on Form 10-K of Microvast Holdings, Inc. for the year ended December 31, 2023. We also consent to the reference to us under the heading “Experts” in such Registration Statement.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Touche Tohmatsu Certified Public Accountants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2200275</wp:posOffset>
            </wp:positionV>
            <wp:extent cx="7132320" cy="668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1" w:name="page32"/>
    <w:bookmarkEnd w:id="31"/>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355"/>
        </w:trPr>
        <w:tc>
          <w:tcPr>
            <w:tcW w:w="1040" w:type="dxa"/>
            <w:vAlign w:val="bottom"/>
            <w:tcBorders>
              <w:top w:val="single" w:sz="8" w:color="auto"/>
              <w:left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Paid In</w:t>
            </w:r>
          </w:p>
        </w:tc>
        <w:tc>
          <w:tcPr>
            <w:tcW w:w="0" w:type="dxa"/>
            <w:vAlign w:val="bottom"/>
          </w:tcPr>
          <w:p>
            <w:pPr>
              <w:spacing w:after="0"/>
              <w:rPr>
                <w:sz w:val="1"/>
                <w:szCs w:val="1"/>
                <w:color w:val="auto"/>
              </w:rPr>
            </w:pPr>
          </w:p>
        </w:tc>
      </w:tr>
      <w:tr>
        <w:trPr>
          <w:trHeight w:val="149"/>
        </w:trPr>
        <w:tc>
          <w:tcPr>
            <w:tcW w:w="10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Connection</w:t>
            </w: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5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Unsold</w:t>
            </w: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0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2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112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Carry</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92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5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5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Initial</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Class</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9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04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Form</w:t>
            </w:r>
          </w:p>
        </w:tc>
        <w:tc>
          <w:tcPr>
            <w:tcW w:w="5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File</w:t>
            </w:r>
          </w:p>
        </w:tc>
        <w:tc>
          <w:tcPr>
            <w:tcW w:w="5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effective</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be Carried</w:t>
            </w:r>
          </w:p>
        </w:tc>
        <w:tc>
          <w:tcPr>
            <w:tcW w:w="0" w:type="dxa"/>
            <w:vAlign w:val="bottom"/>
          </w:tcPr>
          <w:p>
            <w:pPr>
              <w:spacing w:after="0"/>
              <w:rPr>
                <w:sz w:val="1"/>
                <w:szCs w:val="1"/>
                <w:color w:val="auto"/>
              </w:rPr>
            </w:pPr>
          </w:p>
        </w:tc>
      </w:tr>
      <w:tr>
        <w:trPr>
          <w:trHeight w:val="189"/>
        </w:trPr>
        <w:tc>
          <w:tcPr>
            <w:tcW w:w="104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433"/>
        </w:trPr>
        <w:tc>
          <w:tcPr>
            <w:tcW w:w="10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40" w:type="dxa"/>
            <w:vAlign w:val="bottom"/>
            <w:tcBorders>
              <w:left w:val="single" w:sz="8" w:color="auto"/>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9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$0.0001</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2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color w:val="auto"/>
                <w:w w:val="92"/>
              </w:rPr>
              <w:t>share</w:t>
            </w:r>
            <w:r>
              <w:rPr>
                <w:rFonts w:ascii="Times New Roman" w:cs="Times New Roman" w:eastAsia="Times New Roman" w:hAnsi="Times New Roman"/>
                <w:sz w:val="29"/>
                <w:szCs w:val="29"/>
                <w:color w:val="auto"/>
                <w:w w:val="92"/>
                <w:vertAlign w:val="superscript"/>
              </w:rPr>
              <w:t>(1)</w:t>
            </w: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40" w:type="dxa"/>
            <w:vAlign w:val="bottom"/>
            <w:tcBorders>
              <w:left w:val="single" w:sz="8" w:color="auto"/>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w:t>
            </w:r>
          </w:p>
        </w:tc>
        <w:tc>
          <w:tcPr>
            <w:tcW w:w="9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40" w:type="dxa"/>
            <w:vAlign w:val="bottom"/>
            <w:tcBorders>
              <w:left w:val="single" w:sz="8" w:color="auto"/>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0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20" w:type="dxa"/>
            <w:vAlign w:val="bottom"/>
            <w:tcBorders>
              <w:bottom w:val="single" w:sz="8" w:color="auto"/>
              <w:right w:val="single" w:sz="8" w:color="auto"/>
            </w:tcBorders>
          </w:tcPr>
          <w:p>
            <w:pPr>
              <w:jc w:val="center"/>
              <w:spacing w:after="0" w:line="298" w:lineRule="exact"/>
              <w:rPr>
                <w:sz w:val="20"/>
                <w:szCs w:val="20"/>
                <w:color w:val="auto"/>
              </w:rPr>
            </w:pPr>
            <w:r>
              <w:rPr>
                <w:rFonts w:ascii="Times New Roman" w:cs="Times New Roman" w:eastAsia="Times New Roman" w:hAnsi="Times New Roman"/>
                <w:sz w:val="18"/>
                <w:szCs w:val="18"/>
                <w:color w:val="auto"/>
                <w:w w:val="92"/>
              </w:rPr>
              <w:t>share</w:t>
            </w:r>
            <w:r>
              <w:rPr>
                <w:rFonts w:ascii="Times New Roman" w:cs="Times New Roman" w:eastAsia="Times New Roman" w:hAnsi="Times New Roman"/>
                <w:sz w:val="29"/>
                <w:szCs w:val="29"/>
                <w:color w:val="auto"/>
                <w:w w:val="92"/>
                <w:vertAlign w:val="superscript"/>
              </w:rPr>
              <w:t>(1)</w:t>
            </w: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40" w:type="dxa"/>
            <w:vAlign w:val="bottom"/>
            <w:tcBorders>
              <w:left w:val="single" w:sz="8" w:color="auto"/>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9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$0.0001</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40" w:type="dxa"/>
            <w:vAlign w:val="bottom"/>
            <w:tcBorders>
              <w:left w:val="single" w:sz="8" w:color="auto"/>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0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20" w:type="dxa"/>
            <w:vAlign w:val="bottom"/>
            <w:tcBorders>
              <w:bottom w:val="single" w:sz="8" w:color="auto"/>
              <w:right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92"/>
              </w:rPr>
              <w:t>share</w:t>
            </w:r>
            <w:r>
              <w:rPr>
                <w:rFonts w:ascii="Times New Roman" w:cs="Times New Roman" w:eastAsia="Times New Roman" w:hAnsi="Times New Roman"/>
                <w:sz w:val="29"/>
                <w:szCs w:val="29"/>
                <w:color w:val="auto"/>
                <w:w w:val="92"/>
                <w:vertAlign w:val="superscript"/>
              </w:rPr>
              <w:t>(1)</w:t>
            </w:r>
          </w:p>
        </w:tc>
        <w:tc>
          <w:tcPr>
            <w:tcW w:w="980" w:type="dxa"/>
            <w:vAlign w:val="bottom"/>
            <w:tcBorders>
              <w:bottom w:val="single" w:sz="8" w:color="auto"/>
              <w:right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91"/>
              </w:rPr>
              <w:t xml:space="preserve">Other </w:t>
            </w:r>
            <w:r>
              <w:rPr>
                <w:rFonts w:ascii="Times New Roman" w:cs="Times New Roman" w:eastAsia="Times New Roman" w:hAnsi="Times New Roman"/>
                <w:sz w:val="29"/>
                <w:szCs w:val="29"/>
                <w:color w:val="auto"/>
                <w:w w:val="91"/>
                <w:vertAlign w:val="superscript"/>
              </w:rPr>
              <w:t>(2)</w:t>
            </w:r>
          </w:p>
        </w:tc>
        <w:tc>
          <w:tcPr>
            <w:tcW w:w="980" w:type="dxa"/>
            <w:vAlign w:val="bottom"/>
            <w:tcBorders>
              <w:bottom w:val="single" w:sz="8" w:color="auto"/>
              <w:right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95"/>
              </w:rPr>
              <w:t>5,500,000</w:t>
            </w:r>
            <w:r>
              <w:rPr>
                <w:rFonts w:ascii="Times New Roman" w:cs="Times New Roman" w:eastAsia="Times New Roman" w:hAnsi="Times New Roman"/>
                <w:sz w:val="29"/>
                <w:szCs w:val="29"/>
                <w:color w:val="auto"/>
                <w:w w:val="95"/>
                <w:vertAlign w:val="superscript"/>
              </w:rPr>
              <w:t>(3)</w:t>
            </w:r>
          </w:p>
        </w:tc>
        <w:tc>
          <w:tcPr>
            <w:tcW w:w="800" w:type="dxa"/>
            <w:vAlign w:val="bottom"/>
            <w:tcBorders>
              <w:bottom w:val="single" w:sz="8" w:color="auto"/>
              <w:right w:val="single" w:sz="8" w:color="auto"/>
            </w:tcBorders>
          </w:tcPr>
          <w:p>
            <w:pPr>
              <w:jc w:val="right"/>
              <w:spacing w:after="0" w:line="284" w:lineRule="exact"/>
              <w:rPr>
                <w:sz w:val="20"/>
                <w:szCs w:val="20"/>
                <w:color w:val="auto"/>
              </w:rPr>
            </w:pPr>
            <w:r>
              <w:rPr>
                <w:rFonts w:ascii="Times New Roman" w:cs="Times New Roman" w:eastAsia="Times New Roman" w:hAnsi="Times New Roman"/>
                <w:sz w:val="18"/>
                <w:szCs w:val="18"/>
                <w:color w:val="auto"/>
                <w:w w:val="91"/>
              </w:rPr>
              <w:t>$2.1500</w:t>
            </w:r>
            <w:r>
              <w:rPr>
                <w:rFonts w:ascii="Times New Roman" w:cs="Times New Roman" w:eastAsia="Times New Roman" w:hAnsi="Times New Roman"/>
                <w:sz w:val="29"/>
                <w:szCs w:val="29"/>
                <w:color w:val="auto"/>
                <w:w w:val="91"/>
                <w:vertAlign w:val="superscript"/>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$11,825,000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$1,810.41</w:t>
            </w:r>
          </w:p>
        </w:tc>
        <w:tc>
          <w:tcPr>
            <w:tcW w:w="62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18"/>
                <w:szCs w:val="18"/>
                <w:color w:val="auto"/>
                <w:w w:val="90"/>
              </w:rPr>
              <w:t>Warrants</w:t>
            </w:r>
            <w:r>
              <w:rPr>
                <w:rFonts w:ascii="Times New Roman" w:cs="Times New Roman" w:eastAsia="Times New Roman" w:hAnsi="Times New Roman"/>
                <w:sz w:val="29"/>
                <w:szCs w:val="29"/>
                <w:color w:val="auto"/>
                <w:w w:val="90"/>
                <w:vertAlign w:val="superscript"/>
              </w:rPr>
              <w:t>(1)</w:t>
            </w:r>
          </w:p>
        </w:tc>
        <w:tc>
          <w:tcPr>
            <w:tcW w:w="98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18"/>
                <w:szCs w:val="18"/>
                <w:color w:val="auto"/>
                <w:w w:val="90"/>
              </w:rPr>
              <w:t xml:space="preserve">Units </w:t>
            </w:r>
            <w:r>
              <w:rPr>
                <w:rFonts w:ascii="Times New Roman" w:cs="Times New Roman" w:eastAsia="Times New Roman" w:hAnsi="Times New Roman"/>
                <w:sz w:val="29"/>
                <w:szCs w:val="29"/>
                <w:color w:val="auto"/>
                <w:w w:val="90"/>
                <w:vertAlign w:val="superscript"/>
              </w:rPr>
              <w:t>(1)</w:t>
            </w:r>
          </w:p>
        </w:tc>
        <w:tc>
          <w:tcPr>
            <w:tcW w:w="98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1040" w:type="dxa"/>
            <w:vAlign w:val="bottom"/>
            <w:tcBorders>
              <w:left w:val="single" w:sz="8" w:color="auto"/>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11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1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$250,000,000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$38,275</w:t>
            </w:r>
          </w:p>
        </w:tc>
        <w:tc>
          <w:tcPr>
            <w:tcW w:w="62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04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6"/>
              </w:rPr>
              <w:t>Fees</w:t>
            </w:r>
          </w:p>
        </w:tc>
        <w:tc>
          <w:tcPr>
            <w:tcW w:w="9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Previously</w:t>
            </w: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Carry Forward Securities</w:t>
            </w:r>
          </w:p>
        </w:tc>
        <w:tc>
          <w:tcPr>
            <w:tcW w:w="10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7"/>
              </w:rPr>
              <w:t>Carry</w:t>
            </w:r>
          </w:p>
        </w:tc>
        <w:tc>
          <w:tcPr>
            <w:tcW w:w="9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Forward</w:t>
            </w: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$261,825,000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$40,085.41</w:t>
            </w:r>
          </w:p>
        </w:tc>
        <w:tc>
          <w:tcPr>
            <w:tcW w:w="6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Fees Previously Paid</w:t>
            </w:r>
          </w:p>
        </w:tc>
        <w:tc>
          <w:tcPr>
            <w:tcW w:w="9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9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Net Fee Due</w:t>
            </w:r>
          </w:p>
        </w:tc>
        <w:tc>
          <w:tcPr>
            <w:tcW w:w="9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$40,085.41</w:t>
            </w:r>
          </w:p>
        </w:tc>
        <w:tc>
          <w:tcPr>
            <w:tcW w:w="6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right="740" w:hanging="312"/>
        <w:spacing w:after="0" w:line="261"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consideration may or may not be received for securities that are issuable upon the conversion or exercise of, or in exchange for, other securities offered hereby.</w:t>
      </w:r>
    </w:p>
    <w:p>
      <w:pPr>
        <w:ind w:left="320" w:right="60" w:hanging="312"/>
        <w:spacing w:after="0" w:line="250"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under the Securities Act of 1933, as amended (the “Securities Act”) solely for the purpose of calculating the registration fee, based on the average of the high ($2.3000) and low ($2.0000) prices of the Registrant’s (defined below) common shares, as reported on The Nasdaq Stock Market LLC on January 17, 2025, a date within five business days prior to the initial filing of this registration statement on January 24, 2025.</w:t>
      </w:r>
    </w:p>
    <w:p>
      <w:pPr>
        <w:spacing w:after="0" w:line="1" w:lineRule="exact"/>
        <w:rPr>
          <w:rFonts w:ascii="Times New Roman" w:cs="Times New Roman" w:eastAsia="Times New Roman" w:hAnsi="Times New Roman"/>
          <w:sz w:val="18"/>
          <w:szCs w:val="18"/>
          <w:color w:val="auto"/>
        </w:rPr>
      </w:pPr>
    </w:p>
    <w:p>
      <w:pPr>
        <w:ind w:left="320" w:right="20" w:hanging="312"/>
        <w:spacing w:after="0" w:line="290"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Microvast Holdings, Inc. (the “Registrant”) is hereby registering for resale from time to time by the selling stockholder named herein of up to 5,500,000 shares of its common stock issuable upon exercise of certain warrants, issued to the selling stockholder pursuant to a loan and security agreement dated</w:t>
      </w:r>
    </w:p>
    <w:p>
      <w:pPr>
        <w:sectPr>
          <w:pgSz w:w="11900" w:h="16838" w:orient="portrait"/>
          <w:cols w:equalWidth="0" w:num="1">
            <w:col w:w="11300"/>
          </w:cols>
          <w:pgMar w:left="320" w:top="117" w:right="279" w:bottom="0" w:gutter="0" w:footer="0" w:header="0"/>
        </w:sectPr>
      </w:pPr>
    </w:p>
    <w:bookmarkStart w:id="32" w:name="page33"/>
    <w:bookmarkEnd w:id="32"/>
    <w:p>
      <w:pPr>
        <w:ind w:left="312" w:right="180"/>
        <w:spacing w:after="0" w:line="261" w:lineRule="auto"/>
        <w:rPr>
          <w:sz w:val="20"/>
          <w:szCs w:val="20"/>
          <w:color w:val="auto"/>
        </w:rPr>
      </w:pPr>
      <w:r>
        <w:rPr>
          <w:rFonts w:ascii="Times New Roman" w:cs="Times New Roman" w:eastAsia="Times New Roman" w:hAnsi="Times New Roman"/>
          <w:sz w:val="18"/>
          <w:szCs w:val="18"/>
          <w:color w:val="auto"/>
        </w:rPr>
        <w:t>May 28, 2024. Pursuant to Rule 416 under the Securities Act, this Registration Statement also covers an indeterminate number of shares of common stock that may be issued as a result of stock splits, stock dividends, or similar transactions.</w:t>
      </w:r>
    </w:p>
    <w:p>
      <w:pPr>
        <w:ind w:left="312" w:hanging="312"/>
        <w:spacing w:after="0" w:line="250" w:lineRule="auto"/>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registering hereunder such indeterminate number of shares of common stock and preferred stock, such indeterminate number of warrants to purchase common stock or preferred stock and such units composed of any combination of common stock, preferred stock or warrants, to be sold by the Registrant from time to time at unspecified prices which shall have an aggregate initial offering price not to exceed $250,000,000. The securities registered for sale also include such indeterminate number of shares of common stock that may be issued upon conversion of preferred stock and such indeterminate number of shares of common stock and preferred stock that may be issued upon exercise of warrants, sale of units or pursuant to antidilution provisions of any such securities.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3" w:lineRule="exact"/>
        <w:rPr>
          <w:rFonts w:ascii="Times New Roman" w:cs="Times New Roman" w:eastAsia="Times New Roman" w:hAnsi="Times New Roman"/>
          <w:sz w:val="18"/>
          <w:szCs w:val="18"/>
          <w:color w:val="auto"/>
        </w:rPr>
      </w:pPr>
    </w:p>
    <w:p>
      <w:pPr>
        <w:ind w:left="312" w:right="140" w:hanging="312"/>
        <w:spacing w:after="0" w:line="255" w:lineRule="auto"/>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549910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72"/>
      </w:cols>
      <w:pgMar w:left="328"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
      <w:numFmt w:val="bullet"/>
      <w:start w:val="1"/>
    </w:lvl>
    <w:lvl w:ilvl="1">
      <w:lvlJc w:val="left"/>
      <w:lvlText w:val="%2"/>
      <w:numFmt w:val="decimal"/>
      <w:start w:val="107"/>
    </w:lvl>
  </w:abstractNum>
  <w:abstractNum w:abstractNumId="10">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6B68079A"/>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2">
    <w:nsid w:val="4E6AFB6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
    <w:nsid w:val="25E45D32"/>
    <w:multiLevelType w:val="hybridMultilevel"/>
    <w:lvl w:ilvl="0">
      <w:lvlJc w:val="left"/>
      <w:lvlText w:val="(%1)"/>
      <w:numFmt w:val="lowerLetter"/>
      <w:start w:val="1"/>
    </w:lvl>
    <w:lvl w:ilvl="1">
      <w:lvlJc w:val="left"/>
      <w:lvlText w:val="(%2)"/>
      <w:numFmt w:val="lowerLetter"/>
      <w:start w:val="1"/>
    </w:lvl>
  </w:abstractNum>
  <w:abstractNum w:abstractNumId="14">
    <w:nsid w:val="519B500D"/>
    <w:multiLevelType w:val="hybridMultilevel"/>
    <w:lvl w:ilvl="0">
      <w:lvlJc w:val="left"/>
      <w:lvlText w:val="(%1)"/>
      <w:numFmt w:val="lowerLetter"/>
      <w:start w:val="4"/>
    </w:lvl>
    <w:lvl w:ilvl="1">
      <w:lvlJc w:val="left"/>
      <w:lvlText w:val="(%2)"/>
      <w:numFmt w:val="lowerRoman"/>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jpe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jpeg"/><Relationship Id="rId47" Type="http://schemas.openxmlformats.org/officeDocument/2006/relationships/image" Target="media/image36.png"/><Relationship Id="rId48" Type="http://schemas.openxmlformats.org/officeDocument/2006/relationships/image" Target="media/image37.jpeg"/><Relationship Id="rId49" Type="http://schemas.openxmlformats.org/officeDocument/2006/relationships/image" Target="media/image38.jpeg"/><Relationship Id="rId50" Type="http://schemas.openxmlformats.org/officeDocument/2006/relationships/image" Target="media/image39.png"/><Relationship Id="rId51" Type="http://schemas.openxmlformats.org/officeDocument/2006/relationships/image" Target="media/image40.png"/><Relationship Id="rId32" Type="http://schemas.openxmlformats.org/officeDocument/2006/relationships/hyperlink" Target="https://www.sec.gov/Archives/edgar/data/1760689/000121390021035581/defm14a_tuscanholdings.htm" TargetMode="External"/><Relationship Id="rId33" Type="http://schemas.openxmlformats.org/officeDocument/2006/relationships/hyperlink" Target="https://www.sec.gov/Archives/edgar/data/1760689/000121390021039093/ea144448ex3-1_microvast.htm" TargetMode="External"/><Relationship Id="rId34" Type="http://schemas.openxmlformats.org/officeDocument/2006/relationships/hyperlink" Target="https://www.sec.gov/Archives/edgar/data/1760689/000121390021039093/ea144448ex3-2_microvast.htm" TargetMode="External"/><Relationship Id="rId35" Type="http://schemas.openxmlformats.org/officeDocument/2006/relationships/hyperlink" Target="https://www.sec.gov/Archives/edgar/data/1760689/000121390021039093/ea144448ex4-4_microva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2025-01-24T16:19:15Z</dcterms:created>
  <dcterms:modified xsi:type="dcterms:W3CDTF">2025-01-24T16:19:15Z</dcterms:modified>
</cp:coreProperties>
</file>