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333-229657</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3992" w:type="dxa"/>
                    <w:jc w:val="center"/>
                    <w:tblInd w:w="0" w:type="dxa"/>
                    <w:tblLayout w:type="fixed"/>
                    <w:tblCellMar>
                      <w:top w:w="28" w:type="dxa"/>
                      <w:left w:w="28" w:type="dxa"/>
                      <w:bottom w:w="28" w:type="dxa"/>
                      <w:right w:w="28" w:type="dxa"/>
                    </w:tblCellMar>
                  </w:tblPr>
                  <w:tblGrid>
                    <w:gridCol w:w="1261"/>
                    <w:gridCol w:w="273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2731" w:type="dxa"/>
                        <w:tcBorders/>
                        <w:vAlign w:val="center"/>
                      </w:tcPr>
                      <w:p>
                        <w:pPr>
                          <w:pStyle w:val="TableContents"/>
                          <w:bidi w:val="0"/>
                          <w:spacing w:before="0" w:after="283"/>
                          <w:jc w:val="left"/>
                          <w:rPr/>
                        </w:pPr>
                        <w:hyperlink r:id="rId3">
                          <w:r>
                            <w:rPr>
                              <w:rStyle w:val="InternetLink"/>
                            </w:rPr>
                            <w:t>Microvast Holdings, Inc.</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27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Nasdaq Stock Market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6481" w:type="dxa"/>
                    <w:jc w:val="center"/>
                    <w:tblInd w:w="0" w:type="dxa"/>
                    <w:tblLayout w:type="fixed"/>
                    <w:tblCellMar>
                      <w:top w:w="28" w:type="dxa"/>
                      <w:left w:w="28" w:type="dxa"/>
                      <w:bottom w:w="28" w:type="dxa"/>
                      <w:right w:w="28" w:type="dxa"/>
                    </w:tblCellMar>
                  </w:tblPr>
                  <w:tblGrid>
                    <w:gridCol w:w="2206"/>
                    <w:gridCol w:w="889"/>
                    <w:gridCol w:w="919"/>
                    <w:gridCol w:w="720"/>
                    <w:gridCol w:w="111"/>
                    <w:gridCol w:w="1636"/>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2639"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12603 Southwest Freeway</w:t>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2639"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Stafford</w:t>
                        </w:r>
                      </w:p>
                    </w:tc>
                    <w:tc>
                      <w:tcPr>
                        <w:tcW w:w="91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TEXAS</w:t>
                        </w:r>
                      </w:p>
                    </w:tc>
                    <w:tc>
                      <w:tcPr>
                        <w:tcW w:w="7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77477</w:t>
                        </w:r>
                      </w:p>
                    </w:tc>
                    <w:tc>
                      <w:tcPr>
                        <w:tcW w:w="111" w:type="dxa"/>
                        <w:tcBorders/>
                      </w:tcPr>
                      <w:p>
                        <w:pPr>
                          <w:pStyle w:val="TableContents"/>
                          <w:bidi w:val="0"/>
                          <w:spacing w:before="0" w:after="283"/>
                          <w:jc w:val="left"/>
                          <w:rPr>
                            <w:sz w:val="4"/>
                            <w:szCs w:val="4"/>
                          </w:rPr>
                        </w:pPr>
                        <w:r>
                          <w:rPr>
                            <w:sz w:val="4"/>
                            <w:szCs w:val="4"/>
                          </w:rPr>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2639" w:type="dxa"/>
                        <w:gridSpan w:val="4"/>
                        <w:tcBorders/>
                        <w:vAlign w:val="center"/>
                      </w:tcPr>
                      <w:p>
                        <w:pPr>
                          <w:pStyle w:val="TableContents"/>
                          <w:bidi w:val="0"/>
                          <w:spacing w:before="0" w:after="283"/>
                          <w:jc w:val="left"/>
                          <w:rPr>
                            <w:sz w:val="4"/>
                            <w:szCs w:val="4"/>
                          </w:rPr>
                        </w:pPr>
                        <w:r>
                          <w:rPr>
                            <w:sz w:val="4"/>
                            <w:szCs w:val="4"/>
                          </w:rPr>
                        </w:r>
                      </w:p>
                    </w:tc>
                    <w:tc>
                      <w:tcPr>
                        <w:tcW w:w="163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(281) 491-9595</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Warrant expiring 7/23/2026</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Nasdaq Stock Market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2026-07-22</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Jennifer Fainer</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CDO Analyst</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PreformattedText"/>
        <w:bidi w:val="0"/>
        <w:jc w:val="left"/>
        <w:rPr/>
      </w:pPr>
      <w:bookmarkStart w:id="5" w:name="form25.txt"/>
      <w:bookmarkStart w:id="6" w:name="ksform25"/>
      <w:bookmarkEnd w:id="5"/>
      <w:bookmarkEnd w:id="6"/>
      <w:r>
        <w:rPr/>
        <w:t>Form25</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333-229657" TargetMode="External"/><Relationship Id="rId3" Type="http://schemas.openxmlformats.org/officeDocument/2006/relationships/hyperlink" Target="http://www.sec.gov/cgi-bin/browse-edgar?action=getcompany&amp;CIK=0001760689"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323</Words>
  <Characters>1794</Characters>
  <CharactersWithSpaces>2078</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