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Pan Yixin</w:t>
              </w:r>
            </w:hyperlink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Microvast Holdings,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MVST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12603 SOUTHWEST FREEWAY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STAFFORD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77477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188,239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to the Reporting Person in accordance with the Issuer's non-employee director compensation policy. Each restricted stock unit represents a contingent right to receive one share of the Issuer's common stock. The restricted stock units vest on December 31, 2026, subject to the Reporting Person's continued service through such date.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Yixin Pan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04/03/2026</w:t>
            </w:r>
          </w:p>
        </w:tc>
      </w:tr>
      <w:tr>
        <w:trPr>
          <w:trHeight w:val="20"/>
        </w:trPr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4625" TargetMode="External"/><Relationship Id="rId14" Type="http://schemas.openxmlformats.org/officeDocument/2006/relationships/hyperlink" Target="http://www.sec.gov/cgi-bin/browse-edgar?action=getcompany&amp;CIK=00017606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2026-04-03T17:45:14Z</dcterms:created>
  <dcterms:modified xsi:type="dcterms:W3CDTF">2026-04-03T17:45:14Z</dcterms:modified>
</cp:coreProperties>
</file>