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527050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FORM 8-K</w:t>
            </w:r>
          </w:p>
        </w:tc>
        <w:tc>
          <w:tcPr>
            <w:tcW w:w="3020" w:type="dxa"/>
            <w:vAlign w:val="bottom"/>
          </w:tcPr>
          <w:p>
            <w:pPr>
              <w:spacing w:after="0"/>
              <w:rPr>
                <w:sz w:val="16"/>
                <w:szCs w:val="16"/>
                <w:color w:val="auto"/>
              </w:rPr>
            </w:pPr>
          </w:p>
        </w:tc>
      </w:tr>
      <w:tr>
        <w:trPr>
          <w:trHeight w:val="340"/>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CURRENT REPORT</w:t>
            </w:r>
          </w:p>
        </w:tc>
        <w:tc>
          <w:tcPr>
            <w:tcW w:w="3020" w:type="dxa"/>
            <w:vAlign w:val="bottom"/>
          </w:tcPr>
          <w:p>
            <w:pPr>
              <w:spacing w:after="0"/>
              <w:rPr>
                <w:sz w:val="24"/>
                <w:szCs w:val="24"/>
                <w:color w:val="auto"/>
              </w:rPr>
            </w:pPr>
          </w:p>
        </w:tc>
      </w:tr>
      <w:tr>
        <w:trPr>
          <w:trHeight w:val="323"/>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tc>
        <w:tc>
          <w:tcPr>
            <w:tcW w:w="3020" w:type="dxa"/>
            <w:vAlign w:val="bottom"/>
          </w:tcPr>
          <w:p>
            <w:pPr>
              <w:spacing w:after="0"/>
              <w:rPr>
                <w:sz w:val="24"/>
                <w:szCs w:val="24"/>
                <w:color w:val="auto"/>
              </w:rPr>
            </w:pPr>
          </w:p>
        </w:tc>
      </w:tr>
      <w:tr>
        <w:trPr>
          <w:trHeight w:val="186"/>
        </w:trPr>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tc>
        <w:tc>
          <w:tcPr>
            <w:tcW w:w="3020" w:type="dxa"/>
            <w:vAlign w:val="bottom"/>
          </w:tcPr>
          <w:p>
            <w:pPr>
              <w:spacing w:after="0"/>
              <w:rPr>
                <w:sz w:val="16"/>
                <w:szCs w:val="16"/>
                <w:color w:val="auto"/>
              </w:rPr>
            </w:pPr>
          </w:p>
        </w:tc>
      </w:tr>
      <w:tr>
        <w:trPr>
          <w:trHeight w:val="340"/>
        </w:trPr>
        <w:tc>
          <w:tcPr>
            <w:tcW w:w="3160" w:type="dxa"/>
            <w:vAlign w:val="bottom"/>
          </w:tcPr>
          <w:p>
            <w:pPr>
              <w:spacing w:after="0"/>
              <w:rPr>
                <w:sz w:val="24"/>
                <w:szCs w:val="24"/>
                <w:color w:val="auto"/>
              </w:rPr>
            </w:pPr>
          </w:p>
        </w:tc>
        <w:tc>
          <w:tcPr>
            <w:tcW w:w="51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18, 2024</w:t>
            </w:r>
          </w:p>
        </w:tc>
        <w:tc>
          <w:tcPr>
            <w:tcW w:w="3020" w:type="dxa"/>
            <w:vAlign w:val="bottom"/>
          </w:tcPr>
          <w:p>
            <w:pPr>
              <w:spacing w:after="0"/>
              <w:rPr>
                <w:sz w:val="24"/>
                <w:szCs w:val="24"/>
                <w:color w:val="auto"/>
              </w:rPr>
            </w:pPr>
          </w:p>
        </w:tc>
      </w:tr>
      <w:tr>
        <w:trPr>
          <w:trHeight w:val="323"/>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Microvast Holdings, Inc.</w:t>
            </w:r>
          </w:p>
        </w:tc>
        <w:tc>
          <w:tcPr>
            <w:tcW w:w="3020" w:type="dxa"/>
            <w:vAlign w:val="bottom"/>
          </w:tcPr>
          <w:p>
            <w:pPr>
              <w:spacing w:after="0"/>
              <w:rPr>
                <w:sz w:val="24"/>
                <w:szCs w:val="24"/>
                <w:color w:val="auto"/>
              </w:rPr>
            </w:pPr>
          </w:p>
        </w:tc>
      </w:tr>
      <w:tr>
        <w:trPr>
          <w:trHeight w:val="186"/>
        </w:trPr>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20" w:type="dxa"/>
            <w:vAlign w:val="bottom"/>
          </w:tcPr>
          <w:p>
            <w:pPr>
              <w:spacing w:after="0"/>
              <w:rPr>
                <w:sz w:val="16"/>
                <w:szCs w:val="16"/>
                <w:color w:val="auto"/>
              </w:rPr>
            </w:pPr>
          </w:p>
        </w:tc>
      </w:tr>
      <w:tr>
        <w:trPr>
          <w:trHeight w:val="372"/>
        </w:trPr>
        <w:tc>
          <w:tcPr>
            <w:tcW w:w="316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340" w:type="dxa"/>
            <w:vAlign w:val="bottom"/>
            <w:gridSpan w:val="3"/>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001-38826</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2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83-2530757</w:t>
            </w:r>
          </w:p>
        </w:tc>
      </w:tr>
      <w:tr>
        <w:trPr>
          <w:trHeight w:val="133"/>
        </w:trPr>
        <w:tc>
          <w:tcPr>
            <w:tcW w:w="3160" w:type="dxa"/>
            <w:vAlign w:val="bottom"/>
            <w:tcBorders>
              <w:top w:val="single" w:sz="8" w:color="auto"/>
            </w:tcBorders>
          </w:tcPr>
          <w:p>
            <w:pPr>
              <w:jc w:val="center"/>
              <w:ind w:left="469"/>
              <w:spacing w:after="0" w:line="133"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jc w:val="center"/>
              <w:ind w:right="609"/>
              <w:spacing w:after="0" w:line="133"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6"/>
        </w:trPr>
        <w:tc>
          <w:tcPr>
            <w:tcW w:w="316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tcPr>
          <w:p>
            <w:pPr>
              <w:jc w:val="center"/>
              <w:ind w:right="6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8"/>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12603 Southwest Freeway, Suite 210</w:t>
            </w:r>
          </w:p>
        </w:tc>
        <w:tc>
          <w:tcPr>
            <w:tcW w:w="302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Stafford, Texas 77477</w:t>
            </w:r>
          </w:p>
        </w:tc>
        <w:tc>
          <w:tcPr>
            <w:tcW w:w="3020" w:type="dxa"/>
            <w:vAlign w:val="bottom"/>
          </w:tcPr>
          <w:p>
            <w:pPr>
              <w:spacing w:after="0"/>
              <w:rPr>
                <w:sz w:val="14"/>
                <w:szCs w:val="14"/>
                <w:color w:val="auto"/>
              </w:rPr>
            </w:pPr>
          </w:p>
        </w:tc>
      </w:tr>
      <w:tr>
        <w:trPr>
          <w:trHeight w:val="186"/>
        </w:trPr>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20" w:type="dxa"/>
            <w:vAlign w:val="bottom"/>
          </w:tcPr>
          <w:p>
            <w:pPr>
              <w:spacing w:after="0"/>
              <w:rPr>
                <w:sz w:val="16"/>
                <w:szCs w:val="16"/>
                <w:color w:val="auto"/>
              </w:rPr>
            </w:pPr>
          </w:p>
        </w:tc>
      </w:tr>
      <w:tr>
        <w:trPr>
          <w:trHeight w:val="323"/>
        </w:trPr>
        <w:tc>
          <w:tcPr>
            <w:tcW w:w="3160" w:type="dxa"/>
            <w:vAlign w:val="bottom"/>
          </w:tcPr>
          <w:p>
            <w:pPr>
              <w:spacing w:after="0"/>
              <w:rPr>
                <w:sz w:val="24"/>
                <w:szCs w:val="24"/>
                <w:color w:val="auto"/>
              </w:rPr>
            </w:pPr>
          </w:p>
        </w:tc>
        <w:tc>
          <w:tcPr>
            <w:tcW w:w="4340" w:type="dxa"/>
            <w:vAlign w:val="bottom"/>
            <w:gridSpan w:val="3"/>
          </w:tcPr>
          <w:p>
            <w:pPr>
              <w:jc w:val="right"/>
              <w:ind w:right="1389"/>
              <w:spacing w:after="0"/>
              <w:rPr>
                <w:sz w:val="20"/>
                <w:szCs w:val="20"/>
                <w:color w:val="auto"/>
              </w:rPr>
            </w:pPr>
            <w:r>
              <w:rPr>
                <w:rFonts w:ascii="Times New Roman" w:cs="Times New Roman" w:eastAsia="Times New Roman" w:hAnsi="Times New Roman"/>
                <w:sz w:val="14"/>
                <w:szCs w:val="14"/>
                <w:b w:val="1"/>
                <w:bCs w:val="1"/>
                <w:color w:val="auto"/>
              </w:rPr>
              <w:t>281-491-9505</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20" w:type="dxa"/>
            <w:vAlign w:val="bottom"/>
          </w:tcPr>
          <w:p>
            <w:pPr>
              <w:spacing w:after="0"/>
              <w:rPr>
                <w:sz w:val="16"/>
                <w:szCs w:val="16"/>
                <w:color w:val="auto"/>
              </w:rPr>
            </w:pPr>
          </w:p>
        </w:tc>
      </w:tr>
    </w:tbl>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360" w:hanging="341"/>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360" w:hanging="341"/>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360" w:hanging="341"/>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360" w:hanging="341"/>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00" w:type="dxa"/>
            <w:vAlign w:val="bottom"/>
            <w:tcBorders>
              <w:top w:val="single" w:sz="8" w:color="CCEEFF"/>
            </w:tcBorders>
            <w:shd w:val="clear" w:color="auto" w:fill="CCEEFF"/>
          </w:tcPr>
          <w:p>
            <w:pPr>
              <w:spacing w:after="0"/>
              <w:rPr>
                <w:sz w:val="14"/>
                <w:szCs w:val="14"/>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MVST</w:t>
            </w:r>
          </w:p>
        </w:tc>
        <w:tc>
          <w:tcPr>
            <w:tcW w:w="80" w:type="dxa"/>
            <w:vAlign w:val="bottom"/>
            <w:tcBorders>
              <w:top w:val="single" w:sz="8" w:color="CCEEFF"/>
            </w:tcBorders>
            <w:shd w:val="clear" w:color="auto" w:fill="CCEEFF"/>
          </w:tcPr>
          <w:p>
            <w:pPr>
              <w:spacing w:after="0"/>
              <w:rPr>
                <w:sz w:val="14"/>
                <w:szCs w:val="14"/>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20" w:type="dxa"/>
            <w:vAlign w:val="bottom"/>
          </w:tcPr>
          <w:p>
            <w:pPr>
              <w:spacing w:after="0"/>
              <w:rPr>
                <w:sz w:val="14"/>
                <w:szCs w:val="14"/>
                <w:color w:val="auto"/>
              </w:rPr>
            </w:pPr>
          </w:p>
        </w:tc>
      </w:tr>
      <w:tr>
        <w:trPr>
          <w:trHeight w:val="138"/>
        </w:trPr>
        <w:tc>
          <w:tcPr>
            <w:tcW w:w="37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Redeemable warrants, exercisable for shares of common</w:t>
            </w:r>
          </w:p>
        </w:tc>
        <w:tc>
          <w:tcPr>
            <w:tcW w:w="37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MVSTW</w:t>
            </w:r>
          </w:p>
        </w:tc>
        <w:tc>
          <w:tcPr>
            <w:tcW w:w="37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20" w:type="dxa"/>
            <w:vAlign w:val="bottom"/>
          </w:tcPr>
          <w:p>
            <w:pPr>
              <w:spacing w:after="0"/>
              <w:rPr>
                <w:sz w:val="11"/>
                <w:szCs w:val="11"/>
                <w:color w:val="auto"/>
              </w:rPr>
            </w:pPr>
          </w:p>
        </w:tc>
      </w:tr>
      <w:tr>
        <w:trPr>
          <w:trHeight w:val="18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at an exercise price of $11.50 per share</w:t>
            </w:r>
          </w:p>
        </w:tc>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1"/>
        </w:trPr>
        <w:tc>
          <w:tcPr>
            <w:tcW w:w="3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52"/>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On December 13, 2023, Microvast Holdings, Inc. (the “Company”) filed a petition in the Delaware Court of Chancery (the “Court of Chancery”) pursuant to Section 205 of the Delaware General Corporation Law seeking validation of an amendment to the Company’s Amended Certificate of Incorporation, the Company’s business combination with Microvast, Inc. (the “Business Combination”) and the shares issued pursuant thereto, and the Company’s Second Amended and Restated Certificate of Incorporation adopted in connection with the Business Combination to resolve any uncertainty with respect to those matters (the “Section 205 Action”). The Section 205 Action filed by the Company in the Court of Chancery is captioned In re Microvast Holdings Inc., C.A. No. 2023-1245-PAF. A copy of the Company’s petition filed in the Section 205 Action is attached as an exhibit to this Form 8-K. The same day the Section 205 Action was filed, the Company also moved that the Court’s consideration of the Section 205 Action be expedited.</w:t>
      </w:r>
    </w:p>
    <w:p>
      <w:pPr>
        <w:spacing w:after="0" w:line="16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On December 28, 2023, the Court of Chancery directed the Company (i) to file this Form 8-K, attaching the petition filed by the Company in the Section 205 Action, (ii) to describe the relief sought in the petition, (iii) to notify stockholders that the Court of Chancery will hold a final hearing to consider the merits of the petition filed by the Company in the Section 205 Action on March 18, 2024 at 9:15 a.m. Eastern Time at the Leonard L. Williams Justice Center, 500 North King Street, Wilmington, Delaware 19801 (the “Section 205 Hearing”) and (iv) to explain how stockholders can appear and be heard at or in advance of the hearing, including the deadline for filing an opposition. This Form 8-K constitutes notice of the Section 205 Hearing. If any stockholder of the Company wishes to express a position on the Section 205 Action, including any opposition to the relief sought in the Section 205 Action, such stockholders of the Company may (i) appear at the hearing in the Section 205 Action or (ii) by February 27, 2024, file a written submission with the Register in Chancery, Leonard L. Williams Justice Center, 500 North King Street, Wilmington, Delaware 19801, referring to the case caption, In re Microvast Holdings, Inc., C.A. No. 2023-1245-PAF, and any such written submission should be emailed to the Company's counsel, Kevin Gallagher, Richards, Layton &amp; Finger, P.A. at gallagher@rlf.com.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Forward-Looking Statements</w:t>
      </w:r>
    </w:p>
    <w:p>
      <w:pPr>
        <w:spacing w:after="0" w:line="19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This current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With respect to the matters addressed in this report, no assurances can be made regarding the outcome of The Company proceeding pursuant to Section 205 of the Delaware General Corporation Law or any claims, proceedings or litigation regarding the authorization of the Company’s common stock. The Company’s Section 205 proceeding is, and any other litigation regarding the authorization of the Company’s stock would be, subject to uncertainties inherent in the litigation process, and may not result in timely resolution of the uncertainty regarding The Company capitalization, if at all. If the Company’s are unsuccessful in the Section 205 proceeding, it could have an adverse effect on the Company. Additional information on potential factors that could affect the financial results of the Company and its forward-looking statements is included in its most recent Form 10-K for the fiscal year ended December 31, 2022, and subsequent filings with the Securities and Exchange Commission.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9" w:lineRule="exact"/>
        <w:rPr>
          <w:sz w:val="20"/>
          <w:szCs w:val="20"/>
          <w:color w:val="auto"/>
        </w:rPr>
      </w:pPr>
    </w:p>
    <w:p>
      <w:pPr>
        <w:ind w:left="220" w:hanging="215"/>
        <w:spacing w:after="0"/>
        <w:tabs>
          <w:tab w:leader="none" w:pos="22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Exhibits</w:t>
      </w:r>
    </w:p>
    <w:p>
      <w:pPr>
        <w:spacing w:after="0" w:line="16"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139"/>
        </w:trPr>
        <w:tc>
          <w:tcPr>
            <w:tcW w:w="1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99.1</w:t>
            </w:r>
          </w:p>
        </w:tc>
        <w:tc>
          <w:tcPr>
            <w:tcW w:w="2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2"/>
                <w:szCs w:val="12"/>
                <w:color w:val="auto"/>
              </w:rPr>
            </w:pPr>
          </w:p>
        </w:tc>
        <w:tc>
          <w:tcPr>
            <w:tcW w:w="95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Petition of Microvast Holdings, Inc. Filed with the Delaware Court of Chancery on December 13, 2023</w:t>
            </w:r>
          </w:p>
        </w:tc>
      </w:tr>
      <w:tr>
        <w:trPr>
          <w:trHeight w:val="235"/>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2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40" w:type="dxa"/>
            <w:vAlign w:val="bottom"/>
            <w:tcBorders>
              <w:top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3680" w:type="dxa"/>
            <w:vAlign w:val="bottom"/>
            <w:tcBorders>
              <w:top w:val="single" w:sz="8" w:color="CCEEFF"/>
            </w:tcBorders>
            <w:shd w:val="clear" w:color="auto" w:fill="CCEEFF"/>
          </w:tcPr>
          <w:p>
            <w:pPr>
              <w:spacing w:after="0"/>
              <w:rPr>
                <w:sz w:val="20"/>
                <w:szCs w:val="20"/>
                <w:color w:val="auto"/>
              </w:rPr>
            </w:pPr>
          </w:p>
        </w:tc>
      </w:tr>
      <w:tr>
        <w:trPr>
          <w:trHeight w:val="222"/>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596"/>
        </w:trPr>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18, 2024</w:t>
            </w:r>
          </w:p>
        </w:tc>
        <w:tc>
          <w:tcPr>
            <w:tcW w:w="796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rPr>
              <w:t>MICROVAST HOLDINGS, INC.</w:t>
            </w:r>
          </w:p>
        </w:tc>
      </w:tr>
      <w:tr>
        <w:trPr>
          <w:trHeight w:val="382"/>
        </w:trPr>
        <w:tc>
          <w:tcPr>
            <w:tcW w:w="328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Craig Webster</w:t>
            </w:r>
          </w:p>
        </w:tc>
      </w:tr>
      <w:tr>
        <w:trPr>
          <w:trHeight w:val="167"/>
        </w:trPr>
        <w:tc>
          <w:tcPr>
            <w:tcW w:w="3280" w:type="dxa"/>
            <w:vAlign w:val="bottom"/>
          </w:tcPr>
          <w:p>
            <w:pPr>
              <w:spacing w:after="0"/>
              <w:rPr>
                <w:sz w:val="14"/>
                <w:szCs w:val="14"/>
                <w:color w:val="auto"/>
              </w:rPr>
            </w:pPr>
          </w:p>
        </w:tc>
        <w:tc>
          <w:tcPr>
            <w:tcW w:w="27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Webster</w:t>
            </w:r>
          </w:p>
        </w:tc>
      </w:tr>
      <w:tr>
        <w:trPr>
          <w:trHeight w:val="184"/>
        </w:trPr>
        <w:tc>
          <w:tcPr>
            <w:tcW w:w="3280" w:type="dxa"/>
            <w:vAlign w:val="bottom"/>
          </w:tcPr>
          <w:p>
            <w:pPr>
              <w:spacing w:after="0"/>
              <w:rPr>
                <w:sz w:val="16"/>
                <w:szCs w:val="16"/>
                <w:color w:val="auto"/>
              </w:rPr>
            </w:pPr>
          </w:p>
        </w:tc>
        <w:tc>
          <w:tcPr>
            <w:tcW w:w="27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802"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2024-01-18T12:17:06Z</dcterms:created>
  <dcterms:modified xsi:type="dcterms:W3CDTF">2024-01-18T12:17:06Z</dcterms:modified>
</cp:coreProperties>
</file>