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3920" w:right="2160" w:hanging="3912"/>
        <w:spacing w:after="0" w:line="352" w:lineRule="auto"/>
        <w:tabs>
          <w:tab w:leader="none" w:pos="2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 (d) OF THE SECURITIES EXCHANGE ACT OF 1934 For the fiscal year ended December 31, 2020</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237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TUSCAN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Pr>
          <w:p>
            <w:pPr>
              <w:jc w:val="center"/>
              <w:ind w:right="1830"/>
              <w:spacing w:after="0"/>
              <w:rPr>
                <w:sz w:val="20"/>
                <w:szCs w:val="20"/>
                <w:color w:val="auto"/>
              </w:rPr>
            </w:pPr>
            <w:r>
              <w:rPr>
                <w:rFonts w:ascii="Arial" w:cs="Arial" w:eastAsia="Arial" w:hAnsi="Arial"/>
                <w:sz w:val="18"/>
                <w:szCs w:val="18"/>
                <w:b w:val="1"/>
                <w:bCs w:val="1"/>
                <w:color w:val="auto"/>
                <w:w w:val="89"/>
              </w:rPr>
              <w:t>83-2530757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6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incorporation or organization)</w:t>
            </w:r>
          </w:p>
        </w:tc>
        <w:tc>
          <w:tcPr>
            <w:tcW w:w="3580" w:type="dxa"/>
            <w:vAlign w:val="bottom"/>
          </w:tcPr>
          <w:p>
            <w:pPr>
              <w:jc w:val="center"/>
              <w:ind w:right="1830"/>
              <w:spacing w:after="0"/>
              <w:rPr>
                <w:sz w:val="20"/>
                <w:szCs w:val="20"/>
                <w:color w:val="auto"/>
              </w:rPr>
            </w:pPr>
            <w:r>
              <w:rPr>
                <w:rFonts w:ascii="Arial" w:cs="Arial" w:eastAsia="Arial" w:hAnsi="Arial"/>
                <w:sz w:val="18"/>
                <w:szCs w:val="18"/>
                <w:b w:val="1"/>
                <w:bCs w:val="1"/>
                <w:color w:val="auto"/>
                <w:w w:val="93"/>
              </w:rPr>
              <w:t>Identification No.)</w:t>
            </w:r>
          </w:p>
        </w:tc>
      </w:tr>
      <w:tr>
        <w:trPr>
          <w:trHeight w:val="292"/>
        </w:trPr>
        <w:tc>
          <w:tcPr>
            <w:tcW w:w="766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1"/>
              </w:rPr>
              <w:t>135 E. 57th St., 18th Floor</w:t>
            </w:r>
          </w:p>
        </w:tc>
        <w:tc>
          <w:tcPr>
            <w:tcW w:w="3580" w:type="dxa"/>
            <w:vAlign w:val="bottom"/>
          </w:tcPr>
          <w:p>
            <w:pPr>
              <w:spacing w:after="0"/>
              <w:rPr>
                <w:sz w:val="24"/>
                <w:szCs w:val="24"/>
                <w:color w:val="auto"/>
              </w:rPr>
            </w:pPr>
          </w:p>
        </w:tc>
      </w:tr>
      <w:tr>
        <w:trPr>
          <w:trHeight w:val="216"/>
        </w:trPr>
        <w:tc>
          <w:tcPr>
            <w:tcW w:w="766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2"/>
              </w:rPr>
              <w:t>New York, NY 10022</w:t>
            </w:r>
          </w:p>
        </w:tc>
        <w:tc>
          <w:tcPr>
            <w:tcW w:w="3580" w:type="dxa"/>
            <w:vAlign w:val="bottom"/>
          </w:tcPr>
          <w:p>
            <w:pPr>
              <w:spacing w:after="0"/>
              <w:rPr>
                <w:sz w:val="18"/>
                <w:szCs w:val="18"/>
                <w:color w:val="auto"/>
              </w:rPr>
            </w:pPr>
          </w:p>
        </w:tc>
      </w:tr>
      <w:tr>
        <w:trPr>
          <w:trHeight w:val="234"/>
        </w:trPr>
        <w:tc>
          <w:tcPr>
            <w:tcW w:w="7660" w:type="dxa"/>
            <w:vAlign w:val="bottom"/>
            <w:gridSpan w:val="3"/>
          </w:tcPr>
          <w:p>
            <w:pPr>
              <w:jc w:val="center"/>
              <w:ind w:left="35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3580" w:type="dxa"/>
            <w:vAlign w:val="bottom"/>
          </w:tcPr>
          <w:p>
            <w:pPr>
              <w:spacing w:after="0"/>
              <w:rPr>
                <w:sz w:val="20"/>
                <w:szCs w:val="20"/>
                <w:color w:val="auto"/>
              </w:rPr>
            </w:pP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948-7100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3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02"/>
        </w:trPr>
        <w:tc>
          <w:tcPr>
            <w:tcW w:w="37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common</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THCBU</w:t>
            </w:r>
          </w:p>
        </w:tc>
        <w:tc>
          <w:tcPr>
            <w:tcW w:w="10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auto"/>
            </w:tcBorders>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stock and one 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r>
        <w:trPr>
          <w:trHeight w:val="216"/>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$0.0001 per share</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THCB</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8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Redeemable warrants, exercisable for shares of</w:t>
            </w:r>
          </w:p>
        </w:tc>
        <w:tc>
          <w:tcPr>
            <w:tcW w:w="3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6"/>
              </w:rPr>
              <w:t>THCBW</w:t>
            </w:r>
          </w:p>
        </w:tc>
        <w:tc>
          <w:tcPr>
            <w:tcW w:w="37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common stock at an exercise price of $11.50 per</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30"/>
        </w:trPr>
        <w:tc>
          <w:tcPr>
            <w:tcW w:w="3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r>
        <w:trPr>
          <w:trHeight w:val="311"/>
        </w:trPr>
        <w:tc>
          <w:tcPr>
            <w:tcW w:w="8620" w:type="dxa"/>
            <w:vAlign w:val="bottom"/>
            <w:gridSpan w:val="5"/>
          </w:tcPr>
          <w:p>
            <w:pPr>
              <w:jc w:val="center"/>
              <w:ind w:left="2550"/>
              <w:spacing w:after="0"/>
              <w:rPr>
                <w:sz w:val="20"/>
                <w:szCs w:val="20"/>
                <w:color w:val="auto"/>
              </w:rPr>
            </w:pPr>
            <w:r>
              <w:rPr>
                <w:rFonts w:ascii="Arial" w:cs="Arial" w:eastAsia="Arial" w:hAnsi="Arial"/>
                <w:sz w:val="18"/>
                <w:szCs w:val="18"/>
                <w:b w:val="1"/>
                <w:bCs w:val="1"/>
                <w:color w:val="auto"/>
                <w:w w:val="88"/>
              </w:rPr>
              <w:t xml:space="preserve">Securities registered pursuant to Section 12(g) of the Act: </w:t>
            </w:r>
            <w:r>
              <w:rPr>
                <w:rFonts w:ascii="Arial" w:cs="Arial" w:eastAsia="Arial" w:hAnsi="Arial"/>
                <w:sz w:val="18"/>
                <w:szCs w:val="18"/>
                <w:color w:val="auto"/>
                <w:w w:val="88"/>
              </w:rPr>
              <w:t>None</w:t>
            </w:r>
          </w:p>
        </w:tc>
        <w:tc>
          <w:tcPr>
            <w:tcW w:w="2620" w:type="dxa"/>
            <w:vAlign w:val="bottom"/>
          </w:tcPr>
          <w:p>
            <w:pPr>
              <w:spacing w:after="0"/>
              <w:rPr>
                <w:sz w:val="24"/>
                <w:szCs w:val="24"/>
                <w:color w:val="auto"/>
              </w:rPr>
            </w:pPr>
          </w:p>
        </w:tc>
      </w:tr>
      <w:tr>
        <w:trPr>
          <w:trHeight w:val="330"/>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262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10"/>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26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6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98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98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7540" w:val="left"/>
          <w:tab w:leader="none" w:pos="81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3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common stock outstanding, other than shares held by persons who may be deemed affiliates of the registrant, computed by reference to the closing price for the common stock as of the last business day of the registrant’s most recently completed second fiscal quarter ($10.23 as of June 30, 2020), as reported on the Nasdaq Capital Market, was approximately $282,348,000.</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May 21, 2021, was 35,470,512.</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Tuscan Holdings Corp. (the “Company” or “Tuscan”) is filing this Amendment No. 1 on Form 10-K/A (the “Amendment”) to the Annual Report on Form 10-K for the year ended December 31, 2020, originally filed with the U.S. Securities and Exchange Commission (the “SEC”) on March 25, 2021 (the “Original 10-K”) as a comprehensive amendment to amend and restate its financial statements and related footnote disclosures as of and for the year ended December 31, 2020, and the financial statements and related footnote disclosures included in the Annual Report on Form 10-K as of and for the year ended December 31, 2019 (the “2019 10-K”), each of the Forms 10-Q as of and for the periods ended March 31, 2019, June 30, 2019, September 30, 2019, March 31, 2020, June 30, 2020 and September 30, 2020 (collectively, the “Original 10-Qs”), and the balance sheet as of March 7, 2019 (the “March 7, 2019 Balance Sheet”). Accordingly, the following sections of the Original 10-K are being amended and restated hereby: Part I, Item 1A “Risk Factors”, Part II, Item 7 “Management’s Discussion and Analysis of Financial Condition and Results of Operations”, Part II, Item 8 “Financial Statements and Supplementary Data”, Part II, Item 9A “Controls and Procedures” and Part IV, Item 15, “Exhibits and Financial Statement Schedules”. In addition, as required by Rule 12b-15 under the Securities Exchange Act of 1934, as amended (“Exchange Act”), new certifications by our principal executive officer and principal financial officer are being filed as exhibits to this Amendment.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noted above, Part II, Item 8 “Financial Statements and Supplementary Data” and Part IV, Item 15, “Exhibits and Financial Statement Schedules” of this Amendment reflects the restatement of financial information included in the Original 10-K, 2019 10-K, the Original 10-Qs, and March 7, 2019 Balance Sheet, and it supersedes the financial information included therein. We have also evaluated subsequent events and events that occurred after December 31, 2020 and have updated Note 12 to the financial statements included herein. The 2019 10-K, March 7, 2019 Balance Sheet, and the Original 10-Qs are not being separately amended and, accordingly, the financial information therein should not be relied upon.</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described above, no other changes have been made to the Original 10-K. Accordingly, this Amendment should be read in conjunction with the Original 10-K and our filings with the SEC subsequent to the date of the Original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of Restatement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28, 2021, the Company’s management and audit committee of the board of directors (“Audit Committee”) of the Company determined, after consultation with Marcum LLP, the Company’s independent registered public accounting firm, that the Company’s financial statements which were included in the Original 10-K, 2019 10-K, the Original 10-Qs, and March 7, 2019 Balance Sheet should no longer be relied upon due to an error in such financial statements relating to the Company’s accounting for an aggregate of 687,000 warrants underlying units issued to the Company’s sponsor in a private placement that closed concurrently with the closing of the Company’s initial public offering (such warrants, the “Private Warrants”) as equity instead of accounting for the Private Warrants as derivative liabilities.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error was uncovered following the release of a joint statement on April 12, 2021 by the Acting Director of the Division of Corporation Finance and Acting Chief Accountant of the SEC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advises, among other things, that certain settlement terms and provisions generally present in SPAC warrants preclude such warrants from being accounted for as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both"/>
        <w:spacing w:after="0" w:line="269" w:lineRule="auto"/>
        <w:rPr>
          <w:sz w:val="20"/>
          <w:szCs w:val="20"/>
          <w:color w:val="auto"/>
        </w:rPr>
      </w:pPr>
      <w:r>
        <w:rPr>
          <w:rFonts w:ascii="Arial" w:cs="Arial" w:eastAsia="Arial" w:hAnsi="Arial"/>
          <w:sz w:val="17"/>
          <w:szCs w:val="17"/>
          <w:color w:val="auto"/>
        </w:rPr>
        <w:t>As a result of the SEC Statement, the Company reevaluated the accounting treatment of the Private Warrants. In consideration of the guidance in Accounting Standards Codification (“ASC”) 815-40,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xml:space="preserve">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Private Warrants are not indexed to the Company’s common stock in the manner contemplated by ASC Section 815-40-15 because the holder of the instrument is not an input into the pricing of a fixed-for-fixed option on equity shares. Accordingly, the Private Warrants are required to be classified as a liability measured at fair value at inception (on the date of issuance) and at each reporting date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with changes in fair value recognized in the statement of operations in the period of change.</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restatement results in non-cash, non-operating financial statement corrections and will have no impact on Tuscan’s current or previously reported cash position, operating expenses or total operating, investing or financing cash flows.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Part IV, Item 15, Note 2, “Restatement of Previously Issued Financial Statements” of the notes to the financial statements of this Amendment for a more detailed discussion of the error and the effects of the restatement.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Considerations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restatement, the Company’s management reassessed the effectiveness of its disclosure controls and procedures as of December 31, 2020. As a result of that reassessment and in light of the SEC Statement, the Company’s management determined that its disclosure controls and procedures as of December 31, 2020 were not effective solely as a result of its accounting for the Private Warrants as components of equity instead of as derivative liabilities. For a discussion of management’s consideration of the material weakness identified, see Item 9A. Controls and Procedures included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09"/>
        </w:trPr>
        <w:tc>
          <w:tcPr>
            <w:tcW w:w="136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13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Item 1A.</w:t>
            </w:r>
          </w:p>
        </w:tc>
        <w:tc>
          <w:tcPr>
            <w:tcW w:w="9220" w:type="dxa"/>
            <w:vAlign w:val="bottom"/>
            <w:gridSpan w:val="6"/>
            <w:shd w:val="clear" w:color="auto" w:fill="CCEEFF"/>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6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1</w:t>
            </w:r>
          </w:p>
        </w:tc>
      </w:tr>
      <w:tr>
        <w:trPr>
          <w:trHeight w:val="216"/>
        </w:trPr>
        <w:tc>
          <w:tcPr>
            <w:tcW w:w="13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5"/>
        </w:trPr>
        <w:tc>
          <w:tcPr>
            <w:tcW w:w="1360" w:type="dxa"/>
            <w:vAlign w:val="bottom"/>
          </w:tcPr>
          <w:p>
            <w:pPr>
              <w:ind w:left="180"/>
              <w:spacing w:after="0" w:line="176" w:lineRule="exact"/>
              <w:rPr>
                <w:sz w:val="20"/>
                <w:szCs w:val="20"/>
                <w:color w:val="auto"/>
              </w:rPr>
            </w:pPr>
            <w:r>
              <w:rPr>
                <w:rFonts w:ascii="Arial" w:cs="Arial" w:eastAsia="Arial" w:hAnsi="Arial"/>
                <w:sz w:val="18"/>
                <w:szCs w:val="18"/>
                <w:color w:val="auto"/>
              </w:rPr>
              <w:t>Item 7.</w:t>
            </w:r>
          </w:p>
        </w:tc>
        <w:tc>
          <w:tcPr>
            <w:tcW w:w="9220" w:type="dxa"/>
            <w:vAlign w:val="bottom"/>
            <w:gridSpan w:val="6"/>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13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rPr>
              <w:t>Item 8.</w:t>
            </w:r>
          </w:p>
        </w:tc>
        <w:tc>
          <w:tcPr>
            <w:tcW w:w="33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Financial Statements and Supplementary Data.</w:t>
              </w:r>
            </w:hyperlink>
          </w:p>
        </w:tc>
        <w:tc>
          <w:tcPr>
            <w:tcW w:w="584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360" w:type="dxa"/>
            <w:vAlign w:val="bottom"/>
          </w:tcPr>
          <w:p>
            <w:pPr>
              <w:ind w:left="180"/>
              <w:spacing w:after="0" w:line="176" w:lineRule="exact"/>
              <w:rPr>
                <w:sz w:val="20"/>
                <w:szCs w:val="20"/>
                <w:color w:val="auto"/>
              </w:rPr>
            </w:pPr>
            <w:r>
              <w:rPr>
                <w:rFonts w:ascii="Arial" w:cs="Arial" w:eastAsia="Arial" w:hAnsi="Arial"/>
                <w:sz w:val="18"/>
                <w:szCs w:val="18"/>
                <w:color w:val="auto"/>
              </w:rPr>
              <w:t>Item 9A.</w:t>
            </w:r>
          </w:p>
        </w:tc>
        <w:tc>
          <w:tcPr>
            <w:tcW w:w="9220" w:type="dxa"/>
            <w:vAlign w:val="bottom"/>
            <w:gridSpan w:val="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13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PART IV</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76"/>
        </w:trPr>
        <w:tc>
          <w:tcPr>
            <w:tcW w:w="1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15.</w:t>
            </w:r>
          </w:p>
        </w:tc>
        <w:tc>
          <w:tcPr>
            <w:tcW w:w="9220" w:type="dxa"/>
            <w:vAlign w:val="bottom"/>
            <w:gridSpan w:val="6"/>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Exhibits and Financial Statement Schedules.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An investment in our securities involves a high degree of risk. You should consider carefully the risks described below, which we believe represent the material risks related to Tuscan, together with the other information contained in this Amendment and the Original 10-K, before making a decision to invest in Tuscan. The risks set forth below do not include specific risks relating to our proposed business combination with Microvast, or the risks inherent in Microvast’s business, which are included in the preliminary proxy statement which we filed with the SEC on February 16, 2021. The risks presented below assumes that we will not consummate the proposed business combination with Microvast, and that we will secure a further extension to consummate an initial business combination and then seek to find an alternative target with which to consummate an initial business combination.</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This Amendment and the Original 10-K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Restatement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Private Warrants are accounted for as liabilities and the changes in value of our warrants could have a material effect on our financial results.</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advises, among other things, that certain adjustments generally present in SPAC warrants preclude such warrants from being accounted for as equity. As a result of the SEC Statement, we reevaluated the accounting treatment of the Private Warrants and determined to classify the Private Warrants as liabilities measured at fair value, with changes in fair value recognized in the statement of operations in the period of change.</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result, included on our balance sheet as of December 31, 2020 is a derivative liability related to embedded features contained within our Private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Private Warrants each reporting period and that the amount of such gains or losses could be material.</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Following this issuance of the SEC Statement, on May 28, 2021, after consultation with Marcum LLP, the Company’s independent registered public accounting firm, the Company’s management and the Audit Committee concluded that the Company’s financial statements which were included in the Original 10-K, 2019 10-K, March 7, 2019 Balance Sheet, and the Original 10-Qs should no longer be relied upon due to errors in such financial statements relating to the Company’s accounting for the Private Warrants as equity rather than as liabilities. As a result, our management concluded that our internal control over financial reporting was not effective as of December 31, 2020 due to the existence of material weaknesses in such controls, and we have also concluded that our disclosure controls and procedures were not effective as of December 31, 2020 due to material weaknesses in our internal control over financial reporting, all as described in Part II, Item 9A, “Controls and Procedures” of this Amendment.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ind w:firstLine="648"/>
        <w:spacing w:after="0" w:line="273" w:lineRule="auto"/>
        <w:rPr>
          <w:sz w:val="20"/>
          <w:szCs w:val="20"/>
          <w:color w:val="auto"/>
        </w:rPr>
      </w:pPr>
      <w:r>
        <w:rPr>
          <w:rFonts w:ascii="Arial" w:cs="Arial" w:eastAsia="Arial" w:hAnsi="Arial"/>
          <w:sz w:val="17"/>
          <w:szCs w:val="17"/>
          <w:color w:val="auto"/>
        </w:rPr>
        <w:t>Moreover, because of the inherent limitations of any control system, material misstatements due to error or fraud may not be prevented or detected and corrected on a timely basis, or at all. If we are unable to provide reliable and timely financial reports in the future, our business and reputation may be further harmed. Restated financial statements and failures in internal control may also cause us to fail to meet reporting obligations, negatively affect investor confidence in our management and the accuracy of our financial statements and disclosures, or result in adverse publicity and concerns from investors, any of which could have a negative effect on the price of our securities, subject us to regulatory investigations and penalties or stockholder litigation, and have a material adverse impact on our financial condition.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restated our financial statements for several prior periods, which may affect investor confidence, our stock price, our ability to raise capital in the future, our results of operations and financial condition, our ability to complete the proposed business combination with Microvast, and which may result in stockholder litigation.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Amendment includes restated financial statements for several prior periods. Such restatement may have the effect of eroding investor confidence in the Company and our financial reporting and accounting practices and processes, and may negatively impact the trading price of our securities, could have a material adverse effect on our business, results of operations and financial condition, may make it more difficult for us to raise capital on acceptable terms, if at all, and may adversely impact our ability to complete our proposed business combination with Microvast. The restatement and related material weaknesses in our internal control over financial reporting may also result in stockholder litigation.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Searching for and Consummating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operating history and, accordingly, you will not have any basis on which to evaluate our ability to achieve our business objective.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will not generate any revenues until, at the earliest, after the consummation of a business combination.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until after July 31, 2021 before receiving distributions from the trust account.</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earlier to occur of: (i) the consummation of our initial business combination; (ii) the redemption of our public shares if we are unable to consummate a business combination by July 31, 2021, subject to applicable law; (iii)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by July 31, 2021. In addition, if our plan to redeem our public shares if we are unable to consummate an initial business combination by July 31, 2021 is not consummated for any reason, Delaware law may require that we submit a plan of dissolution to our then-existing stockholders for approval prior to the distribution of the proceeds held in our trust account. In that case, public stockholders may be forced to wait beyond July 31, 2021 before they receive funds from our trust account. In no other circumstances will a public stockholder have any right or interest of any kind in the trust account. Accordingly, to liquidate your investment, you may be forced to sell your public shares or warrants, potentially at a loss.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 that we complete an initial business combination by July 31, 2021 (or such later date as may be approved by our stockholders) may give potential target businesses leverage over us in negotiating a business combination.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until July 31, 2021 (which was extended from April 30, 2021 by vote of our stockholders), or such later date as may be approved by our stockholders,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business combination.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or don’t vote at all,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 controls a substantial interest in us and thus may influence certain actions requiring a stockholder vote.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Tuscan Holdings Acquisition LLC, owns approximately 21% of our issued and outstanding shares of common stock. Our Sponsor, officers, directors, initial stockholders or their affiliates could determine in the future to make purchases of our securities in the open market or in private transactions, to the extent permitted by law, in order to influence the vote or magnitude of the number of shareholders seeking to tender their shares to us. In connection with any vote for a proposed business combination, our initial stockholders, as well as all of our officers and directors, have agreed to vote the shares of common stock owned by them immediately before our IPO as well as any shares of common stock acquired in the IPO or in the aftermarket in favor of such proposed business combination.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As a consequence of our “staggered” board of directors, only a minority of the board of directors will be considered for election and our Sponsor, because of its ownership position, will have considerable influence regarding the outcome. Accordingly, our initial stockholders will continue to exert control at least until the consummation of a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unable to ascertain the merits or risks of any particular target business’ operations.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pursue an acquisition opportunity in any business industry or sector.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Form 10-K)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connection with any stockholder meeting called to approve a proposed initial business combination or an amendment to our charter to extend the date by which we must complete an initial business combination, we may require stockholders who wish to convert their shares in connection with such proposal to comply with specific requirements for conversion that may make it more difficult for them to exercise their conversion rights prior to the deadline for exercising their rights.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stockholder meeting called to approve a proposed initial business combination or an amendment to our charter to extend the date by which we must complete an initial business combination, each public stockholder will have the right, regardless of whether he is voting for or against such proposal or does not vote at all, to demand that we convert his shares into a pro rata share of the trust account as of two business days prior to the consummation thereof. We may require public stockholders who wish to convert their shares to either (i) tender their certificates to our transfer agent or</w:t>
      </w:r>
    </w:p>
    <w:p>
      <w:pPr>
        <w:spacing w:after="0" w:line="1" w:lineRule="exact"/>
        <w:rPr>
          <w:sz w:val="20"/>
          <w:szCs w:val="20"/>
          <w:color w:val="auto"/>
        </w:rPr>
      </w:pPr>
    </w:p>
    <w:p>
      <w:pPr>
        <w:jc w:val="both"/>
        <w:ind w:firstLine="8"/>
        <w:spacing w:after="0" w:line="268"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deliver their shares to the transfer agent electronically using the Depository Trust Company’s DWAC (Deposit/Withdrawal At Custodian) System, at the holders’ option, in each case prior to a date set forth in the tender offer documents or proxy materials sent in connection with the proposal.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require public stockholders who wish to convert their shares to comply with specific requirements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our IPO,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issue additional shares of common stock or equity-linked securities for capital raising purposes in connection with the closing of our initial business combination at an issue price or effective issue price of less than $9.50 per share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volume weighted average trading price of our common stock during the 20 trading day period starting on the trading day prior to the day on which we consummate our initial business combination (such price, the “Market Value”) is below $9.50 per share,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price at which we issue the additional shares of common stock or equity-linked securities. This may make it more difficult for us to consummate an initial business combination with a target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our capital stock or debt securities to complete a business combination, which would reduce the equity interest of our stockholders and likely cause a change in control of our ownership.</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amended and restated certificate of incorporation authorizes the issuance of up to 65,000,000 shares of common stock, par value $0.0001 per share, and 1,000,000 shares of preferred stock, par value $0.0001 per share.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1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our common stock;</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 business combination are insufficient to repay our debt obligations;</w:t>
      </w:r>
    </w:p>
    <w:p>
      <w:pPr>
        <w:spacing w:after="0" w:line="248"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per-share conversion amount in the trust account.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we believe that the net proceeds of our IPO, together with interest earned on the funds held in the trust account available to us, will be sufficient to allow us to consummate a business combination, because we have not yet identified any prospective target business, we cannot ascertain the capital requirements for any particular transaction. If the net proceeds of our IPO prove to be insufficient, either because of the size of the business combination, the depletion of the available net proceeds in search of a target business, or the obligation to convert into cash a significant number of shares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from our IPO, which will cause us to be solely dependent on a single business which may have a limited number of products or services.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8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spacing w:after="0" w:line="342" w:lineRule="auto"/>
        <w:rPr>
          <w:sz w:val="20"/>
          <w:szCs w:val="20"/>
          <w:color w:val="auto"/>
        </w:rPr>
      </w:pPr>
      <w:r>
        <w:rPr>
          <w:rFonts w:ascii="Arial" w:cs="Arial" w:eastAsia="Arial" w:hAnsi="Arial"/>
          <w:sz w:val="16"/>
          <w:szCs w:val="16"/>
          <w:b w:val="1"/>
          <w:bCs w:val="1"/>
          <w:i w:val="1"/>
          <w:iCs w:val="1"/>
          <w:color w:val="auto"/>
        </w:rPr>
        <w:t>Our search for an initial business combination, and any target business with which we ultimately consummate an initial business combination, may be materially adversely affected by the recent coronavirus (COVID-19) outbreak and other events, and the status of debt and equity markets.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and especially since the fourth quarter of 2020,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The premiums charged for such policies have generally increased and the terms of such policies have generally become less favorable. There can be no assurance that these trends will not continue.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648"/>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are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role of our key personnel after a business combination, however, cannot presently be ascertained. Although some of our key personnel may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consummate a business combination with a target business in any geographic location or industry we choose, although we intend to focus on companies or assets ancillary to the cannabis industry. We cannot assure you that our officers and directors will have enough experience or have sufficient knowledge relating to the jurisdiction of the target or its industry to make an informed decision regarding a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conduct an adequate due diligence investigation of a target business, we may be required to subsequently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successful in consummating a business combination with a target business in a foreign country,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cannot assure you that we would be able to adequately address these additional risks. If we were unable to do so, our operations might suffer.</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Relating to Potential Conflicts of Interest of our Management, Directors, and Others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officers and directors do not commit their full time to our affairs. We expect each of our officers and directors to devote such amount of time as they reasonably believe is necessary to our business. We do not intend to have any full time employees prior to the consummation of our initial business combination. The foregoing could have a negative impact on our ability to consummate our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officers and directors may have a conflict of interest in determining whether a particular target business is appropriate for a business combination.</w:t>
      </w:r>
    </w:p>
    <w:p>
      <w:pPr>
        <w:spacing w:after="0" w:line="2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Sponsor has waived its right to convert its founders’ shares or any other shares purchased in our IPO or thereafter, or to receive distributions from the trust account with respect to its founders’ shares upon our liquidation if we are unable to consummate a business combination. Accordingly, the shares acquired prior to our IPO, as well as the private securities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Accordingly, they may have conflicts of interest in determining to which entity a particular business opportunity should be presented.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officers and directors or their affiliates have pre-existing fiduciary and contractual obligations to other companies.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EarlyBirdCapital may have a conflict of interest in rendering services to us in connection with our initial business combination.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EarlyBirdCapital to assist us in connection with our initial business combination. We will pay EarlyBirdCapital a cash fee for such services in an aggregate amount equal to up to 3.5% of the total gross proceeds raised in our IPO only if we consummate our initial business combination. The representative shares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private warrants included in the Private Units may be exercised at a time when the public warrants may not be exercised.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Once the private warrants included in the Private Units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public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public warrants in order to make any change that adversely affects the interests of the registered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per-share redemption price received by stockholders may be less than $10.00.</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Form 10-K) that it will be liable to ensure that the proceeds in the trust account are not reduced below $10.00 per share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per-share distribution from the trust account may be less than $10.00, plus interest, due to such claims.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July 31, 2021 (which was extended from April 30, 2021 by vote of our stockholders), unless such date is further extended by our stockholders. If we have not completed a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event that the proceeds in the trust account are reduced below $10.00 per public share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securities are listed on Nasdaq, a national securities exchange. Although we expect to meet on a pro forma basis Nasdaq’s minimum initial listing standards, which generally only requires that we meet certain requirements relating to stockholders’ equity, market capitalization, aggregate market value of publicly held shares and distribution requirements, we cannot assure you that our securities will continue to be listed on Nasdaq in the future prior to an initial business combination. Further, we cannot assure you that we will continue to meet Nasdaq’s corporate governance requirements. On May 28, 2021, we received a notice from the Listing Qualifications Department of The Nasdaq Stock Market stating that because we failed to timely file our Quarterly Report on Form 10-Q for the quarter ended March 31, 2021 (“Form 10-Q”), we were not in compliance with Nasdaq Listing Rule 5250(c)(1). The Company has until July 26, 2021 to submit a plan to regain compliance with the listing rule or to file the Form 10-Q. While we intend to file the Form 10-Q prior to such date and regain compliance with the listing rule, there can be no assurance that we will be able to do so.</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in connection with our initial business combination, it is likely that Nasdaq will require us to file a new initial listing application and meet its initial listing requirements as opposed to its more lenient continued listing requirements. We cannot assure you that we will be able to meet those initial listing requirements at that time. Nasdaq will also have discretionary authority to not approve our listing if Nasdaq determines that the listing of the company to be acquired is against public policy at that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Nasdaq delists our securities from trading on its exchange, or we are not listed in connection with our initial business combination, we could face significant material adverse consequences, including: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common stock and warrants are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Our outstanding warrants may have an adverse effect on the market price of our common stock and make it more difficult to effect a business combination.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issued warrants to purchase 27,600,000 shares of common stock as part of the units offered in our IPO and private warrants to purchase 687,000 shares of common stock as part of the Private Units. We may also issue other units and warrants to our Sponsor, initial stockholders, officers, directors or their affiliates in payment of working capital loans made to 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the ability to redeem outstanding warrants (excluding the private warrants included in the Private Units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included in the Private Units will be redeemable by us so long as they are held by the initial purchasers or their permitted transferees.</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call our public warrants for redemption after the redemption criteria described elsewhere in this Form 10-K have been satisfied, our management will have the option to require any holder that wishes to exercise his warrant (including any private warrants included in the Private Units)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Sponsor is entitled to make a demand that we register the resale of the founders’ shares at any time commencing three months prior to the date on which their shares may be released from escrow. Additionally, the holders of representative shares, the private securities and any units and warrants our Sponsor, initial stockholders, officers, directors, or their affiliates may be issued in payment of working capital loans made to us, are entitled to demand that we register the resale of the representative shares, private securities and any other units and warrants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employees, which may discourage lawsuits with respect to such claims, although our stockholders will not be deemed to have waived our compliance with federal securities laws and the rules and regulations thereunder and may therefore bring a claim in another appropriate forum. We cannot be certain that a court will decide that this provision is either applicable or enforceable, and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amended and restated certificate of incorporation also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the proceeds of our IPO held in the trust account have been invested by us,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9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right="360" w:hanging="4"/>
        <w:spacing w:after="0" w:line="530" w:lineRule="auto"/>
        <w:tabs>
          <w:tab w:leader="none" w:pos="98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reporting, record keeping, voting, proxy, compliance policies and procedures and disclosure requirements and other rules and regulations. Compliance with these additional regulatory burdens would require additional expense for which we have not allotted.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discussion and analysis of the Company’s financial condition and results of operations should be read in conjunction with our audited financial statements and the notes related thereto which are included in “Item 15. Exhibits and Financial Statement Schedules” of this Amendment.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Amendment and the Original 10-K.</w:t>
      </w:r>
    </w:p>
    <w:p>
      <w:pPr>
        <w:spacing w:after="0" w:line="176"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has been amended and restated to give effect to the restatement and revision of our financial statements as more fully described in the Explanatory Note and in “Note 2—Restatement of Previously Issued Financial Statements” to our accompanying financial statements. For further detail regarding the restatement adjustments, see Explanatory Note and Item 9A: Controls and Procedures, both contained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blank check company incorporated on November 5, 2018 as a Delaware corporation and formed for the purpose of entering into a merger, share exchange, asset acquisition, stock purchase, recapitalization, reorganization or similar business combination with one or more businesses or entities. We intend to effectuate our initial business combination using cash from the proceeds of the IPO and the sale of the private units, our capital stock, debt or a combination of cash, stock and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entire activity since inception relates to our formation, to prepare for our IPO, which was consummated on March 7, 2019, searching for a business combination candidate, and activities in connection with the proposed acquisition of Microvast.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Business Combination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1, 2021, Tuscan entered into an Agreement and Plan of Merger (as amended, the “Merger Agreement”), among Tuscan, TSCN Merger Sub Inc., a newly formed Delaware corporation and wholly owned subsidiary of Tuscan (“Merger Sub”), and Microvast, Inc., a Delaware corporation (“Microvast”). Pursuant to the Merger Agreement, Merger Sub will merge with and into Microvast and Microvast will survive the merger and become a wholly owned subsidiary of Tuscan. Under the Merger Agreement, all of the equity interests of Microvast will be converted into an aggregate of 210,000,000 shares of common stock. The Microvast shareholders and the investors in Microvast’s majority-owned subsidiary, MPS, will also have the ability to earn an additional 20,000,000 shares of common stock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Tuscan and Microvast will jointly acquire 100% ownership of MPS and will discharge certain convertible loans of MPS.</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Merger will be accounted for as a reverse recapitalization in accordance with accounting principles generally accepted in the United States of America (“U.S. GAAP”). Under this method of accounting, Tuscan will be treated as the “acquired” company for accounting purposes and the Business Combination will be treated as the equivalent of Microvast issuing stock for the net assets of Tuscan, accompanied by a recapitalization. The net assets of Tuscan will be stated at historical cost, with no goodwill or other intangible assets recorded.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the Merger Agreement provides that Tuscan will issue an aggregate of 6,736,111 shares of common stock in connection with the Bridge Note Conversion.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48"/>
        <w:spacing w:after="0" w:line="287" w:lineRule="auto"/>
        <w:rPr>
          <w:sz w:val="20"/>
          <w:szCs w:val="20"/>
          <w:color w:val="auto"/>
        </w:rPr>
      </w:pPr>
      <w:r>
        <w:rPr>
          <w:rFonts w:ascii="Arial" w:cs="Arial" w:eastAsia="Arial" w:hAnsi="Arial"/>
          <w:sz w:val="16"/>
          <w:szCs w:val="16"/>
          <w:color w:val="auto"/>
        </w:rPr>
        <w:t>Further, on February 1, 2021, Tuscan, the Sponsor, Microvast and certain stockholders of Tuscan entered into the Sponsor Support Agreement, pursuant to which the Sponsor Group agreed, among other things, to vote all equity interests of Tuscan held by such member of the Sponsor Group in favor of the approval and adoption of the proposed business combination with Microvast. Additionally, such members of the Sponsor Group have agreed not to</w:t>
      </w:r>
    </w:p>
    <w:p>
      <w:pPr>
        <w:spacing w:after="0" w:line="2" w:lineRule="exact"/>
        <w:rPr>
          <w:sz w:val="20"/>
          <w:szCs w:val="20"/>
          <w:color w:val="auto"/>
        </w:rPr>
      </w:pPr>
    </w:p>
    <w:p>
      <w:pPr>
        <w:jc w:val="both"/>
        <w:ind w:right="20" w:firstLine="8"/>
        <w:spacing w:after="0" w:line="255"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Sponsor also agreed that, to the extent that certain expenses of Tuscan are in excess of $46,000,000 (unless such expenses shall have been approved by Microvast), the Sponsor will either (i) pay any such excess amount in cash or (ii) forfeit to Tuscan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Contemporaneously with the execution of the Merger Agreement, certain investors entered into Subscription Agreements pursuant to which such investors subscribed for an aggregate value of $482,500,000, representing 48,250,000 shares of Tuscan common stock at a purchase price of $10.00 per share in a private placement to be consummated immediately prior to the consummation of the Transactions. Affiliates of InterPrivate, an advisor to the Sponsor, subscribed to purchase 6.5 million shares in the PIPE Financing for an aggregate purchase price of $65 million.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following the Closing, the former equityholders of Microvast will hold approximately 69.9% of the issued and outstanding shares of common stock and the current stockholders of Tuscan will hold approximately 9.2% of the issued and outstanding shares of common stock, which pro forma ownership (1) assumes no Public Stockholder exercises its conversion rights in connection with the business combination, and (2) reflects the issuance of an aggregate of 48,250,000 shares of Common Stock in the PIPE Financing and 6,736,111 shares of common stock in the Bridge Notes Conversion, but does not include the effect of any other financing of Tuscan. If the maximum number of Public Shares are converted into cash such that Microvast does not have the right to terminate the Merger Agreement (i.e., Tuscan has at least $5,000,001 of net tangible assets immediately prior to or upon consummation of the business combination), such percentages will be approximately 76.8% and 0.2%,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 2020, Tuscan received stockholder approval to extend the date by which it must complete an initial business combination from December 7, 2020 to April 30, 2021. In connection with such extension, holders of 3,198 Public Shares exercised their right to convert their shares into cash at a conversion price of approximately $10.22 per share, for an aggregate conversion amount of approximately $32,684.</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12, 2021, Tuscan filed a preliminary proxy statement seeking approval from its stockholders to amend Tuscan’s charter to further extend the date by which Tuscan is required to complete its initial business combination from April 30, 2021 to July 31, 2021 and to hold an annual meeting for the election of directors in accordance with Nasdaq listing rules. On April 28, 2021, Tuscan convened its annual meeting of stockholders (the “</w:t>
      </w:r>
      <w:r>
        <w:rPr>
          <w:rFonts w:ascii="Arial" w:cs="Arial" w:eastAsia="Arial" w:hAnsi="Arial"/>
          <w:sz w:val="17"/>
          <w:szCs w:val="17"/>
          <w:u w:val="single" w:color="auto"/>
          <w:color w:val="auto"/>
        </w:rPr>
        <w:t>Annual Meeting</w:t>
      </w:r>
      <w:r>
        <w:rPr>
          <w:rFonts w:ascii="Arial" w:cs="Arial" w:eastAsia="Arial" w:hAnsi="Arial"/>
          <w:sz w:val="17"/>
          <w:szCs w:val="17"/>
          <w:color w:val="auto"/>
        </w:rPr>
        <w:t>”) virtually. At the Annual Meeting, Tuscan’s shareholders approved a proposal to elect Amy Butte as a Class I director, and approved a proposal to adjourn the Annual Meeting to a later date if there had been insufficient votes at the time of the Annual Meeting to approve the proposal to extend the date by which Tuscan must complete its initial business combination from April 30, 2021 to July 31, 2021 (the “</w:t>
      </w:r>
      <w:r>
        <w:rPr>
          <w:rFonts w:ascii="Arial" w:cs="Arial" w:eastAsia="Arial" w:hAnsi="Arial"/>
          <w:sz w:val="17"/>
          <w:szCs w:val="17"/>
          <w:u w:val="single" w:color="auto"/>
          <w:color w:val="auto"/>
        </w:rPr>
        <w:t>Extension 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Proposal</w:t>
      </w:r>
      <w:r>
        <w:rPr>
          <w:rFonts w:ascii="Arial" w:cs="Arial" w:eastAsia="Arial" w:hAnsi="Arial"/>
          <w:sz w:val="17"/>
          <w:szCs w:val="17"/>
          <w:color w:val="auto"/>
        </w:rPr>
        <w:t>”). The Annual Meeting was adjourned to May 10, 2021 solely with respect to the voting on the Extension Amendment Proposal.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648"/>
        <w:spacing w:after="0" w:line="287" w:lineRule="auto"/>
        <w:rPr>
          <w:sz w:val="20"/>
          <w:szCs w:val="20"/>
          <w:color w:val="auto"/>
        </w:rPr>
      </w:pPr>
      <w:r>
        <w:rPr>
          <w:rFonts w:ascii="Arial" w:cs="Arial" w:eastAsia="Arial" w:hAnsi="Arial"/>
          <w:sz w:val="16"/>
          <w:szCs w:val="16"/>
          <w:color w:val="auto"/>
        </w:rPr>
        <w:t>At the time the Annual Meeting was convened on April 28, 2021, a quorum representing at least a majority of shares outstanding on the record date of March 17, 2021 was present in person or by proxy. However, Tuscan had not received the approval of holders of 65% of its shares outstanding on the record date then necessary to approve the Extension Amendment Proposal, as provided in Article Sixth of Tuscan’s certificate of incorporation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According to Article Sixth, as of May 1, 2021, the vote required for approval of the Extension Amendment Proposal will be reduced from 65% of the shares outstanding to a majority of the shares outstanding on the record date, based on the following provisions. Article Sixth provides that at any time during the “Target Business Acquisition Period,” any amendment to Article Sixth requires the affirmative vote of the holders of at least 65% of the then outstanding shares of common stock. The “Target Business Acquisition Period” ends on the “Termination Date,” which is defined in Article Sixth as April 30, 2021. Therefore, the 65% vote threshold in Article Sixth will no longer apply as of May 1, 2021, and the Extension Amendment Proposal may be approved by a majority of the shares outstanding on the record date. On May 10, 2021, Tuscan reconvened the Annual Meeting, at which the Extension Amendment Proposal was approved by Tuscan’s stockholders. Following the Annual Meeting, Tuscan filed an amendment to its certificate of incorporation extending the date by which Tuscan must complete its initial business combination from April 30, 2021 to July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12, 2021, the Sponsor extended a loan to Tuscan in the aggregate principal amount totaling $1.2 million, of which $400,000 was drawn upon on such date. This loan was in addition to the previous $200,000 drawn upon the $300,000 convertible note that was committed by the Sponsor on April 21, 2020. As a result of the February 12, 2021 commitment, the Sponsor had committed to the Company a total of $1.5 million, of which a total of $600,000 has been drawn upon, with $400,000 of the drawn amount pursuant to the February 12, 2021 note. The Sponsor intends to convert the $1.5 million total loan balance into 150,000 Units immediately prior to the closing of the proposed business combination with Microvast. Such Units will have terms identical to the terms of the Company’s Private Units and will consist of (i) 150,000 shares of common stock and (ii) warrants to purchase 150,000 shares of common stock at an exercise price of $11.50 per share, subject to adjustment.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Notification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2021, we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we submitted a plan to regain compliance on February 4, 2021. Nasdaq accepted our plan and granted us an extension through June 29, 2021 to hold an annual meeting. Nasdaq’s decision is subject to certain conditions, including that we provide periodic updates with respect to our proposed business combination with Microvast. On April 28, 2021, we held an annual meeting of stockholders, in compliance with our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only activities from November 5, 2018 (inception) through December 31, 2020 were organizational activities, those necessary to consummate the IPO, described below, and, after the IPO, searching for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As a result of the restatement described in Note 2 of the notes to the financial statements included herein, we classify the Private Warrants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we had net loss of $2,423,649, which consisted of operating costs of $921,665, a change in fair value of warrant liability of $3,799,110, and a provision for income taxes of $366,764, offset by interest income on marketable securities held in the Trust Account of $2,654,140 and an unrealized gain on marketable securities held in the Trust Account of $9,750.</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year ended December 31, 2020, income earned on the investment held in the trust account decreased $2,258,206, or 46.0% to $2,654,140 from $4,912,346 for the year ended December 31, 2019. As a result of the Covid-19 pandemic, the average annual yield on the investment held in the trust account dropped to 0.10% in the second quarter of 2020 down from an average of 1.73% for 2019 and the first quarter of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7"/>
          <w:szCs w:val="17"/>
          <w:color w:val="auto"/>
        </w:rPr>
        <w:t>For the year ended December 31, 2019, we had net income of $3,394,659, which consisted of interest income on marketable securities held in the trust account of $4,912,346 and an unrealized gain on marketable securities held in the trust account of $128,899, partially offset by a change in fair value of warrant liability of $27,480, operating costs of $778,815 and a provision for income taxes of $895,251.</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September 30,2020, we had a net loss of $48,045, which consisted of operating costs of $174,340 and an unrealized loss on marketable securities held in the Trust Account of $532,988, offset by interest income on marketable securities held in the Trust Account of $579,117, a change in fair value of warrant liability of $53,242 and an income tax benefit of $26,924.</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September 30,2020, we had net income of $1,558,248, which consisted of interest income on marketable securities held in the Trust Account of $2,589,682 and a change in fair value of warrant liability of $56,667, offset by operating costs of $654,803, an unrealized loss on marketable securities held in the Trust Account of $33,021, and a provision for income taxes of $400,287.</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September 30, 2019, we had net income of $910,334, which consisted of interest income on marketable securities held in the Trust Account of $1,577,268 and a change in fair value of warrant liability of $13,740, offset by operating costs of $262,271, an unrealized loss on marketable securities held in the Trust Account of $187,306 and a provision for income taxes of $231,097.</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nine months ended September 30, 2019, we had net income of $2,355,418, which consisted of interest income on marketable securities held in the Trust Account of $3,657,526 and a change in fair value of warrant liability of $89,310, offset by operating costs of $527,663, an unrealized loss on marketable securities held in the Trust Account of $35,094 and a provision for income taxes of $650,041.</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30,2020, we had a net loss of $297,162, which consisted of operating costs of $251,714, a change in fair value of warrant liability of $133,965 and an unrealized loss on marketable securities held in the Trust Account of $938,273, offset by interest income on marketable securities held in the Trust Account of $983,408 and an income tax benefit of $43,382.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30,2020, we had net income of $1,606,293, which consisted of interest income on marketable securities held in the Trust Account of $2,010,565, a change in fair value of warrant liability of $3,435 and an unrealized gain on marketable securities held in the Trust Account of $499,967, offset by operating costs of $480,463 and a provision for income taxes of $427,211.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2019, we had net income of $1,209,849, which consisted of interest income on marketable securities held in the Trust Account of $1,670,719 and an unrealized gain on marketable securities held in the Trust Account of $133,070, offset by operating costs of $195,350, a change in fair value of warrant liability of $54,960 and a provision for income taxes of $343,630.</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six months ended June 30, 2019, we had net income of $1,445,084, which consisted of interest income on marketable securities held in the Trust Account of $2,080,258, a change in fair value of warrant liability of $103,050 and an unrealized gain on marketable securities held in the Trust Account of $152,212, offset by operating costs of $265,392 and a provision for income taxes of $418,944.</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March 31,2020, we had net income of $1,903,455, which consisted of interest income on marketable securities held in the Trust Account of $1,027,157, a change in fair value of warrant liability of $137,400 and an unrealized gain on marketable securities held in the Trust Account of $1,438,240, offset by operating costs of $228,749 and provision for income taxes of $470,593.</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2019, we had net income of $235,235, which consisted of interest income on marketable securities held in the Trust Account of $409,539, a change in fair value of warrant liability of $48,090 and an unrealized gain on marketable securities held in the Trust Account of $19,142, offset by operating costs of $70,042 and provision for income taxes of $75,314.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7, 2019, we consummated our IPO of 24,000,000 units, at a price of $10.00 per unit, generating gross proceeds of $240,000,000. Simultaneously with the closing of the IPO, we consummated the sale of 615,000 private units to our Sponsor and EarlyBirdCapital and its designee, generating gross proceeds of $6,150,000. On March 12, 2019, in connection with the underwriters’ exercise of their over-allotment option in full, we consummated the sale of an additional 3,600,000 units at a price of $10.00 per unit, generating total gross proceeds of $36,000,000. In addition, we also consummated the sale of an additional 72,000 private units to our Sponsor and EarlyBirdCapital and its designee at $10.00 per private unit, generating total gross proceeds of $720,000. Following the IPO, the exercise of the over-allotment option and the sale of the private units, a total of $276,000,000 was placed in the trust account. We incurred $6,059,098 in IPO related costs, including $5,520,000 of underwriting fees, and $539,098 of other costs.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2020, we had marketable securities held in the Trust Account of $282,254,978 (including approximately $6,255,000 of interest income and unrealized gains less interest withdrawn) consisting of U.S. treasury bills with a maturity of 180 days or less. As of September 30, 2020, we had marketable securities held in the Trust Account of $282,180,433. As of June 30, 2020, we had marketable securities held in the Trust Account of $282,267,303. As of March 31, 2020, we had marketable securities held in the Trust Account of $282,403,044. As of December 31, 2019, we had marketable securities held in the trust account of $280,103,245. As of September 30, 2019, we had marketable securities held in the trust account of $278,902,432. As of June 30, 2019, we had marketable securities held in the trust account of $277,762,470. As of March 31, 2019, we had marketable securities held in the trust account of $276,428,681. Interest income on the balance in the Trust Account may be used by us to pay taxes. Through December 31, 2020, we withdrew approximately $1,417,000 of interest earned on the Trust Account to pay our franchise and income tax obligations, of which approximately $479,000 was withdrawn during the year ended December 31, 2020.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2020, cash used in operating activities was $705,994. Net loss of $2,423,649 was affected by a non-cash charge for the fair value of warrant liabilities of $3,799,110, interest earned on marketable securities held in the Trust Account of $2,654,140, an unrealized gain on marketable securities held in our Trust Account of $9,750 and a deferred income tax benefit of $5,601. Changes in operating assets and liabilities provided $588,036 of cash from operating activities.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2020, cash used in operating activities was $563,890. Net income of $1,558,248 was affected by interest earned on marketable securities held in the Trust Account of $2,589,682, a noncash charge for the fair value of warrant liabilities of $56,667, an unrealized loss on marketable securities held in our Trust Account of $33,021 and a deferred income tax benefit of $34,003. Changes in operating assets and liabilities provided $525,203 of cash from operating activities.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2020, cash used in operating activities was $545,136. Net income of $1,606,293 was affected by interest earned on marketable securities held in the Trust Account of $2,010,565, a noncash charge for the fair value of warrant liabilities of $3,435, an unrealized gain on marketable securities held in our Trust Account of $499,967 and a deferred income tax provision of $77,924. Changes in operating assets and liabilities provided $284,614 of cash from operating activities.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cash used in operating activities was $109,922. Net income of $1,903,455 was affected by interest earned on marketable securities held in the Trust Account of $1,027,157, a noncash charge for the fair value of warrant liabilities of $137,400, an unrealized gain on marketable securities held in our Trust Account of $1,438,240 and a deferred income tax provision of $274,962. Changes in operating assets and liabilities provided $314,458 of cash from operating activities.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cash used in operating activities was $1,634,432. Net income of $3,394,659 was affected by interest earned on marketable securities held in the trust account of $4,912,346, a non-cash charge for the fair value of warrant liabilities of $27,480, an unrealized gain on marketable securities held in our trust account of $128,899 and a deferred income tax provision of $27,069. Changes in operating assets and liabilities provided $12,565 of cash from operating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2019, cash used in operating activities was $1,115,949. Net income $2,355,418 was affected by interest earned on marketable securities held in the trust account of $3,657,526, a noncash charge for the fair value of warrant liabilities of $89,310, an unrealized loss on marketable securities held in our trust account of $35,094 and a deferred income tax provision of $7,370. Changes in operating assets and liabilities provided $69,125 of cash from operating activities.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2019, cash used in operating activities was $279,358. Net income $1,445,084 was affected by interest earned on marketable securities held in the trust account of $2,080,258, a noncash charge for the fair value of warrant liabilities of $103,050, an unrealized gain on marketable securities held in our trust account of $152,212 and a deferred income tax provision of $31,965. Changes in operating assets and liabilities provided $373,013 of cash from operating activities.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2019, cash used in operating activities was $27,594. Net income $235,235 was affected by interest earned on marketable securities held in the Trust Account of $409,539, a non-cash charge for the fair value of warrant liabilities of $48,090, an unrealized gain on marketable securities held in our Trust Account of $19,142 and deferred income taxes of $4,020. Changes in operating assets and liabilities provided $113,742 of cash from operating activities.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intend to use substantially all of the funds held in the trust account, to acquire a target business and to pay our expenses relating thereto, including fees payable to EarlyBirdCapital and Morgan Stanley, upon consummation of our initial business combination for assisting us in connection with our initial business combination. To the extent that our capital stock is used in whole or in part as consideration to effect a business combination, the remaining funds held in the trust account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2020, we had cash of $135,961. As of September 30, 2020, we had cash of $255,886. As of June 30, 2020, we had cash of $144,474. As of March 31, 2020, we had cash of $195,979. As of December 31, 2019, we had cash of $140,303. As of September 30, 2019, we had cash of</w:t>
      </w:r>
    </w:p>
    <w:p>
      <w:pPr>
        <w:jc w:val="both"/>
        <w:spacing w:after="0" w:line="295" w:lineRule="auto"/>
        <w:rPr>
          <w:sz w:val="20"/>
          <w:szCs w:val="20"/>
          <w:color w:val="auto"/>
        </w:rPr>
      </w:pPr>
      <w:r>
        <w:rPr>
          <w:rFonts w:ascii="Arial" w:cs="Arial" w:eastAsia="Arial" w:hAnsi="Arial"/>
          <w:sz w:val="16"/>
          <w:szCs w:val="16"/>
          <w:color w:val="auto"/>
        </w:rPr>
        <w:t>$440,786. As of June 30, 2019, we had cash of $1,027,377. As of March 31, 2019, we had cash of $809,141 We intend to use the funds held outside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20, 2020, the Sponsor committed to provide us an aggregate of $500,000 in loans. The loans shall be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us would be forgiven.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21, 2020, we issued an unsecured promissory note to the Sponsor in the aggregate amount of $300,000 (the “Sponsor Note”), of which $200,000 was drawn upon on such date. The Sponsor Note is non-interest bearing and payable upon the consummation of a business combination. The Sponsor Note is convertible, at the lender’s option, into units of the post-business combination entity at a price of $10.00 per unit. The units would be identical to the Private Units. If a business combination is not consummated, the Sponsor Notes will not be repaid by us and all amounts owed thereunder by us will be forgiven except to the extent that we have funds available to us outside of our Trust Account. As of December 31, 2020, there was $200,000 outstanding under the Sponsor Note.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the Sponsor or our officers and directors or their affiliates may, but are not obligated to, loan us funds on a non-interest basis as may be required, except as described above. If we complete our initial business combination, we will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notes may be convertible into private units, at a price of $10.00 per unit. The units would be identical to the private units.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described above, our Sponsor committed to loan us a total of $1.5 million (inclusive of amounts currently outstanding) in aggregate principal amount prior to the consummation of the proposed business combination with Microvast. We will need to raise additional capital through loans or additional investments from our Sponsor, stockholders, officers, directors, or third parties. Other than the $1.5 million loan (inclusive of amounts currently outstanding) committed to us by our Sponsor, our Sponsor, officers, directors, or their affiliates may, but are not obligated to, loan us funds, from time to time or at any time, in whatever amount they deem reasonable in their sole discretion, to meet our working capital needs. Accordingly, we may not be able to obtain additional financing. If we are unable to raise such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 These conditions raise substantial doubt about our ability to continue as a going concern through April 30, 2021 (or July 31, 2021, if our stockholders approve an amendment to our charter), the date that we will be required to cease all operations, except for the purpose of winding up, if a business combination is not consummated. The financial statements included in this Form 10-K do not include any adjustments relating to the recovery of the recorded assets or the classification of the liabilities that might be necessary should we be unable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support. We began incurring these fees on March 5, 2019 and will continue to incur these fees monthly until the earlier of the completion of the business combination and our liquidation.</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engaged EarlyBirdCapital to act as an advisor in connection with a business combination, to assist us in holding meetings with our shareholders to discuss the potential business combination and the target business’ attributes, introduce us to potential investors that are interested in purchasing our securities in connection with a business combination, assist us in obtaining shareholder approval for the business combination and assist us with our press releases and public filings in connection with the business combination. We will pay EarlyBirdCapital a cash fee for such services upon the consummation of a business combination in an amount equal to $9,660,000 (exclusive of any applicable finders’ fees which might become payable); provided that up to 30% of the fee may be allocated at our sole discretion to other FINRA members that assist us in identifying and consummating a business combination.</w:t>
      </w:r>
    </w:p>
    <w:p>
      <w:pPr>
        <w:spacing w:after="0" w:line="19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engaged Morgan Stanley to provide financial advisory services in connection with the Microvast business combination, and, upon consummation of the transaction with Microvast, we must pay that firm a transaction fee of $5.5 million, plus expenses. Morgan Stanley also acted as placement agent in connection with the PIPE Financing, and we are obligated to pay Morgan Stanley a placement fee equal to (i) 3.5% of the sum of (x) the aggregate gross proceeds raised in the PIPE Financing up to $300 million (not including funds from the sale of certain excluded securities) and (y) any borrowings pursuant to a bridge financing provided in connection with the proposed business combination by investors introduced by Morgan Stanley, and</w:t>
      </w:r>
    </w:p>
    <w:p>
      <w:pPr>
        <w:spacing w:after="0" w:line="2" w:lineRule="exact"/>
        <w:rPr>
          <w:sz w:val="20"/>
          <w:szCs w:val="20"/>
          <w:color w:val="auto"/>
        </w:rPr>
      </w:pPr>
    </w:p>
    <w:p>
      <w:pPr>
        <w:ind w:left="5540" w:right="4680" w:hanging="5532"/>
        <w:spacing w:after="0" w:line="820" w:lineRule="auto"/>
        <w:tabs>
          <w:tab w:leader="none" w:pos="279" w:val="left"/>
        </w:tabs>
        <w:numPr>
          <w:ilvl w:val="0"/>
          <w:numId w:val="13"/>
        </w:numPr>
        <w:rPr>
          <w:rFonts w:ascii="Arial" w:cs="Arial" w:eastAsia="Arial" w:hAnsi="Arial"/>
          <w:sz w:val="17"/>
          <w:szCs w:val="17"/>
          <w:color w:val="auto"/>
        </w:rPr>
      </w:pPr>
      <w:r>
        <w:rPr>
          <w:rFonts w:ascii="Arial" w:cs="Arial" w:eastAsia="Arial" w:hAnsi="Arial"/>
          <w:sz w:val="17"/>
          <w:szCs w:val="17"/>
          <w:color w:val="auto"/>
        </w:rPr>
        <w:t>2.5% of the aggregate gross proceeds raised in the PIPE Financing above $300 million.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We account for warrants in accordance with the guidance contained in ASC 815-40-15-7D under which the warrants do not meet the criteria for equity treatment and must be recorded as liabilities. As the Private Warrants meet the definition of a derivative as contemplated in ASC 815,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 of operations. The Private Warrants for periods where no observable traded price was available are valued using a binomial lattice model. For periods subsequent to the detachment of the Private Warrants from the Units, the Public Warrant quoted market price was used as the fair value as of each relevant date (see Note 12).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statement of operations includes a presentation of income per share for common shares subject to possible redemption in a manner similar to the two-class method of loss per share. Net income per common share, basic and diluted, for Common stock subject to possible redemption is calculated by dividing the proportionate share of income on marketable securities held by the Trust Account, net of applicable franchise and income taxes, by the weighted average number of Common stock subject to possible redemption outstanding since original issuance.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per share, basic and diluted, for non-redeemable common stock is calculated by dividing the net income, adjusted for income on marketable securities attributable to Common stock subject to possible redemption, by the weighted average number of non-redeemable common stock outstanding for the period.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on marketable securities based on non-redeemable common stock shares’ proportionate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Amendment and is included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(our “Certifying Officers”) carried out an evaluation of the effectiveness of the design and operation of our disclosure controls and procedures as of December 31, 2020. On March 25, 2021, we filed our Original 10-K. Based upon their evaluation at that time, our Certifying Officers had concluded that our disclosure controls and procedures (as defined in Rules 13a-15(e) and 15d-15(e) under the Exchange Act) were effective. Subsequently, and in connection with this Amendment, our Certifying Officers re-evaluated the effectiveness of our disclosure controls and procedures as of December 31, 2020, pursuant to Rule 13a-15(b) under the Exchange Act. Based upon that evaluation and in light of the SEC Statement, our Certifying Officers concluded that, solely due to the Company’s restatement of its financial statements to reclassify the Company’s Private Warrants as described in the Explanatory Note to this Amendment, our disclosure controls and procedures were not effective as of December 31, 2020.</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December 31, 2020.</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restatement of our financial statements included in this Amendment, our management, including our principal executive and financial officers, have evaluated the effectiveness of our internal control over financial reporting and concluded that we did not maintain effective internal control over financial reporting as of December 31, 2020 because of a material weakness in our internal control over financial reporting described below related to the accounting for a significant and unusual transaction related to the Private Warrants. Notwithstanding the material weakness described below, our management has concluded that our restated and revised audited financial statements included in this Amendment are fairly stated in all material respects in accordance with U.S. GAAP for each of the periods presented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firstLine="648"/>
        <w:spacing w:after="0" w:line="301" w:lineRule="auto"/>
        <w:rPr>
          <w:sz w:val="20"/>
          <w:szCs w:val="20"/>
          <w:color w:val="auto"/>
        </w:rPr>
      </w:pPr>
      <w:r>
        <w:rPr>
          <w:rFonts w:ascii="Arial" w:cs="Arial" w:eastAsia="Arial" w:hAnsi="Arial"/>
          <w:sz w:val="16"/>
          <w:szCs w:val="16"/>
          <w:color w:val="auto"/>
        </w:rPr>
        <w:t>In connection with the restatement described in “Note 2— Restatement of Previously Issued Financial Statements” to the accompanying financial statements included in this Amendment, management identified a material weakness in our internal control over financial reporting related to the accounting for a significant and unusual transaction related to the Private Warrants. This material weakness resulted in a material misstatement of our warrant liability, change in fair value of warrant liability, additional paid-in capital and retained earnings as of and for the years ended December 31, 2020.</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does not include an attestation report of internal controls from our independent registered public accounting firm due to our status as an emerging growth company under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28, 2021, we revised our prior position on accounting for warrants and concluded that our previously issued financial statements as of and for the years ended December 31, 2020 and 2019, as of and for the periods ended March 31, 2019, June 30, 2019, September 30, 2019, March 31, 2020, June 30, 2020 and September 30, 2020, and as of March 7, 2019 should not be relied on because of a misapplication in the guidance on warrant accounting.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financial statements included in this Amendment,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4540" w:type="dxa"/>
            <w:vAlign w:val="bottom"/>
            <w:tcBorders>
              <w:top w:val="single" w:sz="8" w:color="auto"/>
            </w:tcBorders>
            <w:gridSpan w:val="8"/>
            <w:shd w:val="clear" w:color="auto" w:fill="CCEEFF"/>
          </w:tcPr>
          <w:p>
            <w:pPr>
              <w:spacing w:after="0" w:line="176"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Report of Independent Registered Public Accounting Firm</w:t>
              </w:r>
            </w:hyperlink>
          </w:p>
        </w:tc>
        <w:tc>
          <w:tcPr>
            <w:tcW w:w="54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320" w:type="dxa"/>
            <w:vAlign w:val="bottom"/>
            <w:tcBorders>
              <w:top w:val="single" w:sz="8" w:color="CCEEFF"/>
            </w:tcBorders>
            <w:gridSpan w:val="2"/>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75"/>
        </w:trPr>
        <w:tc>
          <w:tcPr>
            <w:tcW w:w="260" w:type="dxa"/>
            <w:vAlign w:val="bottom"/>
            <w:shd w:val="clear" w:color="auto" w:fill="CCEEFF"/>
          </w:tcPr>
          <w:p>
            <w:pPr>
              <w:spacing w:after="0"/>
              <w:rPr>
                <w:sz w:val="15"/>
                <w:szCs w:val="15"/>
                <w:color w:val="auto"/>
              </w:rPr>
            </w:pPr>
          </w:p>
        </w:tc>
        <w:tc>
          <w:tcPr>
            <w:tcW w:w="4280" w:type="dxa"/>
            <w:vAlign w:val="bottom"/>
            <w:gridSpan w:val="7"/>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Balance Sheets (Restated)</w:t>
              </w:r>
            </w:hyperlink>
          </w:p>
        </w:tc>
        <w:tc>
          <w:tcPr>
            <w:tcW w:w="54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8"/>
              </w:rPr>
              <w:t>F-3</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280" w:type="dxa"/>
            <w:vAlign w:val="bottom"/>
            <w:gridSpan w:val="7"/>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Statements of Operations (Restated)</w:t>
              </w:r>
            </w:hyperlink>
          </w:p>
        </w:tc>
        <w:tc>
          <w:tcPr>
            <w:tcW w:w="5480" w:type="dxa"/>
            <w:vAlign w:val="bottom"/>
          </w:tcPr>
          <w:p>
            <w:pPr>
              <w:spacing w:after="0"/>
              <w:rPr>
                <w:sz w:val="15"/>
                <w:szCs w:val="15"/>
                <w:color w:val="auto"/>
              </w:rPr>
            </w:pPr>
          </w:p>
        </w:tc>
        <w:tc>
          <w:tcPr>
            <w:tcW w:w="12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26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Statements of Changes in Stockholders’ Equity (Restated)</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8"/>
              </w:rPr>
              <w:t>F-5</w:t>
            </w:r>
          </w:p>
        </w:tc>
      </w:tr>
      <w:tr>
        <w:trPr>
          <w:trHeight w:val="175"/>
        </w:trPr>
        <w:tc>
          <w:tcPr>
            <w:tcW w:w="260" w:type="dxa"/>
            <w:vAlign w:val="bottom"/>
          </w:tcPr>
          <w:p>
            <w:pPr>
              <w:spacing w:after="0"/>
              <w:rPr>
                <w:sz w:val="15"/>
                <w:szCs w:val="15"/>
                <w:color w:val="auto"/>
              </w:rPr>
            </w:pPr>
          </w:p>
        </w:tc>
        <w:tc>
          <w:tcPr>
            <w:tcW w:w="4280" w:type="dxa"/>
            <w:vAlign w:val="bottom"/>
            <w:gridSpan w:val="7"/>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Statements of Cash Flows (Restated)</w:t>
              </w:r>
            </w:hyperlink>
          </w:p>
        </w:tc>
        <w:tc>
          <w:tcPr>
            <w:tcW w:w="5480" w:type="dxa"/>
            <w:vAlign w:val="bottom"/>
          </w:tcPr>
          <w:p>
            <w:pPr>
              <w:spacing w:after="0"/>
              <w:rPr>
                <w:sz w:val="15"/>
                <w:szCs w:val="15"/>
                <w:color w:val="auto"/>
              </w:rPr>
            </w:pPr>
          </w:p>
        </w:tc>
        <w:tc>
          <w:tcPr>
            <w:tcW w:w="12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8"/>
              </w:rPr>
              <w:t>F-6</w:t>
            </w:r>
          </w:p>
        </w:tc>
      </w:tr>
      <w:tr>
        <w:trPr>
          <w:trHeight w:val="20"/>
        </w:trPr>
        <w:tc>
          <w:tcPr>
            <w:tcW w:w="26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260" w:type="dxa"/>
            <w:vAlign w:val="bottom"/>
            <w:shd w:val="clear" w:color="auto" w:fill="CCEEFF"/>
          </w:tcPr>
          <w:p>
            <w:pPr>
              <w:spacing w:after="0"/>
              <w:rPr>
                <w:sz w:val="15"/>
                <w:szCs w:val="15"/>
                <w:color w:val="auto"/>
              </w:rPr>
            </w:pPr>
          </w:p>
        </w:tc>
        <w:tc>
          <w:tcPr>
            <w:tcW w:w="4280" w:type="dxa"/>
            <w:vAlign w:val="bottom"/>
            <w:gridSpan w:val="7"/>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Notes to Financial Statements (Restated)</w:t>
              </w:r>
            </w:hyperlink>
          </w:p>
        </w:tc>
        <w:tc>
          <w:tcPr>
            <w:tcW w:w="54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F-7 to F-25</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(b)  The following Exhibits are filed as part of this Amendment: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20" w:type="dxa"/>
            <w:vAlign w:val="bottom"/>
            <w:gridSpan w:val="25"/>
          </w:tcPr>
          <w:p>
            <w:pPr>
              <w:ind w:left="4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Included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6420" w:type="dxa"/>
            <w:vAlign w:val="bottom"/>
            <w:tcBorders>
              <w:top w:val="single" w:sz="8" w:color="auto"/>
            </w:tcBorders>
            <w:gridSpan w:val="40"/>
            <w:shd w:val="clear" w:color="auto" w:fill="CCEEFF"/>
          </w:tcPr>
          <w:p>
            <w:pPr>
              <w:spacing w:after="0" w:line="176" w:lineRule="exact"/>
              <w:rPr>
                <w:rFonts w:ascii="Arial" w:cs="Arial" w:eastAsia="Arial" w:hAnsi="Arial"/>
                <w:sz w:val="18"/>
                <w:szCs w:val="18"/>
                <w:color w:val="0000EE"/>
                <w:w w:val="98"/>
              </w:rPr>
            </w:pPr>
            <w:hyperlink r:id="rId44">
              <w:r>
                <w:rPr>
                  <w:rFonts w:ascii="Arial" w:cs="Arial" w:eastAsia="Arial" w:hAnsi="Arial"/>
                  <w:sz w:val="18"/>
                  <w:szCs w:val="18"/>
                  <w:color w:val="0000EE"/>
                  <w:w w:val="98"/>
                </w:rPr>
                <w:t>Business Combination Marketing Agreement between Tuscan Holdings Corp. and</w:t>
              </w:r>
            </w:hyperlink>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By Reference</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3"/>
              </w:rPr>
            </w:pPr>
            <w:hyperlink r:id="rId44">
              <w:r>
                <w:rPr>
                  <w:rFonts w:ascii="Arial" w:cs="Arial" w:eastAsia="Arial" w:hAnsi="Arial"/>
                  <w:sz w:val="18"/>
                  <w:szCs w:val="18"/>
                  <w:color w:val="0000EE"/>
                  <w:w w:val="93"/>
                </w:rPr>
                <w:t>EarlyBirdCapital, Inc.</w:t>
              </w:r>
            </w:hyperlink>
          </w:p>
        </w:tc>
        <w:tc>
          <w:tcPr>
            <w:tcW w:w="4320" w:type="dxa"/>
            <w:vAlign w:val="bottom"/>
            <w:tcBorders>
              <w:top w:val="single" w:sz="8" w:color="0000EE"/>
              <w:bottom w:val="single" w:sz="8" w:color="CCEEFF"/>
            </w:tcBorders>
            <w:gridSpan w:val="23"/>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14"/>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Amended and Restated Certificate of Incorporation</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Amendment to the Amended and Restated Certificate of Incorporation</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December 3,</w:t>
            </w:r>
          </w:p>
        </w:tc>
      </w:tr>
      <w:tr>
        <w:trPr>
          <w:trHeight w:val="237"/>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Bylaws</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7"/>
              </w:rPr>
              <w:t>S-1/A</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26,</w:t>
            </w: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Specimen Unit Certificate</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7"/>
              </w:rPr>
              <w:t>S-1/A</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26,</w:t>
            </w:r>
          </w:p>
        </w:tc>
      </w:tr>
      <w:tr>
        <w:trPr>
          <w:trHeight w:val="237"/>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Specimen Common Stock Certificate</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7"/>
              </w:rPr>
              <w:t>S-1/A</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26,</w:t>
            </w: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Specimen Warrant Certificate</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7"/>
              </w:rPr>
              <w:t>S-1/A</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26,</w:t>
            </w:r>
          </w:p>
        </w:tc>
      </w:tr>
      <w:tr>
        <w:trPr>
          <w:trHeight w:val="236"/>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Warrant Agreement between Continental Stock Transfer &amp; Trust Company and Tuscan</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Holdings Corp.</w:t>
              </w:r>
            </w:hyperlink>
          </w:p>
        </w:tc>
        <w:tc>
          <w:tcPr>
            <w:tcW w:w="28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Description of Securities</w:t>
              </w:r>
            </w:hyperlink>
          </w:p>
        </w:tc>
        <w:tc>
          <w:tcPr>
            <w:tcW w:w="4740" w:type="dxa"/>
            <w:vAlign w:val="bottom"/>
            <w:tcBorders>
              <w:bottom w:val="single" w:sz="8" w:color="CCEEFF"/>
            </w:tcBorders>
            <w:gridSpan w:val="35"/>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4"/>
              </w:rPr>
              <w:t>10-K</w:t>
            </w:r>
          </w:p>
        </w:tc>
        <w:tc>
          <w:tcPr>
            <w:tcW w:w="12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March 25, 2021</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w w:val="93"/>
              </w:rPr>
            </w:pPr>
            <w:hyperlink r:id="rId53">
              <w:r>
                <w:rPr>
                  <w:rFonts w:ascii="Arial" w:cs="Arial" w:eastAsia="Arial" w:hAnsi="Arial"/>
                  <w:sz w:val="18"/>
                  <w:szCs w:val="18"/>
                  <w:color w:val="0000EE"/>
                  <w:w w:val="93"/>
                </w:rPr>
                <w:t>Form of Letter Agreement from each of the initial stockholders, officers, and directors of</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7"/>
              </w:rPr>
              <w:t>S-1/A</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26,</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Tuscan Holdings Corp.</w:t>
              </w:r>
            </w:hyperlink>
          </w:p>
        </w:tc>
        <w:tc>
          <w:tcPr>
            <w:tcW w:w="1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w w:val="94"/>
              </w:rPr>
            </w:pPr>
            <w:hyperlink r:id="rId54">
              <w:r>
                <w:rPr>
                  <w:rFonts w:ascii="Arial" w:cs="Arial" w:eastAsia="Arial" w:hAnsi="Arial"/>
                  <w:sz w:val="18"/>
                  <w:szCs w:val="18"/>
                  <w:color w:val="0000EE"/>
                  <w:w w:val="94"/>
                </w:rPr>
                <w:t>Investment Management Trust Agreement between Continental Stock Transfer &amp; Trust</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Company and Tuscan Holdings Corp.</w:t>
              </w:r>
            </w:hyperlink>
          </w:p>
        </w:tc>
        <w:tc>
          <w:tcPr>
            <w:tcW w:w="3560" w:type="dxa"/>
            <w:vAlign w:val="bottom"/>
            <w:tcBorders>
              <w:top w:val="single" w:sz="8" w:color="0000EE"/>
              <w:bottom w:val="single" w:sz="8" w:color="CCEEFF"/>
            </w:tcBorders>
            <w:gridSpan w:val="20"/>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Registration Rights Agreement.</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620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Subscription Agreement for Private Units between Tuscan Holdings Acquisition LLC</w:t>
              </w:r>
            </w:hyperlink>
          </w:p>
        </w:tc>
        <w:tc>
          <w:tcPr>
            <w:tcW w:w="340" w:type="dxa"/>
            <w:vAlign w:val="bottom"/>
            <w:tcBorders>
              <w:bottom w:val="single" w:sz="8" w:color="CCEEFF"/>
            </w:tcBorders>
            <w:gridSpan w:val="8"/>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7"/>
              </w:rPr>
              <w:t>S-1/A</w:t>
            </w:r>
          </w:p>
        </w:tc>
        <w:tc>
          <w:tcPr>
            <w:tcW w:w="12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26,</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and Tuscan Holdings Corp.</w:t>
              </w:r>
            </w:hyperlink>
          </w:p>
        </w:tc>
        <w:tc>
          <w:tcPr>
            <w:tcW w:w="4560" w:type="dxa"/>
            <w:vAlign w:val="bottom"/>
            <w:tcBorders>
              <w:bottom w:val="single" w:sz="8" w:color="CCEEFF"/>
            </w:tcBorders>
            <w:gridSpan w:val="33"/>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2019</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w w:val="97"/>
              </w:rPr>
            </w:pPr>
            <w:hyperlink r:id="rId57">
              <w:r>
                <w:rPr>
                  <w:rFonts w:ascii="Arial" w:cs="Arial" w:eastAsia="Arial" w:hAnsi="Arial"/>
                  <w:sz w:val="18"/>
                  <w:szCs w:val="18"/>
                  <w:color w:val="0000EE"/>
                  <w:w w:val="97"/>
                </w:rPr>
                <w:t>Subscription Agreement for Private Units between EarlyBirdCapital, Inc. and Tuscan</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7"/>
              </w:rPr>
              <w:t>S-1/A</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26,</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Holdings Corp.</w:t>
              </w:r>
            </w:hyperlink>
          </w:p>
        </w:tc>
        <w:tc>
          <w:tcPr>
            <w:tcW w:w="400" w:type="dxa"/>
            <w:vAlign w:val="bottom"/>
            <w:gridSpan w:val="10"/>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Stock Escrow Agreement.</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5, 2019</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Sponsor Commitment Letter, dated as of April 20, 2020.</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5"/>
              </w:rPr>
              <w:t>April 20, 2020</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Convertible Promissory Note, dated as of April 21, 2020.</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April 20, 2020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Convertible Promissory Note, dated as of February 12, 2021</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1"/>
              </w:rPr>
              <w:t>March 25, 2021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w w:val="96"/>
              </w:rPr>
            </w:pPr>
            <w:hyperlink r:id="rId62">
              <w:r>
                <w:rPr>
                  <w:rFonts w:ascii="Arial" w:cs="Arial" w:eastAsia="Arial" w:hAnsi="Arial"/>
                  <w:sz w:val="18"/>
                  <w:szCs w:val="18"/>
                  <w:color w:val="0000EE"/>
                  <w:w w:val="96"/>
                </w:rPr>
                <w:t>Agreement and Plan of Merger, dated as of February 1, 2021, by and among Tuscan</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5,</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0000EE"/>
            </w:tcBorders>
            <w:gridSpan w:val="30"/>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Holdings Corp., TSCN Merger Sub Inc., and Microvast, Inc.</w:t>
              </w:r>
            </w:hyperlink>
          </w:p>
        </w:tc>
        <w:tc>
          <w:tcPr>
            <w:tcW w:w="500" w:type="dxa"/>
            <w:vAlign w:val="bottom"/>
            <w:tcBorders>
              <w:top w:val="single" w:sz="8" w:color="CCEEFF"/>
            </w:tcBorders>
            <w:gridSpan w:val="11"/>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6200" w:type="dxa"/>
            <w:vAlign w:val="bottom"/>
            <w:tcBorders>
              <w:bottom w:val="single" w:sz="8" w:color="0000EE"/>
            </w:tcBorders>
            <w:gridSpan w:val="33"/>
          </w:tcPr>
          <w:p>
            <w:pPr>
              <w:spacing w:after="0" w:line="17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Framework Agreement, dated as of February 1, 2021, by and among Tuscan Holdings</w:t>
              </w:r>
            </w:hyperlink>
          </w:p>
        </w:tc>
        <w:tc>
          <w:tcPr>
            <w:tcW w:w="340" w:type="dxa"/>
            <w:vAlign w:val="bottom"/>
            <w:gridSpan w:val="8"/>
          </w:tcPr>
          <w:p>
            <w:pPr>
              <w:spacing w:after="0"/>
              <w:rPr>
                <w:sz w:val="15"/>
                <w:szCs w:val="15"/>
                <w:color w:val="auto"/>
              </w:rPr>
            </w:pPr>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5,</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Corp., Microvast, Inc., MVST SPV Inc., Microvast Power System (Huzhou) Co., Ltd.,</w:t>
              </w:r>
            </w:hyperlink>
          </w:p>
        </w:tc>
        <w:tc>
          <w:tcPr>
            <w:tcW w:w="300" w:type="dxa"/>
            <w:vAlign w:val="bottom"/>
            <w:gridSpan w:val="7"/>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40" w:type="dxa"/>
            <w:vAlign w:val="bottom"/>
            <w:gridSpan w:val="41"/>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and the other parties thereto</w:t>
              </w:r>
            </w:hyperlink>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Microvast Stockholder Support Agreement, dated as of February 1, 2021, by and among</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5,</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360" w:type="dxa"/>
            <w:vAlign w:val="bottom"/>
            <w:tcBorders>
              <w:top w:val="single" w:sz="8" w:color="0000EE"/>
            </w:tcBorders>
            <w:gridSpan w:val="37"/>
            <w:shd w:val="clear" w:color="auto" w:fill="CCEEFF"/>
          </w:tcPr>
          <w:p>
            <w:pPr>
              <w:spacing w:after="0" w:line="196"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Tuscan Holdings Corp., Microvast, Inc., and certain stockholders of Microvast, Inc.</w:t>
              </w:r>
            </w:hyperlink>
          </w:p>
        </w:tc>
        <w:tc>
          <w:tcPr>
            <w:tcW w:w="180" w:type="dxa"/>
            <w:vAlign w:val="bottom"/>
            <w:tcBorders>
              <w:top w:val="single" w:sz="8" w:color="CCEEFF"/>
            </w:tcBorders>
            <w:gridSpan w:val="4"/>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Borders>
              <w:top w:val="single" w:sz="8" w:color="CCEEFF"/>
            </w:tcBorders>
          </w:tcPr>
          <w:p>
            <w:pPr>
              <w:spacing w:after="0"/>
              <w:rPr>
                <w:sz w:val="15"/>
                <w:szCs w:val="15"/>
                <w:color w:val="auto"/>
              </w:rPr>
            </w:pPr>
          </w:p>
        </w:tc>
        <w:tc>
          <w:tcPr>
            <w:tcW w:w="6020" w:type="dxa"/>
            <w:vAlign w:val="bottom"/>
            <w:tcBorders>
              <w:top w:val="single" w:sz="8" w:color="0000EE"/>
            </w:tcBorders>
            <w:gridSpan w:val="29"/>
          </w:tcPr>
          <w:p>
            <w:pPr>
              <w:spacing w:after="0" w:line="17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Sponsor Support Agreement, dated as of February 1, 2021, by and among Tuscan</w:t>
              </w:r>
            </w:hyperlink>
          </w:p>
        </w:tc>
        <w:tc>
          <w:tcPr>
            <w:tcW w:w="520" w:type="dxa"/>
            <w:vAlign w:val="bottom"/>
            <w:tcBorders>
              <w:top w:val="single" w:sz="8" w:color="CCEEFF"/>
            </w:tcBorders>
            <w:gridSpan w:val="12"/>
          </w:tcPr>
          <w:p>
            <w:pPr>
              <w:spacing w:after="0"/>
              <w:rPr>
                <w:sz w:val="15"/>
                <w:szCs w:val="15"/>
                <w:color w:val="auto"/>
              </w:rPr>
            </w:pPr>
          </w:p>
        </w:tc>
        <w:tc>
          <w:tcPr>
            <w:tcW w:w="1340" w:type="dxa"/>
            <w:vAlign w:val="bottom"/>
            <w:tcBorders>
              <w:top w:val="single" w:sz="8" w:color="CCEEFF"/>
            </w:tcBorders>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tcBorders>
              <w:top w:val="single" w:sz="8" w:color="CCEEFF"/>
            </w:tcBorders>
            <w:gridSpan w:val="2"/>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February 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Holdings Corp., Microvast, Inc., Tuscan Holdings Acquisition LLC, and certain other</w:t>
              </w:r>
            </w:hyperlink>
          </w:p>
        </w:tc>
        <w:tc>
          <w:tcPr>
            <w:tcW w:w="360" w:type="dxa"/>
            <w:vAlign w:val="bottom"/>
            <w:gridSpan w:val="9"/>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40" w:type="dxa"/>
            <w:vAlign w:val="bottom"/>
            <w:gridSpan w:val="41"/>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stockholders of Tuscan Holdings Corp.</w:t>
              </w:r>
            </w:hyperlink>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Form of Subscription Agreement</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5,</w:t>
            </w:r>
          </w:p>
        </w:tc>
      </w:tr>
      <w:tr>
        <w:trPr>
          <w:trHeight w:val="237"/>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6540" w:type="dxa"/>
            <w:vAlign w:val="bottom"/>
            <w:gridSpan w:val="41"/>
          </w:tcPr>
          <w:p>
            <w:pPr>
              <w:spacing w:after="0" w:line="17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Subscription Agreement, dated as of February 1, 2021, by and between Tuscan Holdings</w:t>
              </w:r>
            </w:hyperlink>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5,</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Corp. and Riheng HK Limited</w:t>
              </w:r>
            </w:hyperlink>
          </w:p>
        </w:tc>
        <w:tc>
          <w:tcPr>
            <w:tcW w:w="16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Subscription Agreement, dated as of February 1, 2021, by and between Tuscan Holdings</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9"/>
              </w:rPr>
              <w:t>8-K</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February 5,</w:t>
            </w: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380" w:type="dxa"/>
            <w:vAlign w:val="bottom"/>
            <w:tcBorders>
              <w:top w:val="single" w:sz="8" w:color="0000EE"/>
            </w:tcBorders>
            <w:gridSpan w:val="38"/>
            <w:shd w:val="clear" w:color="auto" w:fill="CCEEFF"/>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Corp. and Aurora Sheen Limited</w:t>
              </w:r>
            </w:hyperlink>
          </w:p>
        </w:tc>
        <w:tc>
          <w:tcPr>
            <w:tcW w:w="160" w:type="dxa"/>
            <w:vAlign w:val="bottom"/>
            <w:tcBorders>
              <w:top w:val="single" w:sz="8" w:color="CCEEFF"/>
            </w:tcBorders>
            <w:gridSpan w:val="3"/>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tcPr>
          <w:p>
            <w:pPr>
              <w:spacing w:after="0"/>
              <w:rPr>
                <w:sz w:val="15"/>
                <w:szCs w:val="15"/>
                <w:color w:val="auto"/>
              </w:rPr>
            </w:pPr>
          </w:p>
        </w:tc>
        <w:tc>
          <w:tcPr>
            <w:tcW w:w="236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List of Subsidiaries</w:t>
              </w:r>
            </w:hyperlink>
          </w:p>
        </w:tc>
        <w:tc>
          <w:tcPr>
            <w:tcW w:w="4180" w:type="dxa"/>
            <w:vAlign w:val="bottom"/>
            <w:tcBorders>
              <w:top w:val="single" w:sz="8" w:color="CCEEFF"/>
            </w:tcBorders>
            <w:gridSpan w:val="28"/>
          </w:tcPr>
          <w:p>
            <w:pPr>
              <w:spacing w:after="0"/>
              <w:rPr>
                <w:sz w:val="15"/>
                <w:szCs w:val="15"/>
                <w:color w:val="auto"/>
              </w:rPr>
            </w:pPr>
          </w:p>
        </w:tc>
        <w:tc>
          <w:tcPr>
            <w:tcW w:w="1340" w:type="dxa"/>
            <w:vAlign w:val="bottom"/>
            <w:tcBorders>
              <w:top w:val="single" w:sz="8" w:color="CCEEFF"/>
            </w:tcBorders>
            <w:gridSpan w:val="2"/>
          </w:tcPr>
          <w:p>
            <w:pPr>
              <w:jc w:val="center"/>
              <w:ind w:right="120"/>
              <w:spacing w:after="0" w:line="176" w:lineRule="exact"/>
              <w:rPr>
                <w:sz w:val="20"/>
                <w:szCs w:val="20"/>
                <w:color w:val="auto"/>
              </w:rPr>
            </w:pPr>
            <w:r>
              <w:rPr>
                <w:rFonts w:ascii="Arial" w:cs="Arial" w:eastAsia="Arial" w:hAnsi="Arial"/>
                <w:sz w:val="18"/>
                <w:szCs w:val="18"/>
                <w:color w:val="auto"/>
                <w:w w:val="89"/>
              </w:rPr>
              <w:t>By Reference</w:t>
            </w:r>
          </w:p>
        </w:tc>
        <w:tc>
          <w:tcPr>
            <w:tcW w:w="1000" w:type="dxa"/>
            <w:vAlign w:val="bottom"/>
            <w:tcBorders>
              <w:top w:val="single" w:sz="8" w:color="CCEEFF"/>
            </w:tcBorders>
            <w:gridSpan w:val="2"/>
          </w:tcPr>
          <w:p>
            <w:pPr>
              <w:jc w:val="center"/>
              <w:ind w:right="120"/>
              <w:spacing w:after="0" w:line="176" w:lineRule="exact"/>
              <w:rPr>
                <w:sz w:val="20"/>
                <w:szCs w:val="20"/>
                <w:color w:val="auto"/>
              </w:rPr>
            </w:pPr>
            <w:r>
              <w:rPr>
                <w:rFonts w:ascii="Arial" w:cs="Arial" w:eastAsia="Arial" w:hAnsi="Arial"/>
                <w:sz w:val="18"/>
                <w:szCs w:val="18"/>
                <w:color w:val="auto"/>
                <w:w w:val="94"/>
              </w:rPr>
              <w:t>10-K</w:t>
            </w:r>
          </w:p>
        </w:tc>
        <w:tc>
          <w:tcPr>
            <w:tcW w:w="12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March 25, 2021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5"/>
                <w:szCs w:val="15"/>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Certification of Principal Executive Officer and Principal Financial and Accounting</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Herewith</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80" w:type="dxa"/>
            <w:vAlign w:val="bottom"/>
            <w:tcBorders>
              <w:top w:val="single" w:sz="8" w:color="0000EE"/>
              <w:bottom w:val="single" w:sz="8" w:color="0000EE"/>
            </w:tcBorders>
            <w:gridSpan w:val="23"/>
            <w:shd w:val="clear" w:color="auto" w:fill="CCEEFF"/>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Officer pursuant to Section 302 of the Sarbanes-Oxley Act of 2002.</w:t>
              </w:r>
            </w:hyperlink>
          </w:p>
        </w:tc>
        <w:tc>
          <w:tcPr>
            <w:tcW w:w="114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12"/>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5980" w:type="dxa"/>
            <w:vAlign w:val="bottom"/>
            <w:tcBorders>
              <w:bottom w:val="single" w:sz="8" w:color="0000EE"/>
            </w:tcBorders>
            <w:gridSpan w:val="28"/>
          </w:tcPr>
          <w:p>
            <w:pPr>
              <w:spacing w:after="0" w:line="17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 of Principal Financial Officer and Principal Financial and Accounting</w:t>
              </w:r>
            </w:hyperlink>
          </w:p>
        </w:tc>
        <w:tc>
          <w:tcPr>
            <w:tcW w:w="560" w:type="dxa"/>
            <w:vAlign w:val="bottom"/>
            <w:gridSpan w:val="13"/>
          </w:tcPr>
          <w:p>
            <w:pPr>
              <w:spacing w:after="0"/>
              <w:rPr>
                <w:sz w:val="15"/>
                <w:szCs w:val="15"/>
                <w:color w:val="auto"/>
              </w:rPr>
            </w:pPr>
          </w:p>
        </w:tc>
        <w:tc>
          <w:tcPr>
            <w:tcW w:w="13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Herewith</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40" w:type="dxa"/>
            <w:vAlign w:val="bottom"/>
            <w:gridSpan w:val="4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Officer pursuant to Section 302 of the Sarbanes-Oxley Act of 2002.</w:t>
              </w:r>
            </w:hyperlink>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6540" w:type="dxa"/>
            <w:vAlign w:val="bottom"/>
            <w:gridSpan w:val="41"/>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Certification pursuant to Section 906 of the Sarbanes-Oxley Act of 2002.</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Herewith</w:t>
            </w: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r>
      <w:tr>
        <w:trPr>
          <w:trHeight w:val="216"/>
        </w:trPr>
        <w:tc>
          <w:tcPr>
            <w:tcW w:w="1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101.INS</w:t>
            </w:r>
          </w:p>
        </w:tc>
        <w:tc>
          <w:tcPr>
            <w:tcW w:w="526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auto"/>
              </w:rPr>
              <w:t>XBRL Instance Document</w:t>
            </w:r>
          </w:p>
        </w:tc>
        <w:tc>
          <w:tcPr>
            <w:tcW w:w="1280" w:type="dxa"/>
            <w:vAlign w:val="bottom"/>
            <w:tcBorders>
              <w:top w:val="single" w:sz="8" w:color="CCEEFF"/>
            </w:tcBorders>
            <w:gridSpan w:val="16"/>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6540" w:type="dxa"/>
            <w:vAlign w:val="bottom"/>
            <w:gridSpan w:val="41"/>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540" w:type="dxa"/>
            <w:vAlign w:val="bottom"/>
            <w:gridSpan w:val="4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6540" w:type="dxa"/>
            <w:vAlign w:val="bottom"/>
            <w:gridSpan w:val="41"/>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540" w:type="dxa"/>
            <w:vAlign w:val="bottom"/>
            <w:gridSpan w:val="41"/>
          </w:tcPr>
          <w:p>
            <w:pPr>
              <w:spacing w:after="0"/>
              <w:rPr>
                <w:sz w:val="20"/>
                <w:szCs w:val="20"/>
                <w:color w:val="auto"/>
              </w:rPr>
            </w:pPr>
            <w:r>
              <w:rPr>
                <w:rFonts w:ascii="Arial" w:cs="Arial" w:eastAsia="Arial" w:hAnsi="Arial"/>
                <w:sz w:val="18"/>
                <w:szCs w:val="18"/>
                <w:color w:val="auto"/>
              </w:rPr>
              <w:t>XBRL Taxonomy Extension Label Linkbase Document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6540" w:type="dxa"/>
            <w:vAlign w:val="bottom"/>
            <w:gridSpan w:val="41"/>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23"/>
          </w:tcPr>
          <w:p>
            <w:pPr>
              <w:ind w:left="440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Section 13 or 15 or 15(d) of the Securities Exchange Act of 1934, the registrant has duly caused this report to be signed on its behalf by the undersigned, thereunto duly authorized on the 28th day of May, 2021.</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TUSCAN HOLDINGS CORP.</w:t>
      </w:r>
    </w:p>
    <w:p>
      <w:pPr>
        <w:spacing w:after="0" w:line="229"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41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Vogel</w:t>
            </w:r>
          </w:p>
        </w:tc>
        <w:tc>
          <w:tcPr>
            <w:tcW w:w="2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May 28,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Stephen A. Vogel</w:t>
            </w:r>
          </w:p>
        </w:tc>
        <w:tc>
          <w:tcPr>
            <w:tcW w:w="240" w:type="dxa"/>
            <w:vAlign w:val="bottom"/>
          </w:tcPr>
          <w:p>
            <w:pPr>
              <w:spacing w:after="0"/>
              <w:rPr>
                <w:sz w:val="20"/>
                <w:szCs w:val="20"/>
                <w:color w:val="auto"/>
              </w:rPr>
            </w:pPr>
          </w:p>
        </w:tc>
        <w:tc>
          <w:tcPr>
            <w:tcW w:w="436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1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Ruth Epstein</w:t>
            </w:r>
          </w:p>
        </w:tc>
        <w:tc>
          <w:tcPr>
            <w:tcW w:w="2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President, Chief Financial Officer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May 28, 2021</w:t>
            </w:r>
          </w:p>
        </w:tc>
      </w:tr>
      <w:tr>
        <w:trPr>
          <w:trHeight w:val="188"/>
        </w:trPr>
        <w:tc>
          <w:tcPr>
            <w:tcW w:w="4500" w:type="dxa"/>
            <w:vAlign w:val="bottom"/>
          </w:tcPr>
          <w:p>
            <w:pPr>
              <w:ind w:left="60"/>
              <w:spacing w:after="0" w:line="189" w:lineRule="exact"/>
              <w:rPr>
                <w:sz w:val="20"/>
                <w:szCs w:val="20"/>
                <w:color w:val="auto"/>
              </w:rPr>
            </w:pPr>
            <w:r>
              <w:rPr>
                <w:rFonts w:ascii="Arial" w:cs="Arial" w:eastAsia="Arial" w:hAnsi="Arial"/>
                <w:sz w:val="18"/>
                <w:szCs w:val="18"/>
                <w:color w:val="auto"/>
              </w:rPr>
              <w:t>Ruth Epstein</w:t>
            </w:r>
          </w:p>
        </w:tc>
        <w:tc>
          <w:tcPr>
            <w:tcW w:w="240" w:type="dxa"/>
            <w:vAlign w:val="bottom"/>
          </w:tcPr>
          <w:p>
            <w:pPr>
              <w:spacing w:after="0"/>
              <w:rPr>
                <w:sz w:val="16"/>
                <w:szCs w:val="16"/>
                <w:color w:val="auto"/>
              </w:rPr>
            </w:pPr>
          </w:p>
        </w:tc>
        <w:tc>
          <w:tcPr>
            <w:tcW w:w="4360" w:type="dxa"/>
            <w:vAlign w:val="bottom"/>
            <w:gridSpan w:val="2"/>
          </w:tcPr>
          <w:p>
            <w:pPr>
              <w:spacing w:after="0" w:line="189" w:lineRule="exact"/>
              <w:rPr>
                <w:sz w:val="20"/>
                <w:szCs w:val="20"/>
                <w:color w:val="auto"/>
              </w:rPr>
            </w:pPr>
            <w:r>
              <w:rPr>
                <w:rFonts w:ascii="Arial" w:cs="Arial" w:eastAsia="Arial" w:hAnsi="Arial"/>
                <w:sz w:val="18"/>
                <w:szCs w:val="18"/>
                <w:color w:val="auto"/>
              </w:rPr>
              <w:t>(Principal Financial and Accounting Officer) and</w:t>
            </w:r>
          </w:p>
        </w:tc>
        <w:tc>
          <w:tcPr>
            <w:tcW w:w="2140" w:type="dxa"/>
            <w:vAlign w:val="bottom"/>
          </w:tcPr>
          <w:p>
            <w:pPr>
              <w:spacing w:after="0"/>
              <w:rPr>
                <w:sz w:val="16"/>
                <w:szCs w:val="16"/>
                <w:color w:val="auto"/>
              </w:rPr>
            </w:pPr>
          </w:p>
        </w:tc>
      </w:tr>
      <w:tr>
        <w:trPr>
          <w:trHeight w:val="230"/>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Butte</w:t>
            </w:r>
          </w:p>
        </w:tc>
        <w:tc>
          <w:tcPr>
            <w:tcW w:w="2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May 28,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Amy Butte</w:t>
            </w:r>
          </w:p>
        </w:tc>
        <w:tc>
          <w:tcPr>
            <w:tcW w:w="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O. Rieger</w:t>
            </w:r>
          </w:p>
        </w:tc>
        <w:tc>
          <w:tcPr>
            <w:tcW w:w="2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May 28,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Richard O. Rieger</w:t>
            </w:r>
          </w:p>
        </w:tc>
        <w:tc>
          <w:tcPr>
            <w:tcW w:w="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M. Selig</w:t>
            </w:r>
          </w:p>
        </w:tc>
        <w:tc>
          <w:tcPr>
            <w:tcW w:w="2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May 28,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Stefan M. Selig</w:t>
            </w:r>
          </w:p>
        </w:tc>
        <w:tc>
          <w:tcPr>
            <w:tcW w:w="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309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8"/>
              </w:rPr>
              <w:t>TUSCAN HOLDINGS CORP.</w:t>
            </w:r>
          </w:p>
        </w:tc>
        <w:tc>
          <w:tcPr>
            <w:tcW w:w="250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3"/>
          </w:tcPr>
          <w:p>
            <w:pPr>
              <w:jc w:val="center"/>
              <w:ind w:right="570"/>
              <w:spacing w:after="0"/>
              <w:rPr>
                <w:sz w:val="20"/>
                <w:szCs w:val="20"/>
                <w:color w:val="auto"/>
              </w:rPr>
            </w:pPr>
            <w:r>
              <w:rPr>
                <w:rFonts w:ascii="Arial" w:cs="Arial" w:eastAsia="Arial" w:hAnsi="Arial"/>
                <w:sz w:val="18"/>
                <w:szCs w:val="18"/>
                <w:b w:val="1"/>
                <w:bCs w:val="1"/>
                <w:color w:val="auto"/>
              </w:rPr>
              <w:t>INDEX TO FINANCIAL STATEMENTS</w:t>
            </w:r>
          </w:p>
        </w:tc>
        <w:tc>
          <w:tcPr>
            <w:tcW w:w="25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96"/>
        </w:trPr>
        <w:tc>
          <w:tcPr>
            <w:tcW w:w="8740" w:type="dxa"/>
            <w:vAlign w:val="bottom"/>
            <w:gridSpan w:val="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2500" w:type="dxa"/>
            <w:vAlign w:val="bottom"/>
            <w:shd w:val="clear" w:color="auto" w:fill="CCEEFF"/>
          </w:tcPr>
          <w:p>
            <w:pPr>
              <w:jc w:val="center"/>
              <w:ind w:left="1270"/>
              <w:spacing w:after="0" w:line="176" w:lineRule="exact"/>
              <w:rPr>
                <w:sz w:val="20"/>
                <w:szCs w:val="20"/>
                <w:color w:val="auto"/>
              </w:rPr>
            </w:pPr>
            <w:r>
              <w:rPr>
                <w:rFonts w:ascii="Arial" w:cs="Arial" w:eastAsia="Arial" w:hAnsi="Arial"/>
                <w:sz w:val="18"/>
                <w:szCs w:val="18"/>
                <w:color w:val="auto"/>
                <w:w w:val="96"/>
              </w:rPr>
              <w:t>F-2</w:t>
            </w:r>
          </w:p>
        </w:tc>
      </w:tr>
      <w:tr>
        <w:trPr>
          <w:trHeight w:val="216"/>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4520" w:type="dxa"/>
            <w:vAlign w:val="bottom"/>
            <w:tcBorders>
              <w:top w:val="single" w:sz="8" w:color="CCEEFF"/>
            </w:tcBorders>
            <w:gridSpan w:val="2"/>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76"/>
        </w:trPr>
        <w:tc>
          <w:tcPr>
            <w:tcW w:w="220" w:type="dxa"/>
            <w:vAlign w:val="bottom"/>
            <w:shd w:val="clear" w:color="auto" w:fill="CCEEFF"/>
          </w:tcPr>
          <w:p>
            <w:pPr>
              <w:spacing w:after="0"/>
              <w:rPr>
                <w:sz w:val="15"/>
                <w:szCs w:val="15"/>
                <w:color w:val="auto"/>
              </w:rPr>
            </w:pPr>
          </w:p>
        </w:tc>
        <w:tc>
          <w:tcPr>
            <w:tcW w:w="8520" w:type="dxa"/>
            <w:vAlign w:val="bottom"/>
            <w:gridSpan w:val="7"/>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Balance Sheets (Restated)</w:t>
              </w:r>
            </w:hyperlink>
          </w:p>
        </w:tc>
        <w:tc>
          <w:tcPr>
            <w:tcW w:w="2500" w:type="dxa"/>
            <w:vAlign w:val="bottom"/>
            <w:shd w:val="clear" w:color="auto" w:fill="CCEEFF"/>
          </w:tcPr>
          <w:p>
            <w:pPr>
              <w:jc w:val="center"/>
              <w:ind w:left="1270"/>
              <w:spacing w:after="0" w:line="176" w:lineRule="exact"/>
              <w:rPr>
                <w:sz w:val="20"/>
                <w:szCs w:val="20"/>
                <w:color w:val="auto"/>
              </w:rPr>
            </w:pPr>
            <w:r>
              <w:rPr>
                <w:rFonts w:ascii="Arial" w:cs="Arial" w:eastAsia="Arial" w:hAnsi="Arial"/>
                <w:sz w:val="18"/>
                <w:szCs w:val="18"/>
                <w:color w:val="auto"/>
                <w:w w:val="96"/>
              </w:rPr>
              <w:t>F-3</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8520" w:type="dxa"/>
            <w:vAlign w:val="bottom"/>
            <w:gridSpan w:val="7"/>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Statements of Operations (Restated)</w:t>
              </w:r>
            </w:hyperlink>
          </w:p>
        </w:tc>
        <w:tc>
          <w:tcPr>
            <w:tcW w:w="2500" w:type="dxa"/>
            <w:vAlign w:val="bottom"/>
          </w:tcPr>
          <w:p>
            <w:pPr>
              <w:jc w:val="center"/>
              <w:ind w:left="1270"/>
              <w:spacing w:after="0" w:line="176" w:lineRule="exact"/>
              <w:rPr>
                <w:sz w:val="20"/>
                <w:szCs w:val="20"/>
                <w:color w:val="auto"/>
              </w:rPr>
            </w:pPr>
            <w:r>
              <w:rPr>
                <w:rFonts w:ascii="Arial" w:cs="Arial" w:eastAsia="Arial" w:hAnsi="Arial"/>
                <w:sz w:val="18"/>
                <w:szCs w:val="18"/>
                <w:color w:val="auto"/>
                <w:w w:val="96"/>
              </w:rPr>
              <w:t>F-4</w:t>
            </w:r>
          </w:p>
        </w:tc>
      </w:tr>
      <w:tr>
        <w:trPr>
          <w:trHeight w:val="21"/>
        </w:trPr>
        <w:tc>
          <w:tcPr>
            <w:tcW w:w="22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8520" w:type="dxa"/>
            <w:vAlign w:val="bottom"/>
            <w:gridSpan w:val="7"/>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Statements of Changes in Stockholders’ Equity (Restated)</w:t>
              </w:r>
            </w:hyperlink>
          </w:p>
        </w:tc>
        <w:tc>
          <w:tcPr>
            <w:tcW w:w="2500" w:type="dxa"/>
            <w:vAlign w:val="bottom"/>
            <w:shd w:val="clear" w:color="auto" w:fill="CCEEFF"/>
          </w:tcPr>
          <w:p>
            <w:pPr>
              <w:jc w:val="center"/>
              <w:ind w:left="1270"/>
              <w:spacing w:after="0" w:line="176" w:lineRule="exact"/>
              <w:rPr>
                <w:sz w:val="20"/>
                <w:szCs w:val="20"/>
                <w:color w:val="auto"/>
              </w:rPr>
            </w:pPr>
            <w:r>
              <w:rPr>
                <w:rFonts w:ascii="Arial" w:cs="Arial" w:eastAsia="Arial" w:hAnsi="Arial"/>
                <w:sz w:val="18"/>
                <w:szCs w:val="18"/>
                <w:color w:val="auto"/>
                <w:w w:val="96"/>
              </w:rPr>
              <w:t>F-5</w:t>
            </w:r>
          </w:p>
        </w:tc>
      </w:tr>
      <w:tr>
        <w:trPr>
          <w:trHeight w:val="175"/>
        </w:trPr>
        <w:tc>
          <w:tcPr>
            <w:tcW w:w="220" w:type="dxa"/>
            <w:vAlign w:val="bottom"/>
            <w:tcBorders>
              <w:top w:val="single" w:sz="8" w:color="CCEEFF"/>
            </w:tcBorders>
          </w:tcPr>
          <w:p>
            <w:pPr>
              <w:spacing w:after="0"/>
              <w:rPr>
                <w:sz w:val="15"/>
                <w:szCs w:val="15"/>
                <w:color w:val="auto"/>
              </w:rPr>
            </w:pPr>
          </w:p>
        </w:tc>
        <w:tc>
          <w:tcPr>
            <w:tcW w:w="41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Statements of Cash Flows (Restated)</w:t>
              </w:r>
            </w:hyperlink>
          </w:p>
        </w:tc>
        <w:tc>
          <w:tcPr>
            <w:tcW w:w="4340" w:type="dxa"/>
            <w:vAlign w:val="bottom"/>
            <w:tcBorders>
              <w:top w:val="single" w:sz="8" w:color="CCEEFF"/>
            </w:tcBorders>
          </w:tcPr>
          <w:p>
            <w:pPr>
              <w:spacing w:after="0"/>
              <w:rPr>
                <w:sz w:val="15"/>
                <w:szCs w:val="15"/>
                <w:color w:val="auto"/>
              </w:rPr>
            </w:pPr>
          </w:p>
        </w:tc>
        <w:tc>
          <w:tcPr>
            <w:tcW w:w="2500" w:type="dxa"/>
            <w:vAlign w:val="bottom"/>
            <w:tcBorders>
              <w:top w:val="single" w:sz="8" w:color="CCEEFF"/>
            </w:tcBorders>
          </w:tcPr>
          <w:p>
            <w:pPr>
              <w:jc w:val="center"/>
              <w:ind w:left="1270"/>
              <w:spacing w:after="0" w:line="176" w:lineRule="exact"/>
              <w:rPr>
                <w:sz w:val="20"/>
                <w:szCs w:val="20"/>
                <w:color w:val="auto"/>
              </w:rPr>
            </w:pPr>
            <w:r>
              <w:rPr>
                <w:rFonts w:ascii="Arial" w:cs="Arial" w:eastAsia="Arial" w:hAnsi="Arial"/>
                <w:sz w:val="18"/>
                <w:szCs w:val="18"/>
                <w:color w:val="auto"/>
                <w:w w:val="96"/>
              </w:rPr>
              <w:t>F-6</w:t>
            </w:r>
          </w:p>
        </w:tc>
      </w:tr>
      <w:tr>
        <w:trPr>
          <w:trHeight w:val="21"/>
        </w:trPr>
        <w:tc>
          <w:tcPr>
            <w:tcW w:w="22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8520" w:type="dxa"/>
            <w:vAlign w:val="bottom"/>
            <w:gridSpan w:val="7"/>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Notes to Financial Statements (Restated)</w:t>
              </w:r>
            </w:hyperlink>
          </w:p>
        </w:tc>
        <w:tc>
          <w:tcPr>
            <w:tcW w:w="2500" w:type="dxa"/>
            <w:vAlign w:val="bottom"/>
            <w:shd w:val="clear" w:color="auto" w:fill="CCEEFF"/>
          </w:tcPr>
          <w:p>
            <w:pPr>
              <w:jc w:val="center"/>
              <w:ind w:left="1270"/>
              <w:spacing w:after="0" w:line="176" w:lineRule="exact"/>
              <w:rPr>
                <w:sz w:val="20"/>
                <w:szCs w:val="20"/>
                <w:color w:val="auto"/>
              </w:rPr>
            </w:pPr>
            <w:r>
              <w:rPr>
                <w:rFonts w:ascii="Arial" w:cs="Arial" w:eastAsia="Arial" w:hAnsi="Arial"/>
                <w:sz w:val="18"/>
                <w:szCs w:val="18"/>
                <w:color w:val="auto"/>
                <w:w w:val="92"/>
              </w:rPr>
              <w:t>F-7 to F-25</w:t>
            </w:r>
          </w:p>
        </w:tc>
      </w:tr>
      <w:tr>
        <w:trPr>
          <w:trHeight w:val="655"/>
        </w:trPr>
        <w:tc>
          <w:tcPr>
            <w:tcW w:w="2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340" w:type="dxa"/>
            <w:vAlign w:val="bottom"/>
            <w:tcBorders>
              <w:top w:val="single" w:sz="8" w:color="CCEEFF"/>
              <w:bottom w:val="single" w:sz="8" w:color="auto"/>
            </w:tcBorders>
          </w:tcPr>
          <w:p>
            <w:pPr>
              <w:jc w:val="center"/>
              <w:ind w:right="1810"/>
              <w:spacing w:after="0"/>
              <w:rPr>
                <w:sz w:val="20"/>
                <w:szCs w:val="20"/>
                <w:color w:val="auto"/>
              </w:rPr>
            </w:pPr>
            <w:r>
              <w:rPr>
                <w:rFonts w:ascii="Arial" w:cs="Arial" w:eastAsia="Arial" w:hAnsi="Arial"/>
                <w:sz w:val="18"/>
                <w:szCs w:val="18"/>
                <w:color w:val="auto"/>
                <w:w w:val="88"/>
              </w:rPr>
              <w:t>F-1</w:t>
            </w:r>
          </w:p>
        </w:tc>
        <w:tc>
          <w:tcPr>
            <w:tcW w:w="2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4" w:name="page35"/>
    <w:bookmarkEnd w:id="3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Tuscan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audited the accompanying balance sheets of Tuscan Holdings Corp. (the “Company”) as of December 31, 2020 and 2019, the related statements of operations, changes in stockholders’ equity and cash flows for each of the years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years ended December 31, 2020,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Company’s cash and working capital as of December 31, 2020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As discussed in Note 2, the accompanying financial statements as of December 31, 2020 and 2019, the related statements of operations, changes in stockholders' equity and cash flows for each of the years ended December 31, 2020, have been restated to correct an error.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right="1800"/>
        <w:spacing w:after="0" w:line="260" w:lineRule="auto"/>
        <w:rPr>
          <w:sz w:val="20"/>
          <w:szCs w:val="20"/>
          <w:color w:val="auto"/>
        </w:rPr>
      </w:pPr>
      <w:r>
        <w:rPr>
          <w:rFonts w:ascii="Arial" w:cs="Arial" w:eastAsia="Arial" w:hAnsi="Arial"/>
          <w:sz w:val="18"/>
          <w:szCs w:val="18"/>
          <w:color w:val="auto"/>
        </w:rPr>
        <w:t>March 24, 2021, except for the effects of the restatement disclosed in Note 2, and the subsequent events discussed in Note 12 as to which the date is May 28, 2021</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 (As Restated)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r>
      <w:tr>
        <w:trPr>
          <w:trHeight w:val="202"/>
        </w:trPr>
        <w:tc>
          <w:tcPr>
            <w:tcW w:w="806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135,961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140,303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69,818</w:t>
            </w:r>
          </w:p>
        </w:tc>
      </w:tr>
      <w:tr>
        <w:trPr>
          <w:trHeight w:val="24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186,247</w:t>
            </w:r>
          </w:p>
        </w:tc>
      </w:tr>
      <w:tr>
        <w:trPr>
          <w:trHeight w:val="203"/>
        </w:trPr>
        <w:tc>
          <w:tcPr>
            <w:tcW w:w="8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158,460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396,368</w:t>
            </w:r>
          </w:p>
        </w:tc>
        <w:tc>
          <w:tcPr>
            <w:tcW w:w="100" w:type="dxa"/>
            <w:vAlign w:val="bottom"/>
            <w:tcBorders>
              <w:top w:val="single" w:sz="8" w:color="CCEEFF"/>
            </w:tcBorders>
          </w:tcPr>
          <w:p>
            <w:pPr>
              <w:spacing w:after="0"/>
              <w:rPr>
                <w:sz w:val="17"/>
                <w:szCs w:val="17"/>
                <w:color w:val="auto"/>
              </w:rPr>
            </w:pPr>
          </w:p>
        </w:tc>
      </w:tr>
      <w:tr>
        <w:trPr>
          <w:trHeight w:val="216"/>
        </w:trPr>
        <w:tc>
          <w:tcPr>
            <w:tcW w:w="8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282,254,978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280,103,245</w:t>
            </w:r>
          </w:p>
        </w:tc>
        <w:tc>
          <w:tcPr>
            <w:tcW w:w="100" w:type="dxa"/>
            <w:vAlign w:val="bottom"/>
            <w:tcBorders>
              <w:bottom w:val="single" w:sz="8" w:color="CCEEFF"/>
            </w:tcBorders>
          </w:tcPr>
          <w:p>
            <w:pPr>
              <w:spacing w:after="0"/>
              <w:rPr>
                <w:sz w:val="20"/>
                <w:szCs w:val="20"/>
                <w:color w:val="auto"/>
              </w:rPr>
            </w:pPr>
          </w:p>
        </w:tc>
      </w:tr>
      <w:tr>
        <w:trPr>
          <w:trHeight w:val="25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282,413,438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280,499,613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320,978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269,055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302,547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Advances from related party</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645,704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269,055</w:t>
            </w:r>
          </w:p>
        </w:tc>
        <w:tc>
          <w:tcPr>
            <w:tcW w:w="100" w:type="dxa"/>
            <w:vAlign w:val="bottom"/>
            <w:tcBorders>
              <w:top w:val="single" w:sz="8" w:color="CCEEFF"/>
            </w:tcBorders>
          </w:tcPr>
          <w:p>
            <w:pPr>
              <w:spacing w:after="0"/>
              <w:rPr>
                <w:sz w:val="17"/>
                <w:szCs w:val="17"/>
                <w:color w:val="auto"/>
              </w:rPr>
            </w:pPr>
          </w:p>
        </w:tc>
      </w:tr>
      <w:tr>
        <w:trPr>
          <w:trHeight w:val="216"/>
        </w:trPr>
        <w:tc>
          <w:tcPr>
            <w:tcW w:w="8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Convertible promissory note – related party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4,204,440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405,330</w:t>
            </w:r>
          </w:p>
        </w:tc>
      </w:tr>
      <w:tr>
        <w:trPr>
          <w:trHeight w:val="237"/>
        </w:trPr>
        <w:tc>
          <w:tcPr>
            <w:tcW w:w="80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21,468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27,069</w:t>
            </w:r>
          </w:p>
        </w:tc>
      </w:tr>
      <w:tr>
        <w:trPr>
          <w:trHeight w:val="223"/>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5,071,612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subject to possible redemption 26,675,733 and 27,086,524 at December 31, 2020 and 2019,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272,341,820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274,798,150</w:t>
            </w:r>
          </w:p>
        </w:tc>
      </w:t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$0.0001 par value; 65,000,000 shares authorized; 8,808,069 and 8,400,476 shares issued and</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outstanding (excluding 26,675,733 and 27,086,524 shares subject to possible redemption) at December 31,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and 2019, respectively</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4,028,907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1,605,302</w:t>
            </w:r>
          </w:p>
        </w:tc>
      </w:tr>
      <w:tr>
        <w:trPr>
          <w:trHeight w:val="25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970,218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3,393,867</w:t>
            </w:r>
          </w:p>
        </w:tc>
      </w:tr>
      <w:tr>
        <w:trPr>
          <w:trHeight w:val="210"/>
        </w:trPr>
        <w:tc>
          <w:tcPr>
            <w:tcW w:w="8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5,000,006</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282,413,438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280,499,613</w:t>
            </w:r>
          </w:p>
        </w:tc>
      </w:tr>
      <w:tr>
        <w:trPr>
          <w:trHeight w:val="21"/>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(As Restated)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7"/>
              </w:rPr>
              <w:t>Year Ended December 31,</w:t>
            </w:r>
          </w:p>
        </w:tc>
        <w:tc>
          <w:tcPr>
            <w:tcW w:w="0" w:type="dxa"/>
            <w:vAlign w:val="bottom"/>
          </w:tcPr>
          <w:p>
            <w:pPr>
              <w:spacing w:after="0"/>
              <w:rPr>
                <w:sz w:val="1"/>
                <w:szCs w:val="1"/>
                <w:color w:val="auto"/>
              </w:rPr>
            </w:pPr>
          </w:p>
        </w:tc>
      </w:tr>
      <w:tr>
        <w:trPr>
          <w:trHeight w:val="236"/>
        </w:trPr>
        <w:tc>
          <w:tcPr>
            <w:tcW w:w="7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921,665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778,815</w:t>
            </w: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4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(921,665)</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(778,815)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2,654,140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4,912,346</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(3,799,110)</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5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 held in Trust Account</w:t>
            </w: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9,750</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128,899</w:t>
            </w: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Other income (expense)</w:t>
            </w:r>
          </w:p>
        </w:tc>
        <w:tc>
          <w:tcPr>
            <w:tcW w:w="4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(1,135,220)</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5,068,725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(2,056,885)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4,289,910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(366,764)</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(895,251)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(2,423,649)</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3,394,659</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0" w:type="dxa"/>
            <w:vAlign w:val="bottom"/>
          </w:tcPr>
          <w:p>
            <w:pPr>
              <w:spacing w:after="0"/>
              <w:rPr>
                <w:sz w:val="20"/>
                <w:szCs w:val="20"/>
                <w:color w:val="auto"/>
              </w:rPr>
            </w:pPr>
            <w:r>
              <w:rPr>
                <w:rFonts w:ascii="Arial" w:cs="Arial" w:eastAsia="Arial" w:hAnsi="Arial"/>
                <w:sz w:val="18"/>
                <w:szCs w:val="18"/>
                <w:color w:val="auto"/>
                <w:w w:val="94"/>
              </w:rPr>
              <w:t>Basic and diluted weighted average shares outstanding, Common stock subject to possible redemption</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27,069,514</w:t>
            </w: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27,072,466</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0" w:type="dxa"/>
            <w:vAlign w:val="bottom"/>
          </w:tcPr>
          <w:p>
            <w:pPr>
              <w:spacing w:after="0"/>
              <w:rPr>
                <w:sz w:val="20"/>
                <w:szCs w:val="20"/>
                <w:color w:val="auto"/>
              </w:rPr>
            </w:pPr>
            <w:r>
              <w:rPr>
                <w:rFonts w:ascii="Arial" w:cs="Arial" w:eastAsia="Arial" w:hAnsi="Arial"/>
                <w:sz w:val="18"/>
                <w:szCs w:val="18"/>
                <w:color w:val="auto"/>
              </w:rPr>
              <w:t>Basic weighted average shares outstanding, Common stock</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8,417,241</w:t>
            </w: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7,969,549</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0" w:type="dxa"/>
            <w:vAlign w:val="bottom"/>
          </w:tcPr>
          <w:p>
            <w:pPr>
              <w:spacing w:after="0"/>
              <w:rPr>
                <w:sz w:val="20"/>
                <w:szCs w:val="20"/>
                <w:color w:val="auto"/>
              </w:rPr>
            </w:pPr>
            <w:r>
              <w:rPr>
                <w:rFonts w:ascii="Arial" w:cs="Arial" w:eastAsia="Arial" w:hAnsi="Arial"/>
                <w:sz w:val="18"/>
                <w:szCs w:val="18"/>
                <w:b w:val="1"/>
                <w:bCs w:val="1"/>
                <w:color w:val="auto"/>
              </w:rPr>
              <w:t>Basic net loss per common share, Common stock</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(0.53)</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0" w:type="dxa"/>
            <w:vAlign w:val="bottom"/>
          </w:tcPr>
          <w:p>
            <w:pPr>
              <w:spacing w:after="0"/>
              <w:rPr>
                <w:sz w:val="20"/>
                <w:szCs w:val="20"/>
                <w:color w:val="auto"/>
              </w:rPr>
            </w:pPr>
            <w:r>
              <w:rPr>
                <w:rFonts w:ascii="Arial" w:cs="Arial" w:eastAsia="Arial" w:hAnsi="Arial"/>
                <w:sz w:val="18"/>
                <w:szCs w:val="18"/>
                <w:b w:val="1"/>
                <w:bCs w:val="1"/>
                <w:color w:val="auto"/>
              </w:rPr>
              <w:t>Diluted weighted average shares outstanding, Common Stock</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8,417,241</w:t>
            </w: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7,969,549</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800" w:type="dxa"/>
            <w:vAlign w:val="bottom"/>
          </w:tcPr>
          <w:p>
            <w:pPr>
              <w:spacing w:after="0"/>
              <w:rPr>
                <w:sz w:val="20"/>
                <w:szCs w:val="20"/>
                <w:color w:val="auto"/>
              </w:rPr>
            </w:pPr>
            <w:r>
              <w:rPr>
                <w:rFonts w:ascii="Arial" w:cs="Arial" w:eastAsia="Arial" w:hAnsi="Arial"/>
                <w:sz w:val="18"/>
                <w:szCs w:val="18"/>
                <w:b w:val="1"/>
                <w:bCs w:val="1"/>
                <w:color w:val="auto"/>
              </w:rPr>
              <w:t>Diluted net loss per common share, Common stock</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(0.53)</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(As Restated)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Earnings/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Deficit)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Sale of 27,600,000 Units, net of underwriting discount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269,938,142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269,940,902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 of 687,000 Private Units, net of warrant liability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6,437,122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6,437,190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(27,086,524)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(274,795,442)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(274,798,150)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3,394,659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3,394,659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8,400,476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1,605,302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3,394,659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407,593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2,423,605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2,423,646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(2,423,649)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(2,423,649)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8,808,069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4,028,907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970,218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(As Restated)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w w:val="97"/>
              </w:rPr>
              <w:t>Year Ended December 31,</w:t>
            </w:r>
          </w:p>
        </w:tc>
        <w:tc>
          <w:tcPr>
            <w:tcW w:w="0" w:type="dxa"/>
            <w:vAlign w:val="bottom"/>
          </w:tcPr>
          <w:p>
            <w:pPr>
              <w:spacing w:after="0"/>
              <w:rPr>
                <w:sz w:val="1"/>
                <w:szCs w:val="1"/>
                <w:color w:val="auto"/>
              </w:rPr>
            </w:pPr>
          </w:p>
        </w:tc>
      </w:tr>
      <w:tr>
        <w:trPr>
          <w:trHeight w:val="236"/>
        </w:trPr>
        <w:tc>
          <w:tcPr>
            <w:tcW w:w="6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(2,423,649)</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3,799,110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(2,654,140)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(4,912,346)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 held in Trust Account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(128,899)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(5,601)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163,748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(186,222)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69,818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(69,818)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51,923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268,605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302,547</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(705,994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(1,634,432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(276,000,000)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withdrawn from Trust Account for redemptions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32,684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income taxes</w:t>
            </w:r>
          </w:p>
        </w:tc>
        <w:tc>
          <w:tcPr>
            <w:tcW w:w="1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479,473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3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512,157</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(275,062,000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270,480,000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Proceeds from sale of Private Units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Advances from related party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86,748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Repayment of advances from related party</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(2,833)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(86,748)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convertible promissory note – related party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(90,342)</w:t>
            </w:r>
          </w:p>
        </w:tc>
        <w:tc>
          <w:tcPr>
            <w:tcW w:w="0" w:type="dxa"/>
            <w:vAlign w:val="bottom"/>
          </w:tcPr>
          <w:p>
            <w:pPr>
              <w:spacing w:after="0"/>
              <w:rPr>
                <w:sz w:val="1"/>
                <w:szCs w:val="1"/>
                <w:color w:val="auto"/>
              </w:rPr>
            </w:pPr>
          </w:p>
        </w:tc>
      </w:tr>
      <w:tr>
        <w:trPr>
          <w:trHeight w:val="236"/>
        </w:trPr>
        <w:tc>
          <w:tcPr>
            <w:tcW w:w="68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(32,684)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(455,423)</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189,495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276,819,235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(4,342)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Beginning of period</w:t>
            </w:r>
          </w:p>
        </w:tc>
        <w:tc>
          <w:tcPr>
            <w:tcW w:w="13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140,303</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135,961</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140,303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8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938,000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3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271,403,050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(2,456,330)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3,395,100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Tuscan Holdings Corp. (the “Company”) was incorporated in Delaware on November 5, 2018. The Company was formed for the purpose of entering into a merger, share exchange, asset acquisition, stock purchase, recapitalization, reorganization or similar business combination with one or more businesses or entities (the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is not limited to a particular industry or sector for purposes of consummating a Business Combination, the Company is focusing its search on companies in the cannabis industry.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one subsidiary, TSCN Merger Sub Inc., a wholly-owned subsidiary of the Company incorporated in Delaware on January 21, 2021 (“Merger Sub”) (see Note 12).</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activity through December 31, 2020 relates to the Company’s formation, the initial public offering (“Initial Public Offering”), which is described below, identifying a target company for a Business Combination, activities in connection with the proposed acquisition of Microvast, Inc., a Delaware corporation (“Microvast”) (see Note 12).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March 5, 2019. On March 7, 2019, the Company consummated the Initial Public Offering of 24,000,000 units (the “Units” and, with respect to the shares of common stock included in the Units sold, the “Public Shares”) at $10.00 per Unit, generating gross proceeds of $240,000,000, which is described in Note 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615,000 units (the “Private Units”) at a price of $10.00 per Private Unit in a private placement to Tuscan Holdings Acquisition LLC (the “Sponsor”) and EarlyBirdCapital, Inc. (“EarlyBirdCapital”) and its designee, generating gross proceeds of $6,150,000, which is described in Note 5.</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closing of the Initial Public Offering on March 7, 2019, an amount of $240,000,000 ($10.00 per Unit) from the net proceeds of the sale of the Units in the Initial Public Offering and the sale of the Private Units was placed in a trust account (“Trust Account”) which are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of 1940, as amended (the “Investment Company Act”), as determined by the Company, until the earlier of: (i) the completion of a Business Combination or (ii) the distribution of the Trust Account, as described below.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12, 2019, the underwriters exercised their over-allotment option in full, resulting in the sale of an additional 3,600,000 Units for $36,000,000, less the underwriters’ discount of $720,000. In connection with the underwriters’ exercise of their over-allotment option, the Company also consummated the sale of an additional 72,000 Private Units at $10.00 per Private Unit, generating total gross proceeds of $720,000. A total of $36,000,000 was deposited into the Trust Account from the sale of the additional Units pursuant to the over-allotment option and the additional sale of Private Units, bringing the aggregate proceeds held in the Trust Account to $276,000,000.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$6,059,098, consisting of $5,520,000 of underwriting fees and $539,098 of other offering costs.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Units, although substantially all of the net proceeds are intended to be applied generally toward consummating a Business Combination. The Company’s Business Combination must be with one or more target businesses that together have a fair market value of at least 80% of the assets held in the Trust Account (excluding taxes payable on income earned on the Trust Account) at the time of the agreement to enter into a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such consummation of a Business Combination and, solely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EarlyBirdCapital have agreed to vote their Founder Shares (as defined in Note 6), Private Shares (as defined in Note 5) and any Public Shares purchased after the Initial Public Offering in favor of approving a Business Combination and not to convert any shares in connection with a stockholder vote to approve a Business Combination or sell any shares to the Company in a tender offer in connection with a Business Combination. Additionally, each public stockholder may elect to redeem their Public Shares irrespective of whether they vote for or against the proposed transaction or do not vote at all.</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and EarlyBirdCapital have agreed (a) to waive their rights to liquidating distributions from the Trust Account with respect to the Founder Shares and Private Shares if the Company fails to consummate a Business Combination and (b) not to propose an amendment to the Amended and Restated Certificate of Incorporation that would affect a public stockholders’ ability to convert or sell their shares to the Company in connection with a Business Combination or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had until December 7, 2020 to complete a Business Combination (the “Combination Period”). On December 3, 2020, the Company held a special meeting pursuant to which the Company’s stockholders approved extending the Combination Period from December 7, 2020 to April 30, 2021 (the “Extension Date”). In connection with the approval of the extension, stockholders elected to redeem an aggregate of 3,198 shares of the Company’s common stock. As a result, an aggregate of approximately $32,700 (or approximately $10.22 per share) was released from the Company’s Trust Account to pay such stockholders. Additionally, on May 10, 2021, at a reconvened annual meeting of stockholders initially convened on April 28, 2021, the Company received stockholder approval to further extend the date by which the Company is required to complete a business combination from April 30, 2021 to July 31, 2021. In connection with such extension, holders of an aggregate of 13,290 Public Shares exercised their right to redeem their shares for cash.</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franchise and income taxes,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an agreement with the Company waiving any right, title, interest or claim of any kind they may have in or to any monies held in the Trust Account and except as to any claims under the Company’s indemnity of the underwriters of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Sponsor will have to indemnify the Trust Account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principally financed its operations from inception using proceeds from the sale of its equity securities to its stockholders prior to the Initial Public Offering and such amount of proceeds from the Initial Public Offering that were placed in an account outside of the Trust Account for working capital purposes. As of December 31, 2020, the Company had $135,961 held outside of the Trust Account. As of April 20, 2020, the Sponsor committed to provide an aggregate of $500,000 in loans to the Company. The loans shall be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the Company would be forgiven. On April 21, 2020, the Sponsor loaned the Company an aggregate of $200,000 (see Note 6).</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need to raise further additional capital through loans or additional investments from its Sponsor, stockholders, officers, directors, or third parties. In addition to the loan commitment described herein (see Note 12),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31, 2021 (which was extended from April 30, 2021 by vote of the Company’s stockholders), the current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previously accounted for its outstanding Private Warrants as components of equity instead of as derivative liabilities. The warrant agreement governing the Private Warrants includes a provision that provides for potential changes to the settlement amounts dependent upon the characteristics of the holder of the Private Warrant.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advises, among other things, that certain adjustments generally present in SPAC warrants preclude such warrants from being accounted for as equity, which terms are similar to those contained in the warrant agreement (the “Warrant Agreement”).</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further consideration of the SEC Statement, the Company’s management further evaluated the Private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Warrants are not indexed to the Company’s common stock in the manner contemplated by ASC Section 815-40-15 because the holder of the instrument is not an input into the pricing of a fixed-for-fixed option on equity shares.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the Company should have classified the Private Warrants as derivative liabilities in its previously issued financial statements. Under this accounting treatment, the Company is required to measure the fair value of the Private Warrants at the end of each reporting period as well as re-evaluate the treatment of the Private Warrants and recognize changes in the fair value from the prior period in the Company’s operating results for the current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accounting for the Private Warrants as components of equity instead of as derivative liabilities did not have any effect on the Company’s previously reported investments held in trust, operating expenses, or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effects of the restatement on the financial statements for all periods being restated.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Previously</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w:t>
            </w:r>
          </w:p>
        </w:tc>
      </w:tr>
      <w:tr>
        <w:trPr>
          <w:trHeight w:val="241"/>
        </w:trPr>
        <w:tc>
          <w:tcPr>
            <w:tcW w:w="4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Restated</w:t>
            </w:r>
          </w:p>
        </w:tc>
      </w:tr>
      <w:tr>
        <w:trPr>
          <w:trHeight w:val="432"/>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as of March 7, 2019 (audited)</w:t>
            </w:r>
          </w:p>
        </w:tc>
        <w:tc>
          <w:tcPr>
            <w:tcW w:w="2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387,450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388,250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235,835,860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(387,450)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235,448,410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5,000,419</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5,000,415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w:t>
            </w:r>
          </w:p>
        </w:tc>
      </w:tr>
      <w:tr>
        <w:trPr>
          <w:trHeight w:val="216"/>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23,583,586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23,544,841</w:t>
            </w:r>
          </w:p>
        </w:tc>
      </w:tr>
      <w:tr>
        <w:trPr>
          <w:trHeight w:val="216"/>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March 31, 2019 (unaudited)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Liabilities</w:t>
            </w:r>
          </w:p>
        </w:tc>
        <w:tc>
          <w:tcPr>
            <w:tcW w:w="2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141,266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480,900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622,166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272,119,628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271,638,728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Common Stock</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4,716,644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4,764,729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Retained Earnings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282,533</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(48,090)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234,443</w:t>
            </w:r>
          </w:p>
        </w:tc>
      </w:tr>
      <w:tr>
        <w:trPr>
          <w:trHeight w:val="216"/>
        </w:trPr>
        <w:tc>
          <w:tcPr>
            <w:tcW w:w="47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27,181,690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(48,037)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27,133,653</w:t>
            </w:r>
          </w:p>
        </w:tc>
      </w:tr>
      <w:tr>
        <w:trPr>
          <w:trHeight w:val="216"/>
        </w:trPr>
        <w:tc>
          <w:tcPr>
            <w:tcW w:w="47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as of June 30, 2019 (unaudited)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575,711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1,111,571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273,384,442</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(535,860)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272,848,582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3,451,833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103,045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3,554,878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1,547,342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1,444,292</w:t>
            </w:r>
          </w:p>
        </w:tc>
      </w:tr>
      <w:tr>
        <w:trPr>
          <w:trHeight w:val="216"/>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27,212,685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27,159,346</w:t>
            </w:r>
          </w:p>
        </w:tc>
      </w:tr>
      <w:tr>
        <w:trPr>
          <w:trHeight w:val="216"/>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30, 2019 (unaudited)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Liabilities</w:t>
            </w:r>
          </w:p>
        </w:tc>
        <w:tc>
          <w:tcPr>
            <w:tcW w:w="2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305,931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522,120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828,051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274,281,031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(522,120)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273,758,911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Common Stock</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2,555,238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2,644,543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Retained Earnings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2,443,936</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(89,310)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2,354,626</w:t>
            </w:r>
          </w:p>
        </w:tc>
      </w:tr>
      <w:tr>
        <w:trPr>
          <w:trHeight w:val="216"/>
        </w:trPr>
        <w:tc>
          <w:tcPr>
            <w:tcW w:w="47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27,157,275</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(51,696)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27,105,579</w:t>
            </w:r>
          </w:p>
        </w:tc>
      </w:tr>
      <w:tr>
        <w:trPr>
          <w:trHeight w:val="216"/>
        </w:trPr>
        <w:tc>
          <w:tcPr>
            <w:tcW w:w="47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2019 (audited)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296,124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701,454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275,203,480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(405,330)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274,798,150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1,632,786</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(27,484)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1,605,302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3,366,387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3,393,867</w:t>
            </w:r>
          </w:p>
        </w:tc>
      </w:tr>
      <w:tr>
        <w:trPr>
          <w:trHeight w:val="216"/>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27,126,477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27,086,524</w:t>
            </w:r>
          </w:p>
        </w:tc>
      </w:tr>
      <w:tr>
        <w:trPr>
          <w:trHeight w:val="216"/>
        </w:trPr>
        <w:tc>
          <w:tcPr>
            <w:tcW w:w="4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March 31, 2020 (unaudited)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Liabilities</w:t>
            </w:r>
          </w:p>
        </w:tc>
        <w:tc>
          <w:tcPr>
            <w:tcW w:w="2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845,553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267,930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1,113,483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276,969,542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(267,930)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276,701,612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Common Stock</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(164,882)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(164,882)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Retained Earnings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4,999,162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164,880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5,164,042</w:t>
            </w:r>
          </w:p>
        </w:tc>
      </w:tr>
      <w:tr>
        <w:trPr>
          <w:trHeight w:val="216"/>
        </w:trPr>
        <w:tc>
          <w:tcPr>
            <w:tcW w:w="47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27,082,526</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(26,199)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27,056,327</w:t>
            </w:r>
          </w:p>
        </w:tc>
      </w:tr>
      <w:tr>
        <w:trPr>
          <w:trHeight w:val="641"/>
        </w:trPr>
        <w:tc>
          <w:tcPr>
            <w:tcW w:w="47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660"/>
              <w:spacing w:after="0"/>
              <w:rPr>
                <w:sz w:val="20"/>
                <w:szCs w:val="20"/>
                <w:color w:val="auto"/>
              </w:rPr>
            </w:pPr>
            <w:r>
              <w:rPr>
                <w:rFonts w:ascii="Arial" w:cs="Arial" w:eastAsia="Arial" w:hAnsi="Arial"/>
                <w:sz w:val="18"/>
                <w:szCs w:val="18"/>
                <w:color w:val="auto"/>
              </w:rPr>
              <w:t>F-10</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622"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Balance sheet as of June 30, 2020 (unaudited)</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761,591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401,895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1,163,486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w w:val="95"/>
              </w:rPr>
              <w:t>276,806,346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(401,895)</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276,404,451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29,917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(30,919)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4,969,245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30,915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5,000,160</w:t>
            </w:r>
          </w:p>
        </w:tc>
      </w:tr>
      <w:tr>
        <w:trPr>
          <w:trHeight w:val="216"/>
        </w:trPr>
        <w:tc>
          <w:tcPr>
            <w:tcW w:w="6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27,099,153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27,059,808</w:t>
            </w:r>
          </w:p>
        </w:tc>
      </w:tr>
      <w:tr>
        <w:trPr>
          <w:trHeight w:val="216"/>
        </w:trPr>
        <w:tc>
          <w:tcPr>
            <w:tcW w:w="6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Total Liabilities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826,108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348,653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1,174,761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276,705,058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(348,653)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276,356,405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Common Stock</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131,206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47,046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4,867,958</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84,157</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4,952,115</w:t>
            </w:r>
          </w:p>
        </w:tc>
      </w:tr>
      <w:tr>
        <w:trPr>
          <w:trHeight w:val="216"/>
        </w:trPr>
        <w:tc>
          <w:tcPr>
            <w:tcW w:w="6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27,110,573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(34,160)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27,076,413</w:t>
            </w:r>
          </w:p>
        </w:tc>
      </w:tr>
      <w:tr>
        <w:trPr>
          <w:trHeight w:val="216"/>
        </w:trPr>
        <w:tc>
          <w:tcPr>
            <w:tcW w:w="6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867,172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4,204,440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5,071,612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w w:val="95"/>
              </w:rPr>
              <w:t>276,546,264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(4,204,440)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272,341,820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257,314</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3,771,589</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4,028,903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4,741,848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(3,771,630)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970,218</w:t>
            </w:r>
          </w:p>
        </w:tc>
      </w:tr>
      <w:tr>
        <w:trPr>
          <w:trHeight w:val="216"/>
        </w:trPr>
        <w:tc>
          <w:tcPr>
            <w:tcW w:w="6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27,087,556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(411,823)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26,675,733</w:t>
            </w:r>
          </w:p>
        </w:tc>
      </w:tr>
      <w:tr>
        <w:trPr>
          <w:trHeight w:val="216"/>
        </w:trPr>
        <w:tc>
          <w:tcPr>
            <w:tcW w:w="6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Three months ended March 31, 2019 (unaudited)</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283,325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235,235</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27,181,690</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27,181,690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6,780,244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6,780,244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16"/>
        </w:trPr>
        <w:tc>
          <w:tcPr>
            <w:tcW w:w="6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June 30, 2019 (unaudited)</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1,264,809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1,209,849</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5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27,212,685</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27,212,685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8,305,310</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8,305,310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16"/>
        </w:trPr>
        <w:tc>
          <w:tcPr>
            <w:tcW w:w="6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Six months ended June 30, 2019 (unaudited)</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1,548,134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(103,050)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1,445,084</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27,212,685</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27,157,275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7,546,990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727,325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8,274,315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5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16"/>
        </w:trPr>
        <w:tc>
          <w:tcPr>
            <w:tcW w:w="6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w w:val="95"/>
              </w:rPr>
              <w:t>Statement of Operations for the Three months ended September 30, 2019 (unaudited)</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896,594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910,334</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5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27,157,275</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27,157,275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8,274,315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(482,219)</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7,792,096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655"/>
        </w:trPr>
        <w:tc>
          <w:tcPr>
            <w:tcW w:w="694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F-11</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w w:val="96"/>
              </w:rPr>
              <w:t>Statement of Operations for the Nine months ended September 30, 2019 (unaudited)</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2,444,728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2,355,418</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27,157,275</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27,157,275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7,792,096</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7,792,096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16"/>
        </w:trPr>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Year ended December 31, 2019 (audited)</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3,367,179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27,480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3,394,659</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27,126,477</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27,126,477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7,927,608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7,927,608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16"/>
        </w:trPr>
        <w:tc>
          <w:tcPr>
            <w:tcW w:w="6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March 31, 2020 (unaudited)</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1,766,055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137,400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1,903,455</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27,082,526</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3,998</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27,086,524</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8,360,523</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39,953</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8,400,476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Three months ended June 30, 2020 (unaudited)</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(163,197)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(133,965)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(297,162)</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27,099,153</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(42,856)</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27,056,327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8,404,474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26,199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8,430,673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6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Statement of Operations for the Six months ended June 30, 2020 (unaudited)</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1,602,858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1,606,293</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27,099,153</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(27,727)</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27,071,426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8,382,499</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33,076</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8,415,575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Statement of Operations for the Three months ended September 30, 2020 (unaudited)</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(101,287)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53,242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(48,045)</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27,110,573</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27,059,808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8,387,847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39,345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8,427,192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6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w w:val="96"/>
              </w:rPr>
              <w:t>Statement of Operations for the Nine months ended September 30, 2020 (unaudited)</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1,501,571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56,677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1,558,248</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27,110,573</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(43,048)</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27,067,525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8,384,294</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35,181</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8,419,475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Year ended December 31, 2020 (audited)</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1,375,461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(3,799,110)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(2,423,649)</w:t>
            </w:r>
          </w:p>
        </w:tc>
      </w:tr>
      <w:tr>
        <w:trPr>
          <w:trHeight w:val="202"/>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weighted average shares outstanding, Common stock subject to possible</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27,104,439</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(34,925)</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27,069,514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6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Common stock</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8,382,317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34,924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8,417,241</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Basic and diluted net income per share, Common stock</w:t>
            </w:r>
          </w:p>
        </w:tc>
        <w:tc>
          <w:tcPr>
            <w:tcW w:w="6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641"/>
        </w:trPr>
        <w:tc>
          <w:tcPr>
            <w:tcW w:w="694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F-12</w:t>
            </w: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447"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w w:val="98"/>
              </w:rPr>
              <w:t>Cash Flow Statement for the Period from March 7, 2019 (inception) to March 31, 2019</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714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283,325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235,235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48,090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48,090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warrant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432,810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432,810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w w:val="95"/>
              </w:rPr>
              <w:t>271,835,860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(432,810)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271,403,050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283,768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235,678</w:t>
            </w:r>
          </w:p>
        </w:tc>
      </w:tr>
      <w:tr>
        <w:trPr>
          <w:trHeight w:val="216"/>
        </w:trPr>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8"/>
        </w:trPr>
        <w:tc>
          <w:tcPr>
            <w:tcW w:w="7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Cash Flow Statement for the Period from March 7, 2019 (inception) to June 30, 2019</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1,548,134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(103,050)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1,445,084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103,050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103,050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432,810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432,810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271,835,860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271,403,050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1,548,582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(105,050)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1,445,532</w:t>
            </w:r>
          </w:p>
        </w:tc>
      </w:tr>
      <w:tr>
        <w:trPr>
          <w:trHeight w:val="216"/>
        </w:trPr>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8"/>
        </w:trPr>
        <w:tc>
          <w:tcPr>
            <w:tcW w:w="714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Cash Flow Statement for the Period from March 7, 2019 (inception) to September 30, 2019</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714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2,444,728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2,355,418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89,310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89,310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warrant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432,810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432,810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w w:val="95"/>
              </w:rPr>
              <w:t>271,835,860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(432,810)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271,403,050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2,445,171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2,355,861</w:t>
            </w:r>
          </w:p>
        </w:tc>
      </w:tr>
      <w:tr>
        <w:trPr>
          <w:trHeight w:val="216"/>
        </w:trPr>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8"/>
        </w:trPr>
        <w:tc>
          <w:tcPr>
            <w:tcW w:w="7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Cash Flow Statement for the Period from March 7, 2019 (inception) to December 31, 2019</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(audited)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3,367,179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27,480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3,394,659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Initial classification of warrant liability</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432,810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432,810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271,835,860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271,403,050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3,367,620</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27,480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3,395,100</w:t>
            </w:r>
          </w:p>
        </w:tc>
      </w:tr>
      <w:tr>
        <w:trPr>
          <w:trHeight w:val="216"/>
        </w:trPr>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 Statement Three months ended March 31, 2020 (unaudited)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1,766,055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137,400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1,903,455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137,400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137,400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1,766,062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137,400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1,903,462</w:t>
            </w:r>
          </w:p>
        </w:tc>
      </w:tr>
      <w:tr>
        <w:trPr>
          <w:trHeight w:val="216"/>
        </w:trPr>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Statement Six months ended June 30, 2020 (unaudited)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1,602,858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1,606,293</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1,602,866</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3,435</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1,606,301</w:t>
            </w:r>
          </w:p>
        </w:tc>
      </w:tr>
      <w:tr>
        <w:trPr>
          <w:trHeight w:val="216"/>
        </w:trPr>
        <w:tc>
          <w:tcPr>
            <w:tcW w:w="7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 Statement Nine months ended September 30, 2020 (unaudited)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1,501,571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56,667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1,558,248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56,667</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56,667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1,501,578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56,667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1,558,245</w:t>
            </w:r>
          </w:p>
        </w:tc>
      </w:tr>
      <w:tr>
        <w:trPr>
          <w:trHeight w:val="216"/>
        </w:trPr>
        <w:tc>
          <w:tcPr>
            <w:tcW w:w="7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Statement Year Ended December 31, 2020 (unaudited)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1,375,461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(3,799,110)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(2,423,649)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(3,799,110)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(3,799,110)</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1,342,784</w:t>
            </w:r>
          </w:p>
        </w:tc>
        <w:tc>
          <w:tcPr>
            <w:tcW w:w="3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3,799,114</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(2,456,330)</w:t>
            </w:r>
          </w:p>
        </w:tc>
      </w:tr>
      <w:tr>
        <w:trPr>
          <w:trHeight w:val="641"/>
        </w:trPr>
        <w:tc>
          <w:tcPr>
            <w:tcW w:w="714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 Held in Trust Account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and 2019, the assets held in the Trust Account were substantially held in U.S. Treasury Bills. During the year ended December 31, 2020 and 2019, the Company withdrew $479,473 and $938,000 of interest income from the Trust Account, respectively, to pay its franchise and income tax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warrants in accordance with the guidance contained in ASC 815-40-15-7D under which the warrants do not meet the criteria for equity treatment and must be recorded as liabilities. As the Private Warrants meet the definition of a derivative as contemplated in ASC 815,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 of operations. The Private Warrants for periods where no observable traded price was available were valued using a binomial lattice model. For periods subsequent to the detachment of the Private Warrants from the Units, the Public Warrant quoted market price was used as the fair value as of each relevant date (see Note 12).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CARES Act was enacted in response to COVID-19 pandemic. Under ASC 740, the effects of changes in tax rates and laws are recognized in the period which the new legislation is enacted. The CARES Act made various tax law changes including among other things (i) increasing the limitation under Section 163(j) of the Internal Revenue Code of 1986, as amended (the “IRC”) for 2019 and 2020 to permit additional expensing of interest (ii) enacting a technical correction so that qualified improvement property can be immediately expensed under IRC Section 168(k), (iii) making modifications to the federal net operating loss rules including permitting federal net operating losses incurred in 2018, 2019, and 2020 to be carried back to the five preceding taxable years in order to generate a refund of previously paid income taxes and (iv) enhancing the recoverability of alternative minimum tax credits.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per share is computed by dividing net income by the weighted-average number of shares of common stock outstanding during the period.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statement of operations includes a presentation of income per share for common shares subject to possible redemption in a manner similar to the two-class method of loss per share. Net income per common share, basic and diluted, for Common stock subject to possible redemption is calculated by dividing the proportionate share of income on marketable securities held by the Trust Account, net of applicable franchise and income taxes, by the weighted average number of Common stock subject to possible redemption outstanding since original issuance.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per share, basic and diluted, for non-redeemable common stock is calculated by dividing the net income, adjusted for income on marketable securities attributable to Common stock subject to possible redemption, by the weighted average number of non-redeemable common stock outstanding for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Non-redeemable common stock includes Founder Shares and non-redeemable shares of common stock as these shares do not have any redemption features.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Non-redeemable common stock participates in the income on marketable securities based on non-redeemable common stock shares’ proportionate interest.</w:t>
      </w:r>
    </w:p>
    <w:p>
      <w:pPr>
        <w:spacing w:after="0" w:line="230"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i w:val="1"/>
                <w:iCs w:val="1"/>
                <w:color w:val="auto"/>
              </w:rPr>
              <w:t>Common stock subject to possible redemption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Common stock subject to possible redemption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2,565,492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4,827,854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Unrealized gain on marketable securities held in Trust Account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9,424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126,682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Income and franchise taxes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(556,403)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(1,042,603)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allocable to shares subject to possible redemption</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2,018,513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3,911,933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Denominator: Weighted average Common stock subject to possible redemption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27,069,514</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27,072,466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Non-Redeemable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 Net Income minus Net Earnings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(2,423,649)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3,394,659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Less: Income attributable to common stock subject to possible redemption</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(2,018,513)</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(3,911,933)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Non-Redeemable 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(4,442,162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8,417,241</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7,969,549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net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Numerator: Non-Redeemable Net Loss minus Change in fair value of warrant liability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Non-Redeemable Net Loss –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(4,442,162)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(517,724)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Change in fair value of warrant liability</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Non-Redeemable Net Loss – Diluted</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(4,442,162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(544,754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 xml:space="preserve">Diluted weighted average shares outstanding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8,417,241</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7,969,549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(0.53</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(0.07</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2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March 31, 2021 and 2020, diluted shares do not include the effect of warrants to purchase 28,287,000 shares of common stock as the inclusion of such warrants would be anti-dilutive.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820, “Fair Value Measurement,” approximates the carrying amounts represented in the accompanying balance sheets, primarily due to their short-term nature, except for the Private Warrants (see Note 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7, 2019, the Company consummated the Initial Public Offering and sold 24,000,000 units at a price of $10.00 per Unit. Each Unit consists of one share of common stock and one warrant (“Public Warrant”). On March 12, 2019, in connection with the underwriters’ exercise of the over-allotment option in full, the Company sold an additional 3,600,000 Units at a price of $10.00 per Unit. Each Public Warrant entitles the holder to purchase one share of common stock at a price of $11.50 per share, subject to adjustment (see Note 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Simultaneously with the closing of the Initial Public Offering, the Sponsor and EarlyBirdCapital and its designee purchased an aggregate of 615,000 Private Units at a price of $10.00 per Private Unit, for an aggregate purchase price of $6,150,000. The Sponsor purchased 500,047 Private Units and EarlyBirdCapital and its designee purchased an aggregate of 114,953 Private Units. On March 12, 2019, in connection with the underwriters’ exercise of the over-allotment option in full, the purchasers purchased an aggregate of an additional 72,000 additional Private Units, of which 58,542 Private Units were purchased by the Sponsor and 13,458 Private Units were purchased by EarlyBirdCapital and its designee, for an aggregate purchase price of $720,000. Each Private Unit consists of one share of common stock (“Private Share”) and one warrant (“Private Warrant”). Each Private Warrant is exercisable to purchase one share of common stock at an exercise price of $11.50 per share, subject to adjustment (see Note 8). The proceeds from the Private Units were added to the proceeds from the Initial Public Offering held in the Trust Account. If the Company does not complete a Business Combination within the Combination Period, the proceeds from the sale of the Private Units will be used to fund the redemption of the Public Shares (subject to the requirements of applicable law), and the Private Units and all underlying securities will be worthless.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2018, the Sponsor purchased 5,750,000 shares (the “Founder Shares”) of the Company’s common stock for an aggregate price of $25,000. On March 5, 2019, the Company effected a stock dividend of 0.2 shares of common stock for each outstanding share (the “Stock Dividend”), resulting in 6,900,000 Founder Shares being issued and outstanding. The 6,900,000 Founder Shares included an aggregate of up to 900,000 shares subject to forfeiture by the Sponsor to the extent that the underwriters’ over-allotment was not exercised in full or in part, so that the holders of the Founder Shares would collectively own 20% of the Company’s issued and outstanding shares after the Initial Public Offering (assuming the holders did not purchase any Public Shares in the Initial Public Offering and excluding the Private Units and Representative Shares (see Note 8). In connection with the underwriters’ exercise of the over-allotment option in full on March 12, 2019, 900,000 Founder Shares are no longer subject to forfeiture.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the Founder Shares have agreed, subject to certain limited exceptions, not to transfer, assign or sell any of the Founder Shares until, with respect to 50% of the Founder Shares, the earlier of one year after the consummation of a Business Combination and the date on which the closing price of the common stock equals or exceeds $12.50 per share (as adjusted for stock splits, stock dividends, reorganizations, recapitalizations and the like) for any 20 trading days within a 30-trading day period commencing after a Business Combination and, with respect to the remaining 50% of the Founder Shares, until the one year after the consummation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Units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Simultaneously with the consummation of the initial public offering, the Company consummated the private placement of 687,000 Private Units at a price of $10.00 per Private Unit, generating total proceeds of $6,870,000. The Private Units were sold to the Sponsor and EarlyBirdCapital and its designees. The Private Units are identical to the units sold in the initial public offering, except that the warrants underlying the Private Units are non-redeemable and may be exercised on a cashless basis, in each case so long as they continue to be held by the initial purchasers or their permitted transferees. The initial purchasers have agreed not to transfer, assign or sell any of the Private Units and underlying securities until after the completion of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Vogel Partners, LLP, an affiliate of Mr. Vogel, has agreed that, until the earlier of the consummation of an initial business combination or Tuscan’s liquidation, it will make available to Tuscan certain general and administrative services, including office space, utilities and administrative support, as Tuscan may require from time to time. Tuscan has agreed to pay Vogel Partners, LLP $10,000 per month for these services. Tuscan believes, based on rents and fees for similar services in the New York City metropolitan area, that the fee charged by Vogel Partners, LLP is at least as favorable as it could have obtained from an unaffiliated person.. For the year ended December 31, 2020 and 2019, the Company incurred $120,000 and $100,000, respectively, in fees for these services. At December 31, 2020 and 2019, fees amounting to $10,000 and $0 is included in accounts payable and accrued expenses in the accompanying balance sheets.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from Related Party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Executive Officer advanced the Company an aggregate of $86,748 to be used for the payment of costs related to the Initial Public Offering. The advances were non-interest bearing, unsecured and due on demand. The advances were repaid upon the consummation of the Initial Public Offering on March 7,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Affiliate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an affiliate of the Company paid expenses on behalf of the Company that were mainly settled during the same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the Company issued an unsecured promissory note to the Company’s Chief Executive Officer (the “Promissory Note”), pursuant to which the Company borrowed an aggregate principal amount of $90,342. The Promissory Note was non-interest bearing and payable on the earlier of (i) November 1, 2019, (ii) the consummation of the Initial Public Offering or (iii) the date on which the Company determines not to proceed with the Initial Public Offering. The Promissory Note was repaid upon the consummation of the Initial Public Offering on March 7,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certain of the Company’s officers and directors or their affiliates may, but are not obligated to, loan the Company funds as may be required (“Working Capital Loans”). If the Company completes a Business Combination, the Company will repay the Working Capital Loans out of the proceeds of the Trust Account released to the Company. Otherwise, the Working Capital Loans would be repaid only out of funds held outside the Trust Account to the extent such funds are available.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$1,500,000 of such Working Capital Loans may be convertible into units of the post Business Combination entity at a price of $10.00 per unit. The units would be identical to the Private Units.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20, 2020, the Sponsor committed to provide an aggregate of $500,000 in loans to the Company. The loans shall be non-interest bearing, unsecured and due upon the consummation of a Business Combination. In the event that a Business Combination does not close, the loans would be repaid only out of funds held outside the Trust Account to the extent such funds are available. Otherwise, all amounts loaned to the Company would be forgiven.</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2020, the Company issued an unsecured promissory note to the Sponsor in the aggregate amount of $300,000 (the “Note”), of which $200,000 was drawn upon on such date. The Note is non-interest bearing and payable upon the consummation of a Business Combination. The Note is convertible, at the lender’s option, into units of the post Business Combination entity at a price of $10.00 per unit. The units would be identical to the Private Units. If a Business Combination is not consummated, the notes will not be repaid by the Company and all amounts owed thereunder by the Company will be forgiven except to the extent that the Company has funds available to it outside of its Trust Account. As of December 31, 2020, there was $200,000 outstanding under the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 registration rights agreement entered into on March 7, 2019, the holders of the Founder Shares, Representative Shares, Private Units, and any units that may be issued upon conversion of Working Capital Loans (and all underlying securities) are entitled to registration rights. The holders of the majority of these securities are entitled to make up to two demands that the Company register such securities. The holders of the majority of the Founder Shares can elect to exercise these registration rights at any time commencing three months prior to the date on which the Founder Shares are to be released from escrow. The holders of a majority of the Representative Shares, Private Units or units issued in payment of working capital loans made to the Company (or underlying securities) can elect to exercise these registration rights at any time commencing after the Company consummates a Business Combination. Notwithstanding anything to the contrary, EarlyBirdCapital and its designee may only make a demand on one occasion and only during the five-year period beginning on the effective date of the Initial Public Offering. In addition, the holders have certain “piggy-back” registration rights with respect to registration statements filed subsequent to the consummation of a Business Combination; provided, however, that EarlyBirdCapital and its designee may participate in a “piggy-back” registration only during the seven-year period beginning on the effective date of the Initial Public Offering. The Company will bear the expenses incurred in connection with the filing of any such registration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engaged EarlyBirdCapital as an advisor in connection with a Business Combination to assist the Company in holding meetings with its shareholders to discuss the potential Business Combination and the target business’ attributes, introduce the Company to potential investors that are interested in purchasing the Company’s securities in connection with a Business Combination, assist the Company in obtaining shareholder approval for the Business Combination and assist the Company with its press releases and public filings in connection with the Business Combination. The Company will pay EarlyBirdCapital a cash fee for such services upon the consummation of a Business Combination in an amount equal to $9,660,000 (exclusive of any applicable finders’ fees which might become payable); provided that up to 30% of the fee may be allocated at the Company’s sole discretion to other FINRA members that assist the Company in identifying and consummating a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Morgan Stanley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engaged Morgan Stanley &amp; Co. LLC (“Morgan Stanley”) to provide financial advisory services in connection with the Microvast business combination, and, upon consummation of the transaction with Microvast, we must pay that firm a transaction fee of $5.5 million, plus expenses. Morgan Stanley also acted as placement agent in connection with the PIPE Financing, and we are obligated to pay Morgan Stanley a placement fee equal to (i) 3.5% of the sum of (x) the aggregate gross proceeds raised in the PIPE Financing up to $300 million (not including funds from the sale of certain excluded securities) and</w:t>
      </w:r>
    </w:p>
    <w:p>
      <w:pPr>
        <w:spacing w:after="0" w:line="1" w:lineRule="exact"/>
        <w:rPr>
          <w:sz w:val="20"/>
          <w:szCs w:val="20"/>
          <w:color w:val="auto"/>
        </w:rPr>
      </w:pPr>
    </w:p>
    <w:p>
      <w:pPr>
        <w:ind w:firstLine="8"/>
        <w:spacing w:after="0" w:line="260" w:lineRule="auto"/>
        <w:tabs>
          <w:tab w:leader="none" w:pos="2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borrowings pursuant to a bridge financing provided in connection with the proposed business combination by investors introduced by Morgan Stanley, and (ii) 2.5% of the aggregate gross proceeds raised in the PIPE Financing above $300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1,000,000 shares of preferred stock with a par value of $0.0001 per share with such designation,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preferences as may be determined from time to time by the Company’s board of directors. At December 31, 2020 and 2019, there were no shares of preferred stock issued or outstanding.</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Common Stock — </w:t>
      </w:r>
      <w:r>
        <w:rPr>
          <w:rFonts w:ascii="Arial" w:cs="Arial" w:eastAsia="Arial" w:hAnsi="Arial"/>
          <w:sz w:val="17"/>
          <w:szCs w:val="17"/>
          <w:color w:val="auto"/>
        </w:rPr>
        <w:t>The Company is authorized to issue 65,000,000 shares of common stock with a par value of $0.0001 per share. Holders of the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are entitled to one vote for each share. At December 31, 2020 and 2019, there were 8,808,069 and 8,400,476 shares of common stock issued and outstanding, excluding 26,675,733 and 27,086,524 shares of common stock subject to possible redemption,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2018, the Company issued to the designees of EarlyBirdCapital, for a nominal consideration, 300,000 shares (after giving effect to the Stock Dividend) of common stock (the “Representative Shares”). The Company accounted for the Representative Shares as an offering cost of the Initial Public Offering, with a corresponding credit to stockholders’ equity. The Company estimated the fair value of Representative Shares to be $1,200 based upon the price of the Founder Shares issued to the Sponsor. The holders of the Representative Shares have agreed not to transfer, assign or sell any such shares until the completion of a Business Combination. In addition, the holders have agreed (i) to waive their redemption rights (or to sell any shares in a tender offer)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Public Warrants will become exercisable 30 days after the completion of a Business Combination.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redeem the Public Warrants:</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Private Warrants are identical to the Public Warrants underlying the Units sold in the Initial Public Offering, except that the Private Warrants will be exercisable for cash or on a cashless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Initial Public Offering.</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an initial Business Combination at an issue price or effective issue price of less than $9.50 per share of common stock (with such issue price or effective issue price to be determined in good faith by the Company’s board of directors, and in the case of any such issuance to our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an initial Business Combination on the date of the consummation of an initial Business Combination (net of redemptions), and (z) the volume weighted average trading price of the common stock during the 20 trading day period starting on the trading day prior to the day on which the Company consummated an initial Business Combination (such price, the “Market Value”) is below $9.50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Company’s net deferred tax liability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liability</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(21,468)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(27,069)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(21,468)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372,365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(5,601)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and Local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366,764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895,251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the Company did not have any of U.S. federal and state net operating loss carryovers available to offset future taxable income.</w:t>
      </w:r>
    </w:p>
    <w:p>
      <w:pPr>
        <w:sectPr>
          <w:pgSz w:w="11900" w:h="16838" w:orient="portrait"/>
          <w:cols w:equalWidth="0" w:num="1">
            <w:col w:w="11240"/>
          </w:cols>
          <w:pgMar w:left="320" w:top="66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federal income tax rate to the Company’s effective tax rate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True-ups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warrant liability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8"/>
        </w:trPr>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r>
      <w:tr>
        <w:trPr>
          <w:trHeight w:val="244"/>
        </w:trPr>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20.3%</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661" w:right="339" w:bottom="1440" w:gutter="0" w:footer="0" w:header="0"/>
          <w:type w:val="continuous"/>
        </w:sectPr>
      </w:pPr>
    </w:p>
    <w:p>
      <w:pPr>
        <w:spacing w:after="0" w:line="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files income tax returns in the U.S. federal jurisdiction and is subject to examination by the various taxing authorities. The Company’s tax returns since inception remain open to examination by the taxing authorities. The Company considers New York to be a significant state tax jurisdiction.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2019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282,254,978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280,103,245</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Warrant Liability – Private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4,204,440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405,330</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Private Warrants were accounted for as liabilities in accordance with ASC 815-40 and are presented within warrant liabilities on the balance sheet. The warrant liabilities are measured at fair value at inception and on a recurring basis, with changes in fair value presented within change in fair value of warrant liabilities in the statement of operations.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Private Warrants were initially valued using a binomial lattice, which is considered to be a Level 3 fair value measurement. For periods subsequent to the detachment of the Public Warrants from the Units, the Public Warrant quoted market price was used as the fair value as of each relevant date.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binomial lattice model’s primary unobservable input utilized in determining the fair value of the Private Warrants is the expected volatility of the common stock. The expected volatility as of the Initial Public Offering date was derived from observable public warrant pricing on comparable ‘blank-check’ companies without an identified target. The expected volatility as of subsequent valuation dates was implied from the Company’s own public warrant pricing.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issuance and March 31, 2019, the estimated fair value of the Private Warrants was determined using a Monte Carlo simulation and based upon the following significant inputs: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March 7, 2019</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4800" w:type="dxa"/>
            <w:vAlign w:val="bottom"/>
          </w:tcPr>
          <w:p>
            <w:pPr>
              <w:spacing w:after="0"/>
              <w:rPr>
                <w:sz w:val="20"/>
                <w:szCs w:val="20"/>
                <w:color w:val="auto"/>
              </w:rPr>
            </w:pPr>
          </w:p>
        </w:tc>
        <w:tc>
          <w:tcPr>
            <w:tcW w:w="5180" w:type="dxa"/>
            <w:vAlign w:val="bottom"/>
            <w:gridSpan w:val="4"/>
          </w:tcPr>
          <w:p>
            <w:pPr>
              <w:ind w:left="3720"/>
              <w:spacing w:after="0"/>
              <w:rPr>
                <w:sz w:val="20"/>
                <w:szCs w:val="20"/>
                <w:color w:val="auto"/>
              </w:rPr>
            </w:pPr>
            <w:r>
              <w:rPr>
                <w:rFonts w:ascii="Arial" w:cs="Arial" w:eastAsia="Arial" w:hAnsi="Arial"/>
                <w:sz w:val="18"/>
                <w:szCs w:val="18"/>
                <w:b w:val="1"/>
                <w:bCs w:val="1"/>
                <w:color w:val="auto"/>
              </w:rPr>
              <w:t>(Issuance Date)</w:t>
            </w: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 price</w:t>
            </w:r>
          </w:p>
        </w:tc>
        <w:tc>
          <w:tcPr>
            <w:tcW w:w="4160" w:type="dxa"/>
            <w:vAlign w:val="bottom"/>
            <w:gridSpan w:val="2"/>
          </w:tcPr>
          <w:p>
            <w:pPr>
              <w:ind w:left="37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Term</w:t>
            </w:r>
          </w:p>
        </w:tc>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Dividend yield</w:t>
            </w:r>
          </w:p>
        </w:tc>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in or out of Level 3 from other levels in the fair value hierarchy during the years ended December 31, 2020 and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Private</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Placement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Initial measurement on March 5, 2019 (including over-allotment)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432,810</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(27,480)</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Fair value as of December 31, 2019</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405,330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3,799,110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4,204,440</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in the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1, 2021, Tuscan entered into an agreement and plan of merger (the “Merger Agreement”) with Microvast, Inc., a Delaware corporation (“Microvast”) and Merger Sub. Pursuant to the Merger Agreement, Merger Sub will merge with and into Microvast and Microvast will survive the merger and become a wholly owned subsidiary of Tuscan. Under the Merger Agreement, all of the equity interests of Microvast will be converted into an aggregate of 210,000,000 shares of common stock (“closing shares”). The Microvast shareholders and the investors in Microvast’s majority-owned subsidiary, Microvast Power System (Houzhou) Co. Ltd. (“MPS”), will also have the ability to earn an additional 20,000,000 shares of common stock (“earnout shares”)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Tuscan and Microvast will jointly acquire 100% ownership of MPS and will discharge certain convertible loans of MPS.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Merger will be accounted for as a reverse recapitalization in accordance with accounting principles generally accepted in the United States of America (“U.S. GAAP”). Under this method of accounting, Tuscan will be treated as the “acquired” company for accounting purposes and the Business Combination will be treated as the equivalent of Microvast issuing stock for the net assets of Tuscan, accompanied by a recapitalization. The net assets of Tuscan will be stated at historical cost, with no goodwill or other intangible assets recorded.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Merger Agreement provides that Tuscan will issue an aggregate of 6,736,111 shares of common stock upon conversion (the “Bridge Notes Conversion”) of an aggregate of $57,500,000 outstanding promissory notes issued by Microvast.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on February 1, 2021, Tuscan, the Sponsor, Microvast and certain stockholders of Tuscan entered into the Sponsor Support Agreement (the “Sponsor Support Agreement”), pursuant to which the Sponsor and certain officers and directors of Tuscan (collectively, the “Sponsor Group”) agreed, among other things, to vote all equity interests of Tuscan held by such member of the Sponsor Group in favor of the approval and adoption of the proposed business combination with Microvast. Additionally, such members of the Sponsor Group have agreed not to (a) 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Sponsor also agreed that, to the extent that certain expenses of Tuscan are in excess of $46,000,000 (unless such expenses shall have been approved by Microvast), the Sponsor will either (i) pay any such excess amount in cash or (ii) forfeit to Tuscan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Contemporaneously with the execution of the Merger Agreement, certain investors entered into subscription agreements (the “Subscription Agreements”), pursuant to which such investors subscribed for an aggregate value of $482,500,000, representing 48,250,000 shares of Tuscan common stock at a purchase price of $10.00 per share in a private placement (the “PIPE Financing”) to be consummated immediately prior to the consummation of the Transactions. Affiliates of InterPrivate, an advisor to the Sponsor, subscribed to purchase 6.5 million shares in the PIPE Financing for an aggregate purchase price of $65 million.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Immediately following the Closing, the former equityholders of Microvast will hold approximately 69.9% of the issued and outstanding shares of common stock and the current stockholders of Tuscan will hold approximately 9.2% of the issued and outstanding shares of common stock, which pro forma ownership (1) assumes no holder of the common stock sold in Tuscan’s initial public offering (such persons, the “Public Stockholders”) exercises its conversion rights in connection with the business combination, and (2) reflects the issuance of an aggregate of 48,250,000 shares of Common Stock in the PIPE Financing and 6,736,111 shares of common stock in the Bridge Notes Conversion, but does not include the effect of any other financing of Tuscan. If the maximum number of Public Shares are converted into cash such that Microvast does not have the right to terminate the Merger Agreement (i.e., Tuscan has at least $5,000,001 of net tangible assets immediately prior to or upon consummation of the business combination), such percentages will be approximately 76.8% and 0.2%,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Consummation of the proposed business combination is subject to customary conditions and covenants of the respective parties, including approval of Tuscan’s stockholders and Tuscan having available cash of at least $250,000,000.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TUSCAN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Amendment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12, 2021, Tuscan filed a preliminary proxy statement seeking approval from its stockholders to amend Tuscan’s charter to further extend the date by which Tuscan is required to complete its initial business combination from April 30, 2021 to July 31, 2021 and to hold an annual meeting for the election of directors in accordance with Nasdaq listing rules. On April 28, 2021, Tuscan convened its annual meeting of stockholders (the “</w:t>
      </w:r>
      <w:r>
        <w:rPr>
          <w:rFonts w:ascii="Arial" w:cs="Arial" w:eastAsia="Arial" w:hAnsi="Arial"/>
          <w:sz w:val="17"/>
          <w:szCs w:val="17"/>
          <w:u w:val="single" w:color="auto"/>
          <w:color w:val="auto"/>
        </w:rPr>
        <w:t>Annual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w:t>
      </w:r>
      <w:r>
        <w:rPr>
          <w:rFonts w:ascii="Arial" w:cs="Arial" w:eastAsia="Arial" w:hAnsi="Arial"/>
          <w:sz w:val="17"/>
          <w:szCs w:val="17"/>
          <w:color w:val="auto"/>
        </w:rPr>
        <w:t>”) virtually. At the Annual Meeting, Tuscan’s shareholders approved a proposal to elect Amy Butte as a Class I director, and approved a proposal to adjourn the Annual Meeting to a later date if there had been insufficient votes at the time of the Annual Meeting to approve the proposal to extend the date by which Tuscan must complete its initial business combination from April 30, 2021 to July 31, 2021 (the “</w:t>
      </w:r>
      <w:r>
        <w:rPr>
          <w:rFonts w:ascii="Arial" w:cs="Arial" w:eastAsia="Arial" w:hAnsi="Arial"/>
          <w:sz w:val="17"/>
          <w:szCs w:val="17"/>
          <w:u w:val="single" w:color="auto"/>
          <w:color w:val="auto"/>
        </w:rPr>
        <w:t>Extension Amendment Proposal</w:t>
      </w:r>
      <w:r>
        <w:rPr>
          <w:rFonts w:ascii="Arial" w:cs="Arial" w:eastAsia="Arial" w:hAnsi="Arial"/>
          <w:sz w:val="17"/>
          <w:szCs w:val="17"/>
          <w:color w:val="auto"/>
        </w:rPr>
        <w:t>”). The Annual Meeting was adjourned to May 10, 2021 solely with respect to the voting on the Extension Amendment Proposal.</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the time the Annual Meeting was convened on April 28, 2021, a quorum representing at least a majority of shares outstanding on the record date of March 17, 2021 was present in person or by proxy. However, Tuscan had not received the approval of holders of 65% of its shares outstanding on the record date then necessary to approve the Extension Amendment Proposal, as provided in Article Sixth of Tuscan’s certificate of incorporation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According to Article Sixth, as of May 1, 2021, the vote required for approval of the Extension Amendment Proposal will be reduced from 65% of the shares outstanding to a majority of the shares outstanding on the record date, based on the following provisions. Article Sixth provides that at any time during the “Target Business Acquisition Period,” any amendment to Article Sixth requires the affirmative vote of the holders of at least 65% of the then outstanding shares of common stock. The “Target Business Acquisition Period” ends on the “Termination Date,” which is defined in Article Sixth as April 30, 2021. Therefore, the 65% vote threshold in Article Sixth will no longer apply as of May 1, 2021, and the Extension Amendment Proposal may be approved by a majority of the shares outstanding on the record date. On May 10, 2021, Tuscan reconvened the Annual Meeting, at which the Extension Amendment Proposal was approved by Tuscan’s stockholders. Following the Annual Meeting, Tuscan filed an amendment to its certificate of incorporation extending the date by which Tuscan must complete its initial business combination from April 30, 2021 to July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12, 2021, the Sponsor extended a loan to Tuscan in the aggregate principal amount totaling $1.2 million, of which $400,000 was drawn upon on such date. This loan was in addition to the previous $200,000 drawn upon the $300,000 convertible note that was committed by the Sponsor on April 21, 2020. As a result of the February 12, 2021 commitment, the Sponsor had committed to the Company a total of $1.5 million, of which a total of $600,000 has been drawn upon, with $400,000 of the drawn amount pursuant to the February 12, 2021 note. The Sponsor intends to convert the $1.5 million total loan balance into 150,000 Units immediately prior to the closing of the proposed business combination with Microvast. Such Units will have terms identical to the terms of the Company’s Private Units and will consist of (i) 150,000 shares of common stock and (ii) warrants to purchase 150,000 shares of common stock at an exercise price of $11.50 per share, subject to adjustment.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Notification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6, 2021, the Company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the Company submitted a plan to regain compliance on February 4, 2021. Nasdaq accepted the plan and granted the Company an extension through June 29, 2021 to hold an annual meeting. Nasdaq’s decision is subject to certain conditions, including that the Company provide periodic updates with respect to its proposed business combination with Microvast. On April 28, 2021, the Company held an annual meeting of stockholders, in compliance with the plan.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28, 2021, the Company received a notice from the Listing Qualifications Department of The Nasdaq Stock Market stating that because we failed to timely file our Quarterly Report on Form 10-Q for the quarter ended March 31, 2021 (“Form 10-Q”), we were not in compliance with Nasdaq Listing Rule 5250(c)(1). The Company has until July 26, 2021 to submit a plan to regain compliance with the listing rule, provided that the Company will not be required to submit a plan if the Form 10-Q is filed before such date. While we intend to file the Form 10-Q prior to such date and regain compliance with the listing rule, there can be no assurance that we will be able to do so.</w:t>
      </w:r>
    </w:p>
    <w:p>
      <w:pPr>
        <w:spacing w:after="0" w:line="200" w:lineRule="exact"/>
        <w:rPr>
          <w:sz w:val="20"/>
          <w:szCs w:val="20"/>
          <w:color w:val="auto"/>
        </w:rPr>
      </w:pPr>
    </w:p>
    <w:p>
      <w:pPr>
        <w:spacing w:after="0" w:line="20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Vogel,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Tuscan Holdings Corp.;</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28, 2021</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Ruth Epstein,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Tuscan Holdings Corp.;</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28, 2021</w:t>
      </w:r>
      <w:r>
        <w:rPr>
          <w:sz w:val="20"/>
          <w:szCs w:val="20"/>
          <w:color w:val="auto"/>
        </w:rPr>
        <w:tab/>
      </w:r>
      <w:r>
        <w:rPr>
          <w:rFonts w:ascii="Arial" w:cs="Arial" w:eastAsia="Arial" w:hAnsi="Arial"/>
          <w:sz w:val="16"/>
          <w:szCs w:val="16"/>
          <w:color w:val="auto"/>
        </w:rPr>
        <w:t>/s/ Ruth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Ruth Epstein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Amendment No. 1 to the Annual Report of Tuscan Holdings Corp. (the “Company”) on Form 10-K/A for the year ended December 31, 2020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6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28, 2021</w:t>
      </w:r>
      <w:r>
        <w:rPr>
          <w:sz w:val="20"/>
          <w:szCs w:val="20"/>
          <w:color w:val="auto"/>
        </w:rPr>
        <w:tab/>
      </w:r>
      <w:r>
        <w:rPr>
          <w:rFonts w:ascii="Arial" w:cs="Arial" w:eastAsia="Arial" w:hAnsi="Arial"/>
          <w:sz w:val="16"/>
          <w:szCs w:val="16"/>
          <w:color w:val="auto"/>
        </w:rPr>
        <w:t>/s/ Stephen A.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A. Vogel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Ruth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Ruth Epstein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25"/>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44" Type="http://schemas.openxmlformats.org/officeDocument/2006/relationships/hyperlink" Target="http://www.sec.gov/Archives/edgar/data/1760689/000121390019003702/f8k030519ex1-2_tuscan.htm" TargetMode="External"/><Relationship Id="rId45" Type="http://schemas.openxmlformats.org/officeDocument/2006/relationships/hyperlink" Target="http://www.sec.gov/Archives/edgar/data/1760689/000121390019003702/f8k030519ex3-1_tuscan.htm" TargetMode="External"/><Relationship Id="rId46" Type="http://schemas.openxmlformats.org/officeDocument/2006/relationships/hyperlink" Target="http://www.sec.gov/Archives/edgar/data/1760689/000121390020040684/ea130972ex3-1_tuscanhold.htm" TargetMode="External"/><Relationship Id="rId47" Type="http://schemas.openxmlformats.org/officeDocument/2006/relationships/hyperlink" Target="http://www.sec.gov/Archives/edgar/data/1760689/000121390019002379/fs12019ex3-3_tuscanholding.htm" TargetMode="External"/><Relationship Id="rId48" Type="http://schemas.openxmlformats.org/officeDocument/2006/relationships/hyperlink" Target="http://www.sec.gov/Archives/edgar/data/1760689/000121390019003155/fs12018a1ex4-1_tuscanhold.htm" TargetMode="External"/><Relationship Id="rId49" Type="http://schemas.openxmlformats.org/officeDocument/2006/relationships/hyperlink" Target="http://www.sec.gov/Archives/edgar/data/1760689/000121390019003155/fs12018a1ex4-2_tuscanhold.htm" TargetMode="External"/><Relationship Id="rId50" Type="http://schemas.openxmlformats.org/officeDocument/2006/relationships/hyperlink" Target="http://www.sec.gov/Archives/edgar/data/1760689/000121390019003155/fs12018a1ex4-3_tuscanhold.htm" TargetMode="External"/><Relationship Id="rId51" Type="http://schemas.openxmlformats.org/officeDocument/2006/relationships/hyperlink" Target="http://www.sec.gov/Archives/edgar/data/1760689/000121390019003702/f8k030519ex4-1_tuscan.htm" TargetMode="External"/><Relationship Id="rId52" Type="http://schemas.openxmlformats.org/officeDocument/2006/relationships/hyperlink" Target="https://www.sec.gov/Archives/edgar/data/1760689/000121390021017601/f10k2020ex4-5_tuscanhold.htm" TargetMode="External"/><Relationship Id="rId53" Type="http://schemas.openxmlformats.org/officeDocument/2006/relationships/hyperlink" Target="http://www.sec.gov/Archives/edgar/data/1760689/000121390019003155/fs12018a1ex10-1_tuscanhold.htm" TargetMode="External"/><Relationship Id="rId54" Type="http://schemas.openxmlformats.org/officeDocument/2006/relationships/hyperlink" Target="http://www.sec.gov/Archives/edgar/data/1760689/000121390019003702/f8k030519ex10-1_tuscan.htm" TargetMode="External"/><Relationship Id="rId55" Type="http://schemas.openxmlformats.org/officeDocument/2006/relationships/hyperlink" Target="http://www.sec.gov/Archives/edgar/data/1760689/000121390019003702/f8k030519ex10-3_tuscan.htm" TargetMode="External"/><Relationship Id="rId56" Type="http://schemas.openxmlformats.org/officeDocument/2006/relationships/hyperlink" Target="http://www.sec.gov/Archives/edgar/data/1760689/000121390019003155/fs12018a1ex10-5i_tuscanhold.htm" TargetMode="External"/><Relationship Id="rId57" Type="http://schemas.openxmlformats.org/officeDocument/2006/relationships/hyperlink" Target="http://www.sec.gov/Archives/edgar/data/1760689/000121390019003155/fs12018a1ex10-5ii_tuscanhold.htm" TargetMode="External"/><Relationship Id="rId58" Type="http://schemas.openxmlformats.org/officeDocument/2006/relationships/hyperlink" Target="http://www.sec.gov/Archives/edgar/data/1760689/000121390019003702/f8k030519ex10-2_tuscan.htm" TargetMode="External"/><Relationship Id="rId59" Type="http://schemas.openxmlformats.org/officeDocument/2006/relationships/hyperlink" Target="http://www.sec.gov/Archives/edgar/data/1760689/000121390020009923/ea120991ex10-1_tuscanhold.htm" TargetMode="External"/><Relationship Id="rId60" Type="http://schemas.openxmlformats.org/officeDocument/2006/relationships/hyperlink" Target="http://www.sec.gov/Archives/edgar/data/1760689/000121390020009923/ea120991ex10-2_tuscanhold.htm" TargetMode="External"/><Relationship Id="rId61" Type="http://schemas.openxmlformats.org/officeDocument/2006/relationships/hyperlink" Target="https://www.sec.gov/Archives/edgar/data/1760689/000121390021017601/f10k2020ex10-9_tuscanhold.htm" TargetMode="External"/><Relationship Id="rId62" Type="http://schemas.openxmlformats.org/officeDocument/2006/relationships/hyperlink" Target="http://www.sec.gov/Archives/edgar/data/1760689/000121390021007125/ea134382ex2-1_tuscanhold.htm" TargetMode="External"/><Relationship Id="rId63" Type="http://schemas.openxmlformats.org/officeDocument/2006/relationships/hyperlink" Target="http://www.sec.gov/Archives/edgar/data/1760689/000121390021007125/ea134382ex10-1_tuscanhold.htm" TargetMode="External"/><Relationship Id="rId64" Type="http://schemas.openxmlformats.org/officeDocument/2006/relationships/hyperlink" Target="http://www.sec.gov/Archives/edgar/data/1760689/000121390021007125/ea134382ex10-2_tuscanhold.htm" TargetMode="External"/><Relationship Id="rId65" Type="http://schemas.openxmlformats.org/officeDocument/2006/relationships/hyperlink" Target="http://www.sec.gov/Archives/edgar/data/1760689/000121390021007125/ea134382ex10-3_tuscanhold.htm" TargetMode="External"/><Relationship Id="rId66" Type="http://schemas.openxmlformats.org/officeDocument/2006/relationships/hyperlink" Target="http://www.sec.gov/Archives/edgar/data/1760689/000121390021007125/ea134382ex10-4_tuscanhold.htm" TargetMode="External"/><Relationship Id="rId67" Type="http://schemas.openxmlformats.org/officeDocument/2006/relationships/hyperlink" Target="http://www.sec.gov/Archives/edgar/data/1760689/000121390021007125/ea134382ex10-5_tuscanhold.htm" TargetMode="External"/><Relationship Id="rId68" Type="http://schemas.openxmlformats.org/officeDocument/2006/relationships/hyperlink" Target="http://www.sec.gov/Archives/edgar/data/1760689/000121390021007125/ea134382ex10-6_tuscanhold.htm" TargetMode="External"/><Relationship Id="rId69" Type="http://schemas.openxmlformats.org/officeDocument/2006/relationships/hyperlink" Target="https://www.sec.gov/Archives/edgar/data/1760689/000121390021017601/f10k2020ex21_tuscan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2021-06-01T05:26:59Z</dcterms:created>
  <dcterms:modified xsi:type="dcterms:W3CDTF">2021-06-01T05:26:59Z</dcterms:modified>
</cp:coreProperties>
</file>