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591185</wp:posOffset>
            </wp:positionH>
            <wp:positionV relativeFrom="paragraph">
              <wp:posOffset>412750</wp:posOffset>
            </wp:positionV>
            <wp:extent cx="6609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971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437515</wp:posOffset>
            </wp:positionV>
            <wp:extent cx="6609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 w:lineRule="exact"/>
        <w:rPr>
          <w:sz w:val="24"/>
          <w:szCs w:val="24"/>
          <w:color w:val="auto"/>
        </w:rPr>
      </w:pPr>
    </w:p>
    <w:p>
      <w:pPr>
        <w:jc w:val="center"/>
        <w:ind w:left="4000" w:right="1360" w:hanging="2623"/>
        <w:spacing w:after="0" w:line="496" w:lineRule="auto"/>
        <w:tabs>
          <w:tab w:leader="none" w:pos="1571"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17" w:lineRule="exact"/>
        <w:rPr>
          <w:rFonts w:ascii="MS PGothic" w:cs="MS PGothic" w:eastAsia="MS PGothic" w:hAnsi="MS PGothic"/>
          <w:sz w:val="17"/>
          <w:szCs w:val="17"/>
          <w:color w:val="auto"/>
        </w:rPr>
      </w:pPr>
    </w:p>
    <w:p>
      <w:pPr>
        <w:jc w:val="center"/>
        <w:ind w:left="3500" w:right="1140" w:hanging="2348"/>
        <w:spacing w:after="0" w:line="506" w:lineRule="auto"/>
        <w:tabs>
          <w:tab w:leader="none" w:pos="135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from___________to___________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001-38826</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b w:val="1"/>
                <w:bCs w:val="1"/>
                <w:color w:val="auto"/>
              </w:rPr>
              <w:t>83-2530757</w:t>
            </w:r>
          </w:p>
        </w:tc>
      </w:tr>
      <w:tr>
        <w:trPr>
          <w:trHeight w:val="224"/>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559"/>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12603 Southwest Freeway, Suite 300</w:t>
            </w:r>
          </w:p>
        </w:tc>
        <w:tc>
          <w:tcPr>
            <w:tcW w:w="5580" w:type="dxa"/>
            <w:vAlign w:val="bottom"/>
          </w:tcPr>
          <w:p>
            <w:pPr>
              <w:spacing w:after="0"/>
              <w:rPr>
                <w:sz w:val="24"/>
                <w:szCs w:val="24"/>
                <w:color w:val="auto"/>
              </w:rPr>
            </w:pPr>
          </w:p>
        </w:tc>
      </w:tr>
      <w:tr>
        <w:trPr>
          <w:trHeight w:val="246"/>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Stafford, Texas</w:t>
            </w:r>
          </w:p>
        </w:tc>
        <w:tc>
          <w:tcPr>
            <w:tcW w:w="80" w:type="dxa"/>
            <w:vAlign w:val="bottom"/>
          </w:tcPr>
          <w:p>
            <w:pPr>
              <w:spacing w:after="0"/>
              <w:rPr>
                <w:sz w:val="21"/>
                <w:szCs w:val="21"/>
                <w:color w:val="auto"/>
              </w:rPr>
            </w:pPr>
          </w:p>
        </w:tc>
        <w:tc>
          <w:tcPr>
            <w:tcW w:w="5580" w:type="dxa"/>
            <w:vAlign w:val="bottom"/>
            <w:tcBorders>
              <w:bottom w:val="single" w:sz="8" w:color="auto"/>
            </w:tcBorders>
          </w:tcPr>
          <w:p>
            <w:pPr>
              <w:jc w:val="right"/>
              <w:ind w:right="2494"/>
              <w:spacing w:after="0"/>
              <w:rPr>
                <w:sz w:val="20"/>
                <w:szCs w:val="20"/>
                <w:color w:val="auto"/>
              </w:rPr>
            </w:pPr>
            <w:r>
              <w:rPr>
                <w:rFonts w:ascii="Times New Roman" w:cs="Times New Roman" w:eastAsia="Times New Roman" w:hAnsi="Times New Roman"/>
                <w:sz w:val="17"/>
                <w:szCs w:val="17"/>
                <w:b w:val="1"/>
                <w:bCs w:val="1"/>
                <w:color w:val="auto"/>
              </w:rPr>
              <w:t>77477</w:t>
            </w:r>
          </w:p>
        </w:tc>
      </w:tr>
      <w:tr>
        <w:trPr>
          <w:trHeight w:val="232"/>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(281) 491-9505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100" w:type="dxa"/>
            <w:vAlign w:val="bottom"/>
            <w:tcBorders>
              <w:bottom w:val="single" w:sz="8" w:color="CCEEFF"/>
            </w:tcBorders>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44"/>
        </w:trPr>
        <w:tc>
          <w:tcPr>
            <w:tcW w:w="4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MVST</w:t>
            </w: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03"/>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Redeemable warrants, exercisable for shares of common</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23"/>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MVSTW</w:t>
            </w:r>
          </w:p>
        </w:tc>
        <w:tc>
          <w:tcPr>
            <w:tcW w:w="4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3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160"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7" w:lineRule="exact"/>
        <w:rPr>
          <w:sz w:val="24"/>
          <w:szCs w:val="24"/>
          <w:color w:val="auto"/>
        </w:rPr>
      </w:pPr>
    </w:p>
    <w:p>
      <w:pPr>
        <w:ind w:right="2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14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5"/>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00" w:type="dxa"/>
            <w:vAlign w:val="bottom"/>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9"/>
        </w:trPr>
        <w:tc>
          <w:tcPr>
            <w:tcW w:w="2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54" w:lineRule="exact"/>
        <w:rPr>
          <w:sz w:val="24"/>
          <w:szCs w:val="24"/>
          <w:color w:val="auto"/>
        </w:rPr>
      </w:pPr>
    </w:p>
    <w:p>
      <w:pPr>
        <w:ind w:right="40" w:firstLine="619"/>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222" w:right="339" w:bottom="0" w:gutter="0" w:footer="0" w:header="0"/>
        </w:sectPr>
      </w:pPr>
    </w:p>
    <w:bookmarkStart w:id="1" w:name="page2"/>
    <w:bookmarkEnd w:id="1"/>
    <w:p>
      <w:pPr>
        <w:jc w:val="both"/>
        <w:ind w:right="380" w:firstLine="61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25" w:lineRule="exact"/>
        <w:rPr>
          <w:sz w:val="20"/>
          <w:szCs w:val="20"/>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7" w:lineRule="exact"/>
        <w:rPr>
          <w:sz w:val="20"/>
          <w:szCs w:val="20"/>
          <w:color w:val="auto"/>
        </w:rPr>
      </w:pPr>
    </w:p>
    <w:p>
      <w:pPr>
        <w:ind w:right="2580" w:firstLine="619"/>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51" w:lineRule="exact"/>
        <w:rPr>
          <w:sz w:val="20"/>
          <w:szCs w:val="20"/>
          <w:color w:val="auto"/>
        </w:rPr>
      </w:pPr>
    </w:p>
    <w:p>
      <w:pPr>
        <w:ind w:right="620" w:firstLine="619"/>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ind w:firstLine="619"/>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common voting stock held by non-affiliates of the registrant as of June 30, 2024, based on the closing price on that date of $0.456, was $104.1 million.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24, 2025, the registrant had 325,209,085 shares of the Company’s common stock, par value $0.0001,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814705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20" w:type="dxa"/>
            <w:vAlign w:val="bottom"/>
            <w:gridSpan w:val="9"/>
          </w:tcPr>
          <w:p>
            <w:pPr>
              <w:ind w:left="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19"/>
                <w:szCs w:val="19"/>
                <w:color w:val="auto"/>
              </w:rPr>
            </w:pPr>
          </w:p>
        </w:tc>
      </w:tr>
      <w:tr>
        <w:trPr>
          <w:trHeight w:val="470"/>
        </w:trPr>
        <w:tc>
          <w:tcPr>
            <w:tcW w:w="10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11"/>
        </w:trPr>
        <w:tc>
          <w:tcPr>
            <w:tcW w:w="1040" w:type="dxa"/>
            <w:vAlign w:val="bottom"/>
            <w:shd w:val="clear" w:color="auto" w:fill="CCEEFF"/>
          </w:tcPr>
          <w:p>
            <w:pPr>
              <w:spacing w:after="0"/>
              <w:rPr>
                <w:sz w:val="18"/>
                <w:szCs w:val="18"/>
                <w:color w:val="auto"/>
              </w:rPr>
            </w:pPr>
          </w:p>
        </w:tc>
        <w:tc>
          <w:tcPr>
            <w:tcW w:w="9400" w:type="dxa"/>
            <w:vAlign w:val="bottom"/>
            <w:gridSpan w:val="27"/>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FF"/>
              </w:rPr>
              <w:t>PART I</w:t>
            </w:r>
          </w:p>
        </w:tc>
        <w:tc>
          <w:tcPr>
            <w:tcW w:w="800" w:type="dxa"/>
            <w:vAlign w:val="bottom"/>
            <w:shd w:val="clear" w:color="auto" w:fill="CCEEFF"/>
          </w:tcPr>
          <w:p>
            <w:pPr>
              <w:spacing w:after="0"/>
              <w:rPr>
                <w:sz w:val="18"/>
                <w:szCs w:val="18"/>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193"/>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Business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1</w:t>
            </w:r>
          </w:p>
        </w:tc>
      </w:tr>
      <w:tr>
        <w:trPr>
          <w:trHeight w:val="32"/>
        </w:trPr>
        <w:tc>
          <w:tcPr>
            <w:tcW w:w="10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13</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1B.</w:t>
            </w:r>
          </w:p>
        </w:tc>
        <w:tc>
          <w:tcPr>
            <w:tcW w:w="1960" w:type="dxa"/>
            <w:vAlign w:val="bottom"/>
            <w:tcBorders>
              <w:bottom w:val="single" w:sz="8" w:color="0000FF"/>
            </w:tcBorders>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Unresolved Staff Comments</w:t>
            </w:r>
          </w:p>
        </w:tc>
        <w:tc>
          <w:tcPr>
            <w:tcW w:w="7440" w:type="dxa"/>
            <w:vAlign w:val="bottom"/>
            <w:tcBorders>
              <w:bottom w:val="single" w:sz="8" w:color="CCEEFF"/>
            </w:tcBorders>
            <w:gridSpan w:val="12"/>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52</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1C.</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Cybersecurity</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52</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700" w:type="dxa"/>
            <w:vAlign w:val="bottom"/>
            <w:tcBorders>
              <w:bottom w:val="single" w:sz="8" w:color="0000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w w:val="98"/>
              </w:rPr>
              <w:t>Properties</w:t>
            </w:r>
          </w:p>
        </w:tc>
        <w:tc>
          <w:tcPr>
            <w:tcW w:w="8700" w:type="dxa"/>
            <w:vAlign w:val="bottom"/>
            <w:tcBorders>
              <w:bottom w:val="single" w:sz="8" w:color="CCEEFF"/>
            </w:tcBorders>
            <w:gridSpan w:val="21"/>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54</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Legal Proceedings</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55</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Mine Safety Disclosures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55</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II</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Market for the Registrant’s Common Equity and Related Matters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56</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4460" w:type="dxa"/>
            <w:vAlign w:val="bottom"/>
            <w:tcBorders>
              <w:top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7"/>
                <w:szCs w:val="17"/>
                <w:color w:val="0000FF"/>
              </w:rPr>
              <w:t>[Reserved]</w:t>
            </w:r>
          </w:p>
        </w:tc>
        <w:tc>
          <w:tcPr>
            <w:tcW w:w="4940" w:type="dxa"/>
            <w:vAlign w:val="bottom"/>
            <w:tcBorders>
              <w:top w:val="single" w:sz="8" w:color="CCEEFF"/>
            </w:tcBorders>
            <w:gridSpan w:val="6"/>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57</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7.</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57</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7A.</w:t>
            </w:r>
          </w:p>
        </w:tc>
        <w:tc>
          <w:tcPr>
            <w:tcW w:w="6160" w:type="dxa"/>
            <w:vAlign w:val="bottom"/>
            <w:tcBorders>
              <w:top w:val="single" w:sz="8" w:color="0000FF"/>
            </w:tcBorders>
            <w:gridSpan w:val="25"/>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24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70</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8.</w:t>
            </w:r>
          </w:p>
        </w:tc>
        <w:tc>
          <w:tcPr>
            <w:tcW w:w="3180" w:type="dxa"/>
            <w:vAlign w:val="bottom"/>
            <w:tcBorders>
              <w:bottom w:val="single" w:sz="8" w:color="0000FF"/>
            </w:tcBorders>
            <w:gridSpan w:val="1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6220" w:type="dxa"/>
            <w:vAlign w:val="bottom"/>
            <w:tcBorders>
              <w:bottom w:val="single" w:sz="8" w:color="CCEEFF"/>
            </w:tcBorders>
            <w:gridSpan w:val="9"/>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F-1</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9A.</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76</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9B.</w:t>
            </w:r>
          </w:p>
        </w:tc>
        <w:tc>
          <w:tcPr>
            <w:tcW w:w="1680" w:type="dxa"/>
            <w:vAlign w:val="bottom"/>
            <w:tcBorders>
              <w:top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7720" w:type="dxa"/>
            <w:vAlign w:val="bottom"/>
            <w:tcBorders>
              <w:top w:val="single" w:sz="8" w:color="CCEEFF"/>
            </w:tcBorders>
            <w:gridSpan w:val="14"/>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79</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9C.</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79</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III</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10.</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80</w:t>
            </w:r>
          </w:p>
        </w:tc>
      </w:tr>
      <w:tr>
        <w:trPr>
          <w:trHeight w:val="193"/>
        </w:trPr>
        <w:tc>
          <w:tcPr>
            <w:tcW w:w="104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11.</w:t>
            </w:r>
          </w:p>
        </w:tc>
        <w:tc>
          <w:tcPr>
            <w:tcW w:w="3900" w:type="dxa"/>
            <w:vAlign w:val="bottom"/>
            <w:tcBorders>
              <w:top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7"/>
                <w:szCs w:val="17"/>
                <w:color w:val="0000FF"/>
              </w:rPr>
              <w:t>Executive Compensation</w:t>
            </w:r>
          </w:p>
        </w:tc>
        <w:tc>
          <w:tcPr>
            <w:tcW w:w="5500" w:type="dxa"/>
            <w:vAlign w:val="bottom"/>
            <w:tcBorders>
              <w:top w:val="single" w:sz="8" w:color="CCEEFF"/>
            </w:tcBorders>
            <w:gridSpan w:val="8"/>
          </w:tcPr>
          <w:p>
            <w:pPr>
              <w:spacing w:after="0"/>
              <w:rPr>
                <w:sz w:val="16"/>
                <w:szCs w:val="16"/>
                <w:color w:val="auto"/>
              </w:rPr>
            </w:pPr>
          </w:p>
        </w:tc>
        <w:tc>
          <w:tcPr>
            <w:tcW w:w="80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83</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3"/>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12.</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92</w:t>
            </w:r>
          </w:p>
        </w:tc>
      </w:tr>
      <w:tr>
        <w:trPr>
          <w:trHeight w:val="32"/>
        </w:trPr>
        <w:tc>
          <w:tcPr>
            <w:tcW w:w="10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13.</w:t>
            </w:r>
          </w:p>
        </w:tc>
        <w:tc>
          <w:tcPr>
            <w:tcW w:w="9400" w:type="dxa"/>
            <w:vAlign w:val="bottom"/>
            <w:gridSpan w:val="27"/>
          </w:tcPr>
          <w:p>
            <w:pPr>
              <w:spacing w:after="0" w:line="194"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94</w:t>
            </w:r>
          </w:p>
        </w:tc>
      </w:tr>
      <w:tr>
        <w:trPr>
          <w:trHeight w:val="32"/>
        </w:trPr>
        <w:tc>
          <w:tcPr>
            <w:tcW w:w="104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14.</w:t>
            </w: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95</w:t>
            </w: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shd w:val="clear" w:color="auto" w:fill="CCEEFF"/>
          </w:tcPr>
          <w:p>
            <w:pPr>
              <w:spacing w:after="0"/>
              <w:rPr>
                <w:sz w:val="19"/>
                <w:szCs w:val="19"/>
                <w:color w:val="auto"/>
              </w:rPr>
            </w:pPr>
          </w:p>
        </w:tc>
        <w:tc>
          <w:tcPr>
            <w:tcW w:w="9400" w:type="dxa"/>
            <w:vAlign w:val="bottom"/>
            <w:gridSpan w:val="2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PART IV</w:t>
            </w:r>
          </w:p>
        </w:tc>
        <w:tc>
          <w:tcPr>
            <w:tcW w:w="800" w:type="dxa"/>
            <w:vAlign w:val="bottom"/>
            <w:shd w:val="clear" w:color="auto" w:fill="CCEEFF"/>
          </w:tcPr>
          <w:p>
            <w:pPr>
              <w:spacing w:after="0"/>
              <w:rPr>
                <w:sz w:val="19"/>
                <w:szCs w:val="19"/>
                <w:color w:val="auto"/>
              </w:rPr>
            </w:pPr>
          </w:p>
        </w:tc>
      </w:tr>
      <w:tr>
        <w:trPr>
          <w:trHeight w:val="297"/>
        </w:trPr>
        <w:tc>
          <w:tcPr>
            <w:tcW w:w="104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25"/>
        </w:trPr>
        <w:tc>
          <w:tcPr>
            <w:tcW w:w="10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15.</w:t>
            </w:r>
          </w:p>
        </w:tc>
        <w:tc>
          <w:tcPr>
            <w:tcW w:w="3020" w:type="dxa"/>
            <w:vAlign w:val="bottom"/>
            <w:tcBorders>
              <w:bottom w:val="single" w:sz="8" w:color="0000FF"/>
            </w:tcBorders>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380" w:type="dxa"/>
            <w:vAlign w:val="bottom"/>
            <w:tcBorders>
              <w:bottom w:val="single" w:sz="8" w:color="CCEEFF"/>
            </w:tcBorders>
            <w:gridSpan w:val="10"/>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97</w:t>
            </w:r>
          </w:p>
        </w:tc>
      </w:tr>
      <w:tr>
        <w:trPr>
          <w:trHeight w:val="193"/>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16.</w:t>
            </w:r>
          </w:p>
        </w:tc>
        <w:tc>
          <w:tcPr>
            <w:tcW w:w="148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0000FF"/>
                <w:w w:val="99"/>
              </w:rPr>
              <w:t>Form 10-K Summary</w:t>
            </w:r>
          </w:p>
        </w:tc>
        <w:tc>
          <w:tcPr>
            <w:tcW w:w="7920" w:type="dxa"/>
            <w:vAlign w:val="bottom"/>
            <w:gridSpan w:val="15"/>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34"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17"/>
          <w:szCs w:val="17"/>
          <w:color w:val="auto"/>
        </w:rPr>
        <w:t>This annual report on Form 10-K (the “Annual Report”) contains “forward-looking statements” within the meaning of the Private Securities Litigation Reform Act of 1995. Such statements include, but are not limited to, statements about our future results of operations and financial position, our operational performance, our anticipated growth and business strategy, our future capital expenditures and debt service obligations, the projected costs, prospects and plans and objectives of management for future operations, including regarding expected growth and demand for our batteries and energy storage solutions and introduction of new batteries and energy storage solutions, the adoption of such offerings by customers, our expectations relating to backlog, pipeline and contracted backlog, our ability to implement our remediation plan in connection with the material weakness in our internal control over financial reporting, current expectations relating to legal proceedings and anticipated impacts and benefits from the Inflation Reduction Act of 2022 as well as any other proposed or recently enacted legislation. In some cases, you may also identify forward-looking statements by words such as “anticipate,” “believe,”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In addition to factors identified elsewhere in this Annual Report, the following factors, among others, could cause actual results and the timing of events to differ materially from the anticipated results or other expectations expressed in the forward-looking statements:</w:t>
      </w:r>
    </w:p>
    <w:p>
      <w:pPr>
        <w:spacing w:after="0" w:line="151" w:lineRule="exact"/>
        <w:rPr>
          <w:sz w:val="20"/>
          <w:szCs w:val="20"/>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 going concern;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may not be able to execute our growth strategies or achieve profitability;</w:t>
      </w:r>
    </w:p>
    <w:p>
      <w:pPr>
        <w:spacing w:after="0" w:line="217" w:lineRule="exact"/>
        <w:rPr>
          <w:rFonts w:ascii="Times New Roman" w:cs="Times New Roman" w:eastAsia="Times New Roman" w:hAnsi="Times New Roman"/>
          <w:sz w:val="17"/>
          <w:szCs w:val="17"/>
          <w:color w:val="auto"/>
        </w:rPr>
      </w:pPr>
    </w:p>
    <w:p>
      <w:pPr>
        <w:ind w:left="940" w:right="28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may be unable to meet our future capital requirements and we may require additional capital to support our business growth, and this capital might not be available on acceptable terms, or at all;</w:t>
      </w:r>
    </w:p>
    <w:p>
      <w:pPr>
        <w:spacing w:after="0" w:line="17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difficulties in maintaining manufacturing capacity and establishing expected mass manufacturing capacity in the future;</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delays, disruptions and quality control problems in our manufacturing operations;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in our existing and any future credit facilities;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operations in China;</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mechanics liens filed by contractors that we do not have sufficient funds to pay;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existing and future litigation;</w:t>
      </w:r>
    </w:p>
    <w:p>
      <w:pPr>
        <w:spacing w:after="0" w:line="217"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increases in interest rates and associated Federal Reserve policies, a potential economic recession, and the impact of inflation on our business;</w:t>
      </w:r>
    </w:p>
    <w:p>
      <w:pPr>
        <w:spacing w:after="0" w:line="151" w:lineRule="exact"/>
        <w:rPr>
          <w:rFonts w:ascii="Times New Roman" w:cs="Times New Roman" w:eastAsia="Times New Roman" w:hAnsi="Times New Roman"/>
          <w:sz w:val="17"/>
          <w:szCs w:val="17"/>
          <w:color w:val="auto"/>
        </w:rPr>
      </w:pPr>
    </w:p>
    <w:p>
      <w:pPr>
        <w:ind w:left="940" w:right="560" w:hanging="318"/>
        <w:spacing w:after="0" w:line="287" w:lineRule="auto"/>
        <w:tabs>
          <w:tab w:leader="none" w:pos="9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highly competitive market in which we compete, including with respect to our competitive landscape, technology evolution or regulatory changes;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availability and price of raw materials;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relations, including the ability to attract, hire and retain key employees and contract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awareness of environmental issues and concern about global warming and climate change;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are unable to secure or protect our intellectual property;</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customers or third-party suppliers are unable to meet their obligations fully or in a timely manner;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possible future reductions in pricing or order volume or loss of one or more of our significant customers;</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status as a relatively low-volume purchaser as well as from supplier concentration and limited supplier capacity;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customers will adjust, cancel or suspend their orders for our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ability to attract new customers and retain existing customers;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lengthy sales cycle for our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product liability or regulatory lawsuits or proceedings relating to our products or services;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reputation and brand recognition;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information technology and operational technology systems and practices to detect and defend against evolving cyberattacks;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laws regarding cybersecurity and data privacy, and any cybersecurity threat or event;</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and associated cost of compliance with existing and future laws and governmental regulations, such as the IRA;</w:t>
      </w:r>
    </w:p>
    <w:p>
      <w:pPr>
        <w:spacing w:after="0" w:line="217" w:lineRule="exact"/>
        <w:rPr>
          <w:rFonts w:ascii="Times New Roman" w:cs="Times New Roman" w:eastAsia="Times New Roman" w:hAnsi="Times New Roman"/>
          <w:sz w:val="17"/>
          <w:szCs w:val="17"/>
          <w:color w:val="auto"/>
        </w:rPr>
      </w:pPr>
    </w:p>
    <w:p>
      <w:pPr>
        <w:ind w:left="940" w:right="520" w:hanging="318"/>
        <w:spacing w:after="0" w:line="28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whether renewable energy technologies are suitable for widespread adoption or if sufficient demand for our offerings does not develop or takes longer to develop than we anticipate;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financial and other impacts such as a pandemic, including global supply chain disruptions;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geopolitical events, including the ongoing conflicts between Russia and Ukraine and in the Middle East.</w:t>
      </w:r>
    </w:p>
    <w:p>
      <w:pPr>
        <w:spacing w:after="0" w:line="217"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67" w:lineRule="exact"/>
        <w:rPr>
          <w:sz w:val="20"/>
          <w:szCs w:val="20"/>
          <w:color w:val="auto"/>
        </w:rPr>
      </w:pPr>
    </w:p>
    <w:p>
      <w:pPr>
        <w:ind w:right="18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Industry Specific Defined Terms</w:t>
      </w:r>
    </w:p>
    <w:p>
      <w:pPr>
        <w:spacing w:after="0" w:line="234"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“Ah” refers to ampere hour;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refers to degrees measured in Celsius;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“BMS” refers to the battery management system;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“ESS” refers to utility-scale energy storage systems;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 refers to an electric vehicle;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“FCG” refers to the full concentration gradient;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“GHG” refers to greenhouse gas;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“GWh” refers to gigawatt hours;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“KWh” refers to kilowatt-hour;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“LFP” refers to lithium iron phosphate;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refers to lithium titanate oxide;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“MWh” refers to megawatt hours;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 refers to nickel manganese cobalt-based products generally;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“NMC-1” refers to nickel manganese cobalt version 1;</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“NMC-2” refers to nickel manganese cobalt version 2;</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“OEMs” refers to original equipment manufacturers;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“Wh/l” refers to watt hours per liter; and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“Wh/kg” refers to watt hours per kilogram.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Defined Terms</w:t>
      </w:r>
    </w:p>
    <w:p>
      <w:pPr>
        <w:spacing w:after="0" w:line="234"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"2012 Plan" refers to the Microvast Holdings, Inc. 2012 Share Incentive Plan;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Plan” refers to the Microvast Holdings, Inc. 2021 Equity Incentive Plan;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Facility Agreement" refers to the loan facilities agreement entered into with a group of lenders led by a bank in China;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Director Compensation Policy" refers to the non-employee director compensation policy adopted by the Board on March 30, 2024;</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LTI" refers to the 2024 long-term incentive awards approved pursuant to the 2021 Plan;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"AAA" refers to the American Arbitration Association;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 refers to this annual report for the year ended December 31, 2024 filed on Form 10-K;</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RSUs” refers to an annual award of restricted stock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refers to Accounting Standards Codifications;</w:t>
      </w:r>
    </w:p>
    <w:p>
      <w:pPr>
        <w:sectPr>
          <w:pgSz w:w="11900" w:h="16838" w:orient="portrait"/>
          <w:cols w:equalWidth="0" w:num="1">
            <w:col w:w="10139"/>
          </w:cols>
          <w:pgMar w:left="320" w:top="1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360" refers to the ASC titled "Property, Plant and Equipment";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805" refers to the ASC titled "Business Combinations";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refers to Accounting Standards Updates;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2023-07" refers to the ASU titled "Improvements to Reportable Segment Disclosures";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"ASU 2023-09" refers to the ASU titled "Improvements to Income Tax Disclosures";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"Aurora" refers to Aurora Sheen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refers to the board of directors of Microvast Holdings, Inc.;</w:t>
      </w:r>
    </w:p>
    <w:p>
      <w:pPr>
        <w:spacing w:after="0" w:line="217"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refers to the business combination pursuant to the Agreement and Plan of Merger dated February 1, 2021, between Tuscan, Microvast, Inc. and TSCN Merger Sub Inc.;</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“CAC” refers to the Cyberspace Administration of China;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 refers to compensation actually paid;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"CDH Investment" refers to CDH Investment Management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"CEO" refers to our chief executive officer;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"CII" refers to critical information infrastructure;</w:t>
      </w:r>
    </w:p>
    <w:p>
      <w:pPr>
        <w:spacing w:after="0" w:line="229" w:lineRule="exact"/>
        <w:rPr>
          <w:rFonts w:ascii="Times New Roman" w:cs="Times New Roman" w:eastAsia="Times New Roman" w:hAnsi="Times New Roman"/>
          <w:sz w:val="17"/>
          <w:szCs w:val="17"/>
          <w:color w:val="auto"/>
        </w:rPr>
      </w:pPr>
    </w:p>
    <w:p>
      <w:pPr>
        <w:ind w:left="620" w:right="280" w:hanging="307"/>
        <w:spacing w:after="0" w:line="27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"Circular 43" refers to the CSRC release titled "Trial Measures for the Administration of Overseas Issuance and Listing of Securities by Domestic Enterprises";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"Clarksville Property" refers to our property in Clarksville, Tennessee;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Date" refers to July 23, 2021, the date of the merger between Microvast, Inc. and Tuscan;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"CODM" refers to the Chief Operating Decision Makers of the Group;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refers to Microvast Holdings, Inc. and its subsidiaries;</w:t>
      </w:r>
    </w:p>
    <w:p>
      <w:pPr>
        <w:spacing w:after="0" w:line="213"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"Consolidated Derivative Action" refers to the litigation captioned </w:t>
      </w:r>
      <w:r>
        <w:rPr>
          <w:rFonts w:ascii="Times New Roman" w:cs="Times New Roman" w:eastAsia="Times New Roman" w:hAnsi="Times New Roman"/>
          <w:sz w:val="17"/>
          <w:szCs w:val="17"/>
          <w:i w:val="1"/>
          <w:iCs w:val="1"/>
          <w:color w:val="auto"/>
        </w:rPr>
        <w:t>In re Microvast Holdings, Inc. Derivative Litigation</w:t>
      </w:r>
      <w:r>
        <w:rPr>
          <w:rFonts w:ascii="Times New Roman" w:cs="Times New Roman" w:eastAsia="Times New Roman" w:hAnsi="Times New Roman"/>
          <w:sz w:val="17"/>
          <w:szCs w:val="17"/>
          <w:color w:val="auto"/>
        </w:rPr>
        <w:t>, Lead Case No. 4:24-cv-00372 (S.D. Tex.);</w:t>
      </w:r>
    </w:p>
    <w:p>
      <w:pPr>
        <w:spacing w:after="0" w:line="1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refers to the coronavirus pandemic;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 refers to the PRC's Cybersecurity Review Office;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“CSRC” refers to the China Securities Regulatory Commission;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"CRSU Modification" refers to the 2022 modification of the CRSUs under the 2021 Plan from cash settlement to share settlement;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"CRSUs" refers to capped non-vested share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"DGCL" refers to Delaware General Corporation Law;</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"Dinghui Equity" refers to Dinghui Equity Investment Management (Tianjin)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 refers to the U.S. Department of Energy;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“DOT” refers to the U.S. Department of Transportation;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"EarlyBird Capital" refers to EarlyBird Capital, Inc.;</w:t>
      </w:r>
    </w:p>
    <w:p>
      <w:pPr>
        <w:sectPr>
          <w:pgSz w:w="11900" w:h="16838" w:orient="portrait"/>
          <w:cols w:equalWidth="0" w:num="1">
            <w:col w:w="10940"/>
          </w:cols>
          <w:pgMar w:left="320" w:top="11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"EGC" refers to an Emerging Growth Company, as defined under the JOBS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 Law" refers to the PRC's Enterprise Income Tax law;</w:t>
      </w:r>
    </w:p>
    <w:p>
      <w:pPr>
        <w:spacing w:after="0" w:line="229" w:lineRule="exact"/>
        <w:rPr>
          <w:rFonts w:ascii="Times New Roman" w:cs="Times New Roman" w:eastAsia="Times New Roman" w:hAnsi="Times New Roman"/>
          <w:sz w:val="17"/>
          <w:szCs w:val="17"/>
          <w:color w:val="auto"/>
        </w:rPr>
      </w:pPr>
    </w:p>
    <w:p>
      <w:pPr>
        <w:ind w:left="620" w:right="480" w:hanging="307"/>
        <w:spacing w:after="0" w:line="27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"Elective RSUs" refers to RSUs that may be granted to non-employee directors, other than Mr. Zheng, in lieu of their annual cash retainer and/or committee chair retainer;</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 refers to the written employee arrangement between the Company and Mr. Yang Wu;</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“EPA” refers to the U.S. Environmental Protection Agency;</w:t>
      </w:r>
    </w:p>
    <w:p>
      <w:pPr>
        <w:spacing w:after="0" w:line="2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 refers to the European Union;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“Elective RSUs” refers to non-employee directors annual cash retainer;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“Escrow Agent” refers to Continental Stock Transfer &amp; Trust Company as escrow agent;</w:t>
      </w:r>
    </w:p>
    <w:p>
      <w:pPr>
        <w:spacing w:after="0" w:line="229" w:lineRule="exact"/>
        <w:rPr>
          <w:rFonts w:ascii="Times New Roman" w:cs="Times New Roman" w:eastAsia="Times New Roman" w:hAnsi="Times New Roman"/>
          <w:sz w:val="17"/>
          <w:szCs w:val="17"/>
          <w:color w:val="auto"/>
        </w:rPr>
      </w:pPr>
    </w:p>
    <w:p>
      <w:pPr>
        <w:ind w:left="620" w:right="300" w:hanging="307"/>
        <w:spacing w:after="0" w:line="27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"Escrow Agreement" refers to the Escrow Agreement between Tuscan, the Company, Continental Stock Transfer &amp; Trust Company and the Tuscan Group;</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"Evergreen" refers to Evergreen Ever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refers to the Securities Exchange Act of 1934, as amended;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"FASB Topic 718" refers to the Financial Account Standards Board ASC Topic 718, Compensation—Stock Compensation";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“FCPA” refers to the Foreign Corrupt Practices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"FERC" refers to the Federal Energy Regulatory Commission;</w:t>
      </w:r>
    </w:p>
    <w:p>
      <w:pPr>
        <w:spacing w:after="0" w:line="229" w:lineRule="exact"/>
        <w:rPr>
          <w:rFonts w:ascii="Times New Roman" w:cs="Times New Roman" w:eastAsia="Times New Roman" w:hAnsi="Times New Roman"/>
          <w:sz w:val="17"/>
          <w:szCs w:val="17"/>
          <w:color w:val="auto"/>
        </w:rPr>
      </w:pPr>
    </w:p>
    <w:p>
      <w:pPr>
        <w:ind w:left="620" w:hanging="307"/>
        <w:spacing w:after="0" w:line="25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refers to the Company's related consolidated statements of operations, comprehensive loss, changes in shareholders’ equity, and cash flows, for each of the three years in the period ended December 31, 2024, and the related notes and the schedule listed in Schedule I of this Annual Report on Form 10-K;</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Amendment" refers to the First Amendment to the Loan Agreement entered into on March 17, 2025;</w:t>
      </w:r>
    </w:p>
    <w:p>
      <w:pPr>
        <w:spacing w:after="0" w:line="217" w:lineRule="exact"/>
        <w:rPr>
          <w:rFonts w:ascii="Times New Roman" w:cs="Times New Roman" w:eastAsia="Times New Roman" w:hAnsi="Times New Roman"/>
          <w:sz w:val="17"/>
          <w:szCs w:val="17"/>
          <w:color w:val="auto"/>
        </w:rPr>
      </w:pPr>
    </w:p>
    <w:p>
      <w:pPr>
        <w:ind w:left="620" w:right="140" w:hanging="307"/>
        <w:spacing w:after="0" w:line="27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Earn-Out Target" refers to the date on which the last sale price of our common stock equals or exceeds $12.00 per share for any 20 trading days within any 30-trading day period following the closing of the Business Combination;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"Founders" refers to Stefan M. Selig, Richard O. Rieger, Amy Butte and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refers to the 6,900,000 founder shares purchased by the Tuscan Group for a purchase price of $25,000 in connection with the IPO;</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“G&amp;A” refers to general and administrative;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refers to U.S. Generally Accepted Accounting Principles;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"GITC" refers to information technology general controls;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"Griffin Holdings" refers to CDH Griffin Holdings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"HFCAA" refers to the Holding Foreign Companies Accountable Act of 2020;</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"HF Holdings" refers to CDH China HF Holdings Company Limited;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“HMR” refers to the DOT’s Hazardous Materials Regulations;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"Hongwei" refers to our majority-owned subsidiary, Huzhou Hongwei New Energy Automobile Co., incorporated in Huzhou, PRC;</w:t>
      </w:r>
    </w:p>
    <w:p>
      <w:pPr>
        <w:sectPr>
          <w:pgSz w:w="11900" w:h="16838" w:orient="portrait"/>
          <w:cols w:equalWidth="0" w:num="1">
            <w:col w:w="11060"/>
          </w:cols>
          <w:pgMar w:left="320" w:top="119" w:right="5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"IATA" refers to the International Air Transport Association;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"ICAO" refers to the International Civil Aviation Organization;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“ICE” refers to an internal combustion engine;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Committee” refers to the members of the investment committee of New Trend;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Tuscan Holdings Corp.’s initial public offering;</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“IRA” refers to the Inflation Reduction Act of 2022;</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 Committee” refers to the investment and risk committee of Evergreen and Aurora;</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"JOBS Act" refers to the Jumpstart Our Business Startups Act of 2012;</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Agreement" refers to the convertible loan agreement between the Company and Mr. Yang Wu;</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refers to the business combination pursuant to the Agreement and Plan of Merger dated February 1, 2021, between Tuscan, Microvast, Inc. and TSCN Merger Sub Inc.;</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refers to the Agreement and Plan of Merger dated February 1, 2021, between Tuscan, Microvast, Inc. and TSCN Merger Sub Inc.;</w:t>
      </w:r>
    </w:p>
    <w:p>
      <w:pPr>
        <w:spacing w:after="0" w:line="229" w:lineRule="exact"/>
        <w:rPr>
          <w:rFonts w:ascii="Times New Roman" w:cs="Times New Roman" w:eastAsia="Times New Roman" w:hAnsi="Times New Roman"/>
          <w:sz w:val="17"/>
          <w:szCs w:val="17"/>
          <w:color w:val="auto"/>
        </w:rPr>
      </w:pPr>
    </w:p>
    <w:p>
      <w:pPr>
        <w:ind w:left="620" w:right="200" w:hanging="307"/>
        <w:spacing w:after="0" w:line="27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 Energy” refers to our energy division incorporated in Colorado and headquartered in Tennessee, that designs, develops and manufactures battery energy storage systems;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 GmbH" refers to Microvast GmbH, our majority-owned subsidiary incorporated in Germany;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 refers to Microvast Power Systems Co. Ltd., our majority-owned subsidiary incorporated in Huzhou, China;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 Solutions" refers to Microvast Power Solutions, Inc., our majority-owned subsidiary incorporated in Texas, U.S.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"MPW" refers to Microvast Precision Works Co., Ltd;</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refers to the NASDAQ stock exchange;</w:t>
      </w:r>
    </w:p>
    <w:p>
      <w:pPr>
        <w:spacing w:after="0" w:line="2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“NEOs” refers to our named executive officers for the year ended December 31, 2024 as defined by the Securities Act;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Trend" refers to Hangzhou CDH New Trend Equity Investment Partnership (Limited Partnership);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"NHTE" refers to a New and High Tech Enterprise, as defined under PRC law;</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"Non-PEO NEOs" refers to non-PEO named executive officers;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refers to bank acceptance notes;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“NPDES” refers to the EPA’s National Pollutant Discharge Elimination System;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"OFAC" refers to the U.S. Department of Treasury's Office of Foreign Assets Control;</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“OSHA” refers to the U.S. Occupational Safety and Health Administration;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"OTTI" refers to an other-than-temporary-impairment, in the context of short-term held-to-maturity investments;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“PCAOB” refers to the Public Company Accounting Oversight Board;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"PEO" refers to our principal executive officer;</w:t>
      </w: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"PHMSA" refers to the U.S. DOT's Pipeline and Hazardous Materials Safety Administration;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"Piccadilly" refers to Piccadilly, L.P.;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"PIK" refers to paid in kind;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"Pound" refers to the Great British Pound;</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refers to the People’s Republic of China;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Warrants" refer to the private placement warrants issued to the Sponsor and EarlyBird Capital;</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“PSUs” refers to performance stock units;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Warrants" refers to the publicly-traded warrants issued in connection with Tuscan's IPO;</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"PURPA" refers to the Public Utility Regulatory Policies Act;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“R&amp;D” refers to research and development;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“RMB" refers to Renminbi;</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refers to restricted stock units;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refers to the U.S. Securities and Exchange Commission;</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Earn-Out Target" refers to the date on which the last sale price of our common stock equals or exceeds $15.00 per share for any 20 trading days within any 30-trading day period following the closing of the Business Combination;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refers to the Securities Act of 1933, as amended;</w:t>
      </w:r>
    </w:p>
    <w:p>
      <w:pPr>
        <w:spacing w:after="0" w:line="22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"Schelling Action" refers to the litigation captioned </w:t>
      </w:r>
      <w:r>
        <w:rPr>
          <w:rFonts w:ascii="Times New Roman" w:cs="Times New Roman" w:eastAsia="Times New Roman" w:hAnsi="Times New Roman"/>
          <w:sz w:val="17"/>
          <w:szCs w:val="17"/>
          <w:i w:val="1"/>
          <w:iCs w:val="1"/>
          <w:color w:val="auto"/>
        </w:rPr>
        <w:t>Schelling v. Microvast Holdings, Inc.,</w:t>
      </w:r>
      <w:r>
        <w:rPr>
          <w:rFonts w:ascii="Times New Roman" w:cs="Times New Roman" w:eastAsia="Times New Roman" w:hAnsi="Times New Roman"/>
          <w:sz w:val="17"/>
          <w:szCs w:val="17"/>
          <w:color w:val="auto"/>
        </w:rPr>
        <w:t xml:space="preserve"> Case No. 4:23-cv-04565 (S.D. Tex.) (filed Dec. 5, 2023);</w:t>
      </w:r>
    </w:p>
    <w:p>
      <w:pPr>
        <w:spacing w:after="0" w:line="2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"SCT" refers to the summary compensation table;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"Shanghai Baifu" refers to CDH Shanghai Baifu Wealth Management Company;</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"Shanghai Dinghui" refers to Shanghai Dinghui Pingxun Investment Partnership (LLP);</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refers to to the Secured Overnight Financing Rate;</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refers to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"SRC" refers to a smaller reporting company, as defined in the Exchange Act;</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Agreement” refers to the agreement, entered into on July 23, 2021, by and among Microvast Holdings, Inc., Tuscan Holdings Acquisition LLC and Mr. Yang Wu;</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Incentive Plan" refers to the Microvast, Inc. Stock Incentive Plan;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“TCO” refers to the total cost of ownership;</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“TSR” refers to total stockholder return;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Director” refers to Stephen Vogel as the director nominated by the Tuscan Group under the terms of the Stockholders Agreement;</w:t>
      </w:r>
    </w:p>
    <w:p>
      <w:pPr>
        <w:sectPr>
          <w:pgSz w:w="11900" w:h="16838" w:orient="portrait"/>
          <w:cols w:equalWidth="0" w:num="1">
            <w:col w:w="11100"/>
          </w:cols>
          <w:pgMar w:left="320" w:top="119" w:right="4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right="120" w:hanging="307"/>
        <w:spacing w:after="0" w:line="271"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refers to Tuscan Holdings Corp, a Delaware corporation established in November 2018 for the purpose of effecting a merger, capital stock exchange, asset acquisition, stock purchase, reorganization, or similar business combination with one or more businesses;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“Tuscan Group” refers to Stefan M. Selig, Richard O. Rieger, Amy Butte and Tuscan Holdings Acquisition LLC;</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refers to the United Kingdom;</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refers to the United States of America;</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Dollar" refers to the United States Dollar;</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 Act" refers to the U.S. Worker Adjustment and Notification Act of 1988;</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refers to both the Public and Private Warrants;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“WFOE” or “wholly foreign owned enterprises” refers to a company incorporated in China and wholly-owned by one or more foreign investors; and</w:t>
      </w:r>
    </w:p>
    <w:p>
      <w:pPr>
        <w:spacing w:after="0" w:line="229" w:lineRule="exact"/>
        <w:rPr>
          <w:rFonts w:ascii="Times New Roman" w:cs="Times New Roman" w:eastAsia="Times New Roman" w:hAnsi="Times New Roman"/>
          <w:sz w:val="17"/>
          <w:szCs w:val="17"/>
          <w:color w:val="auto"/>
        </w:rPr>
      </w:pPr>
    </w:p>
    <w:p>
      <w:pPr>
        <w:ind w:left="620" w:hanging="307"/>
        <w:spacing w:after="0" w:line="271"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“Wu Directors” refers to the directors Yang Wu has nominated under the terms of the Stockholders Agreement, which currently include Yang Wu and Arthur Wong.</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34"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Microvast Holdings, Inc. is an advanced battery technology company, headquartered in Stafford, Texas, and publicly traded on the NASDAQ under the ticker symbol MVST. We specialize in the design, development, and manufacturing of battery components and systems primarily for electric commercial vehicles and utility-scale energy storage systems ("ESS").</w:t>
      </w:r>
    </w:p>
    <w:p>
      <w:pPr>
        <w:spacing w:after="0" w:line="204"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Founded in 2006, Microvast was built on a guiding principle that remains central to our mission today: to innovate lithium-ion battery designs without relying on past technologies. We call this true innovation. We started without preconceived notions of lithium-ion battery creation, unlike many companies that repurposed legacy technologies for new markets like electric vehicles – a process we consider product development rather than true innovation. To understand this difference is to understand what we have set out to achieve.</w:t>
      </w:r>
    </w:p>
    <w:p>
      <w:pPr>
        <w:spacing w:after="0" w:line="191"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Our mission is to accelerate the global transition to electrification by delivering innovative battery solutions that support the adoption of electric vehicles and renewable energy. A key strategic focus is to be in a position to lead U.S. domestic battery production, reducing reliance on overseas suppliers, and strengthening national energy independence. We believe continuous investment in our technology and operations will deliver long-term targeted revenue and income growth.</w:t>
      </w:r>
    </w:p>
    <w:p>
      <w:pPr>
        <w:spacing w:after="0" w:line="19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Through a vertically integrated approach, we have developed proprietary technologies spanning the entire battery system—from the core cell materials - including cathodes, anodes, electrolytes, and separators - to cells, modules, packs, energy storage containers, thermal management systems, battery management systems, high voltage control boxes, and more. Our expertise has driven advancements in ultra-fast charging, high energy density, long lifespan, and safety— critical factors for commercial transportation and ESS applications.</w:t>
      </w:r>
    </w:p>
    <w:p>
      <w:pPr>
        <w:spacing w:after="0" w:line="204" w:lineRule="exact"/>
        <w:rPr>
          <w:sz w:val="20"/>
          <w:szCs w:val="20"/>
          <w:color w:val="auto"/>
        </w:rPr>
      </w:pPr>
    </w:p>
    <w:p>
      <w:pPr>
        <w:ind w:right="560" w:firstLine="619"/>
        <w:spacing w:after="0" w:line="271" w:lineRule="auto"/>
        <w:rPr>
          <w:sz w:val="20"/>
          <w:szCs w:val="20"/>
          <w:color w:val="auto"/>
        </w:rPr>
      </w:pPr>
      <w:r>
        <w:rPr>
          <w:rFonts w:ascii="Times New Roman" w:cs="Times New Roman" w:eastAsia="Times New Roman" w:hAnsi="Times New Roman"/>
          <w:sz w:val="17"/>
          <w:szCs w:val="17"/>
          <w:color w:val="auto"/>
        </w:rPr>
        <w:t>We are expanding our production of battery systems and components, with an increased emphasis on ESS solutions to support the broader shift to electrification. Our goal is to become a global leader in ESS, bridging the gap between EVs and renewable energy.</w:t>
      </w:r>
    </w:p>
    <w:p>
      <w:pPr>
        <w:spacing w:after="0" w:line="177" w:lineRule="exact"/>
        <w:rPr>
          <w:sz w:val="20"/>
          <w:szCs w:val="20"/>
          <w:color w:val="auto"/>
        </w:rPr>
      </w:pPr>
    </w:p>
    <w:p>
      <w:pPr>
        <w:ind w:right="320" w:firstLine="619"/>
        <w:spacing w:after="0" w:line="254" w:lineRule="auto"/>
        <w:rPr>
          <w:sz w:val="20"/>
          <w:szCs w:val="20"/>
          <w:color w:val="auto"/>
        </w:rPr>
      </w:pPr>
      <w:r>
        <w:rPr>
          <w:rFonts w:ascii="Times New Roman" w:cs="Times New Roman" w:eastAsia="Times New Roman" w:hAnsi="Times New Roman"/>
          <w:sz w:val="17"/>
          <w:szCs w:val="17"/>
          <w:color w:val="auto"/>
        </w:rPr>
        <w:t>One of our recent innovations is our high-energy nickel manganese cobalt ("NMC") 53.5 ampere-hour battery cell (the “53.5Ah”). We believe its advanced performance characteristics make it an optimal solution for both commercial vehicle and ESS applications. To bring this product to market, we have made substantial investments in capacity expansion in Huzhou, China, where we operate fully automated production equipment that delivers significant operational efficiencies.</w:t>
      </w:r>
    </w:p>
    <w:p>
      <w:pPr>
        <w:spacing w:after="0" w:line="204"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previous years, we made significant investments in our capacity expansion in Clarksville, Tennessee and by the fourth quarter of 2023 had started to install certain sections of the production line. However, progress on certain third party construction workstreams as well as taking delivery and possession of further equipment started to be impacted toward the end of the fourth quarter of 2023 due to the required funding to complete the project not being secured. Ultimately, in the second quarter of 2024, we paused construction efforts on the Clarksville development due to insufficient funding. We made a strategic decision to pivot from the originally planned production of NMC production in Clarksville, Tennessee to the 565Ah lithium iron phosphate ("LFP") battery. We also consolidated our ESS operations previously in Colorado to Clarksville, Tennessee in order to enhance operational efficiencies and speed of deliveries for our U.S. business.</w:t>
      </w:r>
    </w:p>
    <w:p>
      <w:pPr>
        <w:spacing w:after="0" w:line="18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August 2024, we introduced the Mega Energizer 6 MWh ("ME6") ESS container, featuring the LFP battery. The shift toward LFP technology for the U.S. ESS market is a strategic decision. The ME6 system offers a cycle life exceeding 10,000 cycles, a lifespan of up to 30 years, compact storage capabilities (6 megawatt hours ("MWh"), and enhanced reliability through IP55, C4, and nitrogen protection features. The adoption of LFP batteries provides lower costs, greater safety, and environmental benefits compared to NMC technology, further supporting our sustainability goals. Although construction progress has been negatively impacted by funding constraints, our goal is that our Clarksville, Tennessee facility will be our major production facility for LFP cells once financing is secured and the facility is completed.</w:t>
      </w:r>
    </w:p>
    <w:p>
      <w:pPr>
        <w:spacing w:after="0" w:line="21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January 2025, we announced what we believe is a major breakthrough in solid-state battery technology. This innovation represents a paradigm shift, delivering higher energy density for extended range and improved efficiency, enhanced safety by eliminating risks associated with thermal runaway, and faster charging capabilities with an extended cycle life. We plan to make substantial investments in research and development ("R&amp;D") to accelerate commercialization, with applications spanning EVs, grid storage, and high-performance energy systems.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For the year ended December 31, 2024, our revenue increased by $73.2 million, reaching $379.8 million, a 24% year-over-year increase. Additionally, our order backlog stood at $401.3 million, with the majority of these orders expected to be fulfilled in 2025 and 2026. As we continue to expand production capacity and advance next-generation battery technologies, we remain committed to driving electrification, fostering innovation, and supporting long-term sustainable growth.</w:t>
      </w:r>
    </w:p>
    <w:p>
      <w:pPr>
        <w:spacing w:after="0" w:line="395"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remain committed to driving battery innovation, scaling global production, and delivering high-performance sustainable energy solutions that power the future of mobility and energy storage.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Applications</w:t>
      </w:r>
    </w:p>
    <w:p>
      <w:pPr>
        <w:spacing w:after="0" w:line="234"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We are focusing on electrification with battery technologies designed to revolutionize three core sectors: electric commercial vehicles, ESS, and battery components. Our solutions empower industries to transition to cleaner, more efficient power sources, unlocking new levels of performance, longevity, and cost efficiency.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Electric Commercial Vehicles</w:t>
      </w:r>
    </w:p>
    <w:p>
      <w:pPr>
        <w:spacing w:after="0" w:line="247"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We design, develop, and manufacture high-performance battery solutions for light, medium, and heavy-duty trucks, buses, trains, mining trucks, marine and port vehicles, automated guided vehicles, and specialty vehicles. Our advanced lithium-ion battery systems integrate ultra-fast charging, high energy density, extended lifespan, and industry-exceeding safety standards.</w:t>
      </w:r>
    </w:p>
    <w:p>
      <w:pPr>
        <w:spacing w:after="0" w:line="178"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Our battery technology enables rapid charging from 10% to 80% in just 10 to 30 minutes, significantly reducing vehicle downtime. This ultra-fast charging capability is critical for industries requiring continuous fleet operation, such as logistics, ports, warehouses, and mass transit systems, where substantial downtime is not an option.</w:t>
      </w:r>
    </w:p>
    <w:p>
      <w:pPr>
        <w:spacing w:after="0" w:line="204" w:lineRule="exact"/>
        <w:rPr>
          <w:sz w:val="20"/>
          <w:szCs w:val="20"/>
          <w:color w:val="auto"/>
        </w:rPr>
      </w:pPr>
    </w:p>
    <w:p>
      <w:pPr>
        <w:ind w:right="220" w:firstLine="619"/>
        <w:spacing w:after="0" w:line="248" w:lineRule="auto"/>
        <w:rPr>
          <w:sz w:val="20"/>
          <w:szCs w:val="20"/>
          <w:color w:val="auto"/>
        </w:rPr>
      </w:pPr>
      <w:r>
        <w:rPr>
          <w:rFonts w:ascii="Times New Roman" w:cs="Times New Roman" w:eastAsia="Times New Roman" w:hAnsi="Times New Roman"/>
          <w:sz w:val="17"/>
          <w:szCs w:val="17"/>
          <w:color w:val="auto"/>
        </w:rPr>
        <w:t>Microvast batteries are engineered to align with the full operational lifespan of commercial vehicles, eliminating the need for mid-cycle battery replacements. Our batteries are engineered for high durability and longevity, with performance validated for extended service life in the field. Our advanced cell chemistry and proprietary thermal management allow for a greater lifespan than many other competing products, which typically have a lifespan of five to six years.</w:t>
      </w:r>
    </w:p>
    <w:p>
      <w:pPr>
        <w:spacing w:after="0" w:line="210"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The extended lifecycle of Microvast battery solutions translates into lower long-term costs for fleet operators, reducing the frequency of battery replacements and minimizing total system expenditures. This advantage is particularly significant in applications where high energy throughput and continuous operation are required, such as public transportation, heavy-duty trucking, and port electrification.</w:t>
      </w:r>
    </w:p>
    <w:p>
      <w:pPr>
        <w:spacing w:after="0" w:line="204" w:lineRule="exact"/>
        <w:rPr>
          <w:sz w:val="20"/>
          <w:szCs w:val="20"/>
          <w:color w:val="auto"/>
        </w:rPr>
      </w:pPr>
    </w:p>
    <w:p>
      <w:pPr>
        <w:jc w:val="both"/>
        <w:ind w:right="440" w:firstLine="619"/>
        <w:spacing w:after="0" w:line="254" w:lineRule="auto"/>
        <w:rPr>
          <w:sz w:val="20"/>
          <w:szCs w:val="20"/>
          <w:color w:val="auto"/>
        </w:rPr>
      </w:pPr>
      <w:r>
        <w:rPr>
          <w:rFonts w:ascii="Times New Roman" w:cs="Times New Roman" w:eastAsia="Times New Roman" w:hAnsi="Times New Roman"/>
          <w:sz w:val="17"/>
          <w:szCs w:val="17"/>
          <w:color w:val="auto"/>
        </w:rPr>
        <w:t>Fleet operators prioritize total cost of ownership ("TCO") metrics when evaluating battery solutions as an alternative to internal combustion engines ("ICEs"). Our combination of ultra-fast charging, extended cycle life, and high energy density provides a significant TCO advantage compared to traditional batteries, ensuring cost efficiency over the vehicle’s lifetime.</w:t>
      </w:r>
    </w:p>
    <w:p>
      <w:pPr>
        <w:spacing w:after="0" w:line="204"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By reducing charging downtime, replacement cycles, and overall maintenance costs, Microvast batteries enable fleet operators to achieve a lower cost per mile compared to both ICE vehicles and traditional lithium-ion battery solutions. This financial advantage makes Microvast battery systems a strategic long-term investment for commercial fleets transitioning to electrification.</w:t>
      </w:r>
    </w:p>
    <w:p>
      <w:pPr>
        <w:spacing w:after="0" w:line="204" w:lineRule="exact"/>
        <w:rPr>
          <w:sz w:val="20"/>
          <w:szCs w:val="20"/>
          <w:color w:val="auto"/>
        </w:rPr>
      </w:pPr>
    </w:p>
    <w:p>
      <w:pPr>
        <w:ind w:right="300" w:firstLine="619"/>
        <w:spacing w:after="0" w:line="254" w:lineRule="auto"/>
        <w:rPr>
          <w:sz w:val="20"/>
          <w:szCs w:val="20"/>
          <w:color w:val="auto"/>
        </w:rPr>
      </w:pPr>
      <w:r>
        <w:rPr>
          <w:rFonts w:ascii="Times New Roman" w:cs="Times New Roman" w:eastAsia="Times New Roman" w:hAnsi="Times New Roman"/>
          <w:sz w:val="17"/>
          <w:szCs w:val="17"/>
          <w:color w:val="auto"/>
        </w:rPr>
        <w:t>We develop our own BMS technology in-house, ensuring that we control design and can make efforts to optimize battery performance, safety, and longevity. The latest BMS 5.0 platform meets ISO 26262 functional safety and ISO 21434 cybersecurity standards, integrating digital twin technology to better optimize battery for real-time monitoring and predictive diagnostics.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technology enhances operational efficiency by:</w:t>
      </w:r>
    </w:p>
    <w:p>
      <w:pPr>
        <w:spacing w:after="0" w:line="230"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battery performance through advanced cell balancing algorithms</w:t>
      </w:r>
    </w:p>
    <w:p>
      <w:pPr>
        <w:spacing w:after="0" w:line="1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addressing safety risks, including thermal runaway detection and mitigation</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predictive analytics to extend battery lifespan and minimize unplanned downtime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Expanding Market Presence</w:t>
      </w:r>
    </w:p>
    <w:p>
      <w:pPr>
        <w:spacing w:after="0" w:line="234" w:lineRule="exact"/>
        <w:rPr>
          <w:sz w:val="20"/>
          <w:szCs w:val="20"/>
          <w:color w:val="auto"/>
        </w:rPr>
      </w:pPr>
    </w:p>
    <w:p>
      <w:pPr>
        <w:ind w:right="280" w:firstLine="619"/>
        <w:spacing w:after="0" w:line="254" w:lineRule="auto"/>
        <w:rPr>
          <w:sz w:val="20"/>
          <w:szCs w:val="20"/>
          <w:color w:val="auto"/>
        </w:rPr>
      </w:pPr>
      <w:r>
        <w:rPr>
          <w:rFonts w:ascii="Times New Roman" w:cs="Times New Roman" w:eastAsia="Times New Roman" w:hAnsi="Times New Roman"/>
          <w:sz w:val="17"/>
          <w:szCs w:val="17"/>
          <w:color w:val="auto"/>
        </w:rPr>
        <w:t>The market potential for electric commercial vehicles is significant because the global transportation sector is the second largest emitter of greenhouse gases (“GHGs”), with commercial vehicles accounting for approximately one third of these emissions. This EV opportunity encompasses a large variety of vehicles, including buses, light commercial vans, light, medium and heavy duty trucks, mining equipment, port equipment and specialty vehicles. Microvast technologies are in operation in all of these vehicle types across Asia &amp; Pacific, India, Europe, and North America.</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key benefits of our technologies are being recognized by leading commercial vehicle original equipment manufacturers (“OEMs”). Building upon the Industrial and Commercial Cooperation Agreement we entered into with Iveco Group N.V. in 2019, we are benefiting from the successful deployment of their light commercial vehicles (IVECO eDaily, which launched in fourth quarter of 2022) and also certain bus platforms, such as the Iveco Citybus, Intercity, Crossway, and others which have been presented for multiple tenders since 2022 using our battery technologies.</w:t>
      </w:r>
    </w:p>
    <w:p>
      <w:pPr>
        <w:spacing w:after="0" w:line="19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Additionally, we are collaborating with large OEMs such as BAIC Truck Co., Ltd., Higer Bus Co., Ltd., JBM Electric Vehicles Private Ltd. and Ashok Leyland Ltd. In the port equipment sector, we continue to supply to Kalmar Corp. (one of the world's leading OEMs in this segment), based on our existing long-term partnership agreement which is scheduled to run until 2026. Additionally, we are working on strengthening our position in the market for terminal tractors by serving customers like Trepel Airport Equipment GmbH. We remain engaged with mining truck OEMs such as Xuzhou Construction Machinery Group Co., Ltd., Lingong Heavy Machinery Co., Ltd. and others.</w:t>
      </w:r>
    </w:p>
    <w:p>
      <w:pPr>
        <w:spacing w:after="0" w:line="211"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have identified the marine market as an additional application for our battery systems. On June 27, 2024, Microvast announced a strategic partnership with Evoy AS (“Evoy”) to electrify small leisure boats marking our entry into the marine segment in Europe. Evoy will be integrating Microvast MV-I high-power battery packs into their leisure boat product line. The MV-I battery pack offers a range of environmental and technical benefits such as fast responsive torque for quick acceleration. The self-contained, integrated cooling plate of the MV-I battery pack offers enhanced safety and reliability in boat applications. Microvast-powered marine motors will provide an exhaust and fuel free power solution that reduces noise, air, and water pollution. The MV-I battery pack combines a lightweight design with innovative lithium-ion technology, increasing energy density by up to 180 Wh/kg. This groundbreaking design maintains the robustness required for boat applications, supporting high-performance electric boating. In addition to the marine market, we believe the railway market also presents potential attractive possibilities for our technologies which we are actively pursuing.</w:t>
      </w:r>
    </w:p>
    <w:p>
      <w:pPr>
        <w:spacing w:after="0" w:line="20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Microvast’s breakthroughs in ultra-fast charging, battery lifespan, TCO efficiency and BMS innovation solidify its potential as a key player in commercial fleet electrification. As global regulations push toward zero-emission transport, our proprietary battery solutions provide a distinct competitive edge, ensuring high performance, reliability and long-term cost savings for fleet operators and OEM partners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Utility-Scale ESS</w:t>
      </w:r>
    </w:p>
    <w:p>
      <w:pPr>
        <w:spacing w:after="0" w:line="24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transition to zero-emission commercial vehicles is most impactful when paired with clean, reliable energy sources. Renewable energy, such as solar and wind, requires robust storage solutions to ensure consistent availability, making energy storage a cornerstone of electrification and grid stability.</w:t>
      </w:r>
    </w:p>
    <w:p>
      <w:pPr>
        <w:spacing w:after="0" w:line="164"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In October 2022, we announced the development of our new ESS battery solution. Our ESS solution captures excess energy from renewable sources and dispatches it to the grid during peak demand periods, a process known as energy shifting. Designed for high performance and efficiency, our ESS container incorporates our high-energy 53.5Ah NMC cell technology, offering an energy density of 235 Wh/kg to maximize efficiency and reliability.</w:t>
      </w:r>
    </w:p>
    <w:p>
      <w:pPr>
        <w:spacing w:after="0" w:line="185" w:lineRule="exact"/>
        <w:rPr>
          <w:sz w:val="20"/>
          <w:szCs w:val="20"/>
          <w:color w:val="auto"/>
        </w:rPr>
      </w:pPr>
    </w:p>
    <w:p>
      <w:pPr>
        <w:ind w:right="380" w:firstLine="619"/>
        <w:spacing w:after="0" w:line="254" w:lineRule="auto"/>
        <w:rPr>
          <w:sz w:val="20"/>
          <w:szCs w:val="20"/>
          <w:color w:val="auto"/>
        </w:rPr>
      </w:pPr>
      <w:r>
        <w:rPr>
          <w:rFonts w:ascii="Times New Roman" w:cs="Times New Roman" w:eastAsia="Times New Roman" w:hAnsi="Times New Roman"/>
          <w:sz w:val="17"/>
          <w:szCs w:val="17"/>
          <w:color w:val="auto"/>
        </w:rPr>
        <w:t>On August 8, 2024, we unveiled the latest ESS product, the high energy density ME6 system and the latest product in our extensive battery solutions portfolio, the 565Ah LFP battery. Unlike our ultra-high performance NMC batteries which are produced to meet the demands of our commercial vehicle customers, our new 565Ah LFP batteries are specifically tailored to the unique demands of ESS customers, providing superior long-term performance, cost efficiency and reliability.</w:t>
      </w:r>
    </w:p>
    <w:p>
      <w:pPr>
        <w:spacing w:after="0" w:line="191"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Our Clarksville, Tennessee facility, initially planned as a key U.S. manufacturing hub, remains incomplete due to the need for additional funding. These funding challenges have delayed our plans for domestic cell and module manufacturing, requiring us to leverage production capacity at our Huzhou, China facility to fulfill existing commitments. Despite these challenges, we remain committed to U.S. manufacturing expansion and continue to seek financing to complete the Clarksville facility.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We believe that the global energy storage market is poised for rapid expansion. In 2024, global energy storage installations surged to 169 gigawatt hours ("GWh"), marking a 76% increase from the previous year. Industry forecasts project further expansion, with a CAGR of 21%, reaching 137 GW/442 GWh by 2030. The U.S. and China are expected to lead this growth, with U.S. energy storage capacity projected to increase from 30 GWh in 2023 to approximately 450 GWh by 2030. A significant portion of this growth is projected to go towards energy-shifting applications, aligning with our expertise and market focus.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Components</w:t>
      </w:r>
    </w:p>
    <w:p>
      <w:pPr>
        <w:spacing w:after="0" w:line="24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a vertically integrated battery company, Microvast develops and owns proprietary intellectual property and know-how relating to the design, development, and manufacture of the four critical components of lithium-ion batteries: cathode, anode, electrolyte, and separator. This vertical integration allows us to use these components in our products and market the individual components to other lithium-ion battery manufacturers.</w:t>
      </w:r>
    </w:p>
    <w:p>
      <w:pPr>
        <w:spacing w:after="0" w:line="191"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Our latest advancements in cathode and separator technology represent major breakthroughs in battery performance and safety. We believe that our FCG Cathode (as defined below) and polyaramid separator technologies are industry-leading innovations that provide higher energy density, enhanced safety and longer battery lifespan compared to conventional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Technologies</w:t>
      </w:r>
    </w:p>
    <w:p>
      <w:pPr>
        <w:spacing w:after="0" w:line="247"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Since 2008, our research and development efforts have been dedicated to pioneering cutting-edge battery technologies that offer ultra-fast charging, extended lifespan, high energy density and enhanced safety. Our commitment to innovation has positioned us as a leader in the development of next-generation lithium-ion batteries. Below are key highlights from our technology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Cell Materials</w:t>
      </w:r>
    </w:p>
    <w:p>
      <w:pPr>
        <w:spacing w:after="0" w:line="247" w:lineRule="exact"/>
        <w:rPr>
          <w:sz w:val="20"/>
          <w:szCs w:val="20"/>
          <w:color w:val="auto"/>
        </w:rPr>
      </w:pPr>
    </w:p>
    <w:p>
      <w:pPr>
        <w:ind w:left="620" w:right="60" w:hanging="307"/>
        <w:spacing w:after="0" w:line="24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Polyaramid Separator: Our proprietary polyaramid separator provides safety and durability, offering superior thermal stability and mechanical strength compared to traditional polyethylene or polypropylene separators. Made from polyaramid, the same high-performance material used in bulletproof vests, it provides exceptional chemical, electrochemical, and thermal resistance, is intended to ensure long-term reliability. Unlike conventional separators that melt at 138°C (280°F), our polyaramid separator maintains its structural integrity at temperatures up to 300°C (572°F), significantly enhancing battery safety. Additionally, it is intrinsically non-flammable, reducing the risk of thermal runaway, a critical factor in improving lithium-ion battery performance and reliability.</w:t>
      </w:r>
    </w:p>
    <w:p>
      <w:pPr>
        <w:spacing w:after="0" w:line="211" w:lineRule="exact"/>
        <w:rPr>
          <w:rFonts w:ascii="Times New Roman" w:cs="Times New Roman" w:eastAsia="Times New Roman" w:hAnsi="Times New Roman"/>
          <w:sz w:val="17"/>
          <w:szCs w:val="17"/>
          <w:color w:val="auto"/>
        </w:rPr>
      </w:pPr>
    </w:p>
    <w:p>
      <w:pPr>
        <w:ind w:left="620" w:right="120" w:hanging="307"/>
        <w:spacing w:after="0" w:line="25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("LTO") Powder: Our LTO powder enhances high-power operation, making it ideal for ultra-fast charging applications. Unlike traditional anode materials, LTO is inherently stable with conventional lithium-ion electrolytes, offering superior safety and longevity when compared to traditional graphite anodes.</w:t>
      </w:r>
    </w:p>
    <w:p>
      <w:pPr>
        <w:spacing w:after="0" w:line="204" w:lineRule="exact"/>
        <w:rPr>
          <w:rFonts w:ascii="Times New Roman" w:cs="Times New Roman" w:eastAsia="Times New Roman" w:hAnsi="Times New Roman"/>
          <w:sz w:val="17"/>
          <w:szCs w:val="17"/>
          <w:color w:val="auto"/>
        </w:rPr>
      </w:pPr>
    </w:p>
    <w:p>
      <w:pPr>
        <w:ind w:left="620" w:right="20" w:hanging="307"/>
        <w:spacing w:after="0" w:line="24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Concentration Gradient ("FCG") Cathode: Licensed from Argonne National Laboratory in 2017, our FCG cathode technology is now produced with flexible and cost-effective manufacturing techniques, significantly improving affordability compared to standard NMC materials. We have found that by controlling the concentration of metals within each particle, we enhance battery safety and performance. Additionally, the cobalt content is reduced to less than 2% by weight, significantly lowering material costs while addressing the environmental and ethical concerns associated with cobalt mining. This versatile cathode can be customized for specific end-use applications, making it well-suited for ultra-fast charging and cost-efficient advanced lithium-ion cells. Additionally, this technology is especially well suited going forward for the development of materials that significantly reduce or eliminate cobalt.</w:t>
      </w:r>
    </w:p>
    <w:p>
      <w:pPr>
        <w:spacing w:after="0" w:line="211" w:lineRule="exact"/>
        <w:rPr>
          <w:rFonts w:ascii="Times New Roman" w:cs="Times New Roman" w:eastAsia="Times New Roman" w:hAnsi="Times New Roman"/>
          <w:sz w:val="17"/>
          <w:szCs w:val="17"/>
          <w:color w:val="auto"/>
        </w:rPr>
      </w:pPr>
    </w:p>
    <w:p>
      <w:pPr>
        <w:jc w:val="both"/>
        <w:ind w:left="620" w:right="400" w:hanging="307"/>
        <w:spacing w:after="0" w:line="27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Electrolyte Formulation: Our proprietary electrolyte formulation significantly reduces the risk of lithium-ion cell fires. Reducing the flammability of lithium-ion cells is an important safety feature that we believe will become more valued as the industry shifts toward higher energy density batteries.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Cell Chemistries</w:t>
      </w:r>
    </w:p>
    <w:p>
      <w:pPr>
        <w:spacing w:after="0" w:line="247" w:lineRule="exact"/>
        <w:rPr>
          <w:sz w:val="20"/>
          <w:szCs w:val="20"/>
          <w:color w:val="auto"/>
        </w:rPr>
      </w:pPr>
    </w:p>
    <w:p>
      <w:pPr>
        <w:ind w:left="620" w:hanging="307"/>
        <w:spacing w:after="0" w:line="25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("LTO"): LTO replaces traditional graphite anodes, significantly enhancing safety and fast-charging capabilities while maintaining a longer lifespan. Although it has slightly lower energy density, our LTO cells last up to 20 times longer than standard lithium-ion cells. They also mitigate cell gassing, a major factor in battery degradation, ensuring greater durability.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right="60" w:hanging="307"/>
        <w:spacing w:after="0" w:line="24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Nickel Manganese Cobalt Oxide ("NMC"): For applications demanding higher energy density, our NMC-based cells excel in long-term cycle performance, sustaining thousands of charge cycles before significant degradation occurs. Our expertise in cathode and separator technology, enabled by our vertical integration, ensures that our NMC cells offer a lower total cost of ownership and enhanced safety compared to competitors. Third-party evaluations from U.S. National Labs and Technischer Überwachungsverein ("TÜV") have validated our performance claims. Our latest high-energy 53.5Ah cell exemplifies our advancements in NMC technology.</w:t>
      </w:r>
    </w:p>
    <w:p>
      <w:pPr>
        <w:spacing w:after="0" w:line="210" w:lineRule="exact"/>
        <w:rPr>
          <w:rFonts w:ascii="Times New Roman" w:cs="Times New Roman" w:eastAsia="Times New Roman" w:hAnsi="Times New Roman"/>
          <w:sz w:val="17"/>
          <w:szCs w:val="17"/>
          <w:color w:val="auto"/>
        </w:rPr>
      </w:pPr>
    </w:p>
    <w:p>
      <w:pPr>
        <w:ind w:left="620" w:right="620" w:hanging="307"/>
        <w:spacing w:after="0" w:line="27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Iron Phosphate ("LFP"): LFP is one of the safest and most cost-effective cathode materials, widely used in ESS and commercial vehicle applications. While LFP uses higher lithium quantities than NMC, its lower-cost raw materials contribute to its affordability.</w:t>
      </w:r>
    </w:p>
    <w:p>
      <w:pPr>
        <w:spacing w:after="0" w:line="177" w:lineRule="exact"/>
        <w:rPr>
          <w:rFonts w:ascii="Times New Roman" w:cs="Times New Roman" w:eastAsia="Times New Roman" w:hAnsi="Times New Roman"/>
          <w:sz w:val="17"/>
          <w:szCs w:val="17"/>
          <w:color w:val="auto"/>
        </w:rPr>
      </w:pPr>
    </w:p>
    <w:p>
      <w:pPr>
        <w:ind w:left="620" w:hanging="307"/>
        <w:spacing w:after="0" w:line="25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Solid-State Battery Development: Since 2015, we have been developing a 100% solid-state battery technology that eliminates the need for liquid electrolytes. This breakthrough approach replaces conventional designs with a fully solid framework, enhancing safety, energy density and longevity. Our dedicated R&amp;D team has secured over 20 patents in the process and announcing what we believe is a major breakthrough in the development of all solid-state battery technology in January 2025. Currently, the energy density of the cell reaches 320 Wh/kg, and in bench scale validation.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Benefits of our Technology and Applications</w:t>
      </w:r>
    </w:p>
    <w:p>
      <w:pPr>
        <w:spacing w:after="0" w:line="234" w:lineRule="exact"/>
        <w:rPr>
          <w:sz w:val="20"/>
          <w:szCs w:val="20"/>
          <w:color w:val="auto"/>
        </w:rPr>
      </w:pPr>
    </w:p>
    <w:p>
      <w:pPr>
        <w:ind w:right="600" w:firstLine="619"/>
        <w:spacing w:after="0" w:line="255" w:lineRule="auto"/>
        <w:rPr>
          <w:sz w:val="20"/>
          <w:szCs w:val="20"/>
          <w:color w:val="auto"/>
        </w:rPr>
      </w:pPr>
      <w:r>
        <w:rPr>
          <w:rFonts w:ascii="Times New Roman" w:cs="Times New Roman" w:eastAsia="Times New Roman" w:hAnsi="Times New Roman"/>
          <w:sz w:val="17"/>
          <w:szCs w:val="17"/>
          <w:color w:val="auto"/>
        </w:rPr>
        <w:t>Our advanced battery technologies and systems provide what we believe to be numerous advantages, ensuring high performance, safety and cost efficiency of our batteries across a wide range of applications.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Tailored Battery Solutions</w:t>
      </w:r>
    </w:p>
    <w:p>
      <w:pPr>
        <w:spacing w:after="0" w:line="247"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Our research in lithium-ion battery technology has enabled us to develop and commercialize a diverse range of cell chemistries, including LTO, LFP, NMC-1 and NMC-2. This broad portfolio allows us to customize solutions to meet specific customer requirements. By integrating their preferred chemistry into our modules and packs, we optimize the performance of each of our battery systems.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Microvast has developed and commercialized multiple cell chemistries, including LTO, LFP, NMC-1 and NMC-2, enabling customized battery solutions.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integrating the preferred chemistry into our modules and packs, we optimize performance for each application.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 a diverse range of commercial vehicle markets, including:</w:t>
      </w:r>
    </w:p>
    <w:p>
      <w:pPr>
        <w:spacing w:after="0" w:line="24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Light, medium and heavy-duty trucks.</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Buses and trains.</w:t>
      </w: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Mining trucks, port vehicles and leisure boats.</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Automated guided vehicles and specialty vehicles.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Additionally, we provide BMS and installation support, enhancing safety, optimizing thermal control and extending system lifespan.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Ultra-Fast Charging Capability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Depending on battery chemistry, Microvast's battery solutions achieve a full charge in as little as 10 to 30 minutes, far exceeding conventional systems.</w:t>
      </w:r>
    </w:p>
    <w:p>
      <w:pPr>
        <w:spacing w:after="0" w:line="230" w:lineRule="exact"/>
        <w:rPr>
          <w:sz w:val="20"/>
          <w:szCs w:val="20"/>
          <w:color w:val="auto"/>
        </w:rPr>
      </w:pPr>
    </w:p>
    <w:p>
      <w:pPr>
        <w:ind w:left="620" w:right="620" w:hanging="307"/>
        <w:spacing w:after="0" w:line="255"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cells: Fully charge within 10 minutes, offering an energy density of up to 180 watt-hours per liter ("Wh/L") and 95 watt-hours per kilogram ("Wh/kg").</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NMC-2 products: Fully charge within 30 minutes, providing an energy density of over 220 Wh/kg.</w:t>
      </w:r>
    </w:p>
    <w:p>
      <w:pPr>
        <w:spacing w:after="0" w:line="213"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Ultra-fast charging is a critical differentiator for our commercial vehicle solutions, while higher energy density cells are particularly beneficial for both electric commercial vehicles and ESS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 Battery Lifespan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right="480" w:firstLine="619"/>
        <w:spacing w:after="0" w:line="262" w:lineRule="auto"/>
        <w:rPr>
          <w:sz w:val="20"/>
          <w:szCs w:val="20"/>
          <w:color w:val="auto"/>
        </w:rPr>
      </w:pPr>
      <w:r>
        <w:rPr>
          <w:rFonts w:ascii="Times New Roman" w:cs="Times New Roman" w:eastAsia="Times New Roman" w:hAnsi="Times New Roman"/>
          <w:sz w:val="17"/>
          <w:szCs w:val="17"/>
          <w:color w:val="auto"/>
        </w:rPr>
        <w:t>Our battery systems last between 2,500 to 20,000 full charge cycles, ensuring they match the lifespan of vehicles and energy storage projects. LTO batteries retain 90% of their initial capacity after 10,300 full charge/discharge cycles, as validated by the Warwick Manufacturing Group at the University of Warwick.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Enhanced Safety and Reliability</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Built on over a decade of research, our battery technologies deliver higher safety margins than conventional lithium-ion systems.</w:t>
      </w:r>
    </w:p>
    <w:p>
      <w:pPr>
        <w:spacing w:after="0" w:line="243"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LTO batteries offer exceptional thermal stability and operate across a wide temperature range, minimizing fire risks.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High-energy applications utilize our polyaramid separator, non-flammable electrolyte and FCG cathode, further improving safety and durability.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strategic objective is to generate long-term value for stakeholders, focusing on:</w:t>
      </w:r>
    </w:p>
    <w:p>
      <w:pPr>
        <w:spacing w:after="0" w:line="226" w:lineRule="exact"/>
        <w:rPr>
          <w:sz w:val="20"/>
          <w:szCs w:val="20"/>
          <w:color w:val="auto"/>
        </w:rPr>
      </w:pPr>
    </w:p>
    <w:p>
      <w:pPr>
        <w:ind w:left="620" w:right="120" w:hanging="617"/>
        <w:spacing w:after="0" w:line="24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Expanding our ESS and electric commercial vehicle solutions. </w:t>
      </w:r>
      <w:r>
        <w:rPr>
          <w:rFonts w:ascii="Times New Roman" w:cs="Times New Roman" w:eastAsia="Times New Roman" w:hAnsi="Times New Roman"/>
          <w:sz w:val="17"/>
          <w:szCs w:val="17"/>
          <w:color w:val="auto"/>
        </w:rPr>
        <w:t>We are committed to scaling our ESS and electric commercial vehicle battery solutions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 the growing demand for clean and renewable energy sources. Our strategy includes leveraging our proprietary technologies to gain market share, support global decarbonization efforts and drive climate change mitigation. To date, we have primarily supplied our battery solutions to OEMs for use in electric commercial vehicles and specialty vehicles. We are continuously advancing our battery technologies to improve performance, efficiency and reliability in commercial applications. The energy storage market presents significant growth potential, with increasing demand for grid stabilization, renewable energy storage and frequency regulation. We are focusing on the development and deployment of our ESS container utilizing our 565Ah cell technology to strengthen our presence in the utility-scale ESS sector.</w:t>
      </w:r>
    </w:p>
    <w:p>
      <w:pPr>
        <w:spacing w:after="0" w:line="200" w:lineRule="exact"/>
        <w:rPr>
          <w:rFonts w:ascii="Times New Roman" w:cs="Times New Roman" w:eastAsia="Times New Roman" w:hAnsi="Times New Roman"/>
          <w:sz w:val="17"/>
          <w:szCs w:val="17"/>
          <w:color w:val="auto"/>
        </w:rPr>
      </w:pPr>
    </w:p>
    <w:p>
      <w:pPr>
        <w:ind w:left="620" w:hanging="617"/>
        <w:spacing w:after="0" w:line="242"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our focus on U.S. and European Operations. </w:t>
      </w:r>
      <w:r>
        <w:rPr>
          <w:rFonts w:ascii="Times New Roman" w:cs="Times New Roman" w:eastAsia="Times New Roman" w:hAnsi="Times New Roman"/>
          <w:sz w:val="17"/>
          <w:szCs w:val="17"/>
          <w:color w:val="auto"/>
        </w:rPr>
        <w:t>Historically, demand for electric commercial vehicle batteries was concentrated in the Asia &amp;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Pacific regions. As customer demand for our products and services grew in Europe and the U.S., we have expanded to meet these growth opportunities for our battery technologies. However, in 2024, Microvast intensified efforts to expand its footprint in the U.S. and Europe to capitalize on favorable policies such as the Inflation Reduction Act (IRA) in the U.S. and the European Union’s Green Deal and Fit for 55 initiatives. In 2021, Microvast opened a 170,000-square-foot module and pack manufacturing facility near Berlin, Germany. In 2024, we consolidated our ESS operations into our Clarksville, Tennessee facility. In Florida, we continue to maintain our R&amp;D center focusing on advanced technologies.</w:t>
      </w:r>
    </w:p>
    <w:p>
      <w:pPr>
        <w:spacing w:after="0" w:line="213" w:lineRule="exact"/>
        <w:rPr>
          <w:rFonts w:ascii="Times New Roman" w:cs="Times New Roman" w:eastAsia="Times New Roman" w:hAnsi="Times New Roman"/>
          <w:sz w:val="17"/>
          <w:szCs w:val="17"/>
          <w:color w:val="auto"/>
        </w:rPr>
      </w:pPr>
    </w:p>
    <w:p>
      <w:pPr>
        <w:ind w:left="620" w:right="4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prioritizing growth in the European and U.S. markets, we continue to invest in our operations in Asia-Pacific to capitalize on regional growth opportunities. This ensures a balanced global strategy while maintaining strong partnerships with OEMs in high-demand markets.</w:t>
      </w:r>
    </w:p>
    <w:p>
      <w:pPr>
        <w:spacing w:after="0" w:line="160" w:lineRule="exact"/>
        <w:rPr>
          <w:rFonts w:ascii="Times New Roman" w:cs="Times New Roman" w:eastAsia="Times New Roman" w:hAnsi="Times New Roman"/>
          <w:sz w:val="17"/>
          <w:szCs w:val="17"/>
          <w:color w:val="auto"/>
        </w:rPr>
      </w:pPr>
    </w:p>
    <w:p>
      <w:pPr>
        <w:ind w:left="620" w:right="300" w:hanging="617"/>
        <w:spacing w:after="0" w:line="292"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Improve Performance to Reduce Total Cost of Ownership ("TCO"). </w:t>
      </w:r>
      <w:r>
        <w:rPr>
          <w:rFonts w:ascii="Times New Roman" w:cs="Times New Roman" w:eastAsia="Times New Roman" w:hAnsi="Times New Roman"/>
          <w:sz w:val="17"/>
          <w:szCs w:val="17"/>
          <w:color w:val="auto"/>
        </w:rPr>
        <w:t>For commercial EV and ESS customers, TCO is an important criterion. To remain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Microvast is committed to:</w:t>
      </w:r>
    </w:p>
    <w:p>
      <w:pPr>
        <w:spacing w:after="0" w:line="172"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R&amp;D to continuously improve battery technology and lower costs.</w:t>
      </w:r>
    </w:p>
    <w:p>
      <w:pPr>
        <w:spacing w:after="0" w:line="1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battery cells and modules with higher energy densities to enhance efficiency.</w:t>
      </w:r>
    </w:p>
    <w:p>
      <w:pPr>
        <w:spacing w:after="0" w:line="9"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advanced materials and next-generation designs to optimize performance, durability and cost-effectiveness.</w:t>
      </w:r>
    </w:p>
    <w:p>
      <w:pPr>
        <w:ind w:left="620" w:right="540" w:hanging="153"/>
        <w:spacing w:after="0" w:line="249" w:lineRule="auto"/>
        <w:tabs>
          <w:tab w:leader="none" w:pos="61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our focus on material innovation, ensuring that improvements in base components translate to benefits across all battery solutions— including ESS systems and battery components.</w:t>
      </w:r>
    </w:p>
    <w:p>
      <w:pPr>
        <w:spacing w:after="0" w:line="191" w:lineRule="exact"/>
        <w:rPr>
          <w:rFonts w:ascii="Times New Roman" w:cs="Times New Roman" w:eastAsia="Times New Roman" w:hAnsi="Times New Roman"/>
          <w:sz w:val="17"/>
          <w:szCs w:val="17"/>
          <w:color w:val="auto"/>
        </w:rPr>
      </w:pPr>
    </w:p>
    <w:p>
      <w:pPr>
        <w:ind w:left="620" w:right="60" w:hanging="617"/>
        <w:spacing w:after="0" w:line="24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 our manufacturing capacity to meet growing demand. </w:t>
      </w:r>
      <w:r>
        <w:rPr>
          <w:rFonts w:ascii="Times New Roman" w:cs="Times New Roman" w:eastAsia="Times New Roman" w:hAnsi="Times New Roman"/>
          <w:sz w:val="17"/>
          <w:szCs w:val="17"/>
          <w:color w:val="auto"/>
        </w:rPr>
        <w:t>To support expanding global demand for EVs and ESS solutions, Microvast is strategically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planning to increase its production capacity across the U.S., Europe and China. As of December 31, 2024, our total annual manufacturing capacity stands at approximately 3.5 GWh. We plan to add an additional 2 GWh of capacity annually with a future capability to produce both current and upcoming advanced cells such as HpCO-53.5Ah and HPCo-55Ah by the fourth quarter of 2025 to supporting growing demand for our existing products. Pending securing additional financing to complete expansion on our facility in Clarksville, Tennessee, we will be able to add up to 4GWh of new capacity.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Capacity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We measure our manufacturing capacity in GWh, which represents the energy capacity of all batteries produced for a single complete discharge, rather than the number of batteries we produce per year.</w:t>
      </w:r>
    </w:p>
    <w:p>
      <w:pPr>
        <w:spacing w:after="0" w:line="164" w:lineRule="exact"/>
        <w:rPr>
          <w:sz w:val="20"/>
          <w:szCs w:val="20"/>
          <w:color w:val="auto"/>
        </w:rPr>
      </w:pPr>
    </w:p>
    <w:p>
      <w:pPr>
        <w:ind w:right="400" w:firstLine="619"/>
        <w:spacing w:after="0" w:line="254" w:lineRule="auto"/>
        <w:rPr>
          <w:sz w:val="20"/>
          <w:szCs w:val="20"/>
          <w:color w:val="auto"/>
        </w:rPr>
      </w:pPr>
      <w:r>
        <w:rPr>
          <w:rFonts w:ascii="Times New Roman" w:cs="Times New Roman" w:eastAsia="Times New Roman" w:hAnsi="Times New Roman"/>
          <w:sz w:val="17"/>
          <w:szCs w:val="17"/>
          <w:color w:val="auto"/>
        </w:rPr>
        <w:t>As of December 31, 2024, we had an annual manufacturing capacity of approximately 3.5 GWh cell, module and pack capacity, 600 tons per year of cathode capacity, 3,000 tons of electrolyte capacity and 5 million square meters of separator material capacity on a pilot line. All of this capacity currently originates from our Huzhou, China facility.</w:t>
      </w:r>
    </w:p>
    <w:p>
      <w:pPr>
        <w:spacing w:after="0" w:line="196" w:lineRule="exact"/>
        <w:rPr>
          <w:sz w:val="20"/>
          <w:szCs w:val="20"/>
          <w:color w:val="auto"/>
        </w:rPr>
      </w:pPr>
    </w:p>
    <w:p>
      <w:pPr>
        <w:jc w:val="both"/>
        <w:ind w:right="100" w:firstLine="619"/>
        <w:spacing w:after="0" w:line="253" w:lineRule="auto"/>
        <w:rPr>
          <w:sz w:val="20"/>
          <w:szCs w:val="20"/>
          <w:color w:val="auto"/>
        </w:rPr>
      </w:pPr>
      <w:r>
        <w:rPr>
          <w:rFonts w:ascii="Times New Roman" w:cs="Times New Roman" w:eastAsia="Times New Roman" w:hAnsi="Times New Roman"/>
          <w:sz w:val="17"/>
          <w:szCs w:val="17"/>
          <w:color w:val="auto"/>
        </w:rPr>
        <w:t xml:space="preserve">In Europe, we have a 170,000-square-foot module and pack manufacturing facility near Berlin, Germany which has been in production since 2021. </w:t>
      </w:r>
      <w:r>
        <w:rPr>
          <w:rFonts w:ascii="Times New Roman" w:cs="Times New Roman" w:eastAsia="Times New Roman" w:hAnsi="Times New Roman"/>
          <w:sz w:val="20"/>
          <w:szCs w:val="20"/>
          <w:color w:val="auto"/>
        </w:rPr>
        <w:t>W</w:t>
      </w:r>
      <w:r>
        <w:rPr>
          <w:rFonts w:ascii="Times New Roman" w:cs="Times New Roman" w:eastAsia="Times New Roman" w:hAnsi="Times New Roman"/>
          <w:sz w:val="17"/>
          <w:szCs w:val="17"/>
          <w:color w:val="auto"/>
        </w:rPr>
        <w:t>e will continue to review investing in European manufacturing capacity to comply with new E.U. regulations and in order to meet the anticipated increased demand for battery-operated solutions due to "green" policies.</w:t>
      </w:r>
    </w:p>
    <w:p>
      <w:pPr>
        <w:spacing w:after="0" w:line="192"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In 2021, we purchased an existing building in Clarksville, Tennessee and began renovating it to support up to 2 GWh of cell, module and pack capacity, which we initially expected to be in production by the third quarter of 2023. Due to delays in securing additional financing, progress of this project started to be impacted towards the end of the fourth quarter of 2023 and certain construction work streams could not be progressed on the timeframes we had originally planned. In the second quarter of 2024, we paused construction on the Clarksville facility due to insufficient funding. This facility was intended to produce 53.5Ah cells for our ESS solutions. We made a strategic decision to pivot from the originally planned production of NMC cells to LFP cells. Additionally, we consolidated our ESS operations from Colorado to Clarksville, Tennessee in order to streamline operations. Until financing is in place, this will limit our growth opportunities, especially in the U.S. market where our customers desire products that meet their domestic content requirements. We are seeking to secure financing to complete the Tennessee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Other Intellectual Property</w:t>
      </w:r>
    </w:p>
    <w:p>
      <w:pPr>
        <w:spacing w:after="0" w:line="234"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Over the past 18 years, Microvast has built a comprehensive intellectual property portfolio, encompassing patents, licenses and proprietary know-how that support our battery technology leadership.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Proprietary Material Technologies</w:t>
      </w:r>
    </w:p>
    <w:p>
      <w:pPr>
        <w:spacing w:after="0" w:line="230" w:lineRule="exact"/>
        <w:rPr>
          <w:sz w:val="20"/>
          <w:szCs w:val="20"/>
          <w:color w:val="auto"/>
        </w:rPr>
      </w:pPr>
    </w:p>
    <w:p>
      <w:pPr>
        <w:ind w:left="620" w:right="120" w:hanging="307"/>
        <w:spacing w:after="0" w:line="255"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Polyaramid Separator – Our high-thermal polyaramid separator features a melting point above 300°C, significantly improving battery safety by reducing thermal runaway risks.</w:t>
      </w:r>
    </w:p>
    <w:p>
      <w:pPr>
        <w:spacing w:after="0" w:line="1" w:lineRule="exact"/>
        <w:rPr>
          <w:rFonts w:ascii="Times New Roman" w:cs="Times New Roman" w:eastAsia="Times New Roman" w:hAnsi="Times New Roman"/>
          <w:sz w:val="17"/>
          <w:szCs w:val="17"/>
          <w:color w:val="auto"/>
        </w:rPr>
      </w:pPr>
    </w:p>
    <w:p>
      <w:pPr>
        <w:ind w:left="620" w:right="40" w:hanging="307"/>
        <w:spacing w:after="0" w:line="23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Concentration Gradient (FCG) Cathode – Licensed from Argonne National Laboratory in 2017, this cathode technology is distinguished by a gradual gradient in transition metal content, enhancing energy density, stability, and longevity.</w:t>
      </w:r>
    </w:p>
    <w:p>
      <w:pPr>
        <w:ind w:left="620" w:right="280" w:hanging="307"/>
        <w:spacing w:after="0" w:line="24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High/Low-Temperature Electrolyte – Our proprietary electrolyte remains stable at high temperatures (up to approximately 70°C) while maintaining approximately 70% energy efficiency at extreme cold temperatures (down to approximately -30°C). It supports full charge cycles from 0% to 100% in just one hour, ensuring high performance in diverse environmental conditions.</w:t>
      </w:r>
    </w:p>
    <w:p>
      <w:pPr>
        <w:spacing w:after="0" w:line="1" w:lineRule="exact"/>
        <w:rPr>
          <w:rFonts w:ascii="Times New Roman" w:cs="Times New Roman" w:eastAsia="Times New Roman" w:hAnsi="Times New Roman"/>
          <w:sz w:val="17"/>
          <w:szCs w:val="17"/>
          <w:color w:val="auto"/>
        </w:rPr>
      </w:pPr>
    </w:p>
    <w:p>
      <w:pPr>
        <w:ind w:left="620" w:right="60" w:hanging="307"/>
        <w:spacing w:after="0" w:line="24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Lithium Titanate Oxide (LTO) Anode – Our LTO anode technology enables higher volumetric density, while maintaining ultra-fast charging properties. It prevents solid-electrolyte interphase (SEI) degradation and mitigates dendrite formation, which can lead to short circuits and fire hazards. Additionally, our proprietary LTO powder minimizes volume expansion, ensuring battery stability and extended lifespan.</w:t>
      </w:r>
    </w:p>
    <w:p>
      <w:pPr>
        <w:spacing w:after="0" w:line="1" w:lineRule="exact"/>
        <w:rPr>
          <w:rFonts w:ascii="Times New Roman" w:cs="Times New Roman" w:eastAsia="Times New Roman" w:hAnsi="Times New Roman"/>
          <w:sz w:val="17"/>
          <w:szCs w:val="17"/>
          <w:color w:val="auto"/>
        </w:rPr>
      </w:pPr>
    </w:p>
    <w:p>
      <w:pPr>
        <w:ind w:left="620" w:hanging="307"/>
        <w:spacing w:after="0" w:line="251"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Advanced Anode Materials – We continue to experiment with and develop novel anode materials, including porous carbon-based anodes that allow higher charging rates than conventional materials. The porous structure enhances lithium-ion transport, contributing to faster charging without compromising safety or durability.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Intellectual Property Protection and Strategy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commercial success relies, in part, on securing and maintaining intellectual property protection for our designs and proprietary technologies.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Safeguarding our intellectual property assets is critical, given that it is a key driver of profitability.</w:t>
      </w:r>
    </w:p>
    <w:p>
      <w:pPr>
        <w:spacing w:after="0" w:line="212"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To mitigate technology infringement risks, we employ strict data compartmentalization, ensuring that U.S. trade secrets and proprietary know-how remain isolated. We actively pursue patent protections and implement internal safeguards to protect both current and future proprietary innovations. For a detailed discussion on intellectual property risks, refer to "Risk Factors - 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Trademarks and Branding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To reinforce brand recognition and market positioning, we apply trademarks to our batteries and battery-related technologies. We consider distinctive trademarks crucial for marketing and brand differentiation.</w:t>
      </w:r>
    </w:p>
    <w:p>
      <w:pPr>
        <w:spacing w:after="0" w:line="190" w:lineRule="exact"/>
        <w:rPr>
          <w:sz w:val="20"/>
          <w:szCs w:val="20"/>
          <w:color w:val="auto"/>
        </w:rPr>
      </w:pPr>
    </w:p>
    <w:p>
      <w:pPr>
        <w:ind w:right="500" w:firstLine="619"/>
        <w:spacing w:after="0" w:line="271" w:lineRule="auto"/>
        <w:rPr>
          <w:sz w:val="20"/>
          <w:szCs w:val="20"/>
          <w:color w:val="auto"/>
        </w:rPr>
      </w:pPr>
      <w:r>
        <w:rPr>
          <w:rFonts w:ascii="Times New Roman" w:cs="Times New Roman" w:eastAsia="Times New Roman" w:hAnsi="Times New Roman"/>
          <w:sz w:val="17"/>
          <w:szCs w:val="17"/>
          <w:color w:val="auto"/>
        </w:rPr>
        <w:t>Microvast has registered its corporate trademarks, including our logo and product marks, across China, the U.S. and key international markets. Our trademark portfolio includes:</w:t>
      </w:r>
    </w:p>
    <w:p>
      <w:pPr>
        <w:spacing w:after="0" w:line="177"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Microvast®</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LpTO®, LpCO®, MpCO®, HpCO®</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Clean City Transit®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34"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At Microvast, our R&amp;D and engineering teams are dedicated to pioneering new battery solutions and enhancing the performance of existing systems. Our battery systems are designed to meet specific performance metrics, including energy density, power density, charge rate capability, cycle life, throughput energy and safety. By continuously innovating, we aim to develop higher-performing, more efficient and safer batteries for a wide range of applications.</w:t>
      </w:r>
    </w:p>
    <w:p>
      <w:pPr>
        <w:spacing w:after="0" w:line="204"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technology center leads the development of advanced battery materials, cells and packs, with a focus on FCG cathode technology, polyaramid separator manufacturing, high-energy density cells, battery safety and IT-integrated battery components. Our research efforts are dedicated to improving energy storage efficiency, thermal and mechanical performance and overall battery lifespan.</w:t>
      </w:r>
    </w:p>
    <w:p>
      <w:pPr>
        <w:spacing w:after="0" w:line="185" w:lineRule="exact"/>
        <w:rPr>
          <w:sz w:val="20"/>
          <w:szCs w:val="20"/>
          <w:color w:val="auto"/>
        </w:rPr>
      </w:pPr>
    </w:p>
    <w:p>
      <w:pPr>
        <w:jc w:val="both"/>
        <w:ind w:right="180" w:firstLine="619"/>
        <w:spacing w:after="0" w:line="262" w:lineRule="auto"/>
        <w:rPr>
          <w:sz w:val="20"/>
          <w:szCs w:val="20"/>
          <w:color w:val="auto"/>
        </w:rPr>
      </w:pPr>
      <w:r>
        <w:rPr>
          <w:rFonts w:ascii="Times New Roman" w:cs="Times New Roman" w:eastAsia="Times New Roman" w:hAnsi="Times New Roman"/>
          <w:sz w:val="17"/>
          <w:szCs w:val="17"/>
          <w:color w:val="auto"/>
        </w:rPr>
        <w:t>We recognize that our ability to deliver high-performance batteries depends on the seamless transfer of R&amp;D breakthroughs into large-scale production. To bridge this gap, we allocate part of our manufacturing capacity to pilot plants, enabling structured experimentation for process refinement and scalability. By integrating R&amp;D with manufacturing, we ensure that new innovations transition smoothly from the lab to full-scale production.</w:t>
      </w:r>
    </w:p>
    <w:p>
      <w:pPr>
        <w:spacing w:after="0" w:line="185" w:lineRule="exact"/>
        <w:rPr>
          <w:sz w:val="20"/>
          <w:szCs w:val="20"/>
          <w:color w:val="auto"/>
        </w:rPr>
      </w:pPr>
    </w:p>
    <w:p>
      <w:pPr>
        <w:ind w:right="180" w:firstLine="619"/>
        <w:spacing w:after="0" w:line="262" w:lineRule="auto"/>
        <w:rPr>
          <w:sz w:val="20"/>
          <w:szCs w:val="20"/>
          <w:color w:val="auto"/>
        </w:rPr>
      </w:pPr>
      <w:r>
        <w:rPr>
          <w:rFonts w:ascii="Times New Roman" w:cs="Times New Roman" w:eastAsia="Times New Roman" w:hAnsi="Times New Roman"/>
          <w:sz w:val="17"/>
          <w:szCs w:val="17"/>
          <w:color w:val="auto"/>
        </w:rPr>
        <w:t>Our Huzhou, China manufacturing facility includes a technology center consisting of several buildings and is equipped with advanced scientific instruments such as X-ray powder diffraction machines, scanning electron microscopes, gas chromatograph/mass spectrometers, laser particle size analyzers and electrochemical test analyzers. These tools enable in-depth material analysis, safety testing and process optimization.</w:t>
      </w:r>
    </w:p>
    <w:p>
      <w:pPr>
        <w:spacing w:after="0" w:line="185" w:lineRule="exact"/>
        <w:rPr>
          <w:sz w:val="20"/>
          <w:szCs w:val="20"/>
          <w:color w:val="auto"/>
        </w:rPr>
      </w:pPr>
    </w:p>
    <w:p>
      <w:pPr>
        <w:jc w:val="both"/>
        <w:ind w:right="80" w:firstLine="619"/>
        <w:spacing w:after="0" w:line="262" w:lineRule="auto"/>
        <w:rPr>
          <w:sz w:val="20"/>
          <w:szCs w:val="20"/>
          <w:color w:val="auto"/>
        </w:rPr>
      </w:pPr>
      <w:r>
        <w:rPr>
          <w:rFonts w:ascii="Times New Roman" w:cs="Times New Roman" w:eastAsia="Times New Roman" w:hAnsi="Times New Roman"/>
          <w:sz w:val="17"/>
          <w:szCs w:val="17"/>
          <w:color w:val="auto"/>
        </w:rPr>
        <w:t>In September 2016, we established a research center in Orlando, Florida, focusing on long-term technology development. To further strengthen our U.S. R&amp;D capabilities, we expanded our presence in October 2021 with the acquisition of a 75,000-square-foot facility, dedicated to advancing next-generation battery technologies.</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Our continued investment in cutting-edge battery technology is reflected in our annual R&amp;D expenditures, totaling $41.1 million in 2024, $45.0 million in 2023 and $43.5 million in 2022. These investments underscore our commitment to research excellence, ensuring that Microvast remains at the forefront of battery innovation, safety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products are marketed and sold through a direct sales force across three regions: Europe, Middle East and Africa; North and South America; and Asia</w:t>
      </w:r>
    </w:p>
    <w:p>
      <w:pPr>
        <w:spacing w:after="0" w:line="28" w:lineRule="exact"/>
        <w:rPr>
          <w:sz w:val="20"/>
          <w:szCs w:val="20"/>
          <w:color w:val="auto"/>
        </w:rPr>
      </w:pPr>
    </w:p>
    <w:p>
      <w:pPr>
        <w:ind w:right="80" w:firstLine="3"/>
        <w:spacing w:after="0" w:line="243" w:lineRule="auto"/>
        <w:tabs>
          <w:tab w:leader="none" w:pos="17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Pacific. Some of our key marketing attributes are our innovative technology and our commitment to quality and customer satisfaction. Microvast utilizes digital marketing and social media to reach a wide audience and engage with customers. Microvast also participates in industry trade shows and events to showcase its products and technologies, network with potential customers and generate leads. After-sales service and support are critical components of Microvast’s sales strategy. We offer maintenance services, technical support and training programs to ensure that customers are satisfied with their products and receive ongoing assistance as needed. By utilizing a combination of direct sales, online channels and trade shows, Microvast is able to effectively reach customers across various industries and geographies. This diverse sales approach enables the company to maximize its market potential and drive continued growth in the battery industry.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Electric Commercial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17"/>
          <w:szCs w:val="17"/>
          <w:color w:val="auto"/>
        </w:rPr>
        <w:t>We directly engage with EV and drivetrain manufacturers to highlight our technology and product benefits. Sales cycles differ by market segment and usually involve an extensive development and qualification period before commercial production. We expect the total time from customer introduction to commercial manufacturing will range from 2 to 4 years depending on the specific solution and market segment. For example, total time in the transportation market includes a customer’s preliminary technology review, which generally ranges from 3 to 9 months, followed by test and evaluation, which generally ranges from 12 to 18 months. We offer off-the-shelf packs that can significantly shorten our customers' time to market. Such off-the-shelf opportunities become more and more relevant for new market players of small and medium size whose prime objective is to disrupt the established markets especially in the light and medium duty vehicle sector by offering new vehicle concepts.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Utility-Scale ESS</w:t>
      </w:r>
    </w:p>
    <w:p>
      <w:pPr>
        <w:spacing w:after="0" w:line="234" w:lineRule="exact"/>
        <w:rPr>
          <w:sz w:val="20"/>
          <w:szCs w:val="20"/>
          <w:color w:val="auto"/>
        </w:rPr>
      </w:pPr>
    </w:p>
    <w:p>
      <w:pPr>
        <w:ind w:right="120" w:firstLine="619"/>
        <w:spacing w:after="0" w:line="271" w:lineRule="auto"/>
        <w:rPr>
          <w:sz w:val="20"/>
          <w:szCs w:val="20"/>
          <w:color w:val="auto"/>
        </w:rPr>
      </w:pPr>
      <w:r>
        <w:rPr>
          <w:rFonts w:ascii="Times New Roman" w:cs="Times New Roman" w:eastAsia="Times New Roman" w:hAnsi="Times New Roman"/>
          <w:sz w:val="17"/>
          <w:szCs w:val="17"/>
          <w:color w:val="auto"/>
        </w:rPr>
        <w:t>The target audience for Microvast includes commercial and industrial scale customers. Our sales channels include direct sales, partnerships with utilities and developers.</w:t>
      </w:r>
    </w:p>
    <w:p>
      <w:pPr>
        <w:spacing w:after="0" w:line="177"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Our sales cycle, involving a request for proposal process, typically spans 6 to 12 months from initiation to manufacturing. A key advantage of our ESS business is the shorter sales cycle, as project owners and developers face fewer testing requirements than those for EV batteries.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Battery Components</w:t>
      </w:r>
    </w:p>
    <w:p>
      <w:pPr>
        <w:spacing w:after="0" w:line="234" w:lineRule="exact"/>
        <w:rPr>
          <w:sz w:val="20"/>
          <w:szCs w:val="20"/>
          <w:color w:val="auto"/>
        </w:rPr>
      </w:pPr>
    </w:p>
    <w:p>
      <w:pPr>
        <w:ind w:right="60" w:firstLine="619"/>
        <w:spacing w:after="0" w:line="271" w:lineRule="auto"/>
        <w:rPr>
          <w:sz w:val="20"/>
          <w:szCs w:val="20"/>
          <w:color w:val="auto"/>
        </w:rPr>
      </w:pPr>
      <w:r>
        <w:rPr>
          <w:rFonts w:ascii="Times New Roman" w:cs="Times New Roman" w:eastAsia="Times New Roman" w:hAnsi="Times New Roman"/>
          <w:sz w:val="17"/>
          <w:szCs w:val="17"/>
          <w:color w:val="auto"/>
        </w:rPr>
        <w:t>Our promotion of battery components begins with engaging R&amp;D engineers from passenger car OEMs and consumer electronics manufacturers. We may provide select customers with material samples or prototypes for evaluation to facilitate component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Every lithium-ion battery consists of an anode, cathode, electrolyte and separator.</w:t>
      </w:r>
    </w:p>
    <w:p>
      <w:pPr>
        <w:spacing w:after="0" w:line="278" w:lineRule="exact"/>
        <w:rPr>
          <w:sz w:val="20"/>
          <w:szCs w:val="20"/>
          <w:color w:val="auto"/>
        </w:rPr>
      </w:pPr>
    </w:p>
    <w:p>
      <w:pPr>
        <w:ind w:left="620" w:right="20" w:hanging="307"/>
        <w:spacing w:after="0" w:line="238"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 xml:space="preserve">Anode </w:t>
      </w:r>
      <w:r>
        <w:rPr>
          <w:rFonts w:ascii="Times New Roman" w:cs="Times New Roman" w:eastAsia="Times New Roman" w:hAnsi="Times New Roman"/>
          <w:sz w:val="17"/>
          <w:szCs w:val="17"/>
          <w:color w:val="auto"/>
        </w:rPr>
        <w:t>— Our anode is selected historically from LTO or graphite in our product cells. In the coming years, we anticipate that we will develop and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new product that contains silicon or silicon oxide.</w:t>
      </w:r>
    </w:p>
    <w:p>
      <w:pPr>
        <w:spacing w:after="0" w:line="17" w:lineRule="exact"/>
        <w:rPr>
          <w:rFonts w:ascii="Arial" w:cs="Arial" w:eastAsia="Arial" w:hAnsi="Arial"/>
          <w:sz w:val="21"/>
          <w:szCs w:val="21"/>
          <w:color w:val="auto"/>
        </w:rPr>
      </w:pPr>
    </w:p>
    <w:p>
      <w:pPr>
        <w:ind w:left="620" w:right="40" w:hanging="307"/>
        <w:spacing w:after="0" w:line="245"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 xml:space="preserve">Cathode </w:t>
      </w:r>
      <w:r>
        <w:rPr>
          <w:rFonts w:ascii="Times New Roman" w:cs="Times New Roman" w:eastAsia="Times New Roman" w:hAnsi="Times New Roman"/>
          <w:sz w:val="17"/>
          <w:szCs w:val="17"/>
          <w:color w:val="auto"/>
        </w:rPr>
        <w:t>— For NMC, our existing products are made using commercially supplied materials, and our future cell products will utilize FCG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possible. For NMC-based cathodes, the sourcing and availability of cobalt is a key issue for many OEM buyers. As such, we are actively engaged in research to greatly reduce or eliminate the use of cobalt from our material stream. We have made LFP cells for a manufacturer of passenger EVs in China and the raw materials for this cell are sourced from a commercial supplier.</w:t>
      </w:r>
    </w:p>
    <w:p>
      <w:pPr>
        <w:spacing w:after="0" w:line="5" w:lineRule="exact"/>
        <w:rPr>
          <w:rFonts w:ascii="Arial" w:cs="Arial" w:eastAsia="Arial" w:hAnsi="Arial"/>
          <w:sz w:val="21"/>
          <w:szCs w:val="21"/>
          <w:color w:val="auto"/>
        </w:rPr>
      </w:pPr>
    </w:p>
    <w:p>
      <w:pPr>
        <w:ind w:left="620" w:right="20" w:hanging="307"/>
        <w:spacing w:after="0" w:line="230"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 xml:space="preserve">Electrolyte </w:t>
      </w:r>
      <w:r>
        <w:rPr>
          <w:rFonts w:ascii="Times New Roman" w:cs="Times New Roman" w:eastAsia="Times New Roman" w:hAnsi="Times New Roman"/>
          <w:sz w:val="17"/>
          <w:szCs w:val="17"/>
          <w:color w:val="auto"/>
        </w:rPr>
        <w:t>— Our current lithium-ion cells utilize liquid-based electrolyte formulations. We often purchase base solvents for carbonate-based electrolytes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commercial suppliers to leverage cost benefits of scale, blending them in-house to protect our proprietary formulations.</w:t>
      </w:r>
    </w:p>
    <w:p>
      <w:pPr>
        <w:spacing w:after="0" w:line="6" w:lineRule="exact"/>
        <w:rPr>
          <w:rFonts w:ascii="Arial" w:cs="Arial" w:eastAsia="Arial" w:hAnsi="Arial"/>
          <w:sz w:val="21"/>
          <w:szCs w:val="21"/>
          <w:color w:val="auto"/>
        </w:rPr>
      </w:pPr>
    </w:p>
    <w:p>
      <w:pPr>
        <w:ind w:left="620" w:right="20" w:hanging="307"/>
        <w:spacing w:after="0" w:line="234"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 xml:space="preserve">Separator </w:t>
      </w:r>
      <w:r>
        <w:rPr>
          <w:rFonts w:ascii="Times New Roman" w:cs="Times New Roman" w:eastAsia="Times New Roman" w:hAnsi="Times New Roman"/>
          <w:sz w:val="17"/>
          <w:szCs w:val="17"/>
          <w:color w:val="auto"/>
        </w:rPr>
        <w:t>— The separator is another key material in our lithium-ion cells. While we have in the past used the industry norm polyethylene/polypropylene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we are now working so that in the future we will integrate as many cells as possible with our proprietary polyaramid technology. Additionally, we are leveraging our polyaramid expertise to develop a solid electrolyte battery system incorporating polyaramid material.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Suppliers and Supply Arrangements</w:t>
      </w:r>
    </w:p>
    <w:p>
      <w:pPr>
        <w:spacing w:after="0" w:line="234"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We source key electrode raw materials and various components exclusively from a select few third-party suppliers. Purchasing raw materials in bulk has enabled us to secure long-term supply agreements, improving cost and payment terms with suppliers. We have also increased the sources of supply for some of our key raw materials. Our suppliers may adjust prices based on fluctuations in benchmark prices for raw materials or their base metals. See “</w:t>
      </w:r>
      <w:r>
        <w:rPr>
          <w:rFonts w:ascii="Times New Roman" w:cs="Times New Roman" w:eastAsia="Times New Roman" w:hAnsi="Times New Roman"/>
          <w:sz w:val="17"/>
          <w:szCs w:val="17"/>
          <w:i w:val="1"/>
          <w:iCs w:val="1"/>
          <w:color w:val="auto"/>
        </w:rPr>
        <w:t>Risk Factors —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Business and Industry — We currently purchase certain key raw materials and components from third parties, some of which we only source from one supplier or from a limited number of suppliers.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34"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have established various arrangements with leading global EV manufacturers to develop batteries and systems, primarily for the commercial vehicle market. Our battery systems are used in the plug-in hybrid EV, battery EV and hybrid EV markets. In the electric commercial vehicle market, we typically engage in long-term supply or framework agreements without imposing minimum purchase obligations on the customer. Customers under these agreements issue purchase orders for specific quantities of battery systems, which serve as their contractual commitments.</w:t>
      </w:r>
    </w:p>
    <w:p>
      <w:pPr>
        <w:spacing w:after="0" w:line="198"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The sales cycle of our solutions and a relatively small customer base result in significant customer concentration. In 2024, our top five customers accounted for 60.0% of our revenue. See “</w:t>
      </w:r>
      <w:r>
        <w:rPr>
          <w:rFonts w:ascii="Times New Roman" w:cs="Times New Roman" w:eastAsia="Times New Roman" w:hAnsi="Times New Roman"/>
          <w:sz w:val="17"/>
          <w:szCs w:val="17"/>
          <w:i w:val="1"/>
          <w:iCs w:val="1"/>
          <w:color w:val="auto"/>
        </w:rPr>
        <w:t>Risk Factors — Risks Related to our Business and Industry — Our revenue heavily depends on a limited customer base,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 trend likely to continue."</w:t>
      </w:r>
    </w:p>
    <w:p>
      <w:pPr>
        <w:spacing w:after="0" w:line="166"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2024, our battery systems had an order backlog worth approximately $401.3 million. We expect to fulfill most of our backlog within 2025 and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21"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2024, Microvast employed 1,921 full-time employees and 334 independent contractors. Our senior management team and key decision-making processes are centralized in the U.S., ensuring strategic alignment across our global operations.</w:t>
      </w:r>
    </w:p>
    <w:p>
      <w:pPr>
        <w:spacing w:after="0" w:line="164"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Our human capital strategy is centered on attracting, developing, and retaining top talent while fostering a culture rooted in integrity, transparency, safety, diversity, open-mindedness, and teamwork. We understand that our commitment to technological innovation and exceptional customer service is driven by the dedication and contributions of our employees. A versatile workforce—encompassing various backgrounds, skills, and perspectives—fuels innovation, enhances problem-solving, and strengthens our ability to meet customer needs.</w:t>
      </w:r>
    </w:p>
    <w:p>
      <w:pPr>
        <w:spacing w:after="0" w:line="198"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Our results-oriented culture is dedicated to delivering differentiated solutions faster than our competitors, reinforcing our competitive edge. To support this, we provide full-time employees with competitive benefits packages, including annual performance-based bonuses and equity-based compensation opportunities for eligible employees. These programs help us attract, engage, and retain high-caliber professionals who are invested in our company’s growth.</w:t>
      </w:r>
    </w:p>
    <w:p>
      <w:pPr>
        <w:spacing w:after="0" w:line="204"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Employee safety remains a top priority at all Microvast locations. Our health and safety programs are built on global safety standards, and performance is measured, evaluated and reported to leadership on a monthly basis. To date, we have not experienced any work stoppages due to labor disputes, health or safety issues, and we consider our employee relations to be strong. By continuously investing in workplace safety, employee well-being and professional growth, we aim to cultivate a dynamic and high-performing workforce that drives long-term success.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34"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The battery industry is highly competitive and rapidly evolving, driven by technological advancements, shifting customer demands and the continuous introduction of new innovations. To maintain a competitive edge, battery manufacturers must adapt to changing market dynamics while delivering high-performance, cost-effective and reliable 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primary competitive factors in our industry include:</w:t>
      </w:r>
    </w:p>
    <w:p>
      <w:pPr>
        <w:spacing w:after="0" w:line="217"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performance, reliability and safety;</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solutions;</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cost of ownership;</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and industrial regulations;</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payment terms;</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 sheet strength and access to financing;</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pricing of raw materials;</w:t>
      </w:r>
    </w:p>
    <w:p>
      <w:pPr>
        <w:ind w:left="620" w:hanging="307"/>
        <w:spacing w:after="0" w:line="23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to market for new technologies; and</w:t>
      </w: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capabilities.</w:t>
      </w:r>
    </w:p>
    <w:p>
      <w:pPr>
        <w:spacing w:after="0" w:line="225"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Our competitors range from large, well-established battery manufacturers to emerging technology startups focused on disruptive battery innovations. The global battery market is dominated by manufacturers from China, Japan and South Korea, who leverage economies of scale and aggressive pricing strategies to maintain market share. See “Risk Factors —</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Risks Related to Our Business and Industry.” Our ability to differentiate through superior technology, operational efficiency and market adaptability will be critical to sustaining long-term growth and competitiveness in this rapidly evolving landscape.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 and Environmental Compliance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Health and Safety Matters — Our China Facility</w:t>
      </w:r>
    </w:p>
    <w:p>
      <w:pPr>
        <w:spacing w:after="0" w:line="236" w:lineRule="exact"/>
        <w:rPr>
          <w:sz w:val="20"/>
          <w:szCs w:val="20"/>
          <w:color w:val="auto"/>
        </w:rPr>
      </w:pPr>
    </w:p>
    <w:p>
      <w:pPr>
        <w:ind w:right="480" w:firstLine="619"/>
        <w:spacing w:after="0" w:line="249" w:lineRule="auto"/>
        <w:rPr>
          <w:sz w:val="20"/>
          <w:szCs w:val="20"/>
          <w:color w:val="auto"/>
        </w:rPr>
      </w:pPr>
      <w:r>
        <w:rPr>
          <w:rFonts w:ascii="Times New Roman" w:cs="Times New Roman" w:eastAsia="Times New Roman" w:hAnsi="Times New Roman"/>
          <w:sz w:val="17"/>
          <w:szCs w:val="17"/>
          <w:color w:val="auto"/>
        </w:rPr>
        <w:t>Our manufacturing activities in China are subject to the requirements of Chinese environmental laws and regulations on air emission, wastewater discharge, solid waste, noise and the generation, handling, storage, use, transportation and disposal of hazardous materials. Our Environmental Management system is certified to ISO 14001:2015 and our Occupational Health and Safety system is certified to ISO 45001:2018. Our management systems support our</w:t>
      </w:r>
    </w:p>
    <w:p>
      <w:pPr>
        <w:spacing w:after="0" w:line="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commitment to ensure we are in compliance with applicable environmental, health and safety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laws. We believe we have maintained pollutant emission levels at each of our facilities in material compliance with levels prescribed by the relevant governmental authorities.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 Health and Safety Matters — Our Germany Production Facility</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Operations at our German facility are subject to a variety of environmental, health and safety regulations. Quality Management system is certified to IATF</w:t>
      </w:r>
    </w:p>
    <w:p>
      <w:pPr>
        <w:spacing w:after="0" w:line="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7"/>
          <w:szCs w:val="17"/>
          <w:color w:val="auto"/>
        </w:rPr>
        <w:t>16949:2016 and ISO 9001:2015. We are working on the environmental certification to ISO 14001:2015 expected later into 2025. All our machines and production lines are delivered with Conformitè Europëenne, European Quality Standard label according to the Machinery Directive 2006/42/EG.</w:t>
      </w:r>
    </w:p>
    <w:p>
      <w:pPr>
        <w:spacing w:after="0" w:line="19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transit, lithium-ion batteries are subject to rules governing the transportation of “dangerous goods.” We only use carriers that meet applicable legal requirements. Beginning in the third quarter of 2025, the shipment of used and waste batteries will be subject to the new EU Battery Regulation 2023/1542, requiring us to keep documentation on hand to allow authorities to distinguish between the shipments of used and waste batteries. We have policies and programs in place to help assure compliance with our obligations such as machine guarding, laser welding, hazardous material management and transportation. Furthermore, in order to obtain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205"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We train our employees and conduct internal audits of our operations to assess our fulfillment of these policies. As demonstrated in our pilot project for “Sustainable Battery Production” with TÜV SÜD Germany, the environment is very important to us. Therefore, we are confident in our ability to timely meet the upcoming European regulatory obligations with regard to the environmental and sustainability requirements applicable to battery manufacturers.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Health and Safety Matters — Our U.S. Production Facility</w:t>
      </w:r>
    </w:p>
    <w:p>
      <w:pPr>
        <w:spacing w:after="0" w:line="249"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Federal, state and local regulations impose significant environmental, health, and safety requirements on the manufacture, storage, transportation and disposal of various components as currently used or that will be used in our U.S. battery cell manufacturing and ESS container assembly operations. On the federal level, various agencies regulate the manufacture, storage, transportation, and disposal of batteries, including the U.S. Environmental Protection Agency (“EPA”), the Occupational Safety and Health Administration (“OSHA”), and the U.S. Department of Transportation (“DOT”). Battery manufacturing facilities must follow the EPA’s Battery Manufacturing Effluent Guidelines and Standards, which are incorporated into the EPA’s National Pollutant Discharge Elimination System’s (“NPDES”) permitting regulations. NPDES permits are required for direct dischargers of certain battery manufacturing waste. In addition to providing general industrial safety regulations, OSHA also dictates specific safety requirements for workers in the battery manufacturing and battery charging industries. On the transportation side, lithium batteries are regulated as a hazardous material under the DOT’s Hazardous Materials Regulations (“HMR”) and must conform to all applicable HMR requirements when transported by air, highway, rail, or water. In addition, U.S. state and local laws can impose additional regulations, particularly in the areas of safety, recycling, and proper handling of batteries.</w:t>
      </w:r>
    </w:p>
    <w:p>
      <w:pPr>
        <w:spacing w:after="0" w:line="201"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Moreover, federal, state and local governments may in the future enact additional regulations relating to the manufacture, storage, transportation and disposal of components of advanced ESS. Compliance with such additional regulations could require us to devote significant time and resources and could adversely affect demand for our products.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As we continue to develop our operations in the U.S. we are following international standards and guidelines as we develop our Environmental and Occupational Health and Safety Management systems. Although we believe that our operations are in material compliance with current applicable environmental regulations, there can be no assurance that changes in such laws and regulations will not impose costly compliance requirements on us or otherwise subject us to future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Environmental Matters</w:t>
      </w:r>
    </w:p>
    <w:p>
      <w:pPr>
        <w:spacing w:after="0" w:line="236"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Currently, we face no admonitions, penalties, investigations, or inquiries from environmental regulators, nor are we involved in any legal proceedings as a defendant for violating environmental laws. We have no reason to anticipate any claims, actions, or proceedings against us related to environmental law that would materially and adversely affect our business, finances, or operations. See “</w:t>
      </w:r>
      <w:r>
        <w:rPr>
          <w:rFonts w:ascii="Times New Roman" w:cs="Times New Roman" w:eastAsia="Times New Roman" w:hAnsi="Times New Roman"/>
          <w:sz w:val="17"/>
          <w:szCs w:val="17"/>
          <w:i w:val="1"/>
          <w:iCs w:val="1"/>
          <w:color w:val="auto"/>
        </w:rPr>
        <w:t>Risk Factors — Risks Related to our Business and Industry — Compliance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environmental regulations can be expensive, and failure to comply with these regulations may result in monetary damages and fines, adverse publicity and have a material adverse effect on our business.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Workers’ Health and Production Safety Compliance</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are subject to numerous laws and regulations related to the health of our employees and production safety of our facilities in each jurisdiction in which we operate.</w:t>
      </w:r>
    </w:p>
    <w:p>
      <w:pPr>
        <w:spacing w:after="0" w:line="17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These laws and regulations include in some jurisdictions a requirement to engage a qualified institution to make a safety evaluation report on its work safety conditions and to file such a safety evaluation report with the local work safety authority for the use of hazardous chemicals in our manufacturing process.</w:t>
      </w:r>
    </w:p>
    <w:p>
      <w:pPr>
        <w:spacing w:after="0" w:line="17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Times New Roman" w:cs="Times New Roman" w:eastAsia="Times New Roman" w:hAnsi="Times New Roman"/>
          <w:sz w:val="17"/>
          <w:szCs w:val="17"/>
          <w:i w:val="1"/>
          <w:iCs w:val="1"/>
          <w:color w:val="auto"/>
        </w:rPr>
        <w:t>Risk</w:t>
      </w:r>
    </w:p>
    <w:p>
      <w:pPr>
        <w:spacing w:after="0" w:line="1"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7"/>
          <w:szCs w:val="17"/>
          <w:i w:val="1"/>
          <w:iCs w:val="1"/>
          <w:color w:val="auto"/>
        </w:rPr>
        <w:t>Factors — Risks Related to our Business and Industry — We may fail to comply with certain health and production safety laws and regulations governing hazardous materials.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7"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34"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Microvast, Inc. was initially incorporated in Texas in 2006, then re-incorporated as a Delaware corporation in December 2015. On July 23, 2021, Tuscan Holdings Corp. ("Tuscan") a Delaware corporation established in November 2018 for the purpose of effecting a merger, capital stock exchange, asset acquisition, stock purchase, reorganization, or similar business combination with one or more businesses, consummated the acquisition of Microvast, Inc. pursuant to an Agreement and Plan of Merger dated February 1, 2021, between Tuscan, Microvast, Inc. and TSCN Merger Sub Inc. (the “Business Combination”). Following the Business Combination, we changed our name from Tuscan to “Microvast Holdings, Inc.” Our principal executive offices are located at 12603 Southwest Freeway, Suite 300, Stafford, Texas 77477, and our telephone number is (281) 491-9505. Our website is https://microvast.com. The information posted on our website is not incorporated by reference into this Annual Report.</w:t>
      </w:r>
    </w:p>
    <w:p>
      <w:pPr>
        <w:spacing w:after="0" w:line="217"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 xml:space="preserve">We make available on or through our website certain reports and amendments to those reports that we file with or furnish to the U.S. Securities and Exchange Commission (“SEC”) in accordance with the Securities Exchange Act of 1934, as amended (the “Exchange Act”). These include our annual reports on Form 10-K, our quarterly reports on Form 10-Q, and our current reports on Form 8-K, amendments to those reports and our Proxy Statement for our annual meeting of stockholders. These filings are available for download free of charge on our investor relations website located at </w:t>
      </w:r>
      <w:r>
        <w:rPr>
          <w:rFonts w:ascii="Times New Roman" w:cs="Times New Roman" w:eastAsia="Times New Roman" w:hAnsi="Times New Roman"/>
          <w:sz w:val="17"/>
          <w:szCs w:val="17"/>
          <w:i w:val="1"/>
          <w:iCs w:val="1"/>
          <w:color w:val="auto"/>
        </w:rPr>
        <w:t>https://ir.microvast.com/financials-filings/sec-filings</w:t>
      </w:r>
      <w:r>
        <w:rPr>
          <w:rFonts w:ascii="Times New Roman" w:cs="Times New Roman" w:eastAsia="Times New Roman" w:hAnsi="Times New Roman"/>
          <w:sz w:val="17"/>
          <w:szCs w:val="17"/>
          <w:color w:val="auto"/>
        </w:rPr>
        <w:t>. The SEC also maintains a website that contains reports, proxy statements and other information about issuers that file electronically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 factors discussed below, as well as all other information, as an investment in the Company involves a high degree of risk.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summary of material factors that make an investment in our common stock speculative or risky: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8" w:lineRule="exact"/>
        <w:rPr>
          <w:sz w:val="20"/>
          <w:szCs w:val="20"/>
          <w:color w:val="auto"/>
        </w:rPr>
      </w:pPr>
    </w:p>
    <w:p>
      <w:pPr>
        <w:ind w:left="620" w:right="400" w:hanging="307"/>
        <w:spacing w:after="0" w:line="242"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restatement of our previously issued quarterly financial statements has subjected us to additional costs, risks and uncertainty and may also affect investor confidence and harm our reputation.</w:t>
      </w:r>
    </w:p>
    <w:p>
      <w:pPr>
        <w:spacing w:after="0" w:line="1" w:lineRule="exact"/>
        <w:rPr>
          <w:rFonts w:ascii="Arial" w:cs="Arial" w:eastAsia="Arial" w:hAnsi="Arial"/>
          <w:sz w:val="21"/>
          <w:szCs w:val="21"/>
          <w:color w:val="auto"/>
        </w:rPr>
      </w:pPr>
    </w:p>
    <w:p>
      <w:pPr>
        <w:jc w:val="both"/>
        <w:ind w:left="620" w:right="120" w:hanging="307"/>
        <w:spacing w:after="0" w:line="239"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 have identified material weaknesses in our internal control over financial reporting and, if we fail to remediate these material weaknesses in a timely manner or at all, we may not be able to comply with our financial reporting obligations, which could expose us to additional legal and business risks and uncertainties.</w:t>
      </w:r>
    </w:p>
    <w:p>
      <w:pPr>
        <w:spacing w:after="0" w:line="1" w:lineRule="exact"/>
        <w:rPr>
          <w:rFonts w:ascii="Arial" w:cs="Arial" w:eastAsia="Arial" w:hAnsi="Arial"/>
          <w:sz w:val="21"/>
          <w:szCs w:val="21"/>
          <w:color w:val="auto"/>
        </w:rPr>
      </w:pPr>
    </w:p>
    <w:p>
      <w:pPr>
        <w:ind w:left="620" w:right="140" w:hanging="307"/>
        <w:spacing w:after="0" w:line="239" w:lineRule="auto"/>
        <w:tabs>
          <w:tab w:leader="none" w:pos="61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If we are unable to design and maintain proper and effective internal control over financial reporting in the future, or our internal control over financial reporting is determined by us or our auditors to not be operating effectively, we may be exposed to additional risks and investor confidence in us and the value of our common stock could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32"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continue as a going concern.</w:t>
      </w:r>
    </w:p>
    <w:p>
      <w:pPr>
        <w:spacing w:after="0" w:line="10" w:lineRule="exact"/>
        <w:rPr>
          <w:rFonts w:ascii="Times New Roman" w:cs="Times New Roman" w:eastAsia="Times New Roman" w:hAnsi="Times New Roman"/>
          <w:sz w:val="17"/>
          <w:szCs w:val="17"/>
          <w:color w:val="auto"/>
        </w:rPr>
      </w:pPr>
    </w:p>
    <w:p>
      <w:pPr>
        <w:ind w:left="620" w:right="480" w:hanging="307"/>
        <w:spacing w:after="0" w:line="25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meet our current capital requirements and will require additional capital to meet our outstanding accounts payable and current liabilities.</w:t>
      </w:r>
    </w:p>
    <w:p>
      <w:pPr>
        <w:spacing w:after="0" w:line="22" w:lineRule="exact"/>
        <w:rPr>
          <w:rFonts w:ascii="Times New Roman" w:cs="Times New Roman" w:eastAsia="Times New Roman" w:hAnsi="Times New Roman"/>
          <w:sz w:val="17"/>
          <w:szCs w:val="17"/>
          <w:color w:val="auto"/>
        </w:rPr>
      </w:pPr>
    </w:p>
    <w:p>
      <w:pPr>
        <w:ind w:left="620" w:right="80" w:hanging="307"/>
        <w:spacing w:after="0" w:line="235"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We may be unable to meet our future capital requirements and we may require additional capital to support business growth, and this capital might not be available on acceptable terms, or at all.</w:t>
      </w:r>
    </w:p>
    <w:p>
      <w:pPr>
        <w:spacing w:after="0" w:line="10" w:lineRule="exact"/>
        <w:rPr>
          <w:rFonts w:ascii="Arial" w:cs="Arial" w:eastAsia="Arial" w:hAnsi="Arial"/>
          <w:sz w:val="21"/>
          <w:szCs w:val="21"/>
          <w:color w:val="auto"/>
        </w:rPr>
      </w:pPr>
    </w:p>
    <w:p>
      <w:pPr>
        <w:ind w:left="620" w:right="280" w:hanging="307"/>
        <w:spacing w:after="0" w:line="241"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p>
    <w:p>
      <w:pPr>
        <w:ind w:left="620" w:hanging="307"/>
        <w:spacing w:after="0" w:line="217" w:lineRule="auto"/>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With a limited operating history and ongoing losses, achieving or sustaining profitability remains uncertain.</w:t>
      </w:r>
    </w:p>
    <w:p>
      <w:pPr>
        <w:spacing w:after="0" w:line="2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business and our ability to complete the Clarksville expansion could be adversely affected by mechanics liens filed by contractors that we do not have sufficient funds to pay.</w:t>
      </w:r>
    </w:p>
    <w:p>
      <w:pPr>
        <w:spacing w:after="0" w:line="1" w:lineRule="exact"/>
        <w:rPr>
          <w:rFonts w:ascii="Times New Roman" w:cs="Times New Roman" w:eastAsia="Times New Roman" w:hAnsi="Times New Roman"/>
          <w:sz w:val="21"/>
          <w:szCs w:val="21"/>
          <w:color w:val="auto"/>
        </w:rPr>
      </w:pPr>
    </w:p>
    <w:p>
      <w:pPr>
        <w:ind w:left="620" w:right="120" w:hanging="307"/>
        <w:spacing w:after="0"/>
        <w:tabs>
          <w:tab w:leader="none" w:pos="61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future growth depends upon the willingness of commercial-vehicle and specialty-vehicle operators and consumers to adopt EVs, and the availability of alternative technology.</w:t>
      </w:r>
    </w:p>
    <w:p>
      <w:pPr>
        <w:spacing w:after="0" w:line="1" w:lineRule="exact"/>
        <w:rPr>
          <w:rFonts w:ascii="Times New Roman" w:cs="Times New Roman" w:eastAsia="Times New Roman" w:hAnsi="Times New Roman"/>
          <w:sz w:val="21"/>
          <w:szCs w:val="21"/>
          <w:color w:val="auto"/>
        </w:rPr>
      </w:pPr>
    </w:p>
    <w:p>
      <w:pPr>
        <w:ind w:left="620" w:hanging="307"/>
        <w:spacing w:after="0" w:line="217" w:lineRule="auto"/>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revenue heavily depends on a limited customer base, a trend likely to continue.</w:t>
      </w:r>
    </w:p>
    <w:p>
      <w:pPr>
        <w:spacing w:after="0" w:line="22" w:lineRule="exact"/>
        <w:rPr>
          <w:rFonts w:ascii="Times New Roman" w:cs="Times New Roman" w:eastAsia="Times New Roman" w:hAnsi="Times New Roman"/>
          <w:sz w:val="21"/>
          <w:szCs w:val="21"/>
          <w:color w:val="auto"/>
        </w:rPr>
      </w:pPr>
    </w:p>
    <w:p>
      <w:pPr>
        <w:ind w:left="620" w:right="60" w:hanging="307"/>
        <w:spacing w:after="0"/>
        <w:tabs>
          <w:tab w:leader="none" w:pos="61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 w:lineRule="exact"/>
        <w:rPr>
          <w:rFonts w:ascii="Times New Roman" w:cs="Times New Roman" w:eastAsia="Times New Roman" w:hAnsi="Times New Roman"/>
          <w:sz w:val="21"/>
          <w:szCs w:val="21"/>
          <w:color w:val="auto"/>
        </w:rPr>
      </w:pPr>
    </w:p>
    <w:p>
      <w:pPr>
        <w:ind w:left="620" w:right="460" w:hanging="307"/>
        <w:spacing w:after="0" w:line="233" w:lineRule="auto"/>
        <w:tabs>
          <w:tab w:leader="none" w:pos="61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p>
    <w:p>
      <w:pPr>
        <w:spacing w:after="0" w:line="10" w:lineRule="exact"/>
        <w:rPr>
          <w:rFonts w:ascii="Times New Roman" w:cs="Times New Roman" w:eastAsia="Times New Roman" w:hAnsi="Times New Roman"/>
          <w:sz w:val="21"/>
          <w:szCs w:val="21"/>
          <w:color w:val="auto"/>
        </w:rPr>
      </w:pPr>
    </w:p>
    <w:p>
      <w:pPr>
        <w:ind w:left="620" w:right="240" w:hanging="307"/>
        <w:spacing w:after="0" w:line="235" w:lineRule="auto"/>
        <w:tabs>
          <w:tab w:leader="none" w:pos="61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currently purchase certain key raw materials and components from third parties, some of which we only source from one supplier or from a limited number of suppliers primarily located in Asia.</w:t>
      </w:r>
    </w:p>
    <w:p>
      <w:pPr>
        <w:spacing w:after="0" w:line="1" w:lineRule="exact"/>
        <w:rPr>
          <w:rFonts w:ascii="Times New Roman" w:cs="Times New Roman" w:eastAsia="Times New Roman" w:hAnsi="Times New Roman"/>
          <w:sz w:val="21"/>
          <w:szCs w:val="21"/>
          <w:color w:val="auto"/>
        </w:rPr>
      </w:pPr>
    </w:p>
    <w:p>
      <w:pPr>
        <w:ind w:left="620" w:hanging="307"/>
        <w:spacing w:after="0" w:line="217" w:lineRule="auto"/>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Losing our senior executives or key personnel could severely disrupt our business.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Cyberattacks or risks related to cybersecurity could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China</w:t>
      </w:r>
    </w:p>
    <w:p>
      <w:pPr>
        <w:spacing w:after="0" w:line="28" w:lineRule="exact"/>
        <w:rPr>
          <w:sz w:val="20"/>
          <w:szCs w:val="20"/>
          <w:color w:val="auto"/>
        </w:rPr>
      </w:pPr>
    </w:p>
    <w:p>
      <w:pPr>
        <w:ind w:left="620" w:right="40" w:hanging="307"/>
        <w:spacing w:after="0" w:line="242"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Adverse changes in the PRC's political, economic, and other policies could materially affect China’s economic growth and negatively impact our business growth and competitiveness, as well as adverse trade relations with the United States.</w:t>
      </w:r>
    </w:p>
    <w:p>
      <w:pPr>
        <w:spacing w:after="0" w:line="1" w:lineRule="exact"/>
        <w:rPr>
          <w:rFonts w:ascii="Arial" w:cs="Arial" w:eastAsia="Arial" w:hAnsi="Arial"/>
          <w:sz w:val="21"/>
          <w:szCs w:val="21"/>
          <w:color w:val="auto"/>
        </w:rPr>
      </w:pPr>
    </w:p>
    <w:p>
      <w:pPr>
        <w:ind w:left="620" w:right="260" w:hanging="307"/>
        <w:spacing w:after="0" w:line="239"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PRC government regulations significantly impact our Chinese operations, with changes potentially increasing costs or limiting activities. We could become subject to regulations issued by the Cyberspace Administration of China (the “CAC”) and the requirements of the PRC government’s cyber or data security laws, which could impact our activities in China.</w:t>
      </w:r>
    </w:p>
    <w:p>
      <w:pPr>
        <w:spacing w:after="0" w:line="1" w:lineRule="exact"/>
        <w:rPr>
          <w:rFonts w:ascii="Arial" w:cs="Arial" w:eastAsia="Arial" w:hAnsi="Arial"/>
          <w:sz w:val="21"/>
          <w:szCs w:val="21"/>
          <w:color w:val="auto"/>
        </w:rPr>
      </w:pPr>
    </w:p>
    <w:p>
      <w:pPr>
        <w:jc w:val="both"/>
        <w:ind w:left="620" w:right="440" w:hanging="307"/>
        <w:spacing w:after="0" w:line="239"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Any future revocation of approvals or any future failure to obtain approvals applicable to our business or any adverse changes in foreign investment policies of the PRC government, including restrictions on the foreign ownership of companies, may have a material adverse impact on our business, financial condition and results of operations.</w:t>
      </w:r>
    </w:p>
    <w:p>
      <w:pPr>
        <w:spacing w:after="0" w:line="1" w:lineRule="exact"/>
        <w:rPr>
          <w:rFonts w:ascii="Arial" w:cs="Arial" w:eastAsia="Arial" w:hAnsi="Arial"/>
          <w:sz w:val="21"/>
          <w:szCs w:val="21"/>
          <w:color w:val="auto"/>
        </w:rPr>
      </w:pPr>
    </w:p>
    <w:p>
      <w:pPr>
        <w:ind w:left="620" w:hanging="307"/>
        <w:spacing w:after="0" w:line="217"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PRC government may exert substantial influence over the manner in which we conduct our business operations in China.</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China’s legal and judicial system may not adequately protect our business and operations and the rights of our investors.</w:t>
      </w:r>
    </w:p>
    <w:p>
      <w:pPr>
        <w:spacing w:after="0" w:line="14" w:lineRule="exact"/>
        <w:rPr>
          <w:rFonts w:ascii="Arial" w:cs="Arial" w:eastAsia="Arial" w:hAnsi="Arial"/>
          <w:sz w:val="21"/>
          <w:szCs w:val="21"/>
          <w:color w:val="auto"/>
        </w:rPr>
      </w:pPr>
    </w:p>
    <w:p>
      <w:pPr>
        <w:ind w:left="620" w:right="140" w:hanging="307"/>
        <w:spacing w:after="0" w:line="233" w:lineRule="auto"/>
        <w:tabs>
          <w:tab w:leader="none" w:pos="61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Restrictions under PRC law on our China subsidiaries’ ability to make dividends and other distributions could materially and adversely affect our ability to grow, make investments or acquisitions that could benefit our business, pay dividends to you, and otherwise fund and conduct our business.</w:t>
      </w:r>
    </w:p>
    <w:p>
      <w:pPr>
        <w:spacing w:after="0" w:line="9" w:lineRule="exact"/>
        <w:rPr>
          <w:rFonts w:ascii="Times New Roman" w:cs="Times New Roman" w:eastAsia="Times New Roman" w:hAnsi="Times New Roman"/>
          <w:sz w:val="21"/>
          <w:szCs w:val="21"/>
          <w:color w:val="auto"/>
        </w:rPr>
      </w:pPr>
    </w:p>
    <w:p>
      <w:pPr>
        <w:ind w:left="620" w:hanging="307"/>
        <w:spacing w:after="0" w:line="236" w:lineRule="auto"/>
        <w:tabs>
          <w:tab w:leader="none" w:pos="61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securities may be prohibited from trading in the United States under the Holding Foreign Companies Accountable Act (the “HFCAA”) in the future if the PCAOB is unable to fully inspect or investigate our China-based auditors under the HFCAA. The delisting of our securities, or the threat of their being delisted, may materially and adversely affect the value of your investment.</w:t>
      </w:r>
    </w:p>
    <w:p>
      <w:pPr>
        <w:spacing w:after="0" w:line="9" w:lineRule="exact"/>
        <w:rPr>
          <w:rFonts w:ascii="Times New Roman" w:cs="Times New Roman" w:eastAsia="Times New Roman" w:hAnsi="Times New Roman"/>
          <w:sz w:val="21"/>
          <w:szCs w:val="21"/>
          <w:color w:val="auto"/>
        </w:rPr>
      </w:pPr>
    </w:p>
    <w:p>
      <w:pPr>
        <w:ind w:left="620" w:right="20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9" w:lineRule="exact"/>
        <w:rPr>
          <w:rFonts w:ascii="Arial" w:cs="Arial" w:eastAsia="Arial" w:hAnsi="Arial"/>
          <w:sz w:val="21"/>
          <w:szCs w:val="21"/>
          <w:color w:val="auto"/>
        </w:rPr>
      </w:pPr>
    </w:p>
    <w:p>
      <w:pPr>
        <w:jc w:val="both"/>
        <w:ind w:left="620" w:right="60" w:hanging="307"/>
        <w:spacing w:after="0" w:line="236" w:lineRule="auto"/>
        <w:tabs>
          <w:tab w:leader="none" w:pos="61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We have become subject to the recent scrutiny, criticism and negative publicity involving U.S.-listed companies with significant operations in China, and we have and we may continue to expend significant resources to investigate and resolve the matter which could harm our business operations, stock price and reputation, especially if such matter cannot be addressed and resolved favorably.</w:t>
      </w:r>
    </w:p>
    <w:p>
      <w:pPr>
        <w:ind w:left="620" w:hanging="307"/>
        <w:spacing w:after="0" w:line="230"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Tariffs imposed on products of the PRC into the United States may lead to increased costs and impact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2"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Protecting our intellectual property rights, especially in China, may be challenging, and infringement claims could result in substantial costs.</w:t>
      </w:r>
    </w:p>
    <w:p>
      <w:pPr>
        <w:spacing w:after="0" w:line="14" w:lineRule="exact"/>
        <w:rPr>
          <w:rFonts w:ascii="Arial" w:cs="Arial" w:eastAsia="Arial" w:hAnsi="Arial"/>
          <w:sz w:val="21"/>
          <w:szCs w:val="21"/>
          <w:color w:val="auto"/>
        </w:rPr>
      </w:pPr>
    </w:p>
    <w:p>
      <w:pPr>
        <w:ind w:left="620" w:hanging="307"/>
        <w:spacing w:after="0" w:line="216" w:lineRule="auto"/>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Our reliance on unpatented proprietary technologies is significant.</w:t>
      </w:r>
    </w:p>
    <w:p>
      <w:pPr>
        <w:spacing w:after="0" w:line="14" w:lineRule="exact"/>
        <w:rPr>
          <w:rFonts w:ascii="Arial" w:cs="Arial" w:eastAsia="Arial" w:hAnsi="Arial"/>
          <w:sz w:val="21"/>
          <w:szCs w:val="21"/>
          <w:color w:val="auto"/>
        </w:rPr>
      </w:pPr>
    </w:p>
    <w:p>
      <w:pPr>
        <w:ind w:left="620" w:hanging="307"/>
        <w:spacing w:after="0" w:line="216" w:lineRule="auto"/>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Infringement claims against us could lead to substantial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Common Stock</w:t>
      </w:r>
    </w:p>
    <w:p>
      <w:pPr>
        <w:spacing w:after="0" w:line="28" w:lineRule="exact"/>
        <w:rPr>
          <w:sz w:val="20"/>
          <w:szCs w:val="20"/>
          <w:color w:val="auto"/>
        </w:rPr>
      </w:pPr>
    </w:p>
    <w:p>
      <w:pPr>
        <w:ind w:left="620" w:right="120" w:hanging="307"/>
        <w:spacing w:after="0" w:line="235"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We may issue additional shares of common stock or other equity or convertible securities, which may depress the market price of our common stock and could make it difficult for another company to acquire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8" w:lineRule="exact"/>
        <w:rPr>
          <w:sz w:val="20"/>
          <w:szCs w:val="20"/>
          <w:color w:val="auto"/>
        </w:rPr>
      </w:pPr>
    </w:p>
    <w:p>
      <w:pPr>
        <w:ind w:left="620" w:right="360" w:hanging="307"/>
        <w:spacing w:after="0" w:line="235"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2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restatement of our previously issued quarterly financial statements has subjected us to additional costs, risks and uncertainty and may also affect investor confidence and harm our reputation.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determined that our previously reported financial statements as of and for the quarterly periods ended June 30, 2024 and September 30, 2024, required restatement primarily to correct an error we identified relating to the previously recorded impairment associated with the Company’s industrial facility located in Clarksville, Tennessee. Assessment of the error and the effectiveness of the Company’s disclosure controls and procedures and its internal control over financial reporting, the resulting restatement of our reported financial statements for the impacted periods, and the process of remediating the material weakness in our internal control over financial reporting diverted management’s attention and caused us to incur unanticipated expenses for legal, audit and other professional services fees.</w:t>
      </w:r>
    </w:p>
    <w:p>
      <w:pPr>
        <w:spacing w:after="0" w:line="196"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 restatement and the associated non-reliance on our previously issued quarterly financial statements and other related financial information could also cause investors to lose confidence in our financial reporting and harm our reputation, which in turn, could have a material adverse effect on our business, financial condition, results of operations, cash flows and prospects. We may also face the potential for litigation or regulatory inquiries in connection with or related to the restatement and associated material weakness, including claims involving the U.S. federal securities laws. Litigation and any regulatory inquiries are likely to divert management’s time and attention and, regardless of the outcome of such litigation, we will incur legal and other costs of defense, which could be significant. Further, if we do not prevail in the litigation, we could be required to pay substantial damages or settlement costs, which could have a material adverse effect on our financial condition, results of operations and cash flows.</w:t>
      </w:r>
    </w:p>
    <w:p>
      <w:pPr>
        <w:spacing w:after="0" w:line="191" w:lineRule="exact"/>
        <w:rPr>
          <w:sz w:val="20"/>
          <w:szCs w:val="20"/>
          <w:color w:val="auto"/>
        </w:rPr>
      </w:pPr>
    </w:p>
    <w:p>
      <w:pPr>
        <w:ind w:right="60" w:firstLine="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design and maintain proper and effective internal control over financial reporting in the future, or our internal control over financial reporting is determined by us or our auditors to not be operating effectively, we may be exposed to additional risks and investor confidence in us and the value of our common stock could be adversely affected.</w:t>
      </w:r>
    </w:p>
    <w:p>
      <w:pPr>
        <w:spacing w:after="0" w:line="184"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(“U.S. GAAP”). We are required, pursuant to Section 404 of the Sarbanes-Oxley Act, to furnish a report by management on, among other things, the effectiveness of our internal control over financial reporting. This assessment must be made yearly and must include disclosure of any material weaknesses identified by our management in our internal control over financial reporting. We also must disclose changes made in our internal control and procedures on a quarterly basis. Further, our independent registered public accounting firm must report on the effectiveness of our internal control over financial reporting pursuant to Section 404 of the Sarbanes-Oxley Act.</w:t>
      </w:r>
    </w:p>
    <w:p>
      <w:pPr>
        <w:spacing w:after="0" w:line="21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As noted above and further disclosed in Part II, Item 9A, “Controls and Procedures” of this Annual Report, we identified material weakness in our internal control over financial reporting as of December 31, 2024, and as a result, our management concluded that our disclosure controls and procedures and internal control over financial reporting were not effective as of December 31, 2024. While we are actively engaged in the process of designing appropriate controls to address this material weakness, there can be no assurance that the actions will fully remediate the material weakness in a timely manner or that there will not be additional material weakness in our internal control over financial reporting in the future. If we are unable to remediate the identified material weakness in a timely manner, or at all, or are otherwise unable to maintain effective internal control over financial reporting in the future, our ability to record, process and report financial information accurately, and to comply with our financial reporting obligations, could be adversely impacted.</w:t>
      </w:r>
    </w:p>
    <w:p>
      <w:pPr>
        <w:spacing w:after="0" w:line="1"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17"/>
          <w:szCs w:val="17"/>
          <w:color w:val="auto"/>
        </w:rPr>
        <w:t>If this occurs, it could jeopardize our ability to comply with our financial reporting obligations, including under SEC rules and regulations, NASDAQ listing standards and potential financial covenants under our financing agreements, which, in turn, could subject us to regulatory enforcement actions or stockholder litigation, cause us to breach the potential covenants under our financing agreements, limit our ability to access the credit and capital markets, adversely affect investor confidence in us and the value of our common stock, and harm our reputation, which may make it more difficult for us to market and sell products and services to new and existing customers.</w:t>
      </w:r>
    </w:p>
    <w:p>
      <w:pPr>
        <w:spacing w:after="0" w:line="194"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15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We are a “smaller reporting company” (“SRC”) as defined in the Exchange Act. As an SRC, we are permitted to comply with scaled disclosure</w:t>
      </w:r>
    </w:p>
    <w:p>
      <w:pPr>
        <w:spacing w:after="0" w:line="16"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7"/>
          <w:szCs w:val="17"/>
          <w:color w:val="auto"/>
        </w:rPr>
        <w:t>obligations in our SEC filings as compared to other issuers who are not SRCs, including with respect to disclosure obligations regarding executive compensation in our periodic reports and proxy statements. We have elected to adopt the accommodations available to SRCs. Until we cease to be an SRC, the scaled disclosure in our SEC filings will result in less information about our company being available than for public companies that are not SRCs.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will be able to take advantage of these scaled disclosures for so long as our voting and non-voting common stock held by non-affiliates is less than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million measured on the last business day of our second fiscal quarter, or (ii) our annual revenue is less than $100 million during the most recently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year and the market value of our voting and non-voting common stock held by non-affiliates is less than $700 million as measured on the last business day of</w:t>
      </w:r>
    </w:p>
    <w:p>
      <w:pPr>
        <w:spacing w:after="0"/>
        <w:rPr>
          <w:sz w:val="20"/>
          <w:szCs w:val="20"/>
          <w:color w:val="auto"/>
        </w:rPr>
      </w:pPr>
      <w:r>
        <w:rPr>
          <w:rFonts w:ascii="Times New Roman" w:cs="Times New Roman" w:eastAsia="Times New Roman" w:hAnsi="Times New Roman"/>
          <w:sz w:val="17"/>
          <w:szCs w:val="17"/>
          <w:color w:val="auto"/>
        </w:rPr>
        <w:t>our second fiscal quarter.</w:t>
      </w:r>
    </w:p>
    <w:p>
      <w:pPr>
        <w:spacing w:after="0" w:line="212"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will rely on certain scaled disclosures that are available to SRCs. If some investors find our common stock less attractive as a result, there may be a less active trading market for our common stock and our stock price may be more volatile.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continue as a going concern.</w:t>
      </w:r>
    </w:p>
    <w:p>
      <w:pPr>
        <w:spacing w:after="0" w:line="23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In prior periods, we disclosed that substantial doubt as to our ability to continue as a going concern existed due to liquidity constraints and recurring operating losses.</w:t>
      </w:r>
    </w:p>
    <w:p>
      <w:pPr>
        <w:spacing w:after="0" w:line="177"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For the years ended December 31, 2024, 2023 and 2022, we incurred net losses of $195.5 million, $106.4 million and $158.2 million, and generated/(used) cash flows from/(in) operating activities amounting to $2.8 million, $(75.3) million and $(53.9) million, respectively. As of December 31, 2024, we had working capital of $97.9 million, shareholders’ equity of $387.9 million, and cash and cash equivalents of $73.0 million. In addition, as of December 31, 2024, we held outstanding borrowings of $111.7 million, with $70.7 million due within the next 12 months, and other current liabilities of $259.5 million and had $48.2 million in purchase commitments primarily related to inventory, and $53.2 million in capital commitments with $30.7 million due within the next 12 months.</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These conditions and events raise substantial doubt about our ability to continue as a going concern. However management has concluded that there is not substantial doubt about our ability to continue as a going concern because it is probable that management’s plans regarding cash flow and debt management described in Note 2 to the financial statements and elsewhere in this report will allow the Company to continue as a going concern. These plans are subject to significant uncertainties, including our ability to increase cash flow, the accuracy of our cash flow projections and the fact that our revenues are highly concentrated on a few customers, all of which could have a material adverse effect on our ability to remain a going concern.</w:t>
      </w:r>
    </w:p>
    <w:p>
      <w:pPr>
        <w:spacing w:after="0" w:line="182"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meet our current capital requirements and will require additional capital to meet our outstanding accounts payable and current liabilities.</w:t>
      </w:r>
    </w:p>
    <w:p>
      <w:pPr>
        <w:spacing w:after="0" w:line="172"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As of December 31, 2024, we had outstanding borrowings of $111.7 million of which the amount to be paid in the next 12 months is $70.7 million, and other current liabilities of $259.5 million, including accounts payable, notes payable, accrued expenses and other current liabilities. We also had purchase commitments for non-cancelable contractual obligations primarily related to purchases of inventory of $48.2 million as of December 31, 2024.</w:t>
      </w:r>
    </w:p>
    <w:p>
      <w:pPr>
        <w:spacing w:after="0" w:line="179"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We expect that additional funding will be needed to complete the Clarksville expansion, including payment for certain accounts payable owed to suppliers in relation to assets and services provided for this expansion. As of December 31, 2024, we had made capital commitments for construction and purchase of property, plant and equipment amounting to $53.2 million, $30.7 million of which is payable within one year.</w:t>
      </w:r>
    </w:p>
    <w:p>
      <w:pPr>
        <w:spacing w:after="0" w:line="192" w:lineRule="exact"/>
        <w:rPr>
          <w:sz w:val="20"/>
          <w:szCs w:val="20"/>
          <w:color w:val="auto"/>
        </w:rPr>
      </w:pPr>
    </w:p>
    <w:p>
      <w:pPr>
        <w:ind w:right="380" w:firstLine="619"/>
        <w:spacing w:after="0" w:line="254" w:lineRule="auto"/>
        <w:rPr>
          <w:sz w:val="20"/>
          <w:szCs w:val="20"/>
          <w:color w:val="auto"/>
        </w:rPr>
      </w:pPr>
      <w:r>
        <w:rPr>
          <w:rFonts w:ascii="Times New Roman" w:cs="Times New Roman" w:eastAsia="Times New Roman" w:hAnsi="Times New Roman"/>
          <w:sz w:val="17"/>
          <w:szCs w:val="17"/>
          <w:color w:val="auto"/>
        </w:rPr>
        <w:t>As of December 31, 2024, the Group had outstanding payables of $27.3 million related to the Tennessee facility. The Group is actively working with suppliers. Some of those suppliers have filed liens while others have filed lawsuits and we have entered into settlement agreements that include stays of proceedings, payment adjustments and lien releases.</w:t>
      </w:r>
    </w:p>
    <w:p>
      <w:pPr>
        <w:spacing w:after="0" w:line="192"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There can be no assurance that we will be successful in obtaining sufficient funding. Should sufficient funding not be secured through the plans, or should there be a delay in the timing of securing funds through these funding initiatives, this would have adverse implications for our Company and its stockholders and could have a material adverse effect on our business and results of operations. In these scenarios, we would need to seek other options, including delaying or reducing operating and capital expenditure and the possibility of an alternative transaction or fundraising.</w:t>
      </w:r>
    </w:p>
    <w:p>
      <w:pPr>
        <w:spacing w:after="0" w:line="204"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meet our future capital requirements and we may require additional capital to support business growth, and this capital might not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w:t>
      </w:r>
    </w:p>
    <w:p>
      <w:pPr>
        <w:spacing w:after="0" w:line="19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addition, 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 technological advancements; market acceptance of our products and product enhancements; the overall level of sales of our products; R&amp;D expenses; our relationships with our customers and suppliers; our ability to control costs; sales and marketing expenses; enhancements to our infrastructure and systems and any capital improvements to our facilities; our ability to maintain existing manufacturing equipment; potential acquisitions of businesses and product lines; and general economic conditions, including the effects of international conflicts and their impact on the automotive industry in particular.</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Moreover, rising interest rates may further increase the costs of obtaining additional capital to meet our requirements.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Because substantially all of our revenues are currently derived from outside of the U.S. and the significant costs and restrictions associated with the repatriation of cash from our non-U.S. operations, we may not have sufficient cash flow to cover our liabilities, which may result in a material adverse effect on the Company’s business.</w:t>
      </w:r>
    </w:p>
    <w:p>
      <w:pPr>
        <w:spacing w:after="0" w:line="226" w:lineRule="exact"/>
        <w:rPr>
          <w:sz w:val="20"/>
          <w:szCs w:val="20"/>
          <w:color w:val="auto"/>
        </w:rPr>
      </w:pPr>
    </w:p>
    <w:p>
      <w:pPr>
        <w:ind w:right="80" w:firstLine="619"/>
        <w:spacing w:after="0"/>
        <w:rPr>
          <w:sz w:val="20"/>
          <w:szCs w:val="20"/>
          <w:color w:val="auto"/>
        </w:rPr>
      </w:pPr>
      <w:r>
        <w:rPr>
          <w:rFonts w:ascii="Times New Roman" w:cs="Times New Roman" w:eastAsia="Times New Roman" w:hAnsi="Times New Roman"/>
          <w:sz w:val="17"/>
          <w:szCs w:val="17"/>
          <w:color w:val="auto"/>
        </w:rPr>
        <w:t>Our cash and cash equivalents balances are concentrated in a few locations around the world, with approximately 63% and 74% of those balances held outside of the U.S. as of December 31, 2024 and 2023. Cash repatriation costs and restrictions limit our ability to repatriate cash held by our foreign subsidiaries and intercompany dividends. Additionally, the repatriation of cash held by our foreign subsidiaries may result in adverse tax consequences. Any repatriation of cash may be restricted or may result in our incurring substantial costs. For instance, we may be unable to repatriate cash from China and Germany to pay our accounts payable in the U.S. and fund the continued expansion of our U.S. operations. As a result, we must currently, and may in the future be required to, seek sources of cash to fund our operations outside of our subsidiaries,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With a limited operating history and ongoing losses, achieving or sustaining profitability remains uncertain.</w:t>
      </w:r>
    </w:p>
    <w:p>
      <w:pPr>
        <w:spacing w:after="0" w:line="223"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We incurred a net loss of approximately $195.5 million for the year ended December 31, 2024, and an accumulated deficit of approximately $1,093.0 million since our inception in 2006 through the year ended December 31, 2024. We expect to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193"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ability to complete the Clarksville expansion could be adversely affected by mechanics liens filed by contractors that we do not have sufficient funds to pay.</w:t>
      </w:r>
    </w:p>
    <w:p>
      <w:pPr>
        <w:spacing w:after="0" w:line="15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Our recent inability to timely pay certain contractors at our Clarksville, Tennessee facility has resulted in the filing of mechanics liens against the Clarksville facility project. The effect of mechanics liens is to secure a contractor's right to payment of past due amounts by using our real property as collateral for such amounts. We have outstanding payables in relation to assets and services provided for the Clarksville expansion amounting to $27.3 million that are to our suppliers as of December 31, 2024. Further, there are several suppliers which have filed liens, most of which are with the county in which the Tennessee project is situated, with a total amount of $24.4 million being claimed against us as of December 31,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2024. We are currently in certain lawsuits with suppliers alleging that we failed to pay for the services performed or equipment or materials delivered. For more information on our pending legal proceedings, please see Note 28. Commitments and Contingencies, to the consolidated financial statements included elsewhere in this Annual Report.</w:t>
      </w:r>
    </w:p>
    <w:p>
      <w:pPr>
        <w:spacing w:after="0" w:line="204"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We are working to resolve these matters but there is no guarantee that we will be successful in doing so at all or on favorable terms. The filing of mechanics liens and/or litigation could delay the financing or construction project while the matters are resolved, increase the overall cost of the project due to legal fees and potential settlements, limit our ability to obtain financing for our Clarksville, Tennessee expansion project, and/or have a material adverse impact on our business, financial condition and operating results.</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future growth depends upon the willingness of commercial-vehicle and specialty-vehicle operators and consumers to adopt EVs, and the availability of alternative technology.</w:t>
      </w:r>
    </w:p>
    <w:p>
      <w:pPr>
        <w:spacing w:after="0" w:line="182"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17"/>
          <w:szCs w:val="17"/>
          <w:color w:val="auto"/>
        </w:rPr>
        <w:t>Our growth is highly dependent upon the adoption of EVs by commercial-vehicle and specialty-vehicle operators and consumers. If the markets for EVs in China, Europe or the U.S.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factors may influence the adoption of electric vehicles, including, but not limited to:</w:t>
      </w:r>
    </w:p>
    <w:p>
      <w:pPr>
        <w:spacing w:after="0" w:line="49" w:lineRule="exact"/>
        <w:rPr>
          <w:sz w:val="20"/>
          <w:szCs w:val="20"/>
          <w:color w:val="auto"/>
        </w:rPr>
      </w:pPr>
    </w:p>
    <w:p>
      <w:pPr>
        <w:ind w:left="620" w:right="280" w:hanging="307"/>
        <w:spacing w:after="0" w:line="242"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perceptions about electric vehicle quality, design, performance and cost, especially if adverse events or accidents occur that are linked to the quality or safety of electric vehicles;</w:t>
      </w:r>
    </w:p>
    <w:p>
      <w:pPr>
        <w:spacing w:after="0" w:line="23" w:lineRule="exact"/>
        <w:rPr>
          <w:rFonts w:ascii="Arial" w:cs="Arial" w:eastAsia="Arial" w:hAnsi="Arial"/>
          <w:sz w:val="21"/>
          <w:szCs w:val="21"/>
          <w:color w:val="auto"/>
        </w:rPr>
      </w:pPr>
    </w:p>
    <w:p>
      <w:pPr>
        <w:ind w:left="620" w:right="48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perceptions about electric vehicle quality, safety (in particular with respect to lithium-ion battery packs), design, performance and cost, especially if adverse events or accidents occur that are linked to the quality or safety of electric vehicles;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volatility in sales of electric vehicles;</w:t>
      </w:r>
    </w:p>
    <w:p>
      <w:pPr>
        <w:spacing w:after="0" w:line="21" w:lineRule="exact"/>
        <w:rPr>
          <w:rFonts w:ascii="Arial" w:cs="Arial" w:eastAsia="Arial" w:hAnsi="Arial"/>
          <w:sz w:val="21"/>
          <w:szCs w:val="21"/>
          <w:color w:val="auto"/>
        </w:rPr>
      </w:pPr>
    </w:p>
    <w:p>
      <w:pPr>
        <w:ind w:left="620" w:right="66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perceptions about vehicle safety in general, in particular safety issues that may be attributed to the use of advanced technology, including vehicle electronics and regenerative braking systems;</w:t>
      </w:r>
    </w:p>
    <w:p>
      <w:pPr>
        <w:spacing w:after="0" w:line="23" w:lineRule="exact"/>
        <w:rPr>
          <w:rFonts w:ascii="Arial" w:cs="Arial" w:eastAsia="Arial" w:hAnsi="Arial"/>
          <w:sz w:val="21"/>
          <w:szCs w:val="21"/>
          <w:color w:val="auto"/>
        </w:rPr>
      </w:pPr>
    </w:p>
    <w:p>
      <w:pPr>
        <w:ind w:left="620" w:right="60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negative perceptions of electric vehicles, such as that they are more expensive than non-electric vehicles and are only affordable with government subsidies or that they have failed to meet customer expectations;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limited range over which electric vehicles may be driven on a single battery charge and the effects of weather on this range;</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decline of an electric vehicle’s range resulting from deterioration over time in the battery’s ability to hold a charge;</w:t>
      </w:r>
    </w:p>
    <w:p>
      <w:pPr>
        <w:spacing w:after="0" w:line="21" w:lineRule="exact"/>
        <w:rPr>
          <w:rFonts w:ascii="Arial" w:cs="Arial" w:eastAsia="Arial" w:hAnsi="Arial"/>
          <w:sz w:val="21"/>
          <w:szCs w:val="21"/>
          <w:color w:val="auto"/>
        </w:rPr>
      </w:pPr>
    </w:p>
    <w:p>
      <w:pPr>
        <w:ind w:left="620" w:right="36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concerns about electric charging infrastructure availability and reliability, which could derail past and present efforts to promote electric vehicles as a practical solution to vehicles which require gasoline;</w:t>
      </w:r>
    </w:p>
    <w:p>
      <w:pPr>
        <w:spacing w:after="0" w:line="23" w:lineRule="exact"/>
        <w:rPr>
          <w:rFonts w:ascii="Arial" w:cs="Arial" w:eastAsia="Arial" w:hAnsi="Arial"/>
          <w:sz w:val="21"/>
          <w:szCs w:val="21"/>
          <w:color w:val="auto"/>
        </w:rPr>
      </w:pPr>
    </w:p>
    <w:p>
      <w:pPr>
        <w:ind w:left="620" w:right="10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concerns about charging station standardizations, convenience and cost influencing consumers’ perceptions regarding the convenience of electric vehicle charging stations;</w:t>
      </w:r>
    </w:p>
    <w:p>
      <w:pPr>
        <w:spacing w:after="0" w:line="23" w:lineRule="exact"/>
        <w:rPr>
          <w:rFonts w:ascii="Arial" w:cs="Arial" w:eastAsia="Arial" w:hAnsi="Arial"/>
          <w:sz w:val="21"/>
          <w:szCs w:val="21"/>
          <w:color w:val="auto"/>
        </w:rPr>
      </w:pPr>
    </w:p>
    <w:p>
      <w:pPr>
        <w:ind w:left="620" w:right="20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concerns of potential customers about the susceptibility of battery packs to damage from improper charging, as well as the lifespan of battery packs and the cost of their replacement;</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concerns regarding comprehensive insurance coverage related to electric vehicles;</w:t>
      </w:r>
    </w:p>
    <w:p>
      <w:pPr>
        <w:spacing w:after="0" w:line="21"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environmental consciousness of consumers;</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and volatility in the cost of natural gas, diesel, coal, oil, gasoline and other fuels relative to electricity;</w:t>
      </w:r>
    </w:p>
    <w:p>
      <w:pPr>
        <w:spacing w:after="0" w:line="22" w:lineRule="exact"/>
        <w:rPr>
          <w:rFonts w:ascii="Arial" w:cs="Arial" w:eastAsia="Arial" w:hAnsi="Arial"/>
          <w:sz w:val="21"/>
          <w:szCs w:val="21"/>
          <w:color w:val="auto"/>
        </w:rPr>
      </w:pPr>
    </w:p>
    <w:p>
      <w:pPr>
        <w:ind w:left="620" w:right="840" w:hanging="307"/>
        <w:spacing w:after="0" w:line="235"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tax and other government incentives to purchase and operate electric vehicles or future regulation requiring increased use of nonpolluting vehicles;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concerns regarding the value and costs for upkeep of electric vehicles in the used car market;</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enough skilled labor in after-sale services; and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macroeconomic factors.</w:t>
      </w:r>
    </w:p>
    <w:p>
      <w:pPr>
        <w:spacing w:after="0" w:line="215"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anticipation of an expected increase in the demand for electric vehicles in the next few years, we have commercialized five types of ultra-fast charging lithium battery technologies (LpTO, LpCO, MpCO, HpCO and HnCO). We also intend to continue to invest in R&amp;D of more ultra-fast charging lithium battery products and to expand the range of applications for such batteries. However, the markets we have targeted, primarily those in China, Europe and the U.S. may not achieve the level of growth we expect. If any market fails to achieve our expected level of growth, we may have excess manufacturing capacity and may not be able to generate enough revenue to achieve or sustain our profitability.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substantially increase our manufacturing output in order to fulfill orders from our customers.</w:t>
      </w:r>
    </w:p>
    <w:p>
      <w:pPr>
        <w:spacing w:after="0" w:line="24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We have expanded and expect to continue to expand our battery manufacturing capacity to meet the expected demand for our products. Such expansion will require significant capital expenditures. In addition, expansion imposes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ability to substantially increase our manufacturing output is subject to significant constraints and uncertainties, including:</w:t>
      </w:r>
    </w:p>
    <w:p>
      <w:pPr>
        <w:spacing w:after="0" w:line="263"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execute our expansion plan effectively;</w:t>
      </w:r>
    </w:p>
    <w:p>
      <w:pPr>
        <w:spacing w:after="0" w:line="21" w:lineRule="exact"/>
        <w:rPr>
          <w:rFonts w:ascii="Arial" w:cs="Arial" w:eastAsia="Arial" w:hAnsi="Arial"/>
          <w:sz w:val="21"/>
          <w:szCs w:val="21"/>
          <w:color w:val="auto"/>
        </w:rPr>
      </w:pPr>
    </w:p>
    <w:p>
      <w:pPr>
        <w:ind w:left="620" w:right="240" w:hanging="307"/>
        <w:spacing w:after="0" w:line="242"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delays by our suppliers and equipment vendors and cost overruns as a result of a number of factors, many of which may be beyond our control, such as increases in raw material prices and problems with equipment vendors;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the government approval process or denial of required approvals by relevant government authorities;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diversion of significant management attention and other resources;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capital constraints and/or the terms on which capital is available to us.</w:t>
      </w:r>
    </w:p>
    <w:p>
      <w:pPr>
        <w:spacing w:after="0" w:line="216"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With a global supply chain, some raw material lead times are above average and can be challenging when responding to significant increases in customer demand. The combination of the foregoing could adversely affect our business, financial condition and results of operations.</w:t>
      </w:r>
    </w:p>
    <w:p>
      <w:pPr>
        <w:spacing w:after="0" w:line="193"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battery components pose safety risks, potentially causing accidents that could lead to liability, manufacturing delays and negatively impact market acceptance.</w:t>
      </w:r>
    </w:p>
    <w:p>
      <w:pPr>
        <w:spacing w:after="0" w:line="17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battery systems contain lithium-ion cells, which have been used for years in laptops and cell phones. On rare occasions, lithium-ion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China. These events have also raised questions about the suitability of these lithium-ion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7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20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heavily depends on a limited customer base, a trend likely to continue.</w:t>
      </w:r>
    </w:p>
    <w:p>
      <w:pPr>
        <w:spacing w:after="0" w:line="249"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Due to the nature of our industry and our limited operating history, we have a limited customer base and have depended on a small number of customers for a significant portion of our revenue. In the years ended December 31, 2024, 2023 and 2022, we sold our electric battery products to 297, 343 and 364 customers, respectively. Our top five customers accounted for approximately 60.0%, 48.6% and 36.1% of our revenues in the years ended December 31, 2024, 2023 and 2022,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199" w:lineRule="exact"/>
        <w:rPr>
          <w:sz w:val="20"/>
          <w:szCs w:val="20"/>
          <w:color w:val="auto"/>
        </w:rPr>
      </w:pPr>
    </w:p>
    <w:p>
      <w:pPr>
        <w:jc w:val="both"/>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unavailability, reduction or elimination of, or uncertainty regarding, government and economic incentives or subsidies available to end-users and OEMs in the U.S., China, Europe and other jurisdictions could have a material adverse effect on our business, financial condition, operating results and prospects.</w:t>
      </w:r>
    </w:p>
    <w:p>
      <w:pPr>
        <w:spacing w:after="0" w:line="172"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We believe that, currently, the availability of government subsidies and incentives available to end-users and OEMs is an important factor considered by our customers when purchasing our batteries for electric vehicles and ESS, and that our growth depends in part on the availability and amounts of these subsidies and incentives. Any further reduction or elimination of government and economic incentives or subsidies may result in the diminished competitiveness of the alternative fuel vehicle or energy storage industry generally or electric vehicles or energy storage projects that use our batteries in particular.</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While government programs in the U.S., China and in Europe promote the purchase of electric vehicles, including through disincentives that discourage the use of gasoline-powered vehicles, it is unclear if such policies will continue. Any reduction, elimination or selective application of tax and other governmental programs and economic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For example, the current U.S. presidential administration has issued executive orders to revoke certain executive orders from the prior administration, which directed federal agencies to review and potentially revise vehicle fuel efficiency and emissions standards. The revocation of these prior executive orders may decrease the demand and reduce the value of the greenhouse gas credits and similar regulatory credits, which we may sell to other manufacturers. Further, we cannot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guarantee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and for SUVs that have a manufacturer’s suggested retail price over $80,000, although a tax credit remains available for vehicles that are leased rather than purchased. In addition, the current U.S. presidential administration has issued a policy statement aimed at eliminating the “electric vehicle mandate,” which targets state emissions waivers and governmental subsidies. Corresponding executive orders may be further issued to implement this policy.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95"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7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9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and which may result in decreased demand for our product.</w:t>
      </w:r>
    </w:p>
    <w:p>
      <w:pPr>
        <w:spacing w:after="0" w:line="17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primarily produce and sell lithium-based battery systems. Should a viable alternative to lithium-based batteries emerge and gain market acceptance, it could significantly harm our business, financial health, and operational results.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94"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17"/>
          <w:szCs w:val="17"/>
          <w:color w:val="auto"/>
        </w:rPr>
        <w:t>Our focus is on lithium-based battery systems, driven by our belief in their growth potential. Our R&amp;D efforts are concentrated on discovering new lithium chemistries and formulations to improve product quality and features while lowering costs. Some of our competitors are conducting R&amp;D on alternative battery technologies, such as fuel cells and super 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202"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Major advancements in alternative technologies like fuel cells, advanced diesel, ethanol, hydrogen, natural gas, or breathing batteries could unexpectedly and negatively impact our business, prospects, financial health, and operational results.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or develop new technologies of our own, such technologies may, if successfully developed by our competitors, offer significant performance or price advantages compared with our technologies and our technology leadership and competitive strengths may be adversely affected.</w:t>
      </w:r>
    </w:p>
    <w:p>
      <w:pPr>
        <w:spacing w:after="0" w:line="219"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 To achieve this goal, we have invested and plan to continue investing significant financial resources in our R&amp;D infrastructure. R&amp;D activities, however, are inherently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uncertain, and we might encounter practical difficulties in commercializing our research results. Accordingly, our significant investment in our R&amp;D infrastructure may not lead to marketable products.</w:t>
      </w:r>
    </w:p>
    <w:p>
      <w:pPr>
        <w:spacing w:after="0" w:line="17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91"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our competitive position if we face intense competition from other battery manufacturers, many of which have significantly greater resources.</w:t>
      </w:r>
    </w:p>
    <w:p>
      <w:pPr>
        <w:spacing w:after="0" w:line="172"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The market for batteries used in electric vehicles, light electric vehicles and ESS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lithium-ion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try to enter the markets that we are targeting with our product. For example, certain battery manufacturers offer lithium-based battery solutions that can be fully charged within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vehicle manufacturers, such as GM, Ford, Rivian and Tesla, have entered the markets for our products and may become our competitors, either directly or through joint venture arrangements with major lithium-based battery manufacturers. Potential customers may choose to do business with these or other established vehicle manufacturers who enter the markets for our products because of their perception that vehicle manufacturers are more stable, have greater manufacturing capacity and have the capability to adapt battery products to their vehicles.</w:t>
      </w:r>
    </w:p>
    <w:p>
      <w:pPr>
        <w:spacing w:after="0" w:line="205"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lithium-ion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Failing to anticipate customer preferences and develop appealing products could prevent us from maintaining or growing our revenue and profitability.</w:t>
      </w:r>
    </w:p>
    <w:p>
      <w:pPr>
        <w:spacing w:after="0" w:line="249"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175" w:lineRule="exact"/>
        <w:rPr>
          <w:sz w:val="20"/>
          <w:szCs w:val="20"/>
          <w:color w:val="auto"/>
        </w:rPr>
      </w:pPr>
    </w:p>
    <w:p>
      <w:pPr>
        <w:ind w:right="20" w:firstLine="162"/>
        <w:spacing w:after="0" w:line="287" w:lineRule="auto"/>
        <w:rPr>
          <w:sz w:val="20"/>
          <w:szCs w:val="20"/>
          <w:color w:val="auto"/>
        </w:rPr>
      </w:pPr>
      <w:r>
        <w:rPr>
          <w:rFonts w:ascii="Times New Roman" w:cs="Times New Roman" w:eastAsia="Times New Roman" w:hAnsi="Times New Roman"/>
          <w:sz w:val="17"/>
          <w:szCs w:val="17"/>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depends on the needs and success of our customers, as well as the demand for our customers’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Our battery products’ demand hinges on end-market users. If our customers’ industries underperform, leading to decreased demand for their output, our product demand may similarly decline.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Inaccurate demand predictions could lead to unmet</w:t>
      </w:r>
    </w:p>
    <w:p>
      <w:pPr>
        <w:spacing w:after="0" w:line="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customer needs, lost sales, or excess production, causing higher inventory, overcapacity, increased production costs and reduced operating margins. Additionally, the battery efficiency of electric vehicles declines over time. As such, vehicles using our battery systems will see performance decline as their batteries decay, particularly in the driving range. If this dissuades potential customers from purchasing EVs built using our battery system, it could negatively impact our sales.</w:t>
      </w:r>
    </w:p>
    <w:p>
      <w:pPr>
        <w:spacing w:after="0" w:line="179"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Additionally, if our customers fail to successfully market and sell their products or services, it could severely impact our business and prospects, as they might not place new or additional orders with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declining average selling prices, which may harm our revenue and gross profits.</w:t>
      </w:r>
    </w:p>
    <w:p>
      <w:pPr>
        <w:spacing w:after="0" w:line="22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might fail to qualify as “domestic origin” for purposes of “Buy America” requirements imposed on the recipients of U.S. government grants.</w:t>
      </w:r>
    </w:p>
    <w:p>
      <w:pPr>
        <w:spacing w:after="0" w:line="249"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manufacturing facilities are currently located in China and in Germany, and our current products are manufactured using parts or components procured outside of the United States. Further progress on the Clarksville expansion is dependent on securing additional financing, and even once the facility is established, not all of the raw materials we require to manufacture our products are currently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spacing w:after="0" w:line="195" w:lineRule="exact"/>
        <w:rPr>
          <w:sz w:val="20"/>
          <w:szCs w:val="20"/>
          <w:color w:val="auto"/>
        </w:rPr>
      </w:pPr>
    </w:p>
    <w:p>
      <w:pPr>
        <w:ind w:right="6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significant delays in the design, production and launch of our new products, which could harm our business, prospects, financial condition and operating results.</w:t>
      </w:r>
    </w:p>
    <w:p>
      <w:pPr>
        <w:spacing w:after="0" w:line="172"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91"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If we are unable to manufacture products in commercial quantities on a timely and cost-effective basis, we could lose our customers and be unable to attract future customers.</w:t>
      </w:r>
    </w:p>
    <w:p>
      <w:pPr>
        <w:spacing w:after="0" w:line="19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72"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Inaccurate manufacturing planning may lead to surplus inventory or shortages.</w:t>
      </w:r>
    </w:p>
    <w:p>
      <w:pPr>
        <w:spacing w:after="0" w:line="249"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complex machinery for our operations and our production involves a degree of risk and uncertainty in terms of operational performance and costs.</w:t>
      </w:r>
    </w:p>
    <w:p>
      <w:pPr>
        <w:spacing w:after="0" w:line="236"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Our large-scale machinery may malfunction unexpectedly, requiring repairs and potentially unavailable spare parts.Unexpected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210"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184" w:lineRule="exact"/>
        <w:rPr>
          <w:sz w:val="20"/>
          <w:szCs w:val="20"/>
          <w:color w:val="auto"/>
        </w:rPr>
      </w:pPr>
    </w:p>
    <w:p>
      <w:pPr>
        <w:ind w:right="260" w:firstLine="619"/>
        <w:spacing w:after="0" w:line="246" w:lineRule="auto"/>
        <w:rPr>
          <w:sz w:val="20"/>
          <w:szCs w:val="20"/>
          <w:color w:val="auto"/>
        </w:rPr>
      </w:pPr>
      <w:r>
        <w:rPr>
          <w:rFonts w:ascii="Times New Roman" w:cs="Times New Roman" w:eastAsia="Times New Roman" w:hAnsi="Times New Roman"/>
          <w:sz w:val="17"/>
          <w:szCs w:val="17"/>
          <w:color w:val="auto"/>
        </w:rPr>
        <w:t>Equipment malfunctions could cause worker injuries, equipment loss, facility damage, financial losses, and production disruptions.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9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p>
    <w:p>
      <w:pPr>
        <w:spacing w:after="0" w:line="185"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Clean City Transit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20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20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88"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Incompatibility of emerging charging standards with our products could miss market opportunities, impacting financial performance.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China which include specifications for hardware, connecting equipment and service networks and standards for communication and inspection, compatibility of prior fast-charging stations envisioned in our Clean City Transit plan could be made obsolete.</w:t>
      </w:r>
    </w:p>
    <w:p>
      <w:pPr>
        <w:spacing w:after="0" w:line="214"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w:t>
      </w:r>
    </w:p>
    <w:p>
      <w:pPr>
        <w:spacing w:after="0" w:line="185"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purchase certain key raw materials and components from third parties, some of which we only source from one supplier or from a limited number of suppliers primarily located in Asia.</w:t>
      </w:r>
    </w:p>
    <w:p>
      <w:pPr>
        <w:spacing w:after="0" w:line="172"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We currently purchase certain key raw materials for our electrodes and a variety of other components from third parties, some of which we only source from one supplier or from a limited number of suppliers. For the years ended December 31, 2024, 2023 and 2022, we purchased 19%, 15% and 18% of our raw materials from two suppliers. We execute long-term contracts with suppliers for our key raw materials and components. Due to customer forecast variability,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rising prices or availability of raw materials continues to persist, our business and results of operations may be adversely affected.</w:t>
      </w:r>
    </w:p>
    <w:p>
      <w:pPr>
        <w:spacing w:after="0" w:line="236"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Volatility in raw material prices and availability can impact our business and finances.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spacing w:after="0" w:line="210" w:lineRule="exact"/>
        <w:rPr>
          <w:sz w:val="20"/>
          <w:szCs w:val="20"/>
          <w:color w:val="auto"/>
        </w:rPr>
      </w:pPr>
    </w:p>
    <w:p>
      <w:pPr>
        <w:ind w:right="240" w:firstLine="619"/>
        <w:spacing w:after="0" w:line="260" w:lineRule="auto"/>
        <w:rPr>
          <w:sz w:val="20"/>
          <w:szCs w:val="20"/>
          <w:color w:val="auto"/>
        </w:rPr>
      </w:pPr>
      <w:r>
        <w:rPr>
          <w:rFonts w:ascii="Times New Roman" w:cs="Times New Roman" w:eastAsia="Times New Roman" w:hAnsi="Times New Roman"/>
          <w:sz w:val="17"/>
          <w:szCs w:val="17"/>
          <w:color w:val="auto"/>
        </w:rPr>
        <w:t>Lingering inflation above the Federal Reserve's target rate, the ongoing conflicts between Russia and Ukraine and in the Middle East, and other macroeconomic factors has caused prices to increase across various sectors of the economy and we have been impacted by increases in the prices of our raw materials and other associated manufacturing costs. In particular, we have experienced rising costs or volatility in the prices for raw materials such as polyvinylidene difluoride,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19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addition, the Trump Administration has indicated that it may propose a significant increase in tariff rates on various types of goods imported from Asia that could apply to the raw materials we require. In the event that any such possible tariff increases become enacted, they could significantly increase the cost of our imported components whenever the increased rates become effective.</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integrate our products into vehicles manufactured by our OEM customers, our results of operations could be impaired.</w:t>
      </w:r>
    </w:p>
    <w:p>
      <w:pPr>
        <w:spacing w:after="0" w:line="24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cooperate with our OEM customers to integrate the design of our LpTO, LpCO, MpCO, HpCO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 certain circumstances, our customers can modify or terminate their contracts.</w:t>
      </w:r>
    </w:p>
    <w:p>
      <w:pPr>
        <w:spacing w:after="0" w:line="24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modified to reduce the size of the project, terminated or may not materialize into next-stage contracts or long-term contract partnership arrangements. If these arrangements are modified or terminated or if we are unable to enter into next-stage contracts or long-term operational contracts, our business, prospects, financial condition and operating results may be materially adversely affected.</w:t>
      </w:r>
    </w:p>
    <w:p>
      <w:pPr>
        <w:spacing w:after="0" w:line="199"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Modifications or termination of our existing contracts may also directly impact our business, prospects and financial condition, including by reducing backlog by significant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Losing our senior executives or key personnel could severely disrupt our business.</w:t>
      </w:r>
    </w:p>
    <w:p>
      <w:pPr>
        <w:spacing w:after="0" w:line="24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Our future success heavily depends on the continued service of our senior executives and other key employees. In particular, we rely on the expertise and experience of our Chairman, Chief Executive Officer, Mr. Yang Wu, Chief Operating Officer, Dr. Shengxian Wu and our Chief Technology Officer, Dr. Wenjuan Mattis.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success of our business depends on our ability to attract, train and retain highly-skilled employees and key personnel.</w:t>
      </w:r>
    </w:p>
    <w:p>
      <w:pPr>
        <w:spacing w:after="0" w:line="24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205" w:lineRule="exact"/>
        <w:rPr>
          <w:sz w:val="20"/>
          <w:szCs w:val="20"/>
          <w:color w:val="auto"/>
        </w:rPr>
      </w:pPr>
    </w:p>
    <w:p>
      <w:pPr>
        <w:ind w:right="280" w:firstLine="619"/>
        <w:spacing w:after="0" w:line="260" w:lineRule="auto"/>
        <w:rPr>
          <w:sz w:val="20"/>
          <w:szCs w:val="20"/>
          <w:color w:val="auto"/>
        </w:rPr>
      </w:pPr>
      <w:r>
        <w:rPr>
          <w:rFonts w:ascii="Times New Roman" w:cs="Times New Roman" w:eastAsia="Times New Roman" w:hAnsi="Times New Roman"/>
          <w:sz w:val="17"/>
          <w:szCs w:val="17"/>
          <w:color w:val="auto"/>
        </w:rPr>
        <w:t>Further, competition for highly-skilled employees is intense. We have experienced, and we expect to continue to experience difficulty in hiring and retaining employees with appropriate qualifications. We may face high turnover, requiring us to expend time and resources to source, train and integrate new employees. The challenging markets in which we compete for talent may also require us to invest significant amounts of cash and equity to attract and retain employees. In addition, many of the companies with which we compete for highly-skilled employees have greater financial resources than we have. If we hire employees from competitors or other companies, their former employers may attempt to assert that these employees or the Company has breached certain legal obligations, resulting in a diversion of our time and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has limited experience in operating a public company.</w:t>
      </w:r>
    </w:p>
    <w:p>
      <w:pPr>
        <w:spacing w:after="0" w:line="249"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would result in less time being devoted to our strategy and growth.</w:t>
      </w:r>
    </w:p>
    <w:p>
      <w:pPr>
        <w:spacing w:after="0" w:line="191" w:lineRule="exact"/>
        <w:rPr>
          <w:sz w:val="20"/>
          <w:szCs w:val="20"/>
          <w:color w:val="auto"/>
        </w:rPr>
      </w:pPr>
    </w:p>
    <w:p>
      <w:pPr>
        <w:ind w:right="320" w:firstLine="619"/>
        <w:spacing w:after="0" w:line="264" w:lineRule="auto"/>
        <w:rPr>
          <w:sz w:val="20"/>
          <w:szCs w:val="20"/>
          <w:color w:val="auto"/>
        </w:rPr>
      </w:pPr>
      <w:r>
        <w:rPr>
          <w:rFonts w:ascii="Times New Roman" w:cs="Times New Roman" w:eastAsia="Times New Roman" w:hAnsi="Times New Roman"/>
          <w:sz w:val="17"/>
          <w:szCs w:val="17"/>
          <w:color w:val="auto"/>
        </w:rPr>
        <w:t>We may not have adequate personnel with the appropriate level of knowledge, experience and training in the accounting policies, practices or internal controls over financial reporting required of public companies in the U.S. For example, on March 18, 2025, we filed a Form 12b-25 stating that we required additional time to complete this annual report on Form 10-K. Further, we filed a Form 8-K on March 20, 2025 regarding non-reliance on previously issued financial statements due to our error relating to the previously recorded impairment associated with our Clarksville, Tennessee facility.</w:t>
      </w:r>
    </w:p>
    <w:p>
      <w:pPr>
        <w:spacing w:after="0" w:line="19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85"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72"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We may selectively acquire or invest in other companies or technologies that we believe could complement or expand our platform, enhance our technical capabilities or otherwise offer growth opportunities. However, acquisitions are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w:t>
      </w:r>
    </w:p>
    <w:p>
      <w:pPr>
        <w:spacing w:after="0" w:line="200"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also may not achieve the anticipated benefits from the acquired business due to a number of factors, including: inability or difficulty integrating and benefiting from acquired technologies, services or clients in a profitable manner; unanticipated costs or liabilities associated with the acquisition; difficulty integrating the accounting systems, operations and personnel of the acquired business; adverse effects to our existing business relationships with business partners and clients as a result of the acquisition; assuming potential liabilities of an acquired company; possibility of overpaying for acquisitions, particularly those with significant intangibles and those assets that derive value using novel tools or are involved in niche markets; difficulty in acquiring suitable businesses, including challenges in predicting the value an acquisition will ultimately contribute to our business; the potential loss of key employees of the acquired business; and use of substantial portions of our available cash to consummate the acquisition. Any of these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205"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 of our operating results based on this impairment assessment process, which could adversely affect our results of operations.</w:t>
      </w:r>
    </w:p>
    <w:p>
      <w:pPr>
        <w:spacing w:after="0" w:line="18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planned expansion into new applications and new markets as we continue to expand our global presence poses additional risks which could adversely affect our business, financial condition and results of operations.</w:t>
      </w:r>
    </w:p>
    <w:p>
      <w:pPr>
        <w:spacing w:after="0" w:line="172"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To date, we have focused our business on the sale of our LpTO, LpCO, MpCO, HpCO, and HnCO battery systems, primarily for use in commercial electric vehicles. However, we have and intend to expand into new applications, including the recent development of our ESS container, and also have and continue to expand our customer demographic in order to further grow our business. The lithium-based battery market is highly competitive and there can be no assurance that use of our products for new applications will gain market acceptance.</w:t>
      </w:r>
    </w:p>
    <w:p>
      <w:pPr>
        <w:spacing w:after="0" w:line="19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recently began marketing our new ESS container and it is possible we may never achieve commercial success with our ESS container. We have limited historical financial data upon which we may base our projected revenue and operating expenses. Accordingly, we continue to be subject to many of the risks inherent in business development, financing, unexpected expenditures, and complications and delays that often occur in a new business. Investors should evaluate an investment in the Company in light of the uncertainties encountered by companies pursuing new product lines in a competitive environment. There can be no assurance that our efforts will be successful or that we will ultimately be able to attain profitability with our ESS container.</w:t>
      </w:r>
    </w:p>
    <w:p>
      <w:pPr>
        <w:spacing w:after="0" w:line="20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After initially focusing on the Asia &amp; Pacific regions, we have expanded and continue to expand our presence and product promotion to Europe and the U.S. and elsewhere. For instance, for the years ended December 31, 2024, 2023 and 2022, we derived 66.5%, 49.0% and 35.2%, respectively, of our sales from outside of China, including sales in the U.S., France, Germany, India, Singapore, the U.K., among others. As a result, we are subject to differences in these markets in regulatory requirements for product testing, intellectual property protection (including patents and trademarks), tax incentive policy, legal systems and rules, marketing costs, fluctuations in currency exchange rates and changes in political and economic conditions.</w:t>
      </w:r>
    </w:p>
    <w:p>
      <w:pPr>
        <w:spacing w:after="0" w:line="200"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Expansion into new markets may increase costs and require us to make significant expenditures, including increased manufacturing costs, the establishment of local operating entities, hiring of local employees and establishing facilities in advance of generating any revenue. For example, production costs will be higher in some markets than others. However, higher production costs are partially offset by lower logistics costs and tariffs. In addition, average sales prices for customers in some markets will be higher than the average sales prices in others, resulting in different gross margins depending on the location of the production and the customer.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Further, any efforts to continue expanding into new markets might not be successful in creating demand for our products outside of our existing geographic markets or in effectively selling our products in the markets we enter. In addition, conducting operations in new markets, including the marketing, distribution and sale of our products, subjects us to new or unfavorable regulatory, economic and political risks. These risks include:</w:t>
      </w:r>
    </w:p>
    <w:p>
      <w:pPr>
        <w:spacing w:after="0" w:line="211"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localization of the marketing and deployment of our products;</w:t>
      </w:r>
    </w:p>
    <w:p>
      <w:pPr>
        <w:spacing w:after="0" w:line="21" w:lineRule="exact"/>
        <w:rPr>
          <w:rFonts w:ascii="Arial" w:cs="Arial" w:eastAsia="Arial" w:hAnsi="Arial"/>
          <w:sz w:val="21"/>
          <w:szCs w:val="21"/>
          <w:color w:val="auto"/>
        </w:rPr>
      </w:pPr>
    </w:p>
    <w:p>
      <w:pPr>
        <w:ind w:left="620" w:right="340" w:hanging="307"/>
        <w:spacing w:after="0" w:line="235"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lack of familiarity with, and burdens of, complying with foreign laws, legal and commercial standards, regulatory requirements, export requirements, tariffs and other barriers, including laws related to employment or labor;</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conforming our products to various international regulatory and safety requirements where our products are sold, or homologation;</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difficulty in establishing, staffing and managing foreign operations;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attracting customers in new jurisdictions;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difficulty in engaging and retaining distributors that are knowledgeable about, and can function effectively, in overseas markets;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management, communication and integration problems resulting from cultural or language differences and geographic dispersion;</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different pricing environments, longer sales cycles and longer accounts receivable payment cycles and collections issues;</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associated with maintaining marketing efforts in various countries;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new and different sources of competition;</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22" w:lineRule="exact"/>
        <w:rPr>
          <w:rFonts w:ascii="Arial" w:cs="Arial" w:eastAsia="Arial" w:hAnsi="Arial"/>
          <w:sz w:val="21"/>
          <w:szCs w:val="21"/>
          <w:color w:val="auto"/>
        </w:rPr>
      </w:pPr>
    </w:p>
    <w:p>
      <w:pPr>
        <w:ind w:left="620" w:right="480" w:hanging="307"/>
        <w:spacing w:after="0" w:line="235"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diversion of our management’s attention and resources to explore, negotiate, or close acquisitions and to integrate, staff and manage geographically remote operations and employees;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sufficiency of qualified labor pools in various international markets;</w:t>
      </w:r>
    </w:p>
    <w:p>
      <w:pPr>
        <w:spacing w:after="0" w:line="21"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foreign government taxes, currency controls, regulations and permit requirements, including foreign taxes that we may not be able to offset against taxes imposed upon us in the U.S., and foreign tax and other laws limiting our ability to repatriate funds to the U.S.;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global currency systems or fluctuations in exchange rates that may increase the volatility of or adversely affect our foreign-based revenue;</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enforce our contractual rights;</w:t>
      </w:r>
    </w:p>
    <w:p>
      <w:pPr>
        <w:spacing w:after="0" w:line="22" w:lineRule="exact"/>
        <w:rPr>
          <w:rFonts w:ascii="Arial" w:cs="Arial" w:eastAsia="Arial" w:hAnsi="Arial"/>
          <w:sz w:val="21"/>
          <w:szCs w:val="21"/>
          <w:color w:val="auto"/>
        </w:rPr>
      </w:pPr>
    </w:p>
    <w:p>
      <w:pPr>
        <w:ind w:left="620" w:right="280" w:hanging="307"/>
        <w:spacing w:after="0" w:line="235"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compliance with anti-corruption laws, economic sanction laws and regulations, anti-tax laws, export controls and other laws and regulations regarding international business operations;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foreign government trade restrictions, customs regulations, tariffs and price or exchange controls;</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preferences of foreign nations for domestically produced products;</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uncertain political and economic climates; and</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obtain, maintain or enforce intellectual property rights in some countries.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factors may cause our costs of doing business in certain markets to exceed our comparable costs incurred in other markets in which we do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negative impact from our business efforts in new markets could adversely affect our business, operating results and financial condition as a whole.</w:t>
      </w:r>
    </w:p>
    <w:p>
      <w:pPr>
        <w:spacing w:after="0" w:line="226"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Additionally, as we have expanded and continue to expand into new markets, we have faced challenges with ensuring that our charging equipment works successfully with the charging infrastructure in such markets. If customers experience problems with the way our charging equipment works with the local charging infrastructure, or if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194" w:lineRule="exact"/>
        <w:rPr>
          <w:sz w:val="20"/>
          <w:szCs w:val="20"/>
          <w:color w:val="auto"/>
        </w:rPr>
      </w:pPr>
    </w:p>
    <w:p>
      <w:pPr>
        <w:ind w:right="8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9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financial and reputational risks due to product recalls and product liability claims, and we could face substantial liabilities which exceed our resources.</w:t>
      </w:r>
    </w:p>
    <w:p>
      <w:pPr>
        <w:spacing w:after="0" w:line="172" w:lineRule="exact"/>
        <w:rPr>
          <w:sz w:val="20"/>
          <w:szCs w:val="20"/>
          <w:color w:val="auto"/>
        </w:rPr>
      </w:pPr>
    </w:p>
    <w:p>
      <w:pPr>
        <w:ind w:right="300" w:firstLine="619"/>
        <w:spacing w:after="0" w:line="261" w:lineRule="auto"/>
        <w:rPr>
          <w:sz w:val="20"/>
          <w:szCs w:val="20"/>
          <w:color w:val="auto"/>
        </w:rPr>
      </w:pPr>
      <w:r>
        <w:rPr>
          <w:rFonts w:ascii="Times New Roman" w:cs="Times New Roman" w:eastAsia="Times New Roman" w:hAnsi="Times New Roman"/>
          <w:sz w:val="17"/>
          <w:szCs w:val="17"/>
          <w:color w:val="auto"/>
        </w:rPr>
        <w:t>Lithium-based battery systems for use in electric vehicles and ESS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w:t>
      </w:r>
    </w:p>
    <w:p>
      <w:pPr>
        <w:spacing w:after="0" w:line="200" w:lineRule="exact"/>
        <w:rPr>
          <w:sz w:val="20"/>
          <w:szCs w:val="20"/>
          <w:color w:val="auto"/>
        </w:rPr>
      </w:pPr>
    </w:p>
    <w:p>
      <w:pPr>
        <w:ind w:right="320" w:firstLine="619"/>
        <w:spacing w:after="0" w:line="270" w:lineRule="auto"/>
        <w:rPr>
          <w:sz w:val="20"/>
          <w:szCs w:val="20"/>
          <w:color w:val="auto"/>
        </w:rPr>
      </w:pPr>
      <w:r>
        <w:rPr>
          <w:rFonts w:ascii="Times New Roman" w:cs="Times New Roman" w:eastAsia="Times New Roman" w:hAnsi="Times New Roman"/>
          <w:sz w:val="17"/>
          <w:szCs w:val="17"/>
          <w:color w:val="auto"/>
        </w:rPr>
        <w:t>We typically offer warranties for our battery products against any defects due to product malfunction or workmanship for a period ranges from one to eight years (or up to 3 years in the case of ESS) from the date of purchase. We provide a reserve for these potential warranty expenses, which is based on an analysis of historical warranty issues.</w:t>
      </w:r>
    </w:p>
    <w:p>
      <w:pPr>
        <w:spacing w:after="0" w:line="19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Product quality and liability issues may affect not only our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9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Further,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8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have quality issues with our BMS and ESS container, our sales, profit, and cash flows could decrease and our relationships with our customers and our reputation may be harmed.</w:t>
      </w:r>
    </w:p>
    <w:p>
      <w:pPr>
        <w:spacing w:after="0" w:line="172"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Products as complex as ours may contain undetected errors or defects, especially when first introduced. Our BMS and ESS container may contain defects that are not detected until after they are shipped or are installed because we and our suppliers cannot test for all possible scenarios. These defects could cause us to incur significant warranty, non-warranty, and re-engineering costs, which may not be covered by manufacturer warranties, and could significantly affect our customer relations and business reputation. If we deliver products with errors or defects, or if there is a perception that such products contain errors or defects, our credibility and the market acceptance and sales of our products could be harmed. In addition, some of our contractual arrangements with customers include provisions for liquidated damages. In certain cases, we could incur high liquidated damages if it is established that our products do not meet the performance guarantees we have given to our customers.</w:t>
      </w:r>
    </w:p>
    <w:p>
      <w:pPr>
        <w:spacing w:after="0" w:line="199"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reduction, elimination, or expiration of government incentives for, or regulations mandating the use of, renewable energy could reduce demand for our ESS container and harm our business.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Federal, state, local, and foreign government bodies provide incentives to owners, end users, distributors, system integrators and manufacturers of renewable energy products, including our ESS container, to promote renewable electricity in the form of rebates, tax credits and other financial incentives. The range and duration of these incentives varies widely by jurisdiction. The reduction, elimination, or expiration of government incentives for grid-connected electricity may negatively affect the competitiveness of our ESS container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could harm our business and cash flows.</w:t>
      </w:r>
    </w:p>
    <w:p>
      <w:pPr>
        <w:spacing w:after="0" w:line="20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August 2022, the United States passed the IRA, which includes a number of government incentives that support the adoption of energy storage products and services and could potentially benefit the Company and its operations. On January 16, 2025, the U.S. Department of Treasury released its Guidance on Domestic Content Bonus for Clean Energy Credits, which included adjustments impacting battery electric storage systems. The Trump Administration has also issued executed orders that potentially impact ESS and EV operations. For instance, on January 20, 2025, the Trump Administration issued the Unleashing American Energy Executive Order that paused the disbursement of funds appropriated through the IRA. This pause could, among other things, delay or disrupt the rollout of EV charging stations. Future guidance from the U.S. Department of Treasury or other federal administrative agencies, or executive orders or policies issued or adopted by the current administration, could be adverse to our interests and could therefore harm our business, prospects, financial condition and results of operations.</w:t>
      </w:r>
    </w:p>
    <w:p>
      <w:pPr>
        <w:spacing w:after="0" w:line="19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renewable energy technologies are not suitable for widespread adoption or sufficient demand for our offerings does not develop or takes longer to develop than we anticipate, our sales may decline, and we may be unable to achieve or sustain profitability.</w:t>
      </w:r>
    </w:p>
    <w:p>
      <w:pPr>
        <w:spacing w:after="0" w:line="185"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The market for renewable, distributed energy generation is emerging and rapidly evolving, and its future success and trajectory is uncertain and subject to a number of risks. If renewable energy generation proves unsuitable for widespread commercial deployment or if demand for our ESS products fails to develop as currently anticipated, our revenue, market share, and our ability to achieve and/or sustain profitability may be adversely affected.</w:t>
      </w:r>
    </w:p>
    <w:p>
      <w:pPr>
        <w:spacing w:after="0" w:line="20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Many factors may influence the widespread adoption of renewable energy generation and demand for our offerings,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policy priorities of different political administrations at the international, federal, state and local level, including the scope of governmental regulations regarding renewable energy generation, and the availability or effectiveness of government subsidies and incentives, including from the IRA. The growth of renewable energy generation is relevant to the demand for energy storage because increases in intermittent solar and wind power in many jurisdictions have spurred the demand for energy storage to help maintain reliability and support the integration of solar and wind power into the electrical grid.</w:t>
      </w:r>
    </w:p>
    <w:p>
      <w:pPr>
        <w:spacing w:after="0" w:line="202" w:lineRule="exact"/>
        <w:rPr>
          <w:sz w:val="20"/>
          <w:szCs w:val="20"/>
          <w:color w:val="auto"/>
        </w:rPr>
      </w:pPr>
    </w:p>
    <w:p>
      <w:pPr>
        <w:ind w:right="100" w:firstLine="619"/>
        <w:spacing w:after="0" w:line="262" w:lineRule="auto"/>
        <w:rPr>
          <w:sz w:val="20"/>
          <w:szCs w:val="20"/>
          <w:color w:val="auto"/>
        </w:rPr>
      </w:pPr>
      <w:r>
        <w:rPr>
          <w:rFonts w:ascii="Times New Roman" w:cs="Times New Roman" w:eastAsia="Times New Roman" w:hAnsi="Times New Roman"/>
          <w:sz w:val="17"/>
          <w:szCs w:val="17"/>
          <w:color w:val="auto"/>
        </w:rPr>
        <w:t>All of the foregoing factors have the potential to impact demand for our products and thus our ability to achieve and sustain profitability. Our inability to effectively mitigate the risks associated with such factors could have a material adverse effect on our business, financial condition, results of operations and prospects.</w:t>
      </w:r>
    </w:p>
    <w:p>
      <w:pPr>
        <w:spacing w:after="0" w:line="179"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Existing electric utility industry policies and regulations, and any subsequent changes, may present technical, regulatory, and economic barriers to the purchase and use of our ESS container that may significantly reduce demand for our products or harm our ability to compete.</w:t>
      </w:r>
    </w:p>
    <w:p>
      <w:pPr>
        <w:spacing w:after="0" w:line="172"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 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would-be system purchasers. The resulting reductions in demand for energy storage products could harm our business, prospects, financial condition, and results of operations.</w:t>
      </w:r>
    </w:p>
    <w:p>
      <w:pPr>
        <w:spacing w:after="0" w:line="17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spacing w:after="0" w:line="20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Changes in other current laws or regulations applicable to us or the imposition of new laws, regulations, or policies in the U.S.,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spacing w:after="0" w:line="197"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are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199"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U.S. Congress, the Trump Administration, or any new administration may make substantial changes to fiscal, tax, and other federal policies that may adversely affect our business.</w:t>
      </w:r>
    </w:p>
    <w:p>
      <w:pPr>
        <w:spacing w:after="0" w:line="172"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17"/>
          <w:szCs w:val="17"/>
          <w:color w:val="auto"/>
        </w:rPr>
        <w:t>The Trump Administration has called for significant changes to U.S. trade, healthcare, immigration and government regulatory policy and has begun implementing policy changes at a rapid pace. Changes to U.S. policy implemented by the U.S. Congress, the Trump administration or any administration have impacted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5"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Changes or increases in tariffs, trade restrictions, trade agreements, non-tariff trade barriers, local content requirements, uncertainty surrounding global trade policies, and the imposition of new or retaliatory tariffs against other countries or covering certain products may affect our competitive position and result in increased costs for products manufactured in the United States using inputs from other countries. For example, on February 1, 2025, President Trump imposed a 10% additional tariff on Chinese products imported into the United States and increased this rate by an additional 10% on March 3, 2025. If maintained, these and other potential tariffs yet to be announced or imposed may have an adverse impacts on general economic conditions and our business, the exact outcomes of which are uncertain and depend on various factors, such as negotiations between the U.S. and China or other foreign countries, the duration of such tariffs, the responses of other countries or regions to such tariffs, the actual increases in the costs of imported foreign products and raw materials, and exemptions or exclusions that may be granted. Should tariffs increase and be sustained, our inventory acquisition and carrying costs may be increased, which costs may be passed on to us and consumers through</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higher prices for our products. These increased prices may adversely impact our new product sales and demand for such products, potentially impacting our ability to sell them profitably.</w:t>
      </w:r>
    </w:p>
    <w:p>
      <w:pPr>
        <w:spacing w:after="0" w:line="171"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19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97"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7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97"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comply with certain health and production safety laws and regulations governing hazardous materials.</w:t>
      </w:r>
    </w:p>
    <w:p>
      <w:pPr>
        <w:spacing w:after="0" w:line="249"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may have instances of alleged or actual noncompliance that could result in the imposition of fines, penalties and required corrective actions. For instance, we are required under PRC law to design and build occupational disease prevention facilities concurrently with the construction of our manufacturing facilities, where hazardous elements that adversely affect the health of our employees are generated or used. Our ongoing compliance with health and safety laws, regulations and permits could require us to incur significant expenses, limit our ability to modify or expand our facilities or continue manufacturing and making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regulation compliance is costly; non-compliance could lead to fines, damage our reputation, and negatively impact our business.</w:t>
      </w:r>
    </w:p>
    <w:p>
      <w:pPr>
        <w:spacing w:after="0" w:line="249"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As a manufacturer, we are subject to various environmental laws and regulations on air emission, wastewater discharge, solid waste, noise and the use, generation, and disposal of hazardous materials. Cobalt and lithium are toxic materials that are important raw materials in our batteries. We also use, generate and discharge other toxic, volatile and hazardous chemicals and wastes in our research, development and manufacturing activities. One of our manufacturing sites is in China, and under PRC environmental regulations we are required to maintain the pollutant emission levels at each of our facilities within the levels prescribed by the relevant governmental authorities and obtain a pollution discharge permit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020"/>
        <w:spacing w:after="0" w:line="287" w:lineRule="auto"/>
        <w:rPr>
          <w:sz w:val="20"/>
          <w:szCs w:val="20"/>
          <w:color w:val="auto"/>
        </w:rPr>
      </w:pPr>
      <w:r>
        <w:rPr>
          <w:rFonts w:ascii="Times New Roman" w:cs="Times New Roman" w:eastAsia="Times New Roman" w:hAnsi="Times New Roman"/>
          <w:sz w:val="17"/>
          <w:szCs w:val="17"/>
          <w:color w:val="auto"/>
        </w:rPr>
        <w:t>for our water and air emissions. We are also required to design and build environmental treatment facilities concurrently with the construction of our manufacturing facilities, where waste air, wastewater and waste solids we generate can be treated in accordance with the relevant requirements.</w:t>
      </w:r>
    </w:p>
    <w:p>
      <w:pPr>
        <w:spacing w:after="0" w:line="177"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In addition, certain laws and regulations require enterprises like us that generate hazardous waste to engage companies which are licensed and qualified to process the hazardous waste,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 may subject us to monetary damages and fines. In addition, if any third party suffers any loss as a result of our pollutant emission practices, our improper handling of hazardous waste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in many jurisdictions. If any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398"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To the extent we ship our products overseas, or to the extent our products are used in products sold overseas, they may be affected by laws and regulations on the movement of goods. For example, the transportation of non-rechargeable and rechargeable lithium batteries is regulated by the International Civil Aviation Organization (the “ICAO”), and corresponding rules and regulations of the International Air Transport Association (the “IATA”), the U.S. DOT’s Pipeline &amp; Hazardous Materials Safety Administration (the “PHMSA”), Dangerous Goods Regulations and the International Maritime Dangerous Goods Code, and in China by the General Administration of Civil Aviation of China and the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believe we are in material compliance with all current PRC and international regulations for the shipment of our products and will seek to comply with any new regulations that are imposed. We also believe we have obtained all required certificates for the safe transport of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212"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expose us to litigation, environmental and other legal compliance risks, including increased climate change legislation restricting GHG emissions.</w:t>
      </w:r>
    </w:p>
    <w:p>
      <w:pPr>
        <w:spacing w:after="0" w:line="172"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We are subject to a variety of litigation, environmental, health and safety and other legal compliance risks. These risks include, among other things, possible liability relating to product liability matters, securities law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China, the E.U. and the U.K.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Times New Roman" w:cs="Times New Roman" w:eastAsia="Times New Roman" w:hAnsi="Times New Roman"/>
          <w:sz w:val="17"/>
          <w:szCs w:val="17"/>
          <w:i w:val="1"/>
          <w:iCs w:val="1"/>
          <w:color w:val="auto"/>
        </w:rPr>
        <w:t>Business — Legal Proceedings</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jc w:val="both"/>
        <w:ind w:right="460" w:firstLine="619"/>
        <w:spacing w:after="0" w:line="270" w:lineRule="auto"/>
        <w:rPr>
          <w:sz w:val="20"/>
          <w:szCs w:val="20"/>
          <w:color w:val="auto"/>
        </w:rPr>
      </w:pPr>
      <w:r>
        <w:rPr>
          <w:rFonts w:ascii="Times New Roman" w:cs="Times New Roman" w:eastAsia="Times New Roman" w:hAnsi="Times New Roman"/>
          <w:sz w:val="17"/>
          <w:szCs w:val="17"/>
          <w:color w:val="auto"/>
        </w:rPr>
        <w:t>Changes in environmental and climate laws or regulations, including laws relating to GHG emissions, could lead to new or additional investment in manufacturing designs, subject us to additional costs and restrictions, including increased energy and raw materials costs, and could increase environmental compliance expenditures.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general liability insurance may not be sufficient to cover potential liability from product liability claims.</w:t>
      </w:r>
    </w:p>
    <w:p>
      <w:pPr>
        <w:spacing w:after="0" w:line="249"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currently have general liability insurance with an annual limit of up to approximately $71.6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201"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72"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 It is difficult to predict how RMB exchange rates may change.</w:t>
      </w:r>
    </w:p>
    <w:p>
      <w:pPr>
        <w:spacing w:after="0" w:line="200"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Additionally,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Our foreign currency exchange losses may also be magnified by PRC exchange control regulations that restrict our ability to convert RMB into foreign currencies. As a result, fluctuations in exchange rates may have a material adverse effect on our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tax law changes on international activities could significantly affect our finances and operational results.</w:t>
      </w:r>
    </w:p>
    <w:p>
      <w:pPr>
        <w:spacing w:after="0" w:line="24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unforeseen tax liabilities that could affect our financial health.</w:t>
      </w:r>
    </w:p>
    <w:p>
      <w:pPr>
        <w:spacing w:after="0" w:line="249"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are subject to federal, state and local taxes in the U.S. and are also subject to taxes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operations could lead to complex and unfavorable tax outcomes.</w:t>
      </w:r>
    </w:p>
    <w:p>
      <w:pPr>
        <w:spacing w:after="0" w:line="249"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99"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In addition, under several of the tax regimes under which we operate, related party transactions must be conducted on an arm’s-length basis. Such transactions between related parties may be subject to audit or scrutiny by tax authorities, including, in the case of the PRC government, within ten years after the taxable year when the transactions are conducted. If the relevant tax authorities determine that related party transactions have not been conducted on an arm’s-length basis, they may adjust the taxable income of our specific subsidiaries through a transfer pricing adjustment and impose additional taxes (together with applicable interest) on those subsidiaries, as well as penalties for under-reporting of taxable income.</w:t>
      </w:r>
    </w:p>
    <w:p>
      <w:pPr>
        <w:spacing w:after="0" w:line="200"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As revenues increase in our European and US operations and this involves inter-company transactions due to the production coming from MPS China, there is a risk that as those revenues increase, there will be higher scrutiny by local tax authorities on those inter-company transactions. While we obtain local, specialist third party tax advice on ensuring those transactions comply with local tax laws and regulations, there is always the risk that a tax authority will raise issue with these transactions and seek to impose a tax treatment that could be unfavourable to us, or may even seek to impose fines or penalties on us.</w:t>
      </w:r>
    </w:p>
    <w:p>
      <w:pPr>
        <w:spacing w:after="0" w:line="19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uncertainty in global economic conditions and obligations arising under economic, financial or trade sanctions laws and regulations or export controls, such as those associated with the ongoing conflicts between Russia and Ukraine and in the Middle East, could negatively affect our operating results.</w:t>
      </w:r>
    </w:p>
    <w:p>
      <w:pPr>
        <w:spacing w:after="0" w:line="17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are subject to certain laws and regulations concerning economic, financial, or trade sanctions or embargoes, including those administered by the</w:t>
      </w:r>
    </w:p>
    <w:p>
      <w:pPr>
        <w:spacing w:after="0" w:line="49"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Office of Foreign Assets Control (“OFAC”) of the U.S. Department of the Treasury. Absent authorization from OFAC, these sanctions laws and regulations prohibit us from engaging in certain transactions or dealings with, for the benefit of, or involving individuals or entities, their property or property interests, or</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jurisdictions targeted thereunder. For example, in connection with the ongoing conflicts between Russia and Ukraine and in the Middle East, the U.S., the E.U. and certain other governments around the world have responded by imposing various economic sanctions which restrict or prohibit certain business opportunities in Russia, Ukraine and in the Middle East. These sanctions are complex and are rapidly evolving. The uncertain nature, magnitude, and duration of hostilities stemming from the conflicts between Russia and Ukraine and in the Middle East,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 macroeconomic factors that affect our business.</w:t>
      </w:r>
    </w:p>
    <w:p>
      <w:pPr>
        <w:spacing w:after="0" w:line="199"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Our sales in Russia represented 0%, 0% and less than 1% of our total revenue in 2024, 2023 and 2022, respectively, and due to the ongoing military conflict in Ukraine we will not be active in the Russian market until there has been a peaceful resolution. This means we will forgo any sales opportunities in the Russian market which could result in a material adverse effect on our business, cash flow,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addition, we rely on our payment processors to understand the destination of our payments to sellers. If our payment processors fail to maintain awareness of and comply with new or revised sanctions restrictions or prohibitions, which may evolve quickly and come into force with little or no notice,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 Violations of applicable sanctions laws and regulations may result in severe criminal or civil penalties, and we may be subject to other liabilities in addition to adverse publicity, which could negatively affect our business, operating results and financial condition.</w:t>
      </w:r>
    </w:p>
    <w:p>
      <w:pPr>
        <w:spacing w:after="0" w:line="207"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72"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availability and effectiveness of our batteries, and our ability to conduct our business and operations, depend on the continued operation of IT and communications systems, some of which we have yet to develop or otherwise obtain the ability to use. Systems used in our business, including data centers and other IT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legally obligated to take back used batteries from clients and the cost of doing so may differ materially from our estimates.</w:t>
      </w:r>
    </w:p>
    <w:p>
      <w:pPr>
        <w:spacing w:after="0" w:line="236"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According to Directive 2013/56/EU, which amended Directive 2006/66/EC and which has been implemented in Germany with the German Battery Act (Batteriegesetz), we are obligated, in several EU member states, to take back and recycle or otherwise safely dispose of all batteries we directly sell as a producer free of charge for our clients. The EU Battery Regulation 2023/1542 will expand these obligations throughout all EU member states as of August 18, 2025. In 2021, we began selling batteries and battery systems as a direct producer in the European market. As our batteries are capable of supporting up to 10 years of operations under typical conditions,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third parties following the end of their battery life with a customer or their end-user. We estimate that roughly half of the batteries we have sold will be refurbished and resold while the remaining batteries are expected to be recycled or reutilized for other purposes. We are also investigating opportunities to develop small size energy storage systems which can be used to run parts of our manufacturing site returned batteries.</w:t>
      </w:r>
    </w:p>
    <w:p>
      <w:pPr>
        <w:spacing w:after="0" w:line="22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Changes in regulatory policies and customer practices could have a material adverse effect on our business and operations. The EU has also imposed its new EU Battery Regulation, parts of which became effective in the first quarter of 2024. This regulation, in conjunction with the EU Critical Raw Materials Regulation 2024/1252 (which is intended to increase intra-EU lithium production), will push local (European) battery cell production and “green” energy usage for battery production. Additionally, starting in the first quarter of 2027, the EU Battery Regulation requires us to provide an electronic record for our industrial and electric vehicle batteries, which must include an identification QR code and CE marking. Further, we will be subject to stricter supply chain due diligence and reporting obligations. Finally, we are beginning to see OEM customer requirements for locally produced battery cells. The latest developments in European regulatory policies described above may lead to increased competitiveness in the European market, as we expect major cell manufacturers to add localized European cell production.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have difficulties transferring and communicating technology globally, especially if communications and visa processes between the U.S. and other countries worsen.</w:t>
      </w:r>
    </w:p>
    <w:p>
      <w:pPr>
        <w:spacing w:after="0" w:line="172"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different parts of the world, the technology platforms that are used to facilitate communication between staff are different, or in some cases banned. For example, the PRC government has banned a number of technology apps, and certain jurisdictions may attempt to restrict the operation and access of certain China-based companies, such as TikTok, WeChat and Alipay in the U.S. In response, government authorities in China, or elsewhere, may seek to restrict the access and operations of U.S. companies. As the options for communication become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205"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have also transferred and expect to continue to transfer personnel between the United States and other geographies, specifically China, for short, medium and long-term or permanent durations. Global immigration requirements routinely change and are complex to navigate. We cannot assure you that we will be able to acquire adequate visas for the movement of our personnel between the locations we and/or our customers operate going forward. As our business is spread across many geographies, our current business relies on the ability of obtaining personnel visas so that our employees can freely move between our international offices and operations, and any restrictions or denials could limit our ability to train and pass along proprietary information efficiently.</w:t>
      </w:r>
    </w:p>
    <w:p>
      <w:pPr>
        <w:spacing w:after="0" w:line="188"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Although challenges transferring and communicating technology globally, as well as obtaining personnel visas, have not currently, however, impacted our geographic diversification strategy, we cannot assure you that we will not experience these issues in the future.</w:t>
      </w:r>
    </w:p>
    <w:p>
      <w:pPr>
        <w:spacing w:after="0" w:line="17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$200 million grant from the DOE was cancelled and there is no certainty that the Company will qualify or have access to future awards or grants in the United States.</w:t>
      </w:r>
    </w:p>
    <w:p>
      <w:pPr>
        <w:spacing w:after="0" w:line="185"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October 2022, we were notified by the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and conditions. The grant funding was expected to support the construction of a new polyaramid separator manufacturing facility in Hopkinsville, Kentucky. On May 23, 2023, the DOE announced that it was declining to award the previously-announced $200 million grant to us. Our ability to obtain grants or incentives from government entities in the future is subject to the availability of funds under applicable government programs and approval of our applications to participate in such programs. The application process for these grants and other incentives is highly competitive. We may not be successful in obtaining any additional grants, loans or other incentives. Further, the loss of this DOE award had an adverse impact on our reputation and standing, and it may not be possible for us to mitigate these negative perceptions concerning us and our business and/or we may have to spend considerable management time and resources defending our reputation and standing. Dealing with the fallout from the loss of the DOE award may also limit our access to funding for our business going forward as third party sources of finance are concerned about their own reputational risk of doing business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Cyberattacks or risks related to cybersecurity could have a material effect on our business.</w:t>
      </w:r>
    </w:p>
    <w:p>
      <w:pPr>
        <w:spacing w:after="0" w:line="22" w:lineRule="exact"/>
        <w:rPr>
          <w:sz w:val="20"/>
          <w:szCs w:val="20"/>
          <w:color w:val="auto"/>
        </w:rPr>
      </w:pPr>
    </w:p>
    <w:p>
      <w:pPr>
        <w:ind w:right="100" w:firstLine="619"/>
        <w:spacing w:after="0" w:line="237" w:lineRule="auto"/>
        <w:rPr>
          <w:sz w:val="20"/>
          <w:szCs w:val="20"/>
          <w:color w:val="auto"/>
        </w:rPr>
      </w:pPr>
      <w:r>
        <w:rPr>
          <w:rFonts w:ascii="Times New Roman" w:cs="Times New Roman" w:eastAsia="Times New Roman" w:hAnsi="Times New Roman"/>
          <w:sz w:val="17"/>
          <w:szCs w:val="17"/>
          <w:color w:val="auto"/>
        </w:rPr>
        <w:t>As an advanced battery technology company, we rely on innovative and creative technologies to both further our business and to operate on a regular basis. As such, we are potentially subject to risk from cybersecurity threats and cyberattacks that attempt to gain access to our systems to collect confidential data or disrupt our operations. Cyberattacks have become increasingly prevalent, and have continued to remain a threat among any company that engages in the collection and storage of sensitive data in the ordinary course of business, including, but not limited to, employee information, vendor information, proprietary information on our technology and any commercial transactions that the company might engage in. While we have policies and measures in place to both prevent and mitigate the risk of cyberattacks, this does not fully remove us from potential threats that could disrupt our operations. In addition, our business operations partially rely on outsourced parties for data centers, third-party services, and network operations that could be disrupted in the case of a cyberattack or a cybersecurity risk occurring through an outsourced party. The impacts of such a cybersecurity risk would be difficult to assess and to measure how severely it would impact our operations but could have a material impact on our business.</w:t>
      </w:r>
    </w:p>
    <w:p>
      <w:pPr>
        <w:spacing w:after="0" w:line="198"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China</w:t>
      </w:r>
    </w:p>
    <w:p>
      <w:pPr>
        <w:spacing w:after="0" w:line="176"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Adverse changes in the PRC’s political, economic, and other policies could materially affect China’s economic growth and negatively impact our business growth and competitiveness, as well as adverse trade relations with the United States.</w:t>
      </w:r>
    </w:p>
    <w:p>
      <w:pPr>
        <w:spacing w:after="0" w:line="18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business operations have a material dependency on the Chinese market for both revenues generated in that market and as a source of finished products and components for our global operations. Accordingly, our business, financial condition, results of operations, and prospects are affected significantly by economic, political, and legal developments in China. The Chinese economy differs from the economies of most developed countries in many respects, including:</w:t>
      </w:r>
    </w:p>
    <w:p>
      <w:pPr>
        <w:spacing w:after="0" w:line="191"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government involvement;</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development;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rate;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of foreign exchange;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of resources;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evolving and rapidly changing regulatory system;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lack of sufficient transparency in the regulatory process.</w:t>
      </w:r>
    </w:p>
    <w:p>
      <w:pPr>
        <w:spacing w:after="0" w:line="226"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continued control and influence of the Chinese economy by the PRC government could materially and adversely affect our business. While the PRC government has implemented various measures to encourage economic growth and guide the allocation of resources, some of these measures may also have a negative effect on us. For example, our financial condition and results of operations may be adversely affected by government control over capital investments, foreign currency exchange restrictions, or changes in tax regulations that are applicable to us.</w:t>
      </w:r>
    </w:p>
    <w:p>
      <w:pPr>
        <w:spacing w:after="0" w:line="197"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PRC government exercises significant control over China’s economic growth through the allocation of resources, controlling payments of foreign currency-denominated obligations, setting monetary policy, and providing preferential treatment to particular industries or companies.</w:t>
      </w:r>
    </w:p>
    <w:p>
      <w:pPr>
        <w:spacing w:after="0" w:line="177"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Any adverse change in the economic conditions or government policies in China could have a material adverse effect on overall economic growth, which in turn could lead to a reduction in demand for our products and consequently have a material adverse effect on our businesses.</w:t>
      </w:r>
    </w:p>
    <w:p>
      <w:pPr>
        <w:spacing w:after="0" w:line="1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PRC government regulations significantly impact our Chinese operations, with changes potentially increasing costs or limiting activities. We could become subject to regulations issued by the CAC and the requirements of the PRC government’s cyber or data security laws, which could impact our activities in China.</w:t>
      </w:r>
    </w:p>
    <w:p>
      <w:pPr>
        <w:spacing w:after="0" w:line="20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PRC government has broad discretion and authority to regulate the technology industry in China. Additionally, the PRC government has implemented policies from time-to-time to regulate economic expansion in China. Personal privacy, cyber security, and data protection are becoming increasingly significant issues in China. To address these issues, the PRC government promulgated cyber security laws setting forth various requirements relating to the collection, use, storage, disclosure and security of data, among other things. In 2021, the PRC government also implemented a comprehensive data security law which aims to regulate a wide range of issues in relation to the collection,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storage, processing, use, provision, transaction and publication of any kind of data, and a law on personal information which provides a comprehensive set of rules on personal information protection in China.</w:t>
      </w:r>
    </w:p>
    <w:p>
      <w:pPr>
        <w:spacing w:after="0" w:line="177"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Regulations and measures enacted to implement such laws aim to ensure the security of supply chains for critical information infrastructure (“CII”) and guarantee national security by prescribing a security review by the PRC government’s Cybersecurity Review Office (the “CRO”, subordinated to the CAC) for certain network products and services purchased by CII operators and data processing activities conducted by online platform operators. Among those regulations, any online platform operator which holds the personal information of more than one million individuals is required to apply to the CRO for a cybersecurity review if it seeks to list on a non-PRC exchange. While we do not believe that such a regulation would impact our operations since neither we nor our subsidiaries in China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w:t>
      </w:r>
    </w:p>
    <w:p>
      <w:pPr>
        <w:spacing w:after="0" w:line="20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Further, in 2022, the CAC published regulations related to cross-border data transfers, which specify that data handlers will be subject to security assessment if they match the following thresholds or conditions: (1) data handlers providing important data abroad; (2) CII operators and data handlers handling the personal information of over one million people providing personal information abroad; (3) data handlers providing abroad the personal information of more than 100,000 people or the sensitive personal information of more than 10,000 people since January 1 of the previous year; or (4) other situations provided for by the CAC that require a security assessment.</w:t>
      </w:r>
    </w:p>
    <w:p>
      <w:pPr>
        <w:spacing w:after="0" w:line="200"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212529"/>
        </w:rPr>
        <w:t>On September 24, 2024, the State Council of the PRC released the Administrative Regulations on the Network Data Security, or the Data Security Regulations, which became effective on January 1, 2025. The Data Security Regulations may apply to the use of networks to carry out data processing activities and the supervision and administration of network data security in mainland China and apply to activities outside mainland China to process personal information of any natural persons in mainland China under any of the following circumstances: (i) for the purpose of providing products or services to natural persons in mainland China; (ii) analyze and evaluate the behavior of natural persons in mainland China; and (iii) other circumstances stipulated by laws and administrative regulations. The Data Security Regulations further stipulate that where it is indeed necessary to transfer “important data” collected and generated by a network data processor during its operation within the territory of mainland China to overseas parties, it shall pass the security assessment for cross-border data transfer organized by the CAC. Network data processors should identify and declare “important data” in accordance with the relevant provisions, but they are not required to conduct security assessment for outbound data transfer for data that has not been notified or published as “important data” by relevant departments or regions. In addition, the Data Security Regulations provides that data processors that process “important data” must conduct an annual data security assessment with regard to the data process activities and submit the assessment report to relevant competent authorities at or above the provincial level. Since the Data Security Regulations is newly promulgated, there remains uncertainty as to how it will be implemented and interpreted by the competent authorities and whether the PRC regulatory agencies, including the CAC, will adopt new laws, regulations, rules, or detailed implementation and interpretation related to security assessment. We cannot predict the impact of the Data Security Regulations on us, if any, at this stage, and we will closely monitor and assess any development in the implementation and interpretation of the Data Security Regulations. Even though we do not believe our business activities fall under the scope of Data Security Regulations, in the event that a competent PRC governmental authority concludes otherwise, we face uncertainties as to whether such clearance can be timely obtained, or at all.</w:t>
      </w:r>
    </w:p>
    <w:p>
      <w:pPr>
        <w:spacing w:after="0" w:line="209"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While we believe we are compliant in all material respects with the regulations and policies that have been issued to date by the CAC, we cannot guarantee we will be able to comply with all of these regulatory requirements. Any failure to comply with the cyber security, data security and personal information protection laws and the related regulations, measures and policies could result in further cost and liability to us and could adversely affect our business and results of operations. Additionally, increased costs to comply with, and other burdens imposed by such laws, regulations, measures and policies that are applicable to the businesses of our suppliers, vendors and other service providers, as well as our customers,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300" w:firstLine="619"/>
        <w:spacing w:after="0" w:line="260" w:lineRule="auto"/>
        <w:rPr>
          <w:sz w:val="20"/>
          <w:szCs w:val="20"/>
          <w:color w:val="auto"/>
        </w:rPr>
      </w:pPr>
      <w:r>
        <w:rPr>
          <w:rFonts w:ascii="Times New Roman" w:cs="Times New Roman" w:eastAsia="Times New Roman" w:hAnsi="Times New Roman"/>
          <w:sz w:val="17"/>
          <w:szCs w:val="17"/>
          <w:color w:val="auto"/>
        </w:rPr>
        <w:t>Our subsidiaries in China operate as wholly foreign owned enterprises (“WFOE”) and, as a result, we are required to obtain governmental approvals, licenses, permits, and registrations from regulatory authorities such as CAC and the Ministry of Commerce of the PRC. We believe our Chinese subsidiaries possess the requisite governmental approvals, licenses, permits, and registration for our operations in China. However, the PRC regulatory authorities’ interpretation of the laws, rules, and regulations may change, which could materially and adversely affect the validity of the approvals, qualifications, licenses, permits, and registrations we have obtained or completed. Any failure to comply may result in fines, restrictions, and limits on our operations, as well as suspension or revocation of certain certificates, approvals, permits, licenses, or filings we have already obtained or made.</w:t>
      </w:r>
    </w:p>
    <w:p>
      <w:pPr>
        <w:spacing w:after="0" w:line="199"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In addition, the PRC government may amend existing laws or regulations or enact new laws and regulations that require additional licenses, permits, approvals, registrations and/or restrictions for the operation of any of our operations in China. PRC regulations relating to foreign ownership in the power battery manufacturing industry, including the manufacturing of our current main products, have been revised periodically over the past decade. Under the current regulatory regime, there are no foreign ownership restrictions over the manufacture of power batteries.</w:t>
      </w:r>
    </w:p>
    <w:p>
      <w:pPr>
        <w:spacing w:after="0" w:line="197"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However, we cannot assure you that we will have all the permits, licenses, registrations, approvals and/or business license items covering the sufficient scope of business required for our business in China in the future, or that we will be able to obtain, maintain or renew any permits, licenses, registrations, approvals and/or business license items covering the sufficient scope of our business in China in a timely manner or at all. Further, if there are changes to PRC regulations in the future that restrict foreign ownership of companies engaged in the manufacture of power batteries, such changes could materially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labor costs in the PRC increase substantially, our PRC subsidiaries' business and our costs of operations may be adversely affected.</w:t>
      </w:r>
    </w:p>
    <w:p>
      <w:pPr>
        <w:spacing w:after="0" w:line="24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recent years, the Chinese economy has experienced inflation and labor cost increases. Average wages are projected to continue to increase. Further, under PRC law an employer is required to pay various statutory employee benefits, including pensions, housing funds, medical insurance, work-related injury insurance, unemployment insurance and maternity insurance to designated government agencies for the benefit of its employees. The relevant government agencies may examine whether an employer has made adequate payments to the statutory employee benefits, and those employers who fail to make adequate payments may be subject to late payment fees, fines and/or other penalties. We expect that our labor costs, including wages and employee benefits, will continue to increase based on the past trends. If we are unable to control our labor costs or pass such increased labor costs on to our subsidiaries’ customers, our financial condition and results of operations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PRC government may exert substantial influence over the manner in which we conduct our business operations in China.</w:t>
      </w:r>
    </w:p>
    <w:p>
      <w:pPr>
        <w:spacing w:after="0" w:line="249"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PRC government has exercised, and continues to exercise, substantial control over virtually every sector of the Chinese economy through regulation and state ownership. Our ability to conduct and expand our manufacturing operations in China may be harmed by changes in its laws and regulations, including those relating to taxation, import and export tariffs, environmental regulations, land use rights, property ownership and other matters. We believe that our operations in China are in material compliance with all applicable legal and regulatory requirements. However, the central or local governments of the jurisdictions in which we operate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PRC properties or entities, including our PRC operating subsidiary, Microvast Power Systems, Ltd ("MPS").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China's legal and judicial system may not adequately protect our business and operations and the rights of our investors.</w:t>
      </w:r>
    </w:p>
    <w:p>
      <w:pPr>
        <w:spacing w:after="0" w:line="249" w:lineRule="exact"/>
        <w:rPr>
          <w:sz w:val="20"/>
          <w:szCs w:val="20"/>
          <w:color w:val="auto"/>
        </w:rPr>
      </w:pPr>
    </w:p>
    <w:p>
      <w:pPr>
        <w:jc w:val="both"/>
        <w:ind w:right="240" w:firstLine="619"/>
        <w:spacing w:after="0" w:line="270" w:lineRule="auto"/>
        <w:rPr>
          <w:sz w:val="20"/>
          <w:szCs w:val="20"/>
          <w:color w:val="auto"/>
        </w:rPr>
      </w:pPr>
      <w:r>
        <w:rPr>
          <w:rFonts w:ascii="Times New Roman" w:cs="Times New Roman" w:eastAsia="Times New Roman" w:hAnsi="Times New Roman"/>
          <w:sz w:val="17"/>
          <w:szCs w:val="17"/>
          <w:color w:val="auto"/>
        </w:rPr>
        <w:t>We conduct a significant amount of our operations in China through MPS, which is a wholly owned foreign enterprise of Microvast Inc. The legal and judicial systems in China are still rudimentary, and enforcement of existing laws is uncertain. It may be impossible to obtain swift and equitable enforcement of laws that do exist, or to obtain enforcement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of the judgment of one court by a court of another jurisdiction. China’s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 As a result, our investors may have more difficulty in protecting their interests through actions against our management, directors or major stockholders than would investors of a corporation doing business entirely or predominantly within the U.S.</w:t>
      </w:r>
    </w:p>
    <w:p>
      <w:pPr>
        <w:spacing w:after="0" w:line="191"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Restrictions under PRC law on our China subsidiaries’ ability to make dividends and other distributions could materially and adversely affect our ability to grow, make investments or acquisitions that could benefit our business, pay dividends to you, and otherwise fund and conduct our business.</w:t>
      </w:r>
    </w:p>
    <w:p>
      <w:pPr>
        <w:spacing w:after="0" w:line="172"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are a holding company, and we conduct all of our operations through our subsidiaries, including our subsidiaries in China. We have been and intend to continue to use our cash on hand to fund our growth. However, because all of our operations are conducted through subsidiaries, all revenue generated from our operations and all capital expenditures we make in our business are generated by or made through subsidiaries, including our subsidiaries based in China. Currently, cash generated by our Chinese subsidiaries is reinvested in our Chinese operations. We currently do not rely on dividends and distributions on equity paid by our subsidiaries, including our subsidiaries based in China. However, our subsidiaries, including our subsidiaries based in China, are subject to statutory and regulatory limitations on the payment of dividends to the Company, which could in the future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20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Current regulations in China permit payment of dividends only out of accumulated profits as determined in accordance with PRC accounting standards and regulations. According to the PRC corporate law, our Chinese subsidiaries are required to set aside at least 10% of our after-tax profit based on the PRC accounting standards and regulations each year to our statutory surplus reserve, until the balance in the reserve reaches 50% of the registered capital of each of our Chinese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Chinese subsidiaries to transfer funds to us could materially and adversely limit our ability to grow, make investments or acquisitions that could be beneficial to our business and otherwise fund and conduct our business.</w:t>
      </w:r>
    </w:p>
    <w:p>
      <w:pPr>
        <w:spacing w:after="0" w:line="205"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In addition, under PRC law, dividends payable by a foreign investment enterprise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in China that provides for a reduced rate of withholding tax on dividends.</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securities may be prohibited from trading in the United States under the Holding Foreign Companies Accountable Act (the “HFCAA”) in the future if the PCAOB is unable to fully inspect or investigate our China-based auditors under the HFCAA. The delisting of our securities, or the threat of their being delisted, may materially and adversely affect the value of your investment.</w:t>
      </w:r>
    </w:p>
    <w:p>
      <w:pPr>
        <w:spacing w:after="0" w:line="188" w:lineRule="exact"/>
        <w:rPr>
          <w:sz w:val="20"/>
          <w:szCs w:val="20"/>
          <w:color w:val="auto"/>
        </w:rPr>
      </w:pPr>
    </w:p>
    <w:p>
      <w:pPr>
        <w:jc w:val="both"/>
        <w:ind w:right="140" w:firstLine="619"/>
        <w:spacing w:after="0" w:line="254"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w:t>
      </w:r>
    </w:p>
    <w:p>
      <w:pPr>
        <w:spacing w:after="0" w:line="204"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91"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Each year, the PCAOB will determine whether it can inspect and investigate completely audit firms in mainland China and Hong Kong, among other jurisdictions. If the PCAOB determines in the future that it no longer has full access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20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Recent regulatory developments in China, in particular with respect to restrictions on China-based companies raising capital offshore, may lead to additional regulatory review in China over our financing and capital raising activities in the U.S., even though our subsidiaries in China are controlled and managed by U.S. citizens and function as U.S. companies that access the China market through their WFOE status. If it is determined in the future that approval from the China Securities Regulatory Commission (the “CSRC”) or other regulatory authorities or other procedures, including the cybersecurity review under the enacted version of the Measures for Cybersecurity Review, are required in relation to our business activities in China, it is uncertain whether we can or how long it will take us to obtain such approval or complete such procedures and any such approval could be rescinded. Any failure to obtain or delay in obtaining such approval or completing such procedures, or a rescission of any such approval, if obtained by us, would subject our China operations to sanctions by the CSRC or other PRC regulatory authorities for failure to seek CSRC approval or other government authorization. These regulatory authorities may impose fines and penalties on our operations in China, limit our ability to pay dividends outside of China, limit our operating privileges in China, delay or restrict the funding of our China operations or take other actions that could materially and adversely affect our business, financial condition, results of operations, and prospects, as well as the trading price of our shares.</w:t>
      </w:r>
    </w:p>
    <w:p>
      <w:pPr>
        <w:spacing w:after="0" w:line="186" w:lineRule="exact"/>
        <w:rPr>
          <w:sz w:val="20"/>
          <w:szCs w:val="20"/>
          <w:color w:val="auto"/>
        </w:rPr>
      </w:pPr>
    </w:p>
    <w:p>
      <w:pPr>
        <w:ind w:right="200" w:firstLine="619"/>
        <w:spacing w:after="0" w:line="245" w:lineRule="auto"/>
        <w:rPr>
          <w:sz w:val="20"/>
          <w:szCs w:val="20"/>
          <w:color w:val="auto"/>
        </w:rPr>
      </w:pPr>
      <w:r>
        <w:rPr>
          <w:rFonts w:ascii="Times New Roman" w:cs="Times New Roman" w:eastAsia="Times New Roman" w:hAnsi="Times New Roman"/>
          <w:sz w:val="17"/>
          <w:szCs w:val="17"/>
          <w:color w:val="auto"/>
        </w:rPr>
        <w:t xml:space="preserve">On February 17, 2023, the CSRC released the </w:t>
      </w:r>
      <w:r>
        <w:rPr>
          <w:rFonts w:ascii="Times New Roman" w:cs="Times New Roman" w:eastAsia="Times New Roman" w:hAnsi="Times New Roman"/>
          <w:sz w:val="17"/>
          <w:szCs w:val="17"/>
          <w:i w:val="1"/>
          <w:iCs w:val="1"/>
          <w:color w:val="auto"/>
        </w:rPr>
        <w:t>Trial Measures for the Administration of Overseas Issuance and Listing of Securities by Domestic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Enterprises </w:t>
      </w:r>
      <w:r>
        <w:rPr>
          <w:rFonts w:ascii="Times New Roman" w:cs="Times New Roman" w:eastAsia="Times New Roman" w:hAnsi="Times New Roman"/>
          <w:sz w:val="17"/>
          <w:szCs w:val="17"/>
          <w:color w:val="auto"/>
        </w:rPr>
        <w:t>(“Circular 43”) and a series of associated regulatory guidelines which came into effect on March 31, 2023. Under Circular 43, both direct listing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 listing activities of China based enterprises will become subject to a unified filing requirement with the CSRC. We do not believe this Circular is applicable to Microvast and we believe the jurisdiction for how we conduct our offerings in the U.S. solely rests with the SEC. However, there is always the risk that the CSRC could rely on Circular 43 to cause disruption to our China business which in turn could have a material adverse impact on our business, results of operation and our stock price.</w:t>
      </w: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become subject to the recent scrutiny, criticism and negative publicity involving U.S.-listed companies with significant operations in China, and we have and we may continue to expend significant resources to investigate and resolve the matter which could harm our business operations, stock price and reputation, especially if such matter cannot be addressed and resolved favorably.</w:t>
      </w:r>
    </w:p>
    <w:p>
      <w:pPr>
        <w:spacing w:after="0" w:line="190"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At various times during recent years, the U.S. and the PRC have had significant disagreements over political and economic issues, which may affect our economic outlook both in the U.S. and in China. Recently, there have been cases where U.S. public companies that have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U.S.-listed companies with significant operations in China has sharply decreased in value and, in some cases, has become virtually worthless. Many of these companies are now subject to shareholder lawsuits and SEC enforcement actions and are conducting internal and external investigations into the allegations. This sector-wide scrutiny, criticism and negative publicity could have a negative influence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distract our management from growing our business. If such allegations are not proven to be groundless, we and our business operations will be adversely affected.</w:t>
      </w:r>
    </w:p>
    <w:p>
      <w:pPr>
        <w:spacing w:after="0" w:line="230"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In addition, the U.S. government has recently been highly critical of U.S.-listed companies with significant operations in China, in some cases working to bar them from U.S. markets or stock exchanges. Any political or trade controversies between the U.S. and the PRC and any future allegations or regulations might negatively impact us, whether or not directly related to our business, could affect investors’ willingness to hold or buy our stock and reduce the price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Tariffs imposed on products of the PRC into the United States may lead to increased costs and impact our business.</w:t>
      </w:r>
    </w:p>
    <w:p>
      <w:pPr>
        <w:spacing w:after="0" w:line="236"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Changes or increases in tariffs, trade restrictions, trade agreements, non-tariff trade barriers, local content requirements, uncertainty surrounding global trade policies, and the imposition of new or retaliatory tariffs against the PRC or covering certain products may affect our competitive position and result in increased costs for products manufactured in the United States using Chinese-origin inputs. On February 1, 2025, President Trump imposed a 10% additional tariff on products of the PRC into the United States. If maintained, these and other potential tariffs yet to be announced or imposed may have an adverse impacts on general economic conditions and our business, the exact outcomes of which are uncertain and depend on various factors, such as negotiations between the U.S. and China, the duration of such tariffs, the responses of other countries or regions to such tariffs, the actual increases in the costs of imported PRC products and raw materials, and exemptions or exclusions that may be granted. Should tariffs increase and be sustained, our inventory acquisition and carrying costs may be increased, which costs may be passed on to us and consumers through higher prices for our products. These increased prices may adversely impact our new product sales and demand for such products, potentially impacting our ability to sell them profitably.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Protecting our intellectual property rights, especially in China, may be challenging, and infringement claims could result in substantial costs.</w:t>
      </w:r>
    </w:p>
    <w:p>
      <w:pPr>
        <w:spacing w:after="0" w:line="23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seek to protect the products and technology that we consider important to our business by pursuing patent applications in China and other countries, relying on trade secrets or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w:t>
      </w:r>
    </w:p>
    <w:p>
      <w:pPr>
        <w:spacing w:after="0" w:line="200" w:lineRule="exact"/>
        <w:rPr>
          <w:sz w:val="20"/>
          <w:szCs w:val="20"/>
          <w:color w:val="auto"/>
        </w:rPr>
      </w:pPr>
    </w:p>
    <w:p>
      <w:pPr>
        <w:ind w:right="160" w:firstLine="619"/>
        <w:spacing w:after="0"/>
        <w:rPr>
          <w:sz w:val="20"/>
          <w:szCs w:val="20"/>
          <w:color w:val="auto"/>
        </w:rPr>
      </w:pPr>
      <w:r>
        <w:rPr>
          <w:rFonts w:ascii="Times New Roman" w:cs="Times New Roman" w:eastAsia="Times New Roman" w:hAnsi="Times New Roman"/>
          <w:sz w:val="17"/>
          <w:szCs w:val="17"/>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reliance on unpatented proprietary technologies is significant.</w:t>
      </w:r>
    </w:p>
    <w:p>
      <w:pPr>
        <w:spacing w:after="0" w:line="236" w:lineRule="exact"/>
        <w:rPr>
          <w:sz w:val="20"/>
          <w:szCs w:val="20"/>
          <w:color w:val="auto"/>
        </w:rPr>
      </w:pPr>
    </w:p>
    <w:p>
      <w:pPr>
        <w:ind w:right="140" w:firstLine="619"/>
        <w:spacing w:after="0" w:line="239" w:lineRule="auto"/>
        <w:rPr>
          <w:sz w:val="20"/>
          <w:szCs w:val="20"/>
          <w:color w:val="auto"/>
        </w:rPr>
      </w:pPr>
      <w:r>
        <w:rPr>
          <w:rFonts w:ascii="Times New Roman" w:cs="Times New Roman" w:eastAsia="Times New Roman" w:hAnsi="Times New Roman"/>
          <w:sz w:val="17"/>
          <w:szCs w:val="17"/>
          <w:color w:val="auto"/>
        </w:rPr>
        <w:t>Success relies on our capacity to acquire, uphold, and safeguard our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Nonetheless, we cannot guarantee that these agreements will effectively protect our trade secrets, know-how, and proprietary information against unauthorized use, misappropriation, or disclosure. There’s no guarantee that employees, consultants, vendors, and clients have signed such agreements, have not or will not breach them, that we’ll have sufficient remedies for breaches, or that competitors won’t discover or independently develop our trade secrets. Despite the protections we place on our intellectual property, a third party could, without authorization, copy or otherwise obtain and use our products or technology, or develop similar technology. The theft or unauthorized use or publication of our trade secrets and other confidential business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192"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17"/>
          <w:szCs w:val="17"/>
          <w:color w:val="auto"/>
        </w:rPr>
        <w:t>Additionally, others may independently create similar or identical technology or gain access to our unpatented technology, preventing us from asserting trade secret rights against them.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partly hinges on protecting our trade secrets, confidential information, technology, trademarks, and other intellectual property rights.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depend on our trademarks, service marks, trade names, and brand names to differentiate our products from competitors’ and have registered or applied</w:t>
      </w:r>
    </w:p>
    <w:p>
      <w:pPr>
        <w:spacing w:after="0" w:line="2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7"/>
          <w:szCs w:val="17"/>
          <w:color w:val="auto"/>
        </w:rPr>
        <w:t>to register many of these marks</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a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204"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17"/>
          <w:szCs w:val="17"/>
          <w:color w:val="auto"/>
        </w:rPr>
        <w:t>Additionally, our strategy partly involves obtaining and maintaining patents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unauthorized parties may still access and use our proprietary information.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products and practicing our own technology. Alternatively, third parties may seek approval to market their products similar to or otherwise competitive with our products. In these circumstances, we may need to defend and/or assert our patents, including by filing lawsuits alleging patent infringement.</w:t>
      </w:r>
    </w:p>
    <w:p>
      <w:pPr>
        <w:spacing w:after="0" w:line="215"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31" w:lineRule="exact"/>
        <w:rPr>
          <w:sz w:val="20"/>
          <w:szCs w:val="20"/>
          <w:color w:val="auto"/>
        </w:rPr>
      </w:pPr>
    </w:p>
    <w:p>
      <w:pPr>
        <w:ind w:right="320" w:firstLine="619"/>
        <w:spacing w:after="0" w:line="246" w:lineRule="auto"/>
        <w:rPr>
          <w:sz w:val="20"/>
          <w:szCs w:val="20"/>
          <w:color w:val="auto"/>
        </w:rPr>
      </w:pPr>
      <w:r>
        <w:rPr>
          <w:rFonts w:ascii="Times New Roman" w:cs="Times New Roman" w:eastAsia="Times New Roman" w:hAnsi="Times New Roman"/>
          <w:sz w:val="17"/>
          <w:szCs w:val="17"/>
          <w:color w:val="auto"/>
        </w:rPr>
        <w:t>Issued patents may be challenged, narrowed, invalidated or circumvented. Some countries’ legal systems do not strongly enforce patents, limiting our ability to protect our inventions as effectively as in the U.S. and Europe. For example, the validity, enforceability and scope of protection available under the relevant intellectual property laws in China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7"/>
          <w:szCs w:val="17"/>
          <w:color w:val="auto"/>
        </w:rPr>
        <w:t>is uncertain and still evolving. Implementation and enforcement of PRC intellectual property-related laws has historically been deficient and ineffective. Accordingly, the protection of intellectual property rights in China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20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China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20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Infringement claims against us could lead to substantial costs.</w:t>
      </w:r>
    </w:p>
    <w:p>
      <w:pPr>
        <w:spacing w:after="0" w:line="249"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In recent years, there has been significant litigation in the U.S., Europe and China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196"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17"/>
          <w:szCs w:val="17"/>
          <w:color w:val="auto"/>
        </w:rPr>
        <w:t>Third parties might infringe, misappropriate, or violate our intellectual property or proprietary rights, or we might have to defend against claims of such infringements or violations by others. To counter infringement or unauthorized use claims or to defend against such claims can be expensive and time consuming. Being involved in intellectual property litigation, even if resolved in our favor, can incur significant costs and distract our staff from their duties.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 intellectual property-related proceeding could have a material adverse effect on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Common Stock</w:t>
      </w:r>
    </w:p>
    <w:p>
      <w:pPr>
        <w:spacing w:after="0" w:line="241"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common stock or other equity or convertible securities, which may depress the market price of common stock and could make it difficult for another company to acquire us.</w:t>
      </w:r>
    </w:p>
    <w:p>
      <w:pPr>
        <w:spacing w:after="0" w:line="172"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issuance of additional shares of common stock or other equity or convertible securities of equal or senior rank would have the following effects:</w:t>
      </w:r>
    </w:p>
    <w:p>
      <w:pPr>
        <w:spacing w:after="0" w:line="263"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our existing stockholders’ proportionate ownership interest in us will decrease;</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the amount of cash available per share, including for payment of dividends in the future, may decrease;</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the relative voting strength of each previously outstanding share of common stock may be diminished;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the market price of common stock may decline; and</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it could make it difficult for another company to acquire us.</w:t>
      </w:r>
    </w:p>
    <w:p>
      <w:pPr>
        <w:spacing w:after="0" w:line="21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the future, we may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w:t>
      </w:r>
    </w:p>
    <w:p>
      <w:pPr>
        <w:ind w:right="100"/>
        <w:spacing w:after="0" w:line="257" w:lineRule="auto"/>
        <w:rPr>
          <w:sz w:val="20"/>
          <w:szCs w:val="20"/>
          <w:color w:val="auto"/>
        </w:rPr>
      </w:pPr>
      <w:r>
        <w:rPr>
          <w:rFonts w:ascii="Times New Roman" w:cs="Times New Roman" w:eastAsia="Times New Roman" w:hAnsi="Times New Roman"/>
          <w:sz w:val="17"/>
          <w:szCs w:val="17"/>
          <w:color w:val="auto"/>
        </w:rPr>
        <w:t>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Resales of our common stock may cause the market price of our securities to drop significantly, even if our business is doing well.</w:t>
      </w:r>
    </w:p>
    <w:p>
      <w:pPr>
        <w:spacing w:after="0" w:line="249"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outstanding warrants to purchase an aggregate of 28,437,000 shares of our common stock are exercisable in accordance with the terms of the Warrant Agreement governing those securities.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99" w:lineRule="exact"/>
        <w:rPr>
          <w:sz w:val="20"/>
          <w:szCs w:val="20"/>
          <w:color w:val="auto"/>
        </w:rPr>
      </w:pPr>
    </w:p>
    <w:p>
      <w:pPr>
        <w:jc w:val="both"/>
        <w:ind w:right="80" w:firstLine="619"/>
        <w:spacing w:after="0" w:line="264" w:lineRule="auto"/>
        <w:rPr>
          <w:sz w:val="20"/>
          <w:szCs w:val="20"/>
          <w:color w:val="auto"/>
        </w:rPr>
      </w:pPr>
      <w:r>
        <w:rPr>
          <w:rFonts w:ascii="Times New Roman" w:cs="Times New Roman" w:eastAsia="Times New Roman" w:hAnsi="Times New Roman"/>
          <w:sz w:val="17"/>
          <w:szCs w:val="17"/>
          <w:color w:val="auto"/>
        </w:rPr>
        <w:t>Further, on October 1, 2021, we filed a registration statement with the SEC on Form S-8 providing for the registration of shares of common stock issued or reserved for issuance under the Microvast Holdings, Inc. 2021 Equity Incentive Plan (the “2021 Plan”).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pacing w:after="0" w:line="191"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though the warrants have become exercisable, there is no guarantee that the warrants will be in the money prior to their expiration, and they may expire worthless.</w:t>
      </w:r>
    </w:p>
    <w:p>
      <w:pPr>
        <w:spacing w:after="0" w:line="172"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exercise price for our warrants is $11.50 per share of common stock, and the trading price of our common stock was $1.27 as of March 24, 2025. There is no guarantee that the warrants will be exercised following the time they become exercisable and prior to their expiration, and as such, the warrants may expire worthless. Further, since the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registration of the warrants was not completed within 90 days following the Business Combination, pursuant to the Registration Rights and Lock-Up Agreement, warrant holders may exercise the warrants on a net-share basis.</w:t>
      </w:r>
    </w:p>
    <w:p>
      <w:pPr>
        <w:spacing w:after="0" w:line="171"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Tuscan Group is likely to make a substantial profit even if the trading price of our common stock materially declines due to the nominal purchase price the Tuscan Group paid for the Founder Shares (as defined below).</w:t>
      </w:r>
    </w:p>
    <w:p>
      <w:pPr>
        <w:spacing w:after="0" w:line="172"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Tuscan Group paid only a nominal aggregate purchase price of $25,000 for the Founder Shares, or approximately $0.004 per share, while the initial public offering (“IPO”) price of our common stock was $10.00 per share and the trading price of our common stock $1.27 as of March 24, 2025. As a result, even if the trading price of our common stock significantly declines, the Tuscan Group will stand to make a significant profit on its investment in us. In addition, the Tuscan Group could potentially recoup its entire investment in us even if the trading price of our common stock is less than $1.00 per share. As a result, the Tuscan Group is likely to make a substantial profit on its investment in us even if the trading price of our common stock declines, while our public stockholders could lose significant value in their common stock and experience a negative rate of return on the shares they purchased in the IPO or in the public 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certain reduced reporting requirements may increase compliance costs and regulatory burdens.</w:t>
      </w:r>
    </w:p>
    <w:p>
      <w:pPr>
        <w:spacing w:after="0" w:line="249"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2024, we no longer qualify as an Emerging Growth Company ("EGC") under the Jumpstart Our Business Startups Act ("the JOBS Act"). As a result, we are now subject to increased disclosure requirements and regulatory compliance obligations, which may result in higher costs, additional administrative burdens, and increased legal and accounting expenses.</w:t>
      </w:r>
    </w:p>
    <w:p>
      <w:pPr>
        <w:spacing w:after="0" w:line="191" w:lineRule="exact"/>
        <w:rPr>
          <w:sz w:val="20"/>
          <w:szCs w:val="20"/>
          <w:color w:val="auto"/>
        </w:rPr>
      </w:pPr>
    </w:p>
    <w:p>
      <w:pPr>
        <w:ind w:right="260" w:firstLine="619"/>
        <w:spacing w:after="0" w:line="249"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As a smaller reporting company, we are still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will be able to take advantage of these scaled disclosures for so long as our voting and non-voting common stock held by non-affiliates is less than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million measured on the last business day of our second fiscal quarter, or (ii) our annual revenue is less than $100 million during the most recently completed</w:t>
      </w:r>
    </w:p>
    <w:p>
      <w:pPr>
        <w:spacing w:after="0"/>
        <w:rPr>
          <w:sz w:val="20"/>
          <w:szCs w:val="20"/>
          <w:color w:val="auto"/>
        </w:rPr>
      </w:pPr>
      <w:r>
        <w:rPr>
          <w:rFonts w:ascii="Times New Roman" w:cs="Times New Roman" w:eastAsia="Times New Roman" w:hAnsi="Times New Roman"/>
          <w:sz w:val="17"/>
          <w:szCs w:val="17"/>
          <w:color w:val="auto"/>
        </w:rPr>
        <w:t>fiscal year and the market value of our voting and non-voting common stock held by non-affiliates is less than $700 million as measured on the last business day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second fiscal quarter.</w:t>
      </w:r>
    </w:p>
    <w:p>
      <w:pPr>
        <w:spacing w:after="0" w:line="200" w:lineRule="exact"/>
        <w:rPr>
          <w:sz w:val="20"/>
          <w:szCs w:val="20"/>
          <w:color w:val="auto"/>
        </w:rPr>
      </w:pPr>
    </w:p>
    <w:p>
      <w:pPr>
        <w:jc w:val="both"/>
        <w:ind w:right="180" w:firstLine="619"/>
        <w:spacing w:after="0" w:line="254"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198" w:lineRule="exact"/>
        <w:rPr>
          <w:sz w:val="20"/>
          <w:szCs w:val="20"/>
          <w:color w:val="auto"/>
        </w:rPr>
      </w:pPr>
    </w:p>
    <w:p>
      <w:pPr>
        <w:jc w:val="both"/>
        <w:ind w:right="5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90"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Our Charter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(“DGCL”),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of 1933, as amended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91"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72"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Our Charter and Bylaws contain provisions that could have the effect of rendering more difficult, discouraging, delaying or preventing a takeover attempt that may be beneficial to our stockholders but that is deemed undesirable by Yang Wu and therefore depresses the trading price of our common stock. These provisions could also make it difficult for our stockholders to take certain actions, including electing directors who are not nominated by Yang Wu or the Tuscan Group or amending the Charter. Our Charter and Bylaws provide for, among other things:</w:t>
      </w:r>
    </w:p>
    <w:p>
      <w:pPr>
        <w:spacing w:after="0" w:line="197" w:lineRule="exact"/>
        <w:rPr>
          <w:sz w:val="20"/>
          <w:szCs w:val="20"/>
          <w:color w:val="auto"/>
        </w:rPr>
      </w:pPr>
    </w:p>
    <w:p>
      <w:pPr>
        <w:ind w:left="620" w:right="200" w:hanging="307"/>
        <w:spacing w:after="0" w:line="26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 of the liability of, and the indemnification of, our directors and officers;</w:t>
      </w:r>
    </w:p>
    <w:p>
      <w:pPr>
        <w:spacing w:after="0" w:line="10" w:lineRule="exact"/>
        <w:rPr>
          <w:rFonts w:ascii="Times New Roman" w:cs="Times New Roman" w:eastAsia="Times New Roman" w:hAnsi="Times New Roman"/>
          <w:sz w:val="17"/>
          <w:szCs w:val="17"/>
          <w:color w:val="auto"/>
        </w:rPr>
      </w:pPr>
    </w:p>
    <w:p>
      <w:pPr>
        <w:ind w:left="620" w:right="86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or decrease in the number of directors will require the affirmative vote of the directors nominated by Yang Wu as provided in the Stockholders Agreement (as defined below);</w:t>
      </w:r>
    </w:p>
    <w:p>
      <w:pPr>
        <w:ind w:left="620" w:right="18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any Board vacancies occurring by reason of the death, resignation or removal of any director nominated by Yang Wu or the Tuscan Group must be filled by the stockholder who was entitled to nominate such director to the Board;</w:t>
      </w:r>
    </w:p>
    <w:p>
      <w:pPr>
        <w:ind w:left="620" w:right="56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committees of the Board will consist of the number of directors nominated by Yang Wu that is proportionate to the number of directors on the Board nominated by Yang Wu;</w:t>
      </w:r>
    </w:p>
    <w:p>
      <w:pPr>
        <w:ind w:left="620" w:right="56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of stockholder action by written consent for any action that is required or permitted to be taken at an annual or special stockholders meeting;</w:t>
      </w:r>
    </w:p>
    <w:p>
      <w:pPr>
        <w:ind w:left="620" w:right="8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call for a special meeting of stockholders will only be available to (i) the Board, (ii) the chairman of the Board and (iii) Yang Wu, so long as Yang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ind w:left="620" w:right="20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ind w:left="620" w:right="12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that the Company will not be governed by Section 203 of the DGCL, which will prohibit the Company from taking certain actions involving an “interested stockholder” for a certain period of time;</w:t>
      </w:r>
    </w:p>
    <w:p>
      <w:pPr>
        <w:ind w:left="620" w:right="100" w:hanging="307"/>
        <w:spacing w:after="0" w:line="25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any amendment to the Charter will be approved by (i) the holders of 75% of the total voting power of all the then outstanding shares of stock of the Company entitled to vote generally in the election of directors, so long as Yang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Yang Wu ceases to beneficially own at least 10% of the total voting power of all the then outstanding shares of stock of the Company entitled to vote generally in the election of directors; and</w:t>
      </w:r>
    </w:p>
    <w:p>
      <w:pPr>
        <w:spacing w:after="0" w:line="1" w:lineRule="exact"/>
        <w:rPr>
          <w:rFonts w:ascii="Times New Roman" w:cs="Times New Roman" w:eastAsia="Times New Roman" w:hAnsi="Times New Roman"/>
          <w:sz w:val="17"/>
          <w:szCs w:val="17"/>
          <w:color w:val="auto"/>
        </w:rPr>
      </w:pPr>
    </w:p>
    <w:p>
      <w:pPr>
        <w:ind w:left="620" w:right="380" w:hanging="307"/>
        <w:spacing w:after="0" w:line="266"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94"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the Board or management.</w:t>
      </w:r>
    </w:p>
    <w:p>
      <w:pPr>
        <w:spacing w:after="0" w:line="243"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be volatile or may decline regardless of our operating performance.</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trading price of common stock may be volatile. This volatility of our common stock may be due to a number of factors such as those listed in “</w:t>
      </w:r>
      <w:r>
        <w:rPr>
          <w:rFonts w:ascii="Times New Roman" w:cs="Times New Roman" w:eastAsia="Times New Roman" w:hAnsi="Times New Roman"/>
          <w:sz w:val="17"/>
          <w:szCs w:val="17"/>
          <w:i w:val="1"/>
          <w:i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Business and Industry</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“—Risks Related to doing Business in China” </w:t>
      </w:r>
      <w:r>
        <w:rPr>
          <w:rFonts w:ascii="Times New Roman" w:cs="Times New Roman" w:eastAsia="Times New Roman" w:hAnsi="Times New Roman"/>
          <w:sz w:val="17"/>
          <w:szCs w:val="17"/>
          <w:color w:val="auto"/>
        </w:rPr>
        <w:t>and the following:</w:t>
      </w:r>
    </w:p>
    <w:p>
      <w:pPr>
        <w:spacing w:after="0" w:line="246" w:lineRule="exact"/>
        <w:rPr>
          <w:sz w:val="20"/>
          <w:szCs w:val="20"/>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our operating and financial performance and prospects;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our quarterly or annual earnings or those of other companies in our industry compared to market expectations;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conditions that impact demand for our products;</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future announcements concerning our business, our product users’ businesses or our competitors’ businesses;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size of our public float;</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coverage by or changes in financial estimates by securities analysts or failure to meet their expectations;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issuance of short reports;</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market and industry perception of our success, or lack thereof, in pursuing our growth strategy;</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strategic actions by us or our competitors, such as acquisitions or restructurings;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laws or regulations which adversely affect our industry or us;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senior management or key personnel;</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issuances, exchanges or sales, or expected issuances, exchanges or sales of our capital stock;</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our dividend policy;</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adverse resolution of new or pending litigation against us;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possible pandemics on our financial condition and the results of operations;</w:t>
      </w:r>
    </w:p>
    <w:p>
      <w:pPr>
        <w:spacing w:after="0" w:line="22" w:lineRule="exact"/>
        <w:rPr>
          <w:rFonts w:ascii="Arial" w:cs="Arial" w:eastAsia="Arial" w:hAnsi="Arial"/>
          <w:sz w:val="21"/>
          <w:szCs w:val="21"/>
          <w:color w:val="auto"/>
        </w:rPr>
      </w:pPr>
    </w:p>
    <w:p>
      <w:pPr>
        <w:ind w:left="620" w:right="200" w:hanging="307"/>
        <w:spacing w:after="0" w:line="235" w:lineRule="auto"/>
        <w:tabs>
          <w:tab w:leader="none" w:pos="61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the ongoing conflicts between Russia and Ukraine and in the Middle East, and any restrictive actions that have been or may be taken by the U.S. and/or other countries in response thereto, such as economic, financial or trade sanctions or export controls; and</w:t>
      </w:r>
    </w:p>
    <w:p>
      <w:pPr>
        <w:spacing w:after="0" w:line="23" w:lineRule="exact"/>
        <w:rPr>
          <w:rFonts w:ascii="Arial" w:cs="Arial" w:eastAsia="Arial" w:hAnsi="Arial"/>
          <w:sz w:val="21"/>
          <w:szCs w:val="21"/>
          <w:color w:val="auto"/>
        </w:rPr>
      </w:pPr>
    </w:p>
    <w:p>
      <w:pPr>
        <w:ind w:left="620" w:right="520" w:hanging="307"/>
        <w:spacing w:after="0" w:line="246" w:lineRule="auto"/>
        <w:tabs>
          <w:tab w:leader="none" w:pos="61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210"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These broad market and industry factors may materially reduce the market price of common stock, regardless of our operating performance. In addition, price volatility may be greater if the public float and trading volume of common stock is low.</w:t>
      </w:r>
    </w:p>
    <w:p>
      <w:pPr>
        <w:spacing w:after="0" w:line="1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common stock for the foreseeable future.</w:t>
      </w:r>
    </w:p>
    <w:p>
      <w:pPr>
        <w:spacing w:after="0" w:line="24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Our inability or decision not to pay dividends, particularly when others in our industry have elected to do so, could also adversely affect the market price of the common stock.</w:t>
      </w:r>
    </w:p>
    <w:p>
      <w:pPr>
        <w:spacing w:after="0" w:line="199"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the common stock could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liabilities under the FCPA, U.K. Bribery Act, Chinese and other anti-corruption laws, and any determination that we violated these laws could have a material adverse effect on our business.</w:t>
      </w:r>
    </w:p>
    <w:p>
      <w:pPr>
        <w:spacing w:after="0" w:line="172"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We are subject to the FCPA, U.K. Bribery Act and other applicable anti-corruption laws that prohibit improper payments or offers of payments to foreign governments and their officials and political parties by U.S. persons and issuers as defined by the statutes, for the purpose of obtaining or retaining business. We have operations, agreements with third parties, and we currently have a sizeable portion of our sales in China. Since most of the end users and OEM bus manufacturers are state-owned companies in China, substantially most of our interactions with our end users and customers are with “government officials,” as such term is defined in the FCPA. The PRC also strictly prohibits bribery of government officials. Our activities in China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FCPA violations committed by companies in which we invest or that we acquire.</w:t>
      </w:r>
    </w:p>
    <w:p>
      <w:pPr>
        <w:spacing w:after="0" w:line="200" w:lineRule="exact"/>
        <w:rPr>
          <w:sz w:val="20"/>
          <w:szCs w:val="20"/>
          <w:color w:val="auto"/>
        </w:rPr>
      </w:pPr>
    </w:p>
    <w:p>
      <w:pPr>
        <w:spacing w:after="0" w:line="208"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health epidemics, including any ongoing public health crises, which has disrupted our business and could have a material adverse effect on our business and results of operations.</w:t>
      </w:r>
    </w:p>
    <w:p>
      <w:pPr>
        <w:spacing w:after="0" w:line="17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could adversely impact our business, including lingering effects of the COVID-19 pandemic on our business operations. Actual or threatened public health crises may have a number of adverse impacts, including volatility in the global economy, impacts to our business operations, or significant disruptions in the markets we serve, caused by a variety of factors such as quarantines, closures, or other government-imposed restrictions, any of which could adversely impact our business, operations, financial condition and operating results.</w:t>
      </w:r>
    </w:p>
    <w:p>
      <w:pPr>
        <w:spacing w:after="0" w:line="19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For example, the COVID-19 pandemic caused changes in consumer and business behavior, pandemic fears and market downturns, and restrictions on business and individual activities, has created significant volatility in the global economy and led to reduced economic activity. The spread of COVID-19 also created a disruption in the manufacturing, delivery and overall supply chain of vehicle manufacturers and suppliers and led to a global decrease in vehicle sales in markets around the world.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facilities or operations could be damaged or adversely affected as a result of natural disasters and other catastrophic events.</w:t>
      </w:r>
    </w:p>
    <w:p>
      <w:pPr>
        <w:spacing w:after="0" w:line="24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7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sales cycle for our products, especially those that are used in commercial vehicle applications,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w:t>
      </w:r>
    </w:p>
    <w:p>
      <w:pPr>
        <w:spacing w:after="0" w:line="205"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As a result, 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or the postponement, rescheduling or cancellation of large orders by a key customer. As a result of these factors and other risks discussed in this section, year-over-year comparisons should not be relied upon to predict our future performance.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7"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i w:val="1"/>
          <w:iCs w:val="1"/>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226"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security and integrity of our information systems, communication networks, IT infrastructure, and data centers are critical to the successful operation of our business.</w:t>
      </w:r>
    </w:p>
    <w:p>
      <w:pPr>
        <w:spacing w:after="0" w:line="17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such, we have invested in advanced technologies to identify and manage material cybersecurity risks that could impede our operations. We also engage reputable outsourced service providers to perform key operational functions, ensuring comprehensive protection of shared data and adherence to rigorous cybersecurity protocols.</w:t>
      </w:r>
    </w:p>
    <w:p>
      <w:pPr>
        <w:spacing w:after="0" w:line="191"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Microvast utilizes a set of policies, procedures, and technologies designed to prevent, detect, respond to, and recover from cybersecurity threats and incidents. These policies, based on the NIST Cybersecurity Framework, are regularly reviewed and updated to integrate industry best practices. Internal control evaluations are conducted routinely to ensure compliance and address any identified vulnerabilities.</w:t>
      </w:r>
    </w:p>
    <w:p>
      <w:pPr>
        <w:spacing w:after="0" w:line="191"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Our company did not experience any cybersecurity incidents that materially impacted our operations for the year ended December 31, 2024. We remain unaware of any active threats that could significantly affect our business strategy or financial condition. For more information on cybersecurity risks, see “Risk Factors — Risks Related to Our Business and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34"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On July 26, 2023, the SEC adopted a rule requiring enhanced disclosure of cybersecurity risk management, strategy, and governance. Microvast's SVP of Information Technology, is responsible for risk assessment and management.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individual has experience in developing security policies, enforcing compliance, orchestrating incident responses, and implementing cybersecurity strategies.</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is actively involved in cybersecurity governance, ensuring alignment with our overall business strategy. Their responsibilities include:</w:t>
      </w:r>
    </w:p>
    <w:p>
      <w:pPr>
        <w:spacing w:after="0" w:line="250"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b w:val="1"/>
          <w:bCs w:val="1"/>
          <w:color w:val="auto"/>
        </w:rPr>
        <w:t>Security Objectives</w:t>
      </w:r>
      <w:r>
        <w:rPr>
          <w:rFonts w:ascii="Times New Roman" w:cs="Times New Roman" w:eastAsia="Times New Roman" w:hAnsi="Times New Roman"/>
          <w:sz w:val="17"/>
          <w:szCs w:val="17"/>
          <w:color w:val="auto"/>
        </w:rPr>
        <w:t>: Establishing security goals that correspond with corporate objectives and risk appetite.</w:t>
      </w:r>
    </w:p>
    <w:p>
      <w:pPr>
        <w:spacing w:after="0" w:line="14" w:lineRule="exact"/>
        <w:rPr>
          <w:rFonts w:ascii="Arial" w:cs="Arial" w:eastAsia="Arial" w:hAnsi="Arial"/>
          <w:sz w:val="21"/>
          <w:szCs w:val="21"/>
          <w:color w:val="auto"/>
        </w:rPr>
      </w:pPr>
    </w:p>
    <w:p>
      <w:pPr>
        <w:ind w:left="620" w:hanging="307"/>
        <w:spacing w:after="0" w:line="216"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Resource Allocation</w:t>
      </w:r>
      <w:r>
        <w:rPr>
          <w:rFonts w:ascii="Times New Roman" w:cs="Times New Roman" w:eastAsia="Times New Roman" w:hAnsi="Times New Roman"/>
          <w:sz w:val="17"/>
          <w:szCs w:val="17"/>
          <w:color w:val="auto"/>
        </w:rPr>
        <w:t>: Providing adequate resources, including budget and personnel, to address cybersecurity risks effectively.</w:t>
      </w:r>
    </w:p>
    <w:p>
      <w:pPr>
        <w:spacing w:after="0" w:line="10" w:lineRule="exact"/>
        <w:rPr>
          <w:rFonts w:ascii="Times New Roman" w:cs="Times New Roman" w:eastAsia="Times New Roman" w:hAnsi="Times New Roman"/>
          <w:sz w:val="21"/>
          <w:szCs w:val="21"/>
          <w:color w:val="auto"/>
        </w:rPr>
      </w:pPr>
    </w:p>
    <w:p>
      <w:pPr>
        <w:ind w:left="620" w:hanging="307"/>
        <w:spacing w:after="0" w:line="220"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Policy Development</w:t>
      </w:r>
      <w:r>
        <w:rPr>
          <w:rFonts w:ascii="Times New Roman" w:cs="Times New Roman" w:eastAsia="Times New Roman" w:hAnsi="Times New Roman"/>
          <w:sz w:val="17"/>
          <w:szCs w:val="17"/>
          <w:color w:val="auto"/>
        </w:rPr>
        <w:t>: Developing and maintaining policies that meet industry standards.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Risk Management</w:t>
      </w:r>
      <w:r>
        <w:rPr>
          <w:rFonts w:ascii="Times New Roman" w:cs="Times New Roman" w:eastAsia="Times New Roman" w:hAnsi="Times New Roman"/>
          <w:sz w:val="17"/>
          <w:szCs w:val="17"/>
          <w:color w:val="auto"/>
        </w:rPr>
        <w:t>: Directing risk management initiatives and instituting control measures to mitigate recognized risks.</w:t>
      </w:r>
    </w:p>
    <w:p>
      <w:pPr>
        <w:spacing w:after="0" w:line="10" w:lineRule="exact"/>
        <w:rPr>
          <w:rFonts w:ascii="Times New Roman" w:cs="Times New Roman" w:eastAsia="Times New Roman" w:hAnsi="Times New Roman"/>
          <w:sz w:val="21"/>
          <w:szCs w:val="21"/>
          <w:color w:val="auto"/>
        </w:rPr>
      </w:pPr>
    </w:p>
    <w:p>
      <w:pPr>
        <w:ind w:left="620" w:right="160" w:hanging="307"/>
        <w:spacing w:after="0" w:line="242" w:lineRule="auto"/>
        <w:tabs>
          <w:tab w:leader="none" w:pos="61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Incident Response</w:t>
      </w:r>
      <w:r>
        <w:rPr>
          <w:rFonts w:ascii="Times New Roman" w:cs="Times New Roman" w:eastAsia="Times New Roman" w:hAnsi="Times New Roman"/>
          <w:sz w:val="17"/>
          <w:szCs w:val="17"/>
          <w:color w:val="auto"/>
        </w:rPr>
        <w:t>: Overseeing the implementation and regular testing of incident response plans, with employee training to ensure effective response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capabilities.</w:t>
      </w:r>
    </w:p>
    <w:p>
      <w:pPr>
        <w:ind w:left="620" w:hanging="307"/>
        <w:spacing w:after="0" w:line="217" w:lineRule="auto"/>
        <w:tabs>
          <w:tab w:leader="none" w:pos="6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Compliance</w:t>
      </w:r>
      <w:r>
        <w:rPr>
          <w:rFonts w:ascii="Times New Roman" w:cs="Times New Roman" w:eastAsia="Times New Roman" w:hAnsi="Times New Roman"/>
          <w:sz w:val="17"/>
          <w:szCs w:val="17"/>
          <w:color w:val="auto"/>
        </w:rPr>
        <w:t>: Ensuring adherence to applicable regulations, while remaining vigilant about emerging threats.</w:t>
      </w:r>
    </w:p>
    <w:p>
      <w:pPr>
        <w:spacing w:after="0" w:line="216"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Our Board of Directors evaluates our readiness to manage cybersecurity threats, receiving regular updates from the SVP of Information Technology, General Counsel, and CEO regarding any materially impactful cybersecurity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Cybersecurity Measures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Microvast has implemented various cybersecurity measures, including, but not limited to the following:</w:t>
      </w:r>
    </w:p>
    <w:p>
      <w:pPr>
        <w:spacing w:after="0" w:line="243"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physical security protocols and securing network access via VPN.</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multi-factor authentication for email and collaboration platforms.</w:t>
      </w: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endpoint detection and response (EDR) and antivirus solutions across all devices.</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Enforcing strong password policies with a secured password vault for system credentials.</w:t>
      </w:r>
    </w:p>
    <w:p>
      <w:pPr>
        <w:ind w:left="620" w:hanging="307"/>
        <w:spacing w:after="0" w:line="237"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Minimizing attack vectors by eliminating external web-facing business-critical applications.</w:t>
      </w: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encryption technologies to safeguard intellectual property and mitigate data loss risks.</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comprehensive suite of information security policies and a strategic information security roadmap.</w:t>
      </w: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Security Information and Event Management (SIEM) system.</w:t>
      </w:r>
    </w:p>
    <w:p>
      <w:pPr>
        <w:spacing w:after="0" w:line="212"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These efforts, coupled with the isolation of industrial networks and structured software installation processes, demonstrate our continued commitment to maintaining robust cybersecurity defenses.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21"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Our corporate headquarters is located in Stafford, Texas at 12603 Southwest Freeway, Suite 300, Stafford, Texas 77477. A summary of our physical properties as of December 31, 2024 follows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80" w:type="dxa"/>
            <w:vAlign w:val="bottom"/>
          </w:tcPr>
          <w:p>
            <w:pPr>
              <w:spacing w:after="0"/>
              <w:rPr>
                <w:sz w:val="20"/>
                <w:szCs w:val="20"/>
                <w:color w:val="auto"/>
              </w:rPr>
            </w:pPr>
          </w:p>
        </w:tc>
        <w:tc>
          <w:tcPr>
            <w:tcW w:w="2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Approximate Size</w:t>
            </w:r>
          </w:p>
        </w:tc>
        <w:tc>
          <w:tcPr>
            <w:tcW w:w="80" w:type="dxa"/>
            <w:vAlign w:val="bottom"/>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Owned / Leased</w:t>
            </w:r>
          </w:p>
        </w:tc>
      </w:tr>
      <w:tr>
        <w:trPr>
          <w:trHeight w:val="20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Stafford, Texas</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4,400 sq. ft.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headquarters,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spacing w:after="0"/>
              <w:rPr>
                <w:sz w:val="19"/>
                <w:szCs w:val="19"/>
                <w:color w:val="auto"/>
              </w:rPr>
            </w:pPr>
          </w:p>
        </w:tc>
      </w:tr>
      <w:tr>
        <w:trPr>
          <w:trHeight w:val="21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Lake Mary, Florida</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75,000 sq. ft. on 7 acres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spacing w:after="0"/>
              <w:rPr>
                <w:sz w:val="19"/>
                <w:szCs w:val="19"/>
                <w:color w:val="auto"/>
              </w:rPr>
            </w:pPr>
          </w:p>
        </w:tc>
      </w:tr>
      <w:tr>
        <w:trPr>
          <w:trHeight w:val="21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Clarksville, Tennessee</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577,000 sq. ft. on 82 acres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(cell, module</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and pack), testing, energy</w:t>
            </w:r>
          </w:p>
        </w:tc>
        <w:tc>
          <w:tcPr>
            <w:tcW w:w="2160" w:type="dxa"/>
            <w:vAlign w:val="bottom"/>
          </w:tcPr>
          <w:p>
            <w:pPr>
              <w:spacing w:after="0"/>
              <w:rPr>
                <w:sz w:val="16"/>
                <w:szCs w:val="16"/>
                <w:color w:val="auto"/>
              </w:rPr>
            </w:pPr>
          </w:p>
        </w:tc>
      </w:tr>
      <w:tr>
        <w:trPr>
          <w:trHeight w:val="20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storage container assembly,</w:t>
            </w:r>
          </w:p>
        </w:tc>
        <w:tc>
          <w:tcPr>
            <w:tcW w:w="2160" w:type="dxa"/>
            <w:vAlign w:val="bottom"/>
          </w:tcPr>
          <w:p>
            <w:pPr>
              <w:spacing w:after="0"/>
              <w:rPr>
                <w:sz w:val="17"/>
                <w:szCs w:val="17"/>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warehouse, sales, after-sales</w:t>
            </w:r>
          </w:p>
        </w:tc>
        <w:tc>
          <w:tcPr>
            <w:tcW w:w="2160" w:type="dxa"/>
            <w:vAlign w:val="bottom"/>
          </w:tcPr>
          <w:p>
            <w:pPr>
              <w:spacing w:after="0"/>
              <w:rPr>
                <w:sz w:val="16"/>
                <w:szCs w:val="16"/>
                <w:color w:val="auto"/>
              </w:rPr>
            </w:pP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administrative offices</w:t>
            </w:r>
          </w:p>
        </w:tc>
        <w:tc>
          <w:tcPr>
            <w:tcW w:w="2160" w:type="dxa"/>
            <w:vAlign w:val="bottom"/>
          </w:tcPr>
          <w:p>
            <w:pPr>
              <w:spacing w:after="0"/>
              <w:rPr>
                <w:sz w:val="19"/>
                <w:szCs w:val="19"/>
                <w:color w:val="auto"/>
              </w:rPr>
            </w:pPr>
          </w:p>
        </w:tc>
      </w:tr>
      <w:tr>
        <w:trPr>
          <w:trHeight w:val="24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Timnath, Colorado</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24,993 sq.ft. on 6.76 acres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21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Berlin</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Germany</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185,000 sq. ft. on 9 acres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European headquarters,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administrative offices,</w:t>
            </w:r>
          </w:p>
        </w:tc>
        <w:tc>
          <w:tcPr>
            <w:tcW w:w="2160" w:type="dxa"/>
            <w:vAlign w:val="bottom"/>
          </w:tcPr>
          <w:p>
            <w:pPr>
              <w:spacing w:after="0"/>
              <w:rPr>
                <w:sz w:val="16"/>
                <w:szCs w:val="16"/>
                <w:color w:val="auto"/>
              </w:rPr>
            </w:pPr>
          </w:p>
        </w:tc>
      </w:tr>
      <w:tr>
        <w:trPr>
          <w:trHeight w:val="20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(module and</w:t>
            </w:r>
          </w:p>
        </w:tc>
        <w:tc>
          <w:tcPr>
            <w:tcW w:w="2160" w:type="dxa"/>
            <w:vAlign w:val="bottom"/>
          </w:tcPr>
          <w:p>
            <w:pPr>
              <w:spacing w:after="0"/>
              <w:rPr>
                <w:sz w:val="17"/>
                <w:szCs w:val="17"/>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pack), testing, warehouse,</w:t>
            </w:r>
          </w:p>
        </w:tc>
        <w:tc>
          <w:tcPr>
            <w:tcW w:w="2160" w:type="dxa"/>
            <w:vAlign w:val="bottom"/>
          </w:tcPr>
          <w:p>
            <w:pPr>
              <w:spacing w:after="0"/>
              <w:rPr>
                <w:sz w:val="16"/>
                <w:szCs w:val="16"/>
                <w:color w:val="auto"/>
              </w:rPr>
            </w:pP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after sales-service</w:t>
            </w:r>
          </w:p>
        </w:tc>
        <w:tc>
          <w:tcPr>
            <w:tcW w:w="2160" w:type="dxa"/>
            <w:vAlign w:val="bottom"/>
          </w:tcPr>
          <w:p>
            <w:pPr>
              <w:spacing w:after="0"/>
              <w:rPr>
                <w:sz w:val="19"/>
                <w:szCs w:val="19"/>
                <w:color w:val="auto"/>
              </w:rPr>
            </w:pPr>
          </w:p>
        </w:tc>
      </w:tr>
      <w:tr>
        <w:trPr>
          <w:trHeight w:val="21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London</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4,990 sq. ft.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after sales-service,</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warehouse, testing</w:t>
            </w:r>
          </w:p>
        </w:tc>
        <w:tc>
          <w:tcPr>
            <w:tcW w:w="2160" w:type="dxa"/>
            <w:vAlign w:val="bottom"/>
          </w:tcPr>
          <w:p>
            <w:pPr>
              <w:spacing w:after="0"/>
              <w:rPr>
                <w:sz w:val="19"/>
                <w:szCs w:val="19"/>
                <w:color w:val="auto"/>
              </w:rPr>
            </w:pPr>
          </w:p>
        </w:tc>
      </w:tr>
      <w:tr>
        <w:trPr>
          <w:trHeight w:val="21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Huzhou</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1,400,000 sq. ft. on 72 acres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Asia Pacific headquarters,</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manufacturing (components,</w:t>
            </w:r>
          </w:p>
        </w:tc>
        <w:tc>
          <w:tcPr>
            <w:tcW w:w="2160" w:type="dxa"/>
            <w:vAlign w:val="bottom"/>
          </w:tcPr>
          <w:p>
            <w:pPr>
              <w:spacing w:after="0"/>
              <w:rPr>
                <w:sz w:val="16"/>
                <w:szCs w:val="16"/>
                <w:color w:val="auto"/>
              </w:rPr>
            </w:pPr>
          </w:p>
        </w:tc>
      </w:tr>
      <w:tr>
        <w:trPr>
          <w:trHeight w:val="20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cell, module and pack),</w:t>
            </w:r>
          </w:p>
        </w:tc>
        <w:tc>
          <w:tcPr>
            <w:tcW w:w="2160" w:type="dxa"/>
            <w:vAlign w:val="bottom"/>
          </w:tcPr>
          <w:p>
            <w:pPr>
              <w:spacing w:after="0"/>
              <w:rPr>
                <w:sz w:val="17"/>
                <w:szCs w:val="17"/>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testing, warehouse, sales,</w:t>
            </w:r>
          </w:p>
        </w:tc>
        <w:tc>
          <w:tcPr>
            <w:tcW w:w="2160" w:type="dxa"/>
            <w:vAlign w:val="bottom"/>
          </w:tcPr>
          <w:p>
            <w:pPr>
              <w:spacing w:after="0"/>
              <w:rPr>
                <w:sz w:val="16"/>
                <w:szCs w:val="16"/>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after-sales service, research</w:t>
            </w:r>
          </w:p>
        </w:tc>
        <w:tc>
          <w:tcPr>
            <w:tcW w:w="2160" w:type="dxa"/>
            <w:vAlign w:val="bottom"/>
          </w:tcPr>
          <w:p>
            <w:pPr>
              <w:spacing w:after="0"/>
              <w:rPr>
                <w:sz w:val="16"/>
                <w:szCs w:val="16"/>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and development,</w:t>
            </w:r>
          </w:p>
        </w:tc>
        <w:tc>
          <w:tcPr>
            <w:tcW w:w="2160" w:type="dxa"/>
            <w:vAlign w:val="bottom"/>
          </w:tcPr>
          <w:p>
            <w:pPr>
              <w:spacing w:after="0"/>
              <w:rPr>
                <w:sz w:val="16"/>
                <w:szCs w:val="16"/>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administrative offices, and</w:t>
            </w:r>
          </w:p>
        </w:tc>
        <w:tc>
          <w:tcPr>
            <w:tcW w:w="2160" w:type="dxa"/>
            <w:vAlign w:val="bottom"/>
          </w:tcPr>
          <w:p>
            <w:pPr>
              <w:spacing w:after="0"/>
              <w:rPr>
                <w:sz w:val="16"/>
                <w:szCs w:val="16"/>
                <w:color w:val="auto"/>
              </w:rPr>
            </w:pP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canteen services</w:t>
            </w:r>
          </w:p>
        </w:tc>
        <w:tc>
          <w:tcPr>
            <w:tcW w:w="2160" w:type="dxa"/>
            <w:vAlign w:val="bottom"/>
          </w:tcPr>
          <w:p>
            <w:pPr>
              <w:spacing w:after="0"/>
              <w:rPr>
                <w:sz w:val="19"/>
                <w:szCs w:val="19"/>
                <w:color w:val="auto"/>
              </w:rPr>
            </w:pPr>
          </w:p>
        </w:tc>
      </w:tr>
      <w:tr>
        <w:trPr>
          <w:trHeight w:val="22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Huzhou</w:t>
            </w: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61,000 sq. ft.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(other), testing,</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warehouse, sales, after-sales</w:t>
            </w:r>
          </w:p>
        </w:tc>
        <w:tc>
          <w:tcPr>
            <w:tcW w:w="2160" w:type="dxa"/>
            <w:vAlign w:val="bottom"/>
          </w:tcPr>
          <w:p>
            <w:pPr>
              <w:spacing w:after="0"/>
              <w:rPr>
                <w:sz w:val="16"/>
                <w:szCs w:val="16"/>
                <w:color w:val="auto"/>
              </w:rPr>
            </w:pPr>
          </w:p>
        </w:tc>
      </w:tr>
      <w:tr>
        <w:trPr>
          <w:trHeight w:val="20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research and</w:t>
            </w:r>
          </w:p>
        </w:tc>
        <w:tc>
          <w:tcPr>
            <w:tcW w:w="2160" w:type="dxa"/>
            <w:vAlign w:val="bottom"/>
          </w:tcPr>
          <w:p>
            <w:pPr>
              <w:spacing w:after="0"/>
              <w:rPr>
                <w:sz w:val="17"/>
                <w:szCs w:val="17"/>
                <w:color w:val="auto"/>
              </w:rPr>
            </w:pPr>
          </w:p>
        </w:tc>
      </w:tr>
      <w:tr>
        <w:trPr>
          <w:trHeight w:val="193"/>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development, administrative</w:t>
            </w:r>
          </w:p>
        </w:tc>
        <w:tc>
          <w:tcPr>
            <w:tcW w:w="2160" w:type="dxa"/>
            <w:vAlign w:val="bottom"/>
          </w:tcPr>
          <w:p>
            <w:pPr>
              <w:spacing w:after="0"/>
              <w:rPr>
                <w:sz w:val="16"/>
                <w:szCs w:val="16"/>
                <w:color w:val="auto"/>
              </w:rPr>
            </w:pPr>
          </w:p>
        </w:tc>
      </w:tr>
      <w:tr>
        <w:trPr>
          <w:trHeight w:val="223"/>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offices, and canteen services</w:t>
            </w: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34"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For a description of our pending legal proceedings, please see Note 28. Commitments and Contingencies, to the consolidated financial statements included elsewhere in this Annual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Not applicable.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THE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1"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Microvast Holdings, Inc.’s common stock is listed on NASDAQ under the symbol “MVST” and began trading on July 26, 2021. Microvast Holdings, Inc.’s publicly-traded warrants are listed on NASDAQ under the symbol “MVSTW.”</w:t>
      </w:r>
    </w:p>
    <w:p>
      <w:pPr>
        <w:spacing w:after="0" w:line="151"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Prior to the consummation of the Business Combination, Tuscan’s common stock and public warrants were listed on the NASDAQ under the symbols “THCB” and “THCBW,”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Common Stock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24, 2025, there were approximately 93 registered holders of our common stock according to the records maintained by our transfer agent.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1"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equity compensation plans that provide for the annual awarding of stock-based compensation have been approved by our stockholders. For additional detail, see Note 21. Share-Based Payment, to our audited consolidated financial statements included in Part II, Item 8 of this Annual Report.</w:t>
      </w:r>
    </w:p>
    <w:p>
      <w:pPr>
        <w:spacing w:after="0" w:line="15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as of December 31, 2024, certain information related to our compensation plans under which shares of our common stock may be issued.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jc w:val="center"/>
              <w:ind w:right="474"/>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to be</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w w:val="99"/>
              </w:rPr>
              <w:t>remaining</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upon</w:t>
            </w:r>
          </w:p>
        </w:tc>
        <w:tc>
          <w:tcPr>
            <w:tcW w:w="260" w:type="dxa"/>
            <w:vAlign w:val="bottom"/>
          </w:tcPr>
          <w:p>
            <w:pPr>
              <w:spacing w:after="0"/>
              <w:rPr>
                <w:sz w:val="17"/>
                <w:szCs w:val="17"/>
                <w:color w:val="auto"/>
              </w:rPr>
            </w:pPr>
          </w:p>
        </w:tc>
        <w:tc>
          <w:tcPr>
            <w:tcW w:w="16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000" w:type="dxa"/>
            <w:vAlign w:val="bottom"/>
          </w:tcPr>
          <w:p>
            <w:pPr>
              <w:jc w:val="center"/>
              <w:ind w:right="474"/>
              <w:spacing w:after="0"/>
              <w:rPr>
                <w:sz w:val="20"/>
                <w:szCs w:val="20"/>
                <w:color w:val="auto"/>
              </w:rPr>
            </w:pPr>
            <w:r>
              <w:rPr>
                <w:rFonts w:ascii="Times New Roman" w:cs="Times New Roman" w:eastAsia="Times New Roman" w:hAnsi="Times New Roman"/>
                <w:sz w:val="17"/>
                <w:szCs w:val="17"/>
                <w:b w:val="1"/>
                <w:bCs w:val="1"/>
                <w:color w:val="auto"/>
              </w:rPr>
              <w:t>available for</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exercise of</w:t>
            </w:r>
          </w:p>
        </w:tc>
        <w:tc>
          <w:tcPr>
            <w:tcW w:w="260" w:type="dxa"/>
            <w:vAlign w:val="bottom"/>
          </w:tcPr>
          <w:p>
            <w:pPr>
              <w:spacing w:after="0"/>
              <w:rPr>
                <w:sz w:val="17"/>
                <w:szCs w:val="17"/>
                <w:color w:val="auto"/>
              </w:rPr>
            </w:pPr>
          </w:p>
        </w:tc>
        <w:tc>
          <w:tcPr>
            <w:tcW w:w="16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future</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260" w:type="dxa"/>
            <w:vAlign w:val="bottom"/>
          </w:tcPr>
          <w:p>
            <w:pPr>
              <w:spacing w:after="0"/>
              <w:rPr>
                <w:sz w:val="17"/>
                <w:szCs w:val="17"/>
                <w:color w:val="auto"/>
              </w:rPr>
            </w:pPr>
          </w:p>
        </w:tc>
        <w:tc>
          <w:tcPr>
            <w:tcW w:w="16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of outstanding</w:t>
            </w: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issuance</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options,</w:t>
            </w:r>
          </w:p>
        </w:tc>
        <w:tc>
          <w:tcPr>
            <w:tcW w:w="260" w:type="dxa"/>
            <w:vAlign w:val="bottom"/>
          </w:tcPr>
          <w:p>
            <w:pPr>
              <w:spacing w:after="0"/>
              <w:rPr>
                <w:sz w:val="17"/>
                <w:szCs w:val="17"/>
                <w:color w:val="auto"/>
              </w:rPr>
            </w:pPr>
          </w:p>
        </w:tc>
        <w:tc>
          <w:tcPr>
            <w:tcW w:w="16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under equity</w:t>
            </w:r>
          </w:p>
        </w:tc>
      </w:tr>
      <w:tr>
        <w:trPr>
          <w:trHeight w:val="206"/>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60" w:type="dxa"/>
            <w:vAlign w:val="bottom"/>
          </w:tcPr>
          <w:p>
            <w:pPr>
              <w:spacing w:after="0"/>
              <w:rPr>
                <w:sz w:val="17"/>
                <w:szCs w:val="17"/>
                <w:color w:val="auto"/>
              </w:rPr>
            </w:pPr>
          </w:p>
        </w:tc>
        <w:tc>
          <w:tcPr>
            <w:tcW w:w="16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warrants and</w:t>
            </w:r>
          </w:p>
        </w:tc>
        <w:tc>
          <w:tcPr>
            <w:tcW w:w="200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4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and rights</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8"/>
              </w:rPr>
              <w:t>rights</w:t>
            </w:r>
          </w:p>
        </w:tc>
        <w:tc>
          <w:tcPr>
            <w:tcW w:w="2000" w:type="dxa"/>
            <w:vAlign w:val="bottom"/>
            <w:tcBorders>
              <w:bottom w:val="single" w:sz="8" w:color="CCEEFF"/>
            </w:tcBorders>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rPr>
              <w:t>plans</w:t>
            </w:r>
          </w:p>
        </w:tc>
      </w:tr>
      <w:tr>
        <w:trPr>
          <w:trHeight w:val="244"/>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900" w:type="dxa"/>
            <w:vAlign w:val="bottom"/>
            <w:gridSpan w:val="2"/>
            <w:shd w:val="clear" w:color="auto" w:fill="CCEEFF"/>
          </w:tcPr>
          <w:p>
            <w:pPr>
              <w:jc w:val="right"/>
              <w:ind w:right="160"/>
              <w:spacing w:after="0" w:line="244" w:lineRule="exact"/>
              <w:rPr>
                <w:sz w:val="20"/>
                <w:szCs w:val="20"/>
                <w:color w:val="auto"/>
              </w:rPr>
            </w:pPr>
            <w:r>
              <w:rPr>
                <w:rFonts w:ascii="Times New Roman" w:cs="Times New Roman" w:eastAsia="Times New Roman" w:hAnsi="Times New Roman"/>
                <w:sz w:val="17"/>
                <w:szCs w:val="17"/>
                <w:color w:val="auto"/>
              </w:rPr>
              <w:t xml:space="preserve">61,348,476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5.80</w:t>
            </w:r>
          </w:p>
        </w:tc>
        <w:tc>
          <w:tcPr>
            <w:tcW w:w="2000" w:type="dxa"/>
            <w:vAlign w:val="bottom"/>
            <w:shd w:val="clear" w:color="auto" w:fill="CCEEFF"/>
          </w:tcPr>
          <w:p>
            <w:pPr>
              <w:jc w:val="right"/>
              <w:ind w:right="234"/>
              <w:spacing w:after="0" w:line="244" w:lineRule="exact"/>
              <w:rPr>
                <w:sz w:val="20"/>
                <w:szCs w:val="20"/>
                <w:color w:val="auto"/>
              </w:rPr>
            </w:pPr>
            <w:r>
              <w:rPr>
                <w:rFonts w:ascii="Times New Roman" w:cs="Times New Roman" w:eastAsia="Times New Roman" w:hAnsi="Times New Roman"/>
                <w:sz w:val="17"/>
                <w:szCs w:val="17"/>
                <w:color w:val="auto"/>
              </w:rPr>
              <w:t xml:space="preserve">15,608,278 </w:t>
            </w:r>
            <w:r>
              <w:rPr>
                <w:rFonts w:ascii="Times New Roman" w:cs="Times New Roman" w:eastAsia="Times New Roman" w:hAnsi="Times New Roman"/>
                <w:sz w:val="22"/>
                <w:szCs w:val="22"/>
                <w:color w:val="auto"/>
                <w:vertAlign w:val="superscript"/>
              </w:rPr>
              <w:t>(2)</w:t>
            </w:r>
          </w:p>
        </w:tc>
      </w:tr>
      <w:tr>
        <w:trPr>
          <w:trHeight w:val="23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61,348,476</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15,608,278</w:t>
            </w:r>
          </w:p>
        </w:tc>
      </w:tr>
    </w:tbl>
    <w:p>
      <w:pPr>
        <w:spacing w:after="0" w:line="280" w:lineRule="exact"/>
        <w:rPr>
          <w:sz w:val="20"/>
          <w:szCs w:val="20"/>
          <w:color w:val="auto"/>
        </w:rPr>
      </w:pPr>
    </w:p>
    <w:p>
      <w:pPr>
        <w:ind w:left="320" w:right="120" w:hanging="317"/>
        <w:spacing w:after="0" w:line="270" w:lineRule="auto"/>
        <w:tabs>
          <w:tab w:leader="none" w:pos="31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56,675,326 stock options and restricted stock units (“RSUs”) granted under the Microvast, Inc. Stock Incentive Plan (the “Stock Incentive Plan”) that were converted in the Business Combination into options to purchase 33,647,927 shares of our common stock and RSUs with respect to 23,027,399 shares of our common stock. No further awards may be granted under the Stock Incentive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Represents shares available for future issuance under the 2021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all equity securities of the registrant sold by us during the period covered by this Annual Report that was not registered under the Securities Act was included in a Current Report on Form 8-K, and therefore is not required to be furnished herein.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1" w:lineRule="exact"/>
        <w:rPr>
          <w:sz w:val="20"/>
          <w:szCs w:val="20"/>
          <w:color w:val="auto"/>
        </w:rPr>
      </w:pPr>
    </w:p>
    <w:p>
      <w:pPr>
        <w:jc w:val="center"/>
        <w:ind w:right="956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Annual Report. Discussion of the earliest of the three years covered by the Consolidated Financial Statements presented in this report has been omitted as that disclosure is included in the Company's Annual Report on Form 10-K for the fiscal year ended December 31, 2024 in Item</w:t>
      </w:r>
    </w:p>
    <w:p>
      <w:pPr>
        <w:spacing w:after="0" w:line="2" w:lineRule="exact"/>
        <w:rPr>
          <w:sz w:val="20"/>
          <w:szCs w:val="20"/>
          <w:color w:val="auto"/>
        </w:rPr>
      </w:pPr>
    </w:p>
    <w:p>
      <w:pPr>
        <w:ind w:right="420" w:firstLine="3"/>
        <w:spacing w:after="0" w:line="266" w:lineRule="auto"/>
        <w:tabs>
          <w:tab w:leader="none" w:pos="172" w:val="left"/>
        </w:tabs>
        <w:numPr>
          <w:ilvl w:val="0"/>
          <w:numId w:val="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within that report. This discussion may contain forward-looking statements based upon current expectations that involve risks and uncertainties.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w:t>
      </w:r>
    </w:p>
    <w:p>
      <w:pPr>
        <w:spacing w:after="0" w:line="234"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Microvast Holdings, Inc. is an advanced battery technology company, headquartered in Stafford, Texas, and publicly traded on the NASDAQ under the ticker symbol MVST. We specialize in the design, development, and manufacturing of battery components and systems primarily for electric commercial vehicles and utility-scale energy storage systems ("ESS").</w:t>
      </w:r>
    </w:p>
    <w:p>
      <w:pPr>
        <w:spacing w:after="0" w:line="204"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Founded in 2006, Microvast was built on a guiding principle that remains central to our mission today: to innovate lithium-ion battery designs without relying on past technologies. We call this true innovation. We started without preconceived notions of lithium-ion battery creation, unlike many companies that repurposed legacy technologies for new markets like electric vehicles – a process we consider product development rather than true innovation. To understand this difference is to understand what we have set out to achieve.</w:t>
      </w:r>
    </w:p>
    <w:p>
      <w:pPr>
        <w:spacing w:after="0" w:line="19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Our mission is to accelerate the global transition to electrification by delivering innovative battery solutions that support the adoption of electric vehicles and renewable energy. A key strategic focus is to be in a position to lead U.S. domestic battery production, reducing reliance on overseas suppliers, and strengthening national energy independence. We believe continuous investment in our technology and operations will deliver long-term targeted revenue and income growth.</w:t>
      </w:r>
    </w:p>
    <w:p>
      <w:pPr>
        <w:spacing w:after="0" w:line="191" w:lineRule="exact"/>
        <w:rPr>
          <w:sz w:val="20"/>
          <w:szCs w:val="20"/>
          <w:color w:val="auto"/>
        </w:rPr>
      </w:pPr>
    </w:p>
    <w:p>
      <w:pPr>
        <w:ind w:right="200" w:firstLine="619"/>
        <w:spacing w:after="0" w:line="262" w:lineRule="auto"/>
        <w:rPr>
          <w:sz w:val="20"/>
          <w:szCs w:val="20"/>
          <w:color w:val="auto"/>
        </w:rPr>
      </w:pPr>
      <w:r>
        <w:rPr>
          <w:rFonts w:ascii="Times New Roman" w:cs="Times New Roman" w:eastAsia="Times New Roman" w:hAnsi="Times New Roman"/>
          <w:sz w:val="17"/>
          <w:szCs w:val="17"/>
          <w:color w:val="auto"/>
        </w:rPr>
        <w:t>Through a vertically integrated approach, we have developed proprietary technologies spanning the entire battery system—from the core materials of a battery cell (cathode, anode, electrolyte, separator) to thermal management systems and advanced software controls. Our expertise has driven advancements in ultra-fast charging, high energy density, long lifespan, and safety—critical factors for commercial transportation and ESS applications.</w:t>
      </w:r>
    </w:p>
    <w:p>
      <w:pPr>
        <w:spacing w:after="0" w:line="185"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We are expanding our production of battery systems and components, with an increased emphasis on ESS solutions to support the broader shift to electrification. Our goal is to become a global leader in ESS, bridging the gap between EVs and renewable energy.</w:t>
      </w:r>
    </w:p>
    <w:p>
      <w:pPr>
        <w:spacing w:after="0" w:line="164" w:lineRule="exact"/>
        <w:rPr>
          <w:sz w:val="20"/>
          <w:szCs w:val="20"/>
          <w:color w:val="auto"/>
        </w:rPr>
      </w:pPr>
    </w:p>
    <w:p>
      <w:pPr>
        <w:ind w:right="340" w:firstLine="619"/>
        <w:spacing w:after="0" w:line="254" w:lineRule="auto"/>
        <w:rPr>
          <w:sz w:val="20"/>
          <w:szCs w:val="20"/>
          <w:color w:val="auto"/>
        </w:rPr>
      </w:pPr>
      <w:r>
        <w:rPr>
          <w:rFonts w:ascii="Times New Roman" w:cs="Times New Roman" w:eastAsia="Times New Roman" w:hAnsi="Times New Roman"/>
          <w:sz w:val="17"/>
          <w:szCs w:val="17"/>
          <w:color w:val="auto"/>
        </w:rPr>
        <w:t>One of our recent innovations is our high-energy nickel manganese cobalt ("NMC") 53.5 ampere-hour battery cell (the “53.5Ah”). We believe its advanced performance characteristics make it an optimal solution for both commercial vehicle and ESS applications. To bring this product to market, we have made substantial investments in capacity expansion in Huzhou, China, where we operate fully automated production equipment that delivers significant operational efficiencies.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In previous years, we made significant investments in our capacity expansion in Clarksville, Tennessee and by the fourth quarter of 2023 had started to install certain sections of the production line. However, progress on certain third party construction workstreams as well as taking delivery and possession of further equipment started to be impacted toward the end of the fourth quarter of 2023 due to the required funding to complete the project not being secured. Ultimately, in the second quarter of 2024, we paused construction efforts on the Clarksville development due to insufficient funding. We made a strategic decision to pivot from the originally planned production of NMC production in Clarksville, Tennessee to the 565Ah lithium iron phosphate ("LFP") battery. We also consolidated our ESS operations previously in Colorado to Clarksville, Tennessee in order to enhance operational efficiencies and speed of deliveries for our U.S. business.</w:t>
      </w:r>
    </w:p>
    <w:p>
      <w:pPr>
        <w:spacing w:after="0" w:line="185"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August 2024, we introduced the ME6 ESS, featuring the LFP battery. The shift toward LFP technology for the U.S. ESS market is a strategic decision. The ME6 system offers a cycle life exceeding 10,000 cycles, a lifespan of up to 30 years, compact storage capabilities (6 megawatt hours ("MWh") in a 21-foot container), and enhanced reliability through IP55, C4, and nitrogen protection features. The adoption of LFP batteries provides lower costs, greater safety, and environmental benefits compared to NMC technology, further supporting our sustainability goals. Although construction progress has been negatively impacted by funding constraints, our goal is that our Clarksville, Tennessee facility will be our major production facility for LFP cells pending financing and facility completion.</w:t>
      </w:r>
    </w:p>
    <w:p>
      <w:pPr>
        <w:spacing w:after="0" w:line="200" w:lineRule="exact"/>
        <w:rPr>
          <w:sz w:val="20"/>
          <w:szCs w:val="20"/>
          <w:color w:val="auto"/>
        </w:rPr>
      </w:pPr>
    </w:p>
    <w:p>
      <w:pPr>
        <w:spacing w:after="0" w:line="212"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In January 2025, we announced what we believe is a major breakthrough in solid-state battery technology. This innovation represents a paradigm shift, delivering higher energy density for extended range and improved efficiency, enhanced safety by eliminating risks associated with thermal runaway, and faster charging capabilities with an extended cycle life. We plan to make substantial investments in research and development ("R&amp;D") to accelerate commercialization, with applications spanning EVs, grid storage, and high-performance energy systems.</w:t>
      </w:r>
    </w:p>
    <w:p>
      <w:pPr>
        <w:spacing w:after="0" w:line="191"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For the year ended December 31, 2024, our revenue increased by $73.2 million, reaching $379.8 million, a 24% year-over-year increase. Additionally, our order backlog stood at $401.3 million, with the majority of these orders expected to be fulfilled in 2025 and 2026. As we continue to expand production capacity and advance next-generation battery technologies, we remain committed to driving electrification, fostering innovation, and supporting long-term sustainable growth.</w:t>
      </w:r>
    </w:p>
    <w:p>
      <w:pPr>
        <w:spacing w:after="0" w:line="395"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remain committed to driving battery innovation, scaling global production, and delivering high-performance sustainable energy solutions that power the future of mobility and energy storage.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 and Financial Performance</w:t>
      </w:r>
    </w:p>
    <w:p>
      <w:pPr>
        <w:spacing w:after="0" w:line="247"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The Company evaluates segment performance based on revenue growth, operating income, and geographic breakdowns. In accordance with ASU 2023-07, we have expanded our segment disclosures to provide enhanced insights into key financial metrics.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 and Performance Overview</w:t>
      </w:r>
    </w:p>
    <w:p>
      <w:pPr>
        <w:spacing w:after="0" w:line="234"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Revenue Growth: The Company experienced a 24% increase in revenue for the most recent fiscal year, driven by strong regional market expansion and improved sales execution.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Geographical Breakdown: Revenue contributions from North America, Europe, and Asia reflect our diversified business strategy.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Performance: Key operational improvements in cost management and product optimization led to enhanced segment profitability.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Completion of the Business Combination</w:t>
      </w:r>
    </w:p>
    <w:p>
      <w:pPr>
        <w:spacing w:after="0" w:line="221"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On July 23, 2021, Microvast Holdings, Inc. (formerly known as Tuscan Holdings Corp.) consummated the previously announced acquisition of Microvast, Inc., a Delaware corporation, pursuant to the Agreement and Plan of Merger dated February 1, 2021, between Tuscan, Microvast and TSCN Merger Sub Inc., a Delaware corporation, pursuant to which TSCN Merger Sub Inc. merged with and into Microvast, with Microvast surviving the merger.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34" w:lineRule="exact"/>
        <w:rPr>
          <w:sz w:val="20"/>
          <w:szCs w:val="20"/>
          <w:color w:val="auto"/>
        </w:rPr>
      </w:pPr>
    </w:p>
    <w:p>
      <w:pPr>
        <w:ind w:right="400" w:firstLine="619"/>
        <w:spacing w:after="0" w:line="271" w:lineRule="auto"/>
        <w:rPr>
          <w:sz w:val="20"/>
          <w:szCs w:val="20"/>
          <w:color w:val="auto"/>
        </w:rPr>
      </w:pPr>
      <w:r>
        <w:rPr>
          <w:rFonts w:ascii="Times New Roman" w:cs="Times New Roman" w:eastAsia="Times New Roman" w:hAnsi="Times New Roman"/>
          <w:sz w:val="17"/>
          <w:szCs w:val="17"/>
          <w:color w:val="auto"/>
        </w:rPr>
        <w:t>In accordance with Accounting Standards Codification (“ASC”) Topic 205-40, Presentation of Financial Statements – Going Concern, the Company evaluates whether there are conditions or events, considered in the aggregate,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7"/>
          <w:szCs w:val="17"/>
          <w:color w:val="auto"/>
        </w:rPr>
        <w:t>that raise substantial doubt about its ability to continue as a going concern within one year after the date the consolidated financial statements are issued. This evaluation includes considerations related to liquidity and capital resources.</w:t>
      </w:r>
    </w:p>
    <w:p>
      <w:pPr>
        <w:spacing w:after="0" w:line="190" w:lineRule="exact"/>
        <w:rPr>
          <w:sz w:val="20"/>
          <w:szCs w:val="20"/>
          <w:color w:val="auto"/>
        </w:rPr>
      </w:pPr>
    </w:p>
    <w:p>
      <w:pPr>
        <w:ind w:right="400" w:firstLine="619"/>
        <w:spacing w:after="0" w:line="271" w:lineRule="auto"/>
        <w:rPr>
          <w:sz w:val="20"/>
          <w:szCs w:val="20"/>
          <w:color w:val="auto"/>
        </w:rPr>
      </w:pPr>
      <w:r>
        <w:rPr>
          <w:rFonts w:ascii="Times New Roman" w:cs="Times New Roman" w:eastAsia="Times New Roman" w:hAnsi="Times New Roman"/>
          <w:sz w:val="17"/>
          <w:szCs w:val="17"/>
          <w:color w:val="auto"/>
        </w:rPr>
        <w:t>In prior periods, the Company disclosed that substantial doubt existed about its ability to continue as a going concern, due to uncertainties related to liquidity, capital requirements, and operating losses.</w:t>
      </w:r>
    </w:p>
    <w:p>
      <w:pPr>
        <w:spacing w:after="0" w:line="190" w:lineRule="exact"/>
        <w:rPr>
          <w:sz w:val="20"/>
          <w:szCs w:val="20"/>
          <w:color w:val="auto"/>
        </w:rPr>
      </w:pPr>
    </w:p>
    <w:p>
      <w:pPr>
        <w:jc w:val="both"/>
        <w:ind w:right="600" w:firstLine="619"/>
        <w:spacing w:after="0" w:line="254" w:lineRule="auto"/>
        <w:rPr>
          <w:sz w:val="20"/>
          <w:szCs w:val="20"/>
          <w:color w:val="auto"/>
        </w:rPr>
      </w:pPr>
      <w:r>
        <w:rPr>
          <w:rFonts w:ascii="Times New Roman" w:cs="Times New Roman" w:eastAsia="Times New Roman" w:hAnsi="Times New Roman"/>
          <w:sz w:val="17"/>
          <w:szCs w:val="17"/>
          <w:color w:val="auto"/>
        </w:rPr>
        <w:t>However, during the third and fourth quarters of the year ended December 31, 2024, the Company achieved positive operating income, reflecting meaningful progress toward sustainable profitability. This improvement was driven by increased customer demand, improved gross margins, and reduced operating expenses, which have positively impacted the Company’s liquidity position.</w:t>
      </w:r>
    </w:p>
    <w:p>
      <w:pPr>
        <w:spacing w:after="0" w:line="19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Based on this recent operating performance, current cash balances, available funding sources, and management’s expectations regarding future operations and capital needs, the Company has concluded that it is probably that their plans will alleviate substantial doubt about its ability to continue as a going concern for at least twelve months from the issuance date of these consolidated financial statements. For additional detail, refer to Note 2 to the audited consolidated financial statements included in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29 to the audited consolidated financial statements of this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Smaller Reporting Company</w:t>
      </w:r>
    </w:p>
    <w:p>
      <w:pPr>
        <w:spacing w:after="0" w:line="234"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47"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Our future success depends on several critical factors, including those outlined below. While these represent opportunities for growth, they also pose challenges and risks that we must effectively manage to sustain our business momentum and improve financial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and Product Innovation</w:t>
      </w:r>
    </w:p>
    <w:p>
      <w:pPr>
        <w:spacing w:after="0" w:line="24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Demand</w:t>
      </w:r>
    </w:p>
    <w:p>
      <w:pPr>
        <w:spacing w:after="0" w:line="210"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Any reduction or</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elimination of governmental economic incentives may result in reduced demand for our products and adversely affect our financial performance.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Capacity</w:t>
      </w:r>
    </w:p>
    <w:p>
      <w:pPr>
        <w:spacing w:after="0" w:line="22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Our growth depends on being able to meet anticipated demand for our products. In order to do this, we will need to increase our manufacturing capacity. As of December 31, 2024, we had a backlog of approximately $401.3 million for our battery systems. So far we have used $475.4 million of the proceeds from the Business Combination to expand our manufacturing facilities in order to increase our manufacturing output, enabling us to address our backlog and to capture growing market opportunities.</w:t>
      </w:r>
    </w:p>
    <w:p>
      <w:pPr>
        <w:spacing w:after="0" w:line="17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In the third quarter of 2023, we successfully completed the 2 GWh cell, module and tray capacity expansion for our 53.5Ah cell technology in Huzhou, China. The demand for our 53.5Ah cell technology from our commercial vehicle customer base will be primarily met from this facility.</w:t>
      </w:r>
    </w:p>
    <w:p>
      <w:pPr>
        <w:spacing w:after="0" w:line="151"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Without access to financing, we are unable to progress the Clarksville expansion project on its intended timetable, and further progress is still contingent on having full access to funding to complete the remaining project work.</w:t>
      </w:r>
    </w:p>
    <w:p>
      <w:pPr>
        <w:spacing w:after="0" w:line="17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Geographic Mix</w:t>
      </w:r>
    </w:p>
    <w:p>
      <w:pPr>
        <w:spacing w:after="0" w:line="223"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Therefore, the geographic sources of our revenue will have an impact on our revenue and gross margins.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Costs</w:t>
      </w:r>
    </w:p>
    <w:p>
      <w:pPr>
        <w:spacing w:after="0" w:line="223"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Landscape</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battery industry is subject to stringent and evolving environmental regulations, particularly concerning hazardous waste management, pollution control, and sustainability requirements. Over time, these regulations have become increasingly strict, impacting both product costs and gross margins. Compliance with these standards requires continuous investment in manufacturing processes, material sourcing, and waste disposal practices to ensure adherence to environmental mandates across multiple jurisdictions.</w:t>
      </w:r>
    </w:p>
    <w:p>
      <w:pPr>
        <w:spacing w:after="0" w:line="197"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17"/>
          <w:szCs w:val="17"/>
          <w:color w:val="auto"/>
        </w:rPr>
        <w:t>Additionally, government policies and economic incentives play a critical role in shaping demand for electric vehicles (EVs) and energy storage systems (ESS). Incentives such as EV purchase subsidies, tax credits for battery manufacturers, and renewable energy project grants have historically supported market growth. Similarly, carbon emission penalties and fleet-wide regulatory requirements for automakers further drive the adoption of zero-emission transportation and clean energy solutions. These policies expand our total addressable market, creating opportunities for increased sales and broader adoption of our battery technologies. However, changes in these incentives—such as reductions or eliminations of subsidies—could negatively affect demand for our products.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As a global company with operations and sales in China, the Asia-Pacific region, Europe, and the U.S., we are also exposed to trade policies, tariffs, and regulatory shifts that could impact our ability to meet projected sales and maintain profit margins. Any significant changes in international trade agreements, supply chain restrictions, or geopolitical tensions may influence production costs, material sourcing, and cross-border sales strategies. Navigating these regulatory complexities is essential to sustaining our competitive position and long-term growth trajectory.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conduct our business through one operating segment. Our historical results are reported in accordance with U.S. GAAP and in U.S. dollars.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1"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This section of this Form 10-K generally discusses 2023 and 2024 items and year-to-year comparisons between 2023 and 2024. Discussions of 2022 items and year-to-year comparisons between 2022 and 2023 are not included in this Form 10-K, and can be found in “Management’s Discussion and Analysis of Financial Condition and Results of Operations” in the Form 10-K filed on April 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jc w:val="both"/>
        <w:ind w:right="260" w:firstLine="619"/>
        <w:spacing w:after="0" w:line="270" w:lineRule="auto"/>
        <w:rPr>
          <w:sz w:val="20"/>
          <w:szCs w:val="20"/>
          <w:color w:val="auto"/>
        </w:rPr>
      </w:pPr>
      <w:r>
        <w:rPr>
          <w:rFonts w:ascii="Times New Roman" w:cs="Times New Roman" w:eastAsia="Times New Roman" w:hAnsi="Times New Roman"/>
          <w:sz w:val="17"/>
          <w:szCs w:val="17"/>
          <w:color w:val="auto"/>
        </w:rPr>
        <w:t>We derive revenue from the sales of our electric battery products, including LpTO, LpCO, MpCO, HpCO and HnCo battery power systems. While our sales have historically been concentrated in China and the broader Asia-Pacific region, we are actively expanding our international presence to capture growing demand in key global markets.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breakdown of our revenue by major geographic regions, based on the locations of our customers, for the periods indicated:</w:t>
      </w:r>
    </w:p>
    <w:p>
      <w:pPr>
        <w:spacing w:after="0" w:line="265"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27940</wp:posOffset>
            </wp:positionV>
            <wp:extent cx="37166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ind w:left="6680"/>
        <w:spacing w:after="0"/>
        <w:tabs>
          <w:tab w:leader="none" w:pos="962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27940</wp:posOffset>
            </wp:positionV>
            <wp:extent cx="3716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27940</wp:posOffset>
            </wp:positionV>
            <wp:extent cx="1850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42" w:lineRule="exact"/>
        <w:rPr>
          <w:sz w:val="20"/>
          <w:szCs w:val="20"/>
          <w:color w:val="auto"/>
        </w:rPr>
      </w:pPr>
    </w:p>
    <w:p>
      <w:pPr>
        <w:ind w:left="5860"/>
        <w:spacing w:after="0"/>
        <w:tabs>
          <w:tab w:leader="none" w:pos="7560" w:val="left"/>
        </w:tabs>
        <w:rPr>
          <w:sz w:val="20"/>
          <w:szCs w:val="20"/>
          <w:color w:val="auto"/>
        </w:rPr>
      </w:pPr>
      <w:r>
        <w:rPr>
          <w:rFonts w:ascii="Times New Roman" w:cs="Times New Roman" w:eastAsia="Times New Roman" w:hAnsi="Times New Roman"/>
          <w:sz w:val="17"/>
          <w:szCs w:val="17"/>
          <w:b w:val="1"/>
          <w:bCs w:val="1"/>
          <w:color w:val="auto"/>
        </w:rPr>
        <w:t>Revenue</w:t>
      </w:r>
      <w:r>
        <w:rPr>
          <w:sz w:val="20"/>
          <w:szCs w:val="20"/>
          <w:color w:val="auto"/>
        </w:rPr>
        <w:tab/>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27940</wp:posOffset>
            </wp:positionV>
            <wp:extent cx="1809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4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Revenue</w:t>
      </w:r>
      <w:r>
        <w:rPr>
          <w:sz w:val="20"/>
          <w:szCs w:val="20"/>
          <w:color w:val="auto"/>
        </w:rPr>
        <w:tab/>
      </w:r>
      <w:r>
        <w:rPr>
          <w:rFonts w:ascii="Times New Roman" w:cs="Times New Roman" w:eastAsia="Times New Roman" w:hAnsi="Times New Roman"/>
          <w:sz w:val="16"/>
          <w:szCs w:val="16"/>
          <w:b w:val="1"/>
          <w:bCs w:val="1"/>
          <w:color w:val="auto"/>
        </w:rPr>
        <w:t>%</w:t>
      </w:r>
    </w:p>
    <w:p>
      <w:pPr>
        <w:spacing w:after="0" w:line="43" w:lineRule="exact"/>
        <w:rPr>
          <w:sz w:val="20"/>
          <w:szCs w:val="20"/>
          <w:color w:val="auto"/>
        </w:rPr>
      </w:pPr>
    </w:p>
    <w:p>
      <w:pPr>
        <w:sectPr>
          <w:pgSz w:w="11900" w:h="16838" w:orient="portrait"/>
          <w:cols w:equalWidth="0" w:num="2">
            <w:col w:w="8120" w:space="720"/>
            <w:col w:w="240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China</w:t>
            </w:r>
          </w:p>
        </w:tc>
        <w:tc>
          <w:tcPr>
            <w:tcW w:w="5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127,138</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156,480</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Other Asia &amp; Pacific countries</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50,558</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62,653</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r>
      <w:tr>
        <w:trPr>
          <w:trHeight w:val="24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 Region</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177,696</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219,133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72 %</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187,718</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84,358</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27 %</w:t>
            </w:r>
          </w:p>
        </w:tc>
      </w:tr>
      <w:tr>
        <w:trPr>
          <w:trHeight w:val="24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w:t>
            </w: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14,387</w:t>
            </w:r>
          </w:p>
        </w:tc>
        <w:tc>
          <w:tcPr>
            <w:tcW w:w="80" w:type="dxa"/>
            <w:vAlign w:val="bottom"/>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4 %</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3,126</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1 %</w:t>
            </w:r>
          </w:p>
        </w:tc>
      </w:tr>
      <w:tr>
        <w:trPr>
          <w:trHeight w:val="244"/>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379,801</w:t>
            </w:r>
          </w:p>
        </w:tc>
        <w:tc>
          <w:tcPr>
            <w:tcW w:w="80" w:type="dxa"/>
            <w:vAlign w:val="bottom"/>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306,617</w:t>
            </w:r>
          </w:p>
        </w:tc>
        <w:tc>
          <w:tcPr>
            <w:tcW w:w="10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0"/>
        </w:trPr>
        <w:tc>
          <w:tcPr>
            <w:tcW w:w="5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historically derived a portion of our revenue in a given reporting period from a limited number of key customers, which have varied from period to period. For the year ended December 31, 2024, one customer accounted for 39% of our net revenues. In 2023, two customers accounted for 18% and 11% of our net revenues.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Profit</w:t>
      </w:r>
    </w:p>
    <w:p>
      <w:pPr>
        <w:spacing w:after="0" w:line="223"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Cost of revenues includes direct and indirect materials, manufacturing overhead (including depreciation, freight and logistics), warranty reserves and expenses, provision for obsolete inventories, and labor costs and related personnel expenses, including stock-based compensation and other related expenses that are directly attributable to the manufacturing of products.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Gross profit is equal to revenue less cost of revenues. Gross profit margin is equal to gross profit divided by revenue.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operating expenses consist of selling and marketing, general and administrative (G&amp;A), and research and development (R&amp;D) expenses.</w:t>
      </w:r>
    </w:p>
    <w:p>
      <w:pPr>
        <w:spacing w:after="0" w:line="213"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and marketing expenses. </w:t>
      </w:r>
      <w:r>
        <w:rPr>
          <w:rFonts w:ascii="Times New Roman" w:cs="Times New Roman" w:eastAsia="Times New Roman" w:hAnsi="Times New Roman"/>
          <w:sz w:val="17"/>
          <w:szCs w:val="17"/>
          <w:color w:val="auto"/>
        </w:rPr>
        <w:t>Selling and marketing expenses include personnel-related costs for our sales and marketing teams, including salaries,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stock-based compensation, and commission-based incentives. These expenses also cover advertising, promotional activities, and customer engagement efforts to drive product awareness and sales growth. As we continue to expand, we plan to hire additional sales personnel, enhance marketing programs, and strengthen customer relationships. Consequently, selling and marketing expenses are expected to increase in absolute dollar terms over the long term.</w:t>
      </w:r>
    </w:p>
    <w:p>
      <w:pPr>
        <w:spacing w:after="0" w:line="165" w:lineRule="exact"/>
        <w:rPr>
          <w:sz w:val="20"/>
          <w:szCs w:val="20"/>
          <w:color w:val="auto"/>
        </w:rPr>
      </w:pPr>
    </w:p>
    <w:p>
      <w:pPr>
        <w:ind w:right="14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primarily comprise personnel-related costs for our executive, legal, finance,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human resources, and IT teams, along with professional service fees, depreciation, amortization, and insurance costs. As we scale operations, we anticipate additional expenditures for personnel hiring, infrastructure development, and compliance-related activities. These investments are necessary to support our anticipated growth and ensure operational efficiency.</w:t>
      </w:r>
    </w:p>
    <w:p>
      <w:pPr>
        <w:spacing w:after="0" w:line="165" w:lineRule="exact"/>
        <w:rPr>
          <w:sz w:val="20"/>
          <w:szCs w:val="20"/>
          <w:color w:val="auto"/>
        </w:rPr>
      </w:pPr>
    </w:p>
    <w:p>
      <w:pPr>
        <w:ind w:right="16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R&amp;D expenses. </w:t>
      </w:r>
      <w:r>
        <w:rPr>
          <w:rFonts w:ascii="Times New Roman" w:cs="Times New Roman" w:eastAsia="Times New Roman" w:hAnsi="Times New Roman"/>
          <w:sz w:val="17"/>
          <w:szCs w:val="17"/>
          <w:color w:val="auto"/>
        </w:rPr>
        <w:t>primarily include salaries and stock-based compensation for our engineers and scientists, as well as raw material costs for experimental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utility expenses, and depreciation costs related to R&amp;D activities. As we continue to invest in new product development, advanced battery technologies, and enhanced functionality, we expect R&amp;D expenditures to increase in absolute dollar terms. These investments are critical to maintaining technological leadership and delivering next-generation battery solutions to the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Expenses</w:t>
      </w:r>
    </w:p>
    <w:p>
      <w:pPr>
        <w:spacing w:after="0" w:line="223"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are subject to income taxes in the U.S. and the foreign jurisdictions in which we do business, namely China,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7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Income tax in China is generally calculated at 25% of the estimated assessable profit of our subsidiaries in China, except that two of our subsidiaries in China are qualified as “High and New Tech Enterprises” and thus enjoy a preferential income tax rate of 15%. The federal corporate income tax rate of 21% is applied for our U.S. entities. Our income tax in the U.K. is calculated at an average tax rate of 19% of the estimated assessable profit of our subsidiary in the U.K. The German enterprise income tax, which is a combination of corporate income tax and trade tax, is calculated at 29.1% of the estimated assessable profit of our subsidiary in Germany.</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This section of this Form 10-K generally discusses 2024 and 2023 items and year-to-year comparisons between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 Ended December 31, 2024 to the Year Ended December 31, 2023</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historical operating results for the periods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Amounts in thousands</w:t>
            </w:r>
          </w:p>
        </w:tc>
        <w:tc>
          <w:tcPr>
            <w:tcW w:w="22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9"/>
        </w:trPr>
        <w:tc>
          <w:tcPr>
            <w:tcW w:w="4780" w:type="dxa"/>
            <w:vAlign w:val="bottom"/>
          </w:tcPr>
          <w:p>
            <w:pPr>
              <w:spacing w:after="0"/>
              <w:rPr>
                <w:sz w:val="20"/>
                <w:szCs w:val="20"/>
                <w:color w:val="auto"/>
              </w:rPr>
            </w:pPr>
          </w:p>
        </w:tc>
        <w:tc>
          <w:tcPr>
            <w:tcW w:w="15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44"/>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379,801</w:t>
            </w:r>
          </w:p>
        </w:tc>
        <w:tc>
          <w:tcPr>
            <w:tcW w:w="8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306,617</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73,184</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(260,249)</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(249,390)</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(10,859)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5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119,552</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57,227</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62,325</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108.9 %</w:t>
            </w:r>
          </w:p>
        </w:tc>
      </w:tr>
      <w:tr>
        <w:trPr>
          <w:trHeight w:val="232"/>
        </w:trPr>
        <w:tc>
          <w:tcPr>
            <w:tcW w:w="47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(81,486)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(96,787)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15,301</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 %</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(41,065)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(45,004)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(22,576)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(23,614)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6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loss of long-lived assets</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(92,669)</w:t>
            </w:r>
          </w:p>
        </w:tc>
        <w:tc>
          <w:tcPr>
            <w:tcW w:w="10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(238,300)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(165,909)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(72,391)</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43.6 %</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Subsidy income</w:t>
            </w:r>
          </w:p>
        </w:tc>
        <w:tc>
          <w:tcPr>
            <w:tcW w:w="15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2,658</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1,953</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(116,090)</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(106,729)</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(9,361)</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8.8 %</w:t>
            </w:r>
          </w:p>
        </w:tc>
      </w:tr>
      <w:tr>
        <w:trPr>
          <w:trHeight w:val="24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(79.4) %</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(9,711)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(2,628)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 %</w:t>
            </w:r>
          </w:p>
        </w:tc>
      </w:tr>
      <w:tr>
        <w:trPr>
          <w:trHeight w:val="23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1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(80,019)</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(135625.4) %</w:t>
            </w:r>
          </w:p>
        </w:tc>
      </w:tr>
      <w:tr>
        <w:trPr>
          <w:trHeight w:val="23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(106,402)</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(89,055)</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83.7 %</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0" w:type="dxa"/>
            <w:vAlign w:val="bottom"/>
            <w:gridSpan w:val="3"/>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44"/>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5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(106,412)</w:t>
            </w: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(89,045)</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83.7 %</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w:t>
            </w:r>
          </w:p>
        </w:tc>
        <w:tc>
          <w:tcPr>
            <w:tcW w:w="2200" w:type="dxa"/>
            <w:vAlign w:val="bottom"/>
            <w:gridSpan w:val="3"/>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Microvast Holdings, Inc.</w:t>
            </w:r>
          </w:p>
        </w:tc>
        <w:tc>
          <w:tcPr>
            <w:tcW w:w="15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(106,336)</w:t>
            </w: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(89,121)</w:t>
            </w: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83.8 %</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Our revenue increased from $306.6 million in 2023 to $379.8 million in 2024, reflecting a 23.9% year-over-year (YoY) growth. This expansion was primarily driven by a 41.6% increase in sales volume, rising from 1,139.6 MWh in 2023 to 1,613.6 MWh in 2024.</w:t>
      </w:r>
    </w:p>
    <w:p>
      <w:pPr>
        <w:spacing w:after="0" w:line="177" w:lineRule="exact"/>
        <w:rPr>
          <w:sz w:val="20"/>
          <w:szCs w:val="20"/>
          <w:color w:val="auto"/>
        </w:rPr>
      </w:pPr>
    </w:p>
    <w:p>
      <w:pPr>
        <w:ind w:right="340" w:firstLine="619"/>
        <w:spacing w:after="0" w:line="254" w:lineRule="auto"/>
        <w:rPr>
          <w:sz w:val="20"/>
          <w:szCs w:val="20"/>
          <w:color w:val="auto"/>
        </w:rPr>
      </w:pPr>
      <w:r>
        <w:rPr>
          <w:rFonts w:ascii="Times New Roman" w:cs="Times New Roman" w:eastAsia="Times New Roman" w:hAnsi="Times New Roman"/>
          <w:sz w:val="17"/>
          <w:szCs w:val="17"/>
          <w:color w:val="auto"/>
        </w:rPr>
        <w:t>The surge in volume was fueled by strong demand for our battery cell products from both new and existing customers across the Asia-Pacific and European markets. As we broadened our geographic footprint and strengthened customer relationships, our ability to scale production and meet rising demand contributed to this sustained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Profit</w:t>
      </w:r>
    </w:p>
    <w:p>
      <w:pPr>
        <w:spacing w:after="0" w:line="223" w:lineRule="exact"/>
        <w:rPr>
          <w:sz w:val="20"/>
          <w:szCs w:val="20"/>
          <w:color w:val="auto"/>
        </w:rPr>
      </w:pPr>
    </w:p>
    <w:p>
      <w:pPr>
        <w:jc w:val="both"/>
        <w:ind w:right="120" w:firstLine="619"/>
        <w:spacing w:after="0" w:line="287" w:lineRule="auto"/>
        <w:rPr>
          <w:sz w:val="20"/>
          <w:szCs w:val="20"/>
          <w:color w:val="auto"/>
        </w:rPr>
      </w:pPr>
      <w:r>
        <w:rPr>
          <w:rFonts w:ascii="Times New Roman" w:cs="Times New Roman" w:eastAsia="Times New Roman" w:hAnsi="Times New Roman"/>
          <w:sz w:val="17"/>
          <w:szCs w:val="17"/>
          <w:color w:val="auto"/>
        </w:rPr>
        <w:t>Our cost of revenues for the year ended December 31, 2024, increased by 4.4% compared to 2023, primarily due to higher sales volumes. However, this increase was significantly lower than the 23.9% year-over-year revenue growth, reflecting improved operational efficiency, cost controls, and economies of scale.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As a result, our gross profit margin expanded from 18.7% in 2023 to 31.5% in 2024. This improvement was driven by higher production utilization, which enhanced the absorption of fixed costs. A more favorable product mix, with a growing share of higher-margin battery solutions, contributed to increased profitability. Additionally, lower raw material prices helped reduce input costs. These factors collectively highlight our ability to scale operations while improving profitability, positioning us for continued margin expansion and long-term financial growth.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and Marketing</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Selling and marketing expenses for the year ended December 31, 2024, decreased by $1.0 million (4.4%) compared to 2023. This reduction was primarily driven by a $2.1 million decrease in share-based compensation expenses and reductions of the U.S. headcount in Q2 2024, which was partially offset by continued investments in customer engagement and market expansion initiatives.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21"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General and administrative expenses for the year ended December 31, 2024, decreased by $15.3 million (15.8%) compared to 2023. This decline was primarily driven by a $24.4 million reduction in share-based compensation expenses, partially offset by higher legal and insurance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21" w:lineRule="exact"/>
        <w:rPr>
          <w:sz w:val="20"/>
          <w:szCs w:val="20"/>
          <w:color w:val="auto"/>
        </w:rPr>
      </w:pPr>
    </w:p>
    <w:p>
      <w:pPr>
        <w:jc w:val="both"/>
        <w:ind w:right="340" w:firstLine="619"/>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2024, decreased by $3.9 million (8.8%) compared to 2023. This reduction was primarily driven by a $5.0 million decrease in share-based compensation expenses, partially offset by a $1.8 million increase in personnel-related costs as we expanded our research team to support ongoing product development and innovation initiatives.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loss from long-lived assets</w:t>
      </w:r>
    </w:p>
    <w:p>
      <w:pPr>
        <w:spacing w:after="0" w:line="208"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During the first half year of 2024, the Company decided to pause the construction of the battery plant in Clarksville, Tennessee until additional funding for the remaining capital expenditure is secured. The Company reassessed the recoverability of the long-lived assets in U.S. For the year ended December 31, 2024, the Company recognized $93.2 million impairment losses which is mainly from the impairment of long-lived assets in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Subsidy income increased from $2.0 million for the year ended December 31, 2023 to $2.7 million in the same period in 2024. The amounts are the one-time awards granted by local governments in 2023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restructuring</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2024, the company recorded a gain of $9.4 million on the payable concession.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fair value of warrant liability and convertible loan</w:t>
      </w:r>
    </w:p>
    <w:p>
      <w:pPr>
        <w:spacing w:after="0" w:line="223"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we recorded a non-cash loss of $80.0 million, primarily related to the change in the fair value of our convertible loan. This includes a $79.7 million fair value adjustment on the convertible loan issued to a shareholder. The loss was primarily driven by a significant increase in our share price during the period, which raised the fair value of the loan's conversion feature.</w:t>
      </w:r>
    </w:p>
    <w:p>
      <w:pPr>
        <w:spacing w:after="0" w:line="165"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These instruments are measured at fair value on a recurring basis, and their valuation requires the use of significant estimates and assumptions. The fair value changes do not impact our cash position or operating performance but have a material effect on our reported net income. As of December 31, 2024 the outstanding balance was $104.6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Since inception, we have financed our operations primarily through capital contributions from equity holders, the issuance of convertible notes, and bank borrowings. As of December 31, 2024, our principal sources of liquidity included cash and cash equivalents and restricted cash totaling $109.6 million.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Our consolidated net cash position of $109.6 million as of December 31, 2024, comprised $73.0 million in cash and cash equivalents, with $37.0 million held by our China subsidiary and $9.2 million held by our German and UK subsidiaries. These funds are not readily available for domestic operations unless repatriated. If we need to transfer any of these funds to the U.S. in the form of a dividend, we would be required to accrue and pay withholding taxes. However, we do not intend to pay cash dividends on our common stock in the foreseeable future. Instead, we plan to retain available funds and future earnings to support our ongoing operations and expansion efforts in China, the E.U., and the U.S.</w:t>
      </w:r>
    </w:p>
    <w:p>
      <w:pPr>
        <w:spacing w:after="0" w:line="18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accordance with Accounting Standards Update ("ASU") No. 2014-15, “Disclosure of Uncertainties about an Entity’s Ability to Continue as a Going Concern (Subtopic 205-40),” management has evaluated whether there are conditions and events, considered in the aggregate, that raise substantial doubt about our ability to continue as a going concern within one year after the date of the consolidated financial statements are issued and has determined that our ability to continue as a going concern is dependent on our ability to generate cash from future operations and additional capital. In light of operating requirements under our current business plan, we are projecting that the existing cash and assets available for sale and equity securities will not be sufficient to fund our operations through the next twelve months. These conditions and events raise substantial doubt about the our ability to continue as a going concern.</w:t>
      </w:r>
    </w:p>
    <w:p>
      <w:pPr>
        <w:spacing w:after="0" w:line="213"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To alleviate the conditions and events that raise substantial doubt about the Company’s ability to continue as a going concern, management developed primary plans as described below.</w:t>
      </w:r>
    </w:p>
    <w:p>
      <w:pPr>
        <w:spacing w:after="0" w:line="173" w:lineRule="exact"/>
        <w:rPr>
          <w:sz w:val="20"/>
          <w:szCs w:val="20"/>
          <w:color w:val="auto"/>
        </w:rPr>
      </w:pPr>
    </w:p>
    <w:p>
      <w:pPr>
        <w:ind w:left="620" w:right="120" w:hanging="617"/>
        <w:spacing w:after="0" w:line="255" w:lineRule="auto"/>
        <w:tabs>
          <w:tab w:leader="none" w:pos="2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Forecasted cash inflow from operations </w:t>
      </w:r>
      <w:r>
        <w:rPr>
          <w:rFonts w:ascii="Times New Roman" w:cs="Times New Roman" w:eastAsia="Times New Roman" w:hAnsi="Times New Roman"/>
          <w:sz w:val="17"/>
          <w:szCs w:val="17"/>
          <w:color w:val="auto"/>
        </w:rPr>
        <w:t>- For the year ended December 31, 2024, we generated cash flow of $2.8 million from operating activities.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forecasted period, we have order backlog of $401.3 million, with the majority of these orders expected to be fulfilled in 2025 and 2026. Additionally, we expected to generate higher gross margins because we will generate more revenue from Europe and the U.S with higher sales prices. We don't expect significant fluctuations in the gross margin considering the selling price secured by the contract backlogs and the market conditions of major raw materials. Thus, we believe that the operating cash flow in the forecasted period will continue to grow.</w:t>
      </w:r>
    </w:p>
    <w:p>
      <w:pPr>
        <w:spacing w:after="0" w:line="186" w:lineRule="exact"/>
        <w:rPr>
          <w:rFonts w:ascii="Times New Roman" w:cs="Times New Roman" w:eastAsia="Times New Roman" w:hAnsi="Times New Roman"/>
          <w:sz w:val="17"/>
          <w:szCs w:val="17"/>
          <w:color w:val="auto"/>
        </w:rPr>
      </w:pPr>
    </w:p>
    <w:p>
      <w:pPr>
        <w:ind w:left="620" w:right="60" w:hanging="617"/>
        <w:spacing w:after="0" w:line="255" w:lineRule="auto"/>
        <w:tabs>
          <w:tab w:leader="none" w:pos="2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Refinancing of short-term bank borrowings </w:t>
      </w:r>
      <w:r>
        <w:rPr>
          <w:rFonts w:ascii="Times New Roman" w:cs="Times New Roman" w:eastAsia="Times New Roman" w:hAnsi="Times New Roman"/>
          <w:sz w:val="17"/>
          <w:szCs w:val="17"/>
          <w:color w:val="auto"/>
        </w:rPr>
        <w:t>- Historically, we have rolled over or obtained replacement borrowings from existing creditors for its short-term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loans upon the maturity date of the loans if needed. For $37.1 million short-term bank borrowings outstanding as of December 31, 2024 which we have successful refinancing experience, if needed, we will be able to refinance them as they become due for the next twelve months. In early 2025, the Company successfully refinanced loans of $12.3 million that matured.</w:t>
      </w:r>
    </w:p>
    <w:p>
      <w:pPr>
        <w:spacing w:after="0" w:line="192" w:lineRule="exact"/>
        <w:rPr>
          <w:sz w:val="20"/>
          <w:szCs w:val="20"/>
          <w:color w:val="auto"/>
        </w:rPr>
      </w:pPr>
    </w:p>
    <w:p>
      <w:pPr>
        <w:ind w:right="440" w:firstLine="619"/>
        <w:spacing w:after="0" w:line="262" w:lineRule="auto"/>
        <w:rPr>
          <w:sz w:val="20"/>
          <w:szCs w:val="20"/>
          <w:color w:val="auto"/>
        </w:rPr>
      </w:pPr>
      <w:r>
        <w:rPr>
          <w:rFonts w:ascii="Times New Roman" w:cs="Times New Roman" w:eastAsia="Times New Roman" w:hAnsi="Times New Roman"/>
          <w:sz w:val="17"/>
          <w:szCs w:val="17"/>
          <w:color w:val="auto"/>
        </w:rPr>
        <w:t>Based on the above, we concluded that it is probable that these plans will alleviate substantial doubt about the Group’s ability to continue as a going concern and that adequate sources of liquidity will exist to fund the working capital and capital expenditures requirements and to meet our short term debt obligations, and other liabilities and commitments as they become due.</w:t>
      </w:r>
    </w:p>
    <w:p>
      <w:pPr>
        <w:spacing w:after="0" w:line="185"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To enhance liquidity, we secured a $101.5 million bank loan during the year ended December 31, 2024 (see Note 12 – Bank Borrowings). Additionally, workforce reductions in the U.S. during the second and third quarters of 2024 have resulted in cost savings and improved cash flow.</w:t>
      </w:r>
    </w:p>
    <w:p>
      <w:pPr>
        <w:spacing w:after="0" w:line="190"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Further strategies to strengthen liquidity include optimizing operations, asset sales, and evaluating funding options. The Company achieved income from operation in the second half of 2024, and continued execution of its business strategy is expected to support positive cash flow generation over the next twelve months. Additionally, the Group is actively pursuing the sale of non-core U.S. real estate assets, which is expected to enhance liquidity without affecting core operations.</w:t>
      </w:r>
    </w:p>
    <w:p>
      <w:pPr>
        <w:spacing w:after="0" w:line="191" w:lineRule="exact"/>
        <w:rPr>
          <w:sz w:val="20"/>
          <w:szCs w:val="20"/>
          <w:color w:val="auto"/>
        </w:rPr>
      </w:pPr>
    </w:p>
    <w:p>
      <w:pPr>
        <w:ind w:right="420" w:firstLine="619"/>
        <w:spacing w:after="0" w:line="262" w:lineRule="auto"/>
        <w:rPr>
          <w:sz w:val="20"/>
          <w:szCs w:val="20"/>
          <w:color w:val="auto"/>
        </w:rPr>
      </w:pPr>
      <w:r>
        <w:rPr>
          <w:rFonts w:ascii="Times New Roman" w:cs="Times New Roman" w:eastAsia="Times New Roman" w:hAnsi="Times New Roman"/>
          <w:sz w:val="17"/>
          <w:szCs w:val="17"/>
          <w:color w:val="auto"/>
        </w:rPr>
        <w:t>Although no additional binding financing agreements have been entered into, the Group remains engaged in discussions with third parties to explore further capital-raising opportunities. Future capital requirements may change based on business developments, market conditions, and liquidity needs. The company continues to evaluate potential options, including equity offerings and debt financing, to ensure financial flexibility and long-term growth.</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Financings</w:t>
      </w:r>
    </w:p>
    <w:p>
      <w:pPr>
        <w:spacing w:after="0" w:line="223"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2024, we had bank borrowings of $111.7 million, the terms of which range from one month to two years. The interest rates of our bank borrowings ranged from 3.25% to 4.85% per annum. As of December 31, 2024, we had convertible bonds of $43.2 million, with interest rates ranging from 3% to 4%. The convertible bonds are due in 2027. As of December 31, 2024, we also had the convertible loan with shareholder of $104.6 million outstanding at an initial interest rate equal to Term SOFR for the applicable interest period, plus an initial applicable margin of 9.75% per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annum, 3.75% of which shall be paid in kind and added to the outstanding principal under the convertible loan with shareholder, with the remaining interest to be paid in cash. See Note 26 for details. As of December 31, 2024, we were in compliance with all material terms and covenants of our loan agreements, credit agreements and bonds.</w:t>
      </w:r>
    </w:p>
    <w:p>
      <w:pPr>
        <w:spacing w:after="0" w:line="165" w:lineRule="exact"/>
        <w:rPr>
          <w:sz w:val="20"/>
          <w:szCs w:val="20"/>
          <w:color w:val="auto"/>
        </w:rPr>
      </w:pPr>
    </w:p>
    <w:p>
      <w:pPr>
        <w:ind w:right="280" w:firstLine="619"/>
        <w:spacing w:after="0" w:line="264" w:lineRule="auto"/>
        <w:rPr>
          <w:sz w:val="20"/>
          <w:szCs w:val="20"/>
          <w:color w:val="auto"/>
        </w:rPr>
      </w:pPr>
      <w:r>
        <w:rPr>
          <w:rFonts w:ascii="Times New Roman" w:cs="Times New Roman" w:eastAsia="Times New Roman" w:hAnsi="Times New Roman"/>
          <w:sz w:val="17"/>
          <w:szCs w:val="17"/>
          <w:color w:val="auto"/>
        </w:rPr>
        <w:t>On July 23, 2021, we received $708.4 million from the completion of the Business Combination, $705.1 million net of transaction costs paid by Microvast, Inc. We have used $475.4 million of the net proceeds from the Business Combination to expand our manufacturing facilities and for the purchase of property and equipment associated with our existing manufacturing and R&amp;D facilities. In addition, $185.6 million of the net proceeds were used for working capital as of December 31, 2024.</w:t>
      </w:r>
    </w:p>
    <w:p>
      <w:pPr>
        <w:spacing w:after="0" w:line="197" w:lineRule="exact"/>
        <w:rPr>
          <w:sz w:val="20"/>
          <w:szCs w:val="20"/>
          <w:color w:val="auto"/>
        </w:rPr>
      </w:pPr>
    </w:p>
    <w:p>
      <w:pPr>
        <w:ind w:right="420" w:firstLine="619"/>
        <w:spacing w:after="0" w:line="262" w:lineRule="auto"/>
        <w:rPr>
          <w:sz w:val="20"/>
          <w:szCs w:val="20"/>
          <w:color w:val="auto"/>
        </w:rPr>
      </w:pPr>
      <w:r>
        <w:rPr>
          <w:rFonts w:ascii="Times New Roman" w:cs="Times New Roman" w:eastAsia="Times New Roman" w:hAnsi="Times New Roman"/>
          <w:sz w:val="17"/>
          <w:szCs w:val="17"/>
          <w:color w:val="auto"/>
        </w:rPr>
        <w:t>Although no additional binding financing agreements have been entered into, the Group remains engaged in discussions with third parties to explore further capital-raising opportunities. Future capital requirements may change based on business developments, market conditions, and liquidity needs. The company continues to evaluate potential options, including equity offerings and debt financing, to ensure financial flexibility and long-term growth.</w:t>
      </w:r>
    </w:p>
    <w:p>
      <w:pPr>
        <w:spacing w:after="0" w:line="159" w:lineRule="exact"/>
        <w:rPr>
          <w:sz w:val="20"/>
          <w:szCs w:val="20"/>
          <w:color w:val="auto"/>
        </w:rPr>
      </w:pPr>
    </w:p>
    <w:p>
      <w:pPr>
        <w:jc w:val="both"/>
        <w:ind w:right="680" w:firstLine="619"/>
        <w:spacing w:after="0" w:line="287" w:lineRule="auto"/>
        <w:rPr>
          <w:sz w:val="20"/>
          <w:szCs w:val="20"/>
          <w:color w:val="auto"/>
        </w:rPr>
      </w:pPr>
      <w:r>
        <w:rPr>
          <w:rFonts w:ascii="Times New Roman" w:cs="Times New Roman" w:eastAsia="Times New Roman" w:hAnsi="Times New Roman"/>
          <w:sz w:val="17"/>
          <w:szCs w:val="17"/>
          <w:color w:val="auto"/>
        </w:rPr>
        <w:t>The exercise price for our outstanding warrants is $11.50 per share of common stock, and the trading price of our common stock was $1.27 as of March 24, 2025. There is no guarantee that the warrants will be exercised prior to their expiration, however, we do not expect this to impact our liquidity.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and other contractual obligations</w:t>
      </w:r>
    </w:p>
    <w:p>
      <w:pPr>
        <w:spacing w:after="0" w:line="236" w:lineRule="exact"/>
        <w:rPr>
          <w:sz w:val="20"/>
          <w:szCs w:val="20"/>
          <w:color w:val="auto"/>
        </w:rPr>
      </w:pPr>
    </w:p>
    <w:p>
      <w:pPr>
        <w:ind w:right="540" w:firstLine="619"/>
        <w:spacing w:after="0" w:line="271" w:lineRule="auto"/>
        <w:rPr>
          <w:sz w:val="20"/>
          <w:szCs w:val="20"/>
          <w:color w:val="auto"/>
        </w:rPr>
      </w:pPr>
      <w:r>
        <w:rPr>
          <w:rFonts w:ascii="Times New Roman" w:cs="Times New Roman" w:eastAsia="Times New Roman" w:hAnsi="Times New Roman"/>
          <w:sz w:val="17"/>
          <w:szCs w:val="17"/>
          <w:color w:val="auto"/>
        </w:rPr>
        <w:t>Our capital expenditures amounted to $49.9 million and $186.8 million for the years ended December 31, 2024 and 2023, respectively. Our capital expenditures in 2024 and 2023 related primarily to the construction of manufacturing facilities under our Clarksville expansion and Huzhou, China.</w:t>
      </w:r>
    </w:p>
    <w:p>
      <w:pPr>
        <w:spacing w:after="0" w:line="190"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2021, we started our capacity expansion plans in Huzhou, China, Berlin, Germany and Clarksville, Tennessee. The project in Germany was completed in 2021. The China Phase 3.1 capacity expansion was successfully completed in the third quarter of 2023.</w:t>
      </w:r>
    </w:p>
    <w:p>
      <w:pPr>
        <w:spacing w:after="0" w:line="17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Because of delays in securing additional financing, in the fourth quarter of 2023 we began experiencing slow progress in continuing construction of our Clarksville expansion, slowing down certain construction work streams due to the need for additional financing. This facility was initially intended to produce 53.5Ah cells for our ESS solutions; however, we believe that LFP cells are better suited for our ESS solutions and intend to utilize the Tennessee facility to produce LFP cells instead of 53.5Ah cells. Additionally, our ESS products that were previously developed and assembled in Colorado are now planned to be assembled at our Tennessee facility once the facility is completed. The proceeds from the Business Combination alone will not be sufficient to complete the Clarksville expansion and meet our general working capital needs and due to foreign restrictions and adverse tax consequences as well as the working capital needs of Microvast Power Systems Co. Ltd., we are unable to repatriate cash from China to pay our accounts payable in the U.S. and fund the continued expansion of our U.S. operations. We are seeking alternate sources of capital. Until financing is in place, this will limit our growth opportunities, especially in the U.S. market where our customers desire products that meet their domestic content requirements. We are seeking to secure financing to complete the Tennessee facility.</w:t>
      </w:r>
    </w:p>
    <w:p>
      <w:pPr>
        <w:spacing w:after="0" w:line="179"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but not limited to funding planned production capacity expansions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 Commitments</w:t>
      </w:r>
    </w:p>
    <w:p>
      <w:pPr>
        <w:spacing w:after="0" w:line="223"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We lease certain facilities and equipment under non-cancellable lease agreements that expire at various dates through 2036. For additional information, see Note 17 – Leases, in the notes to the audited condensed consolidated financial statements in Part II, Item 8 of this Report on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223"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We regularly enter into non-cancelable contractual obligations primarily related to purchases of inventory. As of December 31, 2024, such purchase commitments, which do not qualify for recognition on our consolidated balance sheets, amount to $48.2 million, most of which is short-term.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our cash flow data for the years indicated:</w:t>
      </w:r>
    </w:p>
    <w:p>
      <w:pPr>
        <w:spacing w:after="0" w:line="26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22860</wp:posOffset>
            </wp:positionV>
            <wp:extent cx="19399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19"/>
                <w:szCs w:val="19"/>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Amount in thousands</w:t>
            </w: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from (used in) operating activities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(75,303)</w:t>
            </w:r>
          </w:p>
        </w:tc>
        <w:tc>
          <w:tcPr>
            <w:tcW w:w="0" w:type="dxa"/>
            <w:vAlign w:val="bottom"/>
          </w:tcPr>
          <w:p>
            <w:pPr>
              <w:spacing w:after="0"/>
              <w:rPr>
                <w:sz w:val="1"/>
                <w:szCs w:val="1"/>
                <w:color w:val="auto"/>
              </w:rPr>
            </w:pP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(165,605)</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33,041</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2024, our operating activities generated $2.8 million in cash, compared to a cash outflow of $75.3 million in 2023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positive operating cash flow in 2024 was primarily driven by non-cash adjustments and changes in working capital, offsetting the net loss for the year.</w:t>
      </w:r>
    </w:p>
    <w:p>
      <w:pPr>
        <w:spacing w:after="0" w:line="226" w:lineRule="exact"/>
        <w:rPr>
          <w:sz w:val="20"/>
          <w:szCs w:val="20"/>
          <w:color w:val="auto"/>
        </w:rPr>
      </w:pPr>
    </w:p>
    <w:p>
      <w:pPr>
        <w:jc w:val="both"/>
        <w:ind w:right="100" w:firstLine="619"/>
        <w:spacing w:after="0" w:line="249" w:lineRule="auto"/>
        <w:rPr>
          <w:sz w:val="20"/>
          <w:szCs w:val="20"/>
          <w:color w:val="auto"/>
        </w:rPr>
      </w:pPr>
      <w:r>
        <w:rPr>
          <w:rFonts w:ascii="Times New Roman" w:cs="Times New Roman" w:eastAsia="Times New Roman" w:hAnsi="Times New Roman"/>
          <w:sz w:val="17"/>
          <w:szCs w:val="17"/>
          <w:color w:val="auto"/>
        </w:rPr>
        <w:t>In 2024, our net loss totaled $195.5 million, offset by $251.0 million in non-cash charges, including $30.1 million in depreciation of property, plant, and equipment, $30.8 million in non-cash share-based compensation, $93.2 million in impairment losses from property, plant and equipment, and $80.0 million in fair value changes related to warrants and convertible loans. However, operating assets and liabilities resulted in a $52.7 million cash outflow, mainly due to a</w:t>
      </w:r>
    </w:p>
    <w:p>
      <w:pPr>
        <w:spacing w:after="0" w:line="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$0.5 million increase in inventories, a $13.2 million decrease in accrued liabilities and prepaid expenses, and a $54.4 million reduction in accounts payable and notes payable, partially offset by a $15.3 million net decrease in accounts receivable and notes receivable and a $0.1 million increase in other operating assets and liabilities.</w:t>
      </w:r>
    </w:p>
    <w:p>
      <w:pPr>
        <w:spacing w:after="0" w:line="212"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 2023, operating activities used $75.3 million in cash, driven by a net loss of $106.4 million and $109.6 million in non-cash adjustments, including $22.1 million in depreciation and $65.0 million in share-based compensation. A $78.5 million decrease in cash flows from operating assets and liabilities contributed to the cash outflow, primarily due to a $47.1 million increase in accounts receivable and notes receivable, a $74.4 million increase in inventories, and a $7.7 million decrease in accrued liabilities and prepaid expenses, partially offset by a $65.1 million increase in accounts payable and notes payable.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cash used in investing activities totaled $12.2 million, a significant reduction compared to previous years. This outflow was primarily driven by $27.7 million in capital expenditures related to the expansion of our manufacturing facilities and the acquisition of property and equipment for existing manufacturing and R&amp;D operations. These outflows were partially offset by $5.5 million in proceeds from the maturity of short-term investments and $10.0 million from the disposal of property, plant, and equipment.</w:t>
      </w:r>
    </w:p>
    <w:p>
      <w:pPr>
        <w:spacing w:after="0" w:line="197"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2023, cash used in investing activities totaled $165.6 million, primarily due to $186.8 million in capital expenditures for manufacturing expansion and R&amp;D infrastructure, along with $5.9 million in short-term investment purchases. These were partially offset by $25.5 million in proceeds from the maturity of short-term investments and $1.6 million from the disposal of property, plant, and equipment.</w:t>
      </w:r>
    </w:p>
    <w:p>
      <w:pPr>
        <w:spacing w:after="0" w:line="185" w:lineRule="exact"/>
        <w:rPr>
          <w:sz w:val="20"/>
          <w:szCs w:val="20"/>
          <w:color w:val="auto"/>
        </w:rPr>
      </w:pPr>
    </w:p>
    <w:p>
      <w:pPr>
        <w:ind w:right="380" w:firstLine="619"/>
        <w:spacing w:after="0" w:line="271" w:lineRule="auto"/>
        <w:rPr>
          <w:sz w:val="20"/>
          <w:szCs w:val="20"/>
          <w:color w:val="auto"/>
        </w:rPr>
      </w:pPr>
      <w:r>
        <w:rPr>
          <w:rFonts w:ascii="Times New Roman" w:cs="Times New Roman" w:eastAsia="Times New Roman" w:hAnsi="Times New Roman"/>
          <w:sz w:val="17"/>
          <w:szCs w:val="17"/>
          <w:color w:val="auto"/>
        </w:rPr>
        <w:t>The significant reduction in investing cash outflows in 2024 reflects a measured approach to capital expenditures, as we continue to align investment decisions with available funding and strategic growth priorities.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2024, cash generated by financing activities totaled $37.6 million. This inflow was primarily driven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$101.5 million in proceeds from bank borrowings and $25.0 million in proceeds from a convertible loan. These were partially offset by $66.2 million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repayments on bank borrowings, $0.5 million in debt costs related to the convertible loan, and $22.2 million in deferred payments for property, plant,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 purchases.</w:t>
      </w:r>
    </w:p>
    <w:p>
      <w:pPr>
        <w:spacing w:after="0" w:line="226"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2023, cash generated by financing activities totaled $33.0 million. This was primarily attributable to $47.8 million in proceeds from bank borrowings, partially offset by $14.1 million in repayments on bank borrowings and a $0.7 million partial repayment on outstanding bonds.</w:t>
      </w:r>
    </w:p>
    <w:p>
      <w:pPr>
        <w:spacing w:after="0" w:line="190" w:lineRule="exact"/>
        <w:rPr>
          <w:sz w:val="20"/>
          <w:szCs w:val="20"/>
          <w:color w:val="auto"/>
        </w:rPr>
      </w:pPr>
    </w:p>
    <w:p>
      <w:pPr>
        <w:ind w:right="240" w:firstLine="619"/>
        <w:spacing w:after="0" w:line="271" w:lineRule="auto"/>
        <w:rPr>
          <w:sz w:val="20"/>
          <w:szCs w:val="20"/>
          <w:color w:val="auto"/>
        </w:rPr>
      </w:pPr>
      <w:r>
        <w:rPr>
          <w:rFonts w:ascii="Times New Roman" w:cs="Times New Roman" w:eastAsia="Times New Roman" w:hAnsi="Times New Roman"/>
          <w:sz w:val="17"/>
          <w:szCs w:val="17"/>
          <w:color w:val="auto"/>
        </w:rPr>
        <w:t>The increase in financing activities in 2024 reflects our efforts to secure additional funding through bank borrowings and convertible loans, supporting ongoing operational and strategic initiatives.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In accordance with ASC 360, Property, Plant and Equipment ("ASC 360"), we review long-lived assets such as property, plant and equipment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and an impairment loss is recorded as a component of operating expenses. Fair value is estimated based on various valuation techniques. For assets held for sales, the amount of potential impairment may be based upon appraisal of the asset, estimated market value of similar assets or estimated cash flow from the disposition of the asset. The evaluation of asset impairment requires us to make assumptions about future cash flows over the life of the asset being evaluated. These assumptions require significant judgment and actual results may differ from assumed and estimated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with shareholder</w:t>
      </w:r>
    </w:p>
    <w:p>
      <w:pPr>
        <w:spacing w:after="0" w:line="223"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We elected the fair value option to account for the convertible loan with shareholder and records changes in fair value in the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The fair value of the convertible loan with shareholder was determined by using a discounted cash flow model for the bond component and a Black-Scholes-Merton model for the conversion option, which is considered a Level 3 fair value measurement.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2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 $3.3 million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$3.6 million during the years ended December 31, 2024 and 2023, respectively. We monitor the inventory impairments periodically and, since battery technology continues to advance, we may incur inventory impairment losses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79"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3"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of Emerging Growth Company Status</w:t>
      </w:r>
    </w:p>
    <w:p>
      <w:pPr>
        <w:spacing w:after="0" w:line="221"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Under Section 102(b)(1) of the JOBS Act, emerging growth companies are exempt from complying with new or revised financial accounting standards until private companies are required to do so. The JOBS Act also allows companies to opt out of this extended transition period and follow the same reporting requirements as non-emerging growth companies, an election that is irrevocable once made.</w:t>
      </w:r>
    </w:p>
    <w:p>
      <w:pPr>
        <w:spacing w:after="0" w:line="191"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As of December 31, 2024, the Company no longer qualifies as an emerging growth company. Consequently, we are now required to comply with new or revised accounting standards on the same timeline as public companies and are subject to the full regulatory and reporting requirements applicable to non-emerging growth companies under the JOBS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regarding internal control over financial reporting is set forth in Part II, Item 9A of this Annual Report.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See Note 2 to the audited consolidated financial statements beginning on page F-14 of this Annual Report for more information about recent accounting pronouncements, the timing of their adoption, and our assessment, to the extent we have made one, of their potential impact on our financial condition and its results of operations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Our cash and cash equivalents primarily consist of cash deposits and money market accounts, which are subject to interest rate fluctuations. While these interest-earning instruments carry a degree of interest rate risk, historical fluctuations in interest income have not been material.</w:t>
      </w:r>
    </w:p>
    <w:p>
      <w:pPr>
        <w:spacing w:after="0" w:line="177" w:lineRule="exact"/>
        <w:rPr>
          <w:sz w:val="20"/>
          <w:szCs w:val="20"/>
          <w:color w:val="auto"/>
        </w:rPr>
      </w:pPr>
    </w:p>
    <w:p>
      <w:pPr>
        <w:jc w:val="both"/>
        <w:ind w:right="140" w:firstLine="619"/>
        <w:spacing w:after="0" w:line="262" w:lineRule="auto"/>
        <w:rPr>
          <w:sz w:val="20"/>
          <w:szCs w:val="20"/>
          <w:color w:val="auto"/>
        </w:rPr>
      </w:pPr>
      <w:r>
        <w:rPr>
          <w:rFonts w:ascii="Times New Roman" w:cs="Times New Roman" w:eastAsia="Times New Roman" w:hAnsi="Times New Roman"/>
          <w:sz w:val="17"/>
          <w:szCs w:val="17"/>
          <w:color w:val="auto"/>
        </w:rPr>
        <w:t>Our bonds payable bear fixed interest rates and are not publicly traded, limiting exposure to interest rate volatility. However, our project finance loans in China include an interest rate spread of 115 basis points over the Loan Prime Rate (LPR) in China, making them sensitive to market interest rate changes. Future movements in benchmark interest rates could materially impact our interest expenses.</w:t>
      </w:r>
    </w:p>
    <w:p>
      <w:pPr>
        <w:spacing w:after="0" w:line="185"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optimizing returns, without significantly increasing risk. Due to the short maturity of our cash equivalents, our portfolio remains relatively insensitive to interest rate fluctuations. We do not anticipate that a 100-basis-point increase or decrease in interest rates would have a material impact on our operating results or financial condition. We will continue to review and adjust our investment policy as needed to ensure it aligns with our risk management strategy and financial objectives.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21"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Given our significant operational presence in China, a large portion of our transactions is denominated in RMB. The volatility of exchange rates is influenced by multiple macroeconomic factors, making it difficult to predict future fluctuations with certainty.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We have experienced, and will likely continue to experience, fluctuations in our operating results due to foreign exchange gains and losses. These</w:t>
      </w:r>
    </w:p>
    <w:p>
      <w:pPr>
        <w:spacing w:after="0" w:line="2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fluctuations arise from the translation of cash balances, trade accounts receivable and payable, and intercompany balances denominated in currencies other than the U.S. Dollar, primarily RMB.</w:t>
      </w:r>
    </w:p>
    <w:p>
      <w:pPr>
        <w:spacing w:after="0" w:line="195"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A hypothetical 10% adverse change in foreign exchange rates for RMB-denominated accounts as of December 31, 2024, including intercompany balances, would have resulted in a foreign currency loss of approximately $15.2 million. As our foreign sales and expenses increase, our operating results may be further impacted by exchange rate fluctuations.</w:t>
      </w:r>
    </w:p>
    <w:p>
      <w:pPr>
        <w:spacing w:after="0" w:line="185"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At present, we do not utilize foreign exchange hedging instruments, but we may consider implementing derivative or financial instruments in the future to mitigate currency risk. However, the potential impact of such hedging activities on our financial performance remains uncertain.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21"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Our credit risk primarily relates to trade receivables, restricted cash, cash equivalents, and amounts due from related parties. We typically extend credit only to customers and counterparties with strong credit ratings and actively monitor overdue accounts to minimize default risk.</w:t>
      </w:r>
    </w:p>
    <w:p>
      <w:pPr>
        <w:spacing w:after="0" w:line="177"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evaluation of credit risk exposure involves significant estimates and judgment. Holding other factors constant, a hypothetical 100-basis-point increase in the expected loss rate on our financing receivables portfolio would have resulted in an increase in the allowance for credit losses of approximately $0.6 million as of December 31, 2024.</w:t>
      </w:r>
    </w:p>
    <w:p>
      <w:pPr>
        <w:spacing w:after="0" w:line="185" w:lineRule="exact"/>
        <w:rPr>
          <w:sz w:val="20"/>
          <w:szCs w:val="20"/>
          <w:color w:val="auto"/>
        </w:rPr>
      </w:pPr>
    </w:p>
    <w:p>
      <w:pPr>
        <w:jc w:val="both"/>
        <w:ind w:right="120" w:firstLine="619"/>
        <w:spacing w:after="0" w:line="262" w:lineRule="auto"/>
        <w:rPr>
          <w:sz w:val="20"/>
          <w:szCs w:val="20"/>
          <w:color w:val="auto"/>
        </w:rPr>
      </w:pPr>
      <w:r>
        <w:rPr>
          <w:rFonts w:ascii="Times New Roman" w:cs="Times New Roman" w:eastAsia="Times New Roman" w:hAnsi="Times New Roman"/>
          <w:sz w:val="17"/>
          <w:szCs w:val="17"/>
          <w:color w:val="auto"/>
        </w:rPr>
        <w:t>To mitigate credit risk, we have a dedicated credit management team responsible for establishing credit limits, approving credit terms, and implementing collection strategies. At each reporting period, we review the recoverability of outstanding balances and ensure that adequate impairment provisions are recorded for potentially uncollectible amounts. If necessary, we negotiate revised payment terms or settlement plans with customers facing financial difficulties.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Given our robust credit risk management practices, we consider our overall credit risk exposure to be significantly mitigated.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Historically, we have observed higher sales volumes in the third and fourth fiscal quarters, compared to the first and second quarters. However, due to our relatively limited operating history, it remains difficult to determine the exact extent or nature of seasonality in our business. We continue to monitor sales trends and market conditions to better understand the potential impact of seasonal demand fluctuations on our operations.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31"/>
        </w:trPr>
        <w:tc>
          <w:tcPr>
            <w:tcW w:w="102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1020" w:type="dxa"/>
            <w:vAlign w:val="bottom"/>
            <w:shd w:val="clear" w:color="auto" w:fill="CCEEFF"/>
          </w:tcPr>
          <w:p>
            <w:pPr>
              <w:spacing w:after="0"/>
              <w:rPr>
                <w:sz w:val="20"/>
                <w:szCs w:val="20"/>
                <w:color w:val="auto"/>
              </w:rPr>
            </w:pPr>
          </w:p>
        </w:tc>
      </w:tr>
      <w:tr>
        <w:trPr>
          <w:trHeight w:val="258"/>
        </w:trPr>
        <w:tc>
          <w:tcPr>
            <w:tcW w:w="11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F-2</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Balance Sheets as of December 31, 2024 and 2023</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2"/>
              </w:rPr>
              <w:t>F-5</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2024, 2023 and 2022</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2"/>
              </w:rPr>
              <w:t>F-7</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4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Comprehensive Loss for the Years Ended December 31, 2024, 2023 and 2022</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2"/>
              </w:rPr>
              <w:t>F-8</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Changes in Shareholders’ (Deficit)/Equity for the Years Ended December 31, 2024, 2023 and 2022</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2"/>
              </w:rPr>
              <w:t>F-9</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460" w:type="dxa"/>
            <w:vAlign w:val="bottom"/>
            <w:tcBorders>
              <w:top w:val="single" w:sz="8" w:color="0000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2024, 2023 and 2022</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F-12</w:t>
            </w:r>
          </w:p>
        </w:tc>
      </w:tr>
      <w:tr>
        <w:trPr>
          <w:trHeight w:val="258"/>
        </w:trPr>
        <w:tc>
          <w:tcPr>
            <w:tcW w:w="1160" w:type="dxa"/>
            <w:vAlign w:val="bottom"/>
            <w:tcBorders>
              <w:top w:val="single" w:sz="8" w:color="CCEEFF"/>
            </w:tcBorders>
          </w:tcPr>
          <w:p>
            <w:pPr>
              <w:spacing w:after="0"/>
              <w:rPr>
                <w:sz w:val="22"/>
                <w:szCs w:val="22"/>
                <w:color w:val="auto"/>
              </w:rPr>
            </w:pPr>
          </w:p>
        </w:tc>
        <w:tc>
          <w:tcPr>
            <w:tcW w:w="3000" w:type="dxa"/>
            <w:vAlign w:val="bottom"/>
            <w:tcBorders>
              <w:top w:val="single" w:sz="8" w:color="0000FF"/>
            </w:tcBorders>
          </w:tcPr>
          <w:p>
            <w:pPr>
              <w:spacing w:after="0"/>
              <w:rPr>
                <w:sz w:val="22"/>
                <w:szCs w:val="22"/>
                <w:color w:val="auto"/>
              </w:rPr>
            </w:pPr>
          </w:p>
        </w:tc>
        <w:tc>
          <w:tcPr>
            <w:tcW w:w="10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F-14</w:t>
            </w:r>
          </w:p>
        </w:tc>
      </w:tr>
      <w:tr>
        <w:trPr>
          <w:trHeight w:val="864"/>
        </w:trPr>
        <w:tc>
          <w:tcPr>
            <w:tcW w:w="1160" w:type="dxa"/>
            <w:vAlign w:val="bottom"/>
            <w:tcBorders>
              <w:top w:val="single" w:sz="8" w:color="CCEEFF"/>
            </w:tcBorders>
          </w:tcPr>
          <w:p>
            <w:pPr>
              <w:spacing w:after="0"/>
              <w:rPr>
                <w:sz w:val="24"/>
                <w:szCs w:val="24"/>
                <w:color w:val="auto"/>
              </w:rPr>
            </w:pPr>
          </w:p>
        </w:tc>
        <w:tc>
          <w:tcPr>
            <w:tcW w:w="3000" w:type="dxa"/>
            <w:vAlign w:val="bottom"/>
            <w:tcBorders>
              <w:top w:val="single" w:sz="8" w:color="0000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5040" w:type="dxa"/>
            <w:vAlign w:val="bottom"/>
            <w:tcBorders>
              <w:top w:val="single" w:sz="8" w:color="CCEEFF"/>
            </w:tcBorders>
            <w:gridSpan w:val="6"/>
          </w:tcPr>
          <w:p>
            <w:pPr>
              <w:ind w:left="320"/>
              <w:spacing w:after="0"/>
              <w:rPr>
                <w:sz w:val="20"/>
                <w:szCs w:val="20"/>
                <w:color w:val="auto"/>
              </w:rPr>
            </w:pPr>
            <w:r>
              <w:rPr>
                <w:rFonts w:ascii="Times New Roman" w:cs="Times New Roman" w:eastAsia="Times New Roman" w:hAnsi="Times New Roman"/>
                <w:sz w:val="17"/>
                <w:szCs w:val="17"/>
                <w:color w:val="auto"/>
              </w:rPr>
              <w:t>F-1</w:t>
            </w:r>
          </w:p>
        </w:tc>
        <w:tc>
          <w:tcPr>
            <w:tcW w:w="1020" w:type="dxa"/>
            <w:vAlign w:val="bottom"/>
            <w:tcBorders>
              <w:top w:val="single" w:sz="8" w:color="CCEEFF"/>
            </w:tcBorders>
          </w:tcPr>
          <w:p>
            <w:pPr>
              <w:spacing w:after="0"/>
              <w:rPr>
                <w:sz w:val="24"/>
                <w:szCs w:val="24"/>
                <w:color w:val="auto"/>
              </w:rPr>
            </w:pPr>
          </w:p>
        </w:tc>
      </w:tr>
      <w:tr>
        <w:trPr>
          <w:trHeight w:val="108"/>
        </w:trPr>
        <w:tc>
          <w:tcPr>
            <w:tcW w:w="116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80" w:firstLine="2679"/>
        <w:spacing w:after="0" w:line="621"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Shareholders and Board of Directors of Microvast Holdings, Inc. Opinion on the Financial Statements</w:t>
      </w:r>
    </w:p>
    <w:p>
      <w:pPr>
        <w:spacing w:after="0" w:line="224"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Microvast Holdings, Inc. and its subsidiaries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as of December 31, 2024 and 2023, the related consolidated statements of operations, comprehensive loss, changes in shareholders’ equity, and cash flows, for each of the three years in the period ended December 31, 2024, and the related notes and the schedule listed in Schedule I (collectively referred to as the “</w:t>
      </w:r>
      <w:r>
        <w:rPr>
          <w:rFonts w:ascii="Times New Roman" w:cs="Times New Roman" w:eastAsia="Times New Roman" w:hAnsi="Times New Roman"/>
          <w:sz w:val="17"/>
          <w:szCs w:val="17"/>
          <w:b w:val="1"/>
          <w:bCs w:val="1"/>
          <w:i w:val="1"/>
          <w:iCs w:val="1"/>
          <w:color w:val="auto"/>
        </w:rPr>
        <w:t>financial statements</w:t>
      </w:r>
      <w:r>
        <w:rPr>
          <w:rFonts w:ascii="Times New Roman" w:cs="Times New Roman" w:eastAsia="Times New Roman" w:hAnsi="Times New Roman"/>
          <w:sz w:val="17"/>
          <w:szCs w:val="17"/>
          <w:color w:val="auto"/>
        </w:rPr>
        <w:t>”).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31, 2025, expressed an adverse opinion on the Company’s internal control over financial reporting because of a material weakness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21"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Going concern – refer to Note 2 of the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discussed in Note 2 to the financial statements, there are conditions and events that raise substantial doubt about the Company’s ability to continue as a going concern. Management's plans including generation of cash inflows from operations and refinancing of short-term bank borrowings in the next twelve months since the date of issuance of the financial statements to alleviate the substantial doubt are also described in Note 2.</w:t>
      </w:r>
    </w:p>
    <w:p>
      <w:pPr>
        <w:spacing w:after="0" w:line="198" w:lineRule="exact"/>
        <w:rPr>
          <w:sz w:val="20"/>
          <w:szCs w:val="20"/>
          <w:color w:val="auto"/>
        </w:rPr>
      </w:pPr>
    </w:p>
    <w:p>
      <w:pPr>
        <w:jc w:val="both"/>
        <w:ind w:right="120" w:firstLine="619"/>
        <w:spacing w:after="0" w:line="254" w:lineRule="auto"/>
        <w:rPr>
          <w:sz w:val="20"/>
          <w:szCs w:val="20"/>
          <w:color w:val="auto"/>
        </w:rPr>
      </w:pPr>
      <w:r>
        <w:rPr>
          <w:rFonts w:ascii="Times New Roman" w:cs="Times New Roman" w:eastAsia="Times New Roman" w:hAnsi="Times New Roman"/>
          <w:sz w:val="17"/>
          <w:szCs w:val="17"/>
          <w:color w:val="auto"/>
        </w:rPr>
        <w:t>We identified the evaluation of the Company's assessment of its ability to continue as a going concern as a critical audit matter because a high degree of auditor judgment was required to evaluate the reasonableness of management’s estimates and assumptions related to the Company’s cash flow forecast used in its going concern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Company’s going concern included the following, among others:</w:t>
      </w:r>
    </w:p>
    <w:p>
      <w:pPr>
        <w:spacing w:after="0" w:line="230"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internal controls over the Company's going concern assessment and forecasted cash flows.</w:t>
      </w:r>
    </w:p>
    <w:p>
      <w:pPr>
        <w:spacing w:after="0" w:line="229" w:lineRule="exact"/>
        <w:rPr>
          <w:rFonts w:ascii="Times New Roman" w:cs="Times New Roman" w:eastAsia="Times New Roman" w:hAnsi="Times New Roman"/>
          <w:sz w:val="17"/>
          <w:szCs w:val="17"/>
          <w:color w:val="auto"/>
        </w:rPr>
      </w:pPr>
    </w:p>
    <w:p>
      <w:pPr>
        <w:ind w:left="620" w:right="340" w:hanging="307"/>
        <w:spacing w:after="0" w:line="271"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a retrospective review to compare the Company's historical forecasted cash flows to actual results to assess the Company's ability to accurately forecast.</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the underlying data and assumptions included in management's forecasted cash flows.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sensitivity analyses to assess the impact of changes in the key assumptions such as revenue growth rate and gross margin ratio.</w:t>
      </w:r>
    </w:p>
    <w:p>
      <w:pPr>
        <w:spacing w:after="0" w:line="217"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inspected the terms of loan agreements to determine whether any covenants have been breached and whether the repayment within the next twelve months are properly included in the forecast.</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the Company’s assessment that the management plans are probable to alleviate the substantial doubt.</w:t>
      </w:r>
    </w:p>
    <w:p>
      <w:pPr>
        <w:spacing w:after="0" w:line="229" w:lineRule="exact"/>
        <w:rPr>
          <w:rFonts w:ascii="Times New Roman" w:cs="Times New Roman" w:eastAsia="Times New Roman" w:hAnsi="Times New Roman"/>
          <w:sz w:val="17"/>
          <w:szCs w:val="17"/>
          <w:color w:val="auto"/>
        </w:rPr>
      </w:pPr>
    </w:p>
    <w:p>
      <w:pPr>
        <w:ind w:left="620" w:right="620" w:hanging="307"/>
        <w:spacing w:after="0" w:line="271"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reviewed subsequent events to identify those that represent additional conditions and events to be considered in aggregate and whether any contradictory evidence exists.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Impairment of Long-lived assets – refer to Note 2 and Note 6 of the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3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As discussed in Note 2 and 6 to the financial statements, during the year ended December 31, 2024, the Company paused the construction of the battery plant in Clarksville, Tennessee, the United States, until additional funding for the remaining capital expenditure is secured. As of December 31, 2024, the Company’s net value of the building and auxiliary equipment in Clarksville (“Clarksville Property”) is approximately $140 million. The Company assessed and concluded that the undiscounted cash flows indicate that the carrying value of Clarksville Property will not be recoverable. As a result, the Company utilized the residual method to estimate its fair value, with the assistance of an independent valuer. The Company recognized $57 million impairment of the Clarksville Property equaling the excess of the Clarksville Property’s carrying amount over its estimated fair value for the year ended December 31, 2024.</w:t>
      </w:r>
    </w:p>
    <w:p>
      <w:pPr>
        <w:spacing w:after="0" w:line="187"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Auditing the Company's impairment assessment was complex due to the significant estimation and judgement required to evaluate the market and economic conditions as well as the degree of subjectivity involved in determining the indicative market value of the asset group. The Company developed its significant assumptions such as gross development value, indirect cost, development profit.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impairment of property, plant and equipment included the following, among others:</w:t>
      </w:r>
    </w:p>
    <w:p>
      <w:pPr>
        <w:spacing w:after="0" w:line="230"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the key controls over the impairment assessment of this property, plant and equipment.</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independent valuer’s objectivity, competence and capabilities.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involvement of our fair value specialists, we performed the following:</w:t>
      </w:r>
    </w:p>
    <w:p>
      <w:pPr>
        <w:spacing w:after="0" w:line="229" w:lineRule="exact"/>
        <w:rPr>
          <w:rFonts w:ascii="Times New Roman" w:cs="Times New Roman" w:eastAsia="Times New Roman" w:hAnsi="Times New Roman"/>
          <w:sz w:val="17"/>
          <w:szCs w:val="17"/>
          <w:color w:val="auto"/>
        </w:rPr>
      </w:pPr>
    </w:p>
    <w:p>
      <w:pPr>
        <w:ind w:left="620" w:right="3280" w:firstLine="2"/>
        <w:spacing w:after="0" w:line="271" w:lineRule="auto"/>
        <w:tabs>
          <w:tab w:leader="none" w:pos="75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the appropriateness of the valuation methodology and significant assumptions, such as gross development value, indirect cost, development profit.</w:t>
      </w:r>
    </w:p>
    <w:p>
      <w:pPr>
        <w:spacing w:after="0" w:line="177" w:lineRule="exact"/>
        <w:rPr>
          <w:rFonts w:ascii="Times New Roman" w:cs="Times New Roman" w:eastAsia="Times New Roman" w:hAnsi="Times New Roman"/>
          <w:sz w:val="17"/>
          <w:szCs w:val="17"/>
          <w:color w:val="auto"/>
        </w:rPr>
      </w:pPr>
    </w:p>
    <w:p>
      <w:pPr>
        <w:ind w:left="800" w:hanging="178"/>
        <w:spacing w:after="0"/>
        <w:tabs>
          <w:tab w:leader="none" w:pos="8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Tested the accuracy of mathematical calculation.</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the underlying data used by the Company such as remaining capital expenditure to complete the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Touche Tohmatsu Certified Public Accountants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00" w:lineRule="exact"/>
        <w:rPr>
          <w:sz w:val="20"/>
          <w:szCs w:val="20"/>
          <w:color w:val="auto"/>
        </w:rPr>
      </w:pPr>
    </w:p>
    <w:p>
      <w:pPr>
        <w:spacing w:after="0" w:line="39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44,541</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 current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37,477</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investments</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$5,090 and $4,571 as of December 31, 2024 and 2023,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120,626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138,717</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23,736</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149,749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25,752</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Assets held for sale</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428,026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425,606</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478,189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620,667</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use rights,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11,984</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Acquired intangible assets, net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19,507</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9,661</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951,867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1,096,732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112,618</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payable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63,374</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148,284</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Advance from customers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43,087</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bank borrowings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35,392</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payables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330,153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403,410</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bank borrowings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43,761</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bonds payable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43,157</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liability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loan with shareholder measured at fair value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17,087</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24,861</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563,972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532,542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63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(par value of US$0.0001 per share, 750,000,000 shares authorized as of December 31, 2024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 324,831,634 and 316,694,442 shares issued, and 323,144,134 and 315,006,942 shares outstanding as of</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2024 and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1,512,982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1,481,241</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reserves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(897,501)</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(25,614)</w:t>
            </w: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564,190</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951,867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1,096,732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204,495</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(260,249)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(249,390)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119,552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57,227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(102,774)</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(43,508)</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(22,611)</w:t>
            </w:r>
          </w:p>
        </w:tc>
      </w:tr>
      <w:tr>
        <w:trPr>
          <w:trHeight w:val="25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Impairment loss of long-lived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(1,798)</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(238,300)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(165,909)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(170,691)</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Subsidy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(116,090)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(106,729)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(159,946)</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provision for income tax</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(106,402)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(158,167)</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(106,412)</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(158,200)</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Microvast Holdings, Inc.</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(106,336)</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(158,200)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stock shareholders of Microvast Holdings, Inc.</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in calculating net loss per share of common stock:</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318,462,843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310,909,379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303,279,188</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(158,200)</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(24,782)</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(114,033)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(182,982)</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3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 attributable to Microvast Holdings, Inc.</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(113,869)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(182,982)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80" w:type="dxa"/>
            <w:vAlign w:val="bottom"/>
            <w:gridSpan w:val="8"/>
          </w:tcPr>
          <w:p>
            <w:pPr>
              <w:ind w:left="70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Microvast</w:t>
            </w: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210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Holdings, Inc.</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24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7"/>
                <w:szCs w:val="17"/>
                <w:b w:val="1"/>
                <w:bCs w:val="1"/>
                <w:color w:val="auto"/>
              </w:rPr>
              <w:t>Statutory</w:t>
            </w:r>
          </w:p>
        </w:tc>
        <w:tc>
          <w:tcPr>
            <w:tcW w:w="100" w:type="dxa"/>
            <w:vAlign w:val="bottom"/>
          </w:tcPr>
          <w:p>
            <w:pPr>
              <w:spacing w:after="0"/>
              <w:rPr>
                <w:sz w:val="16"/>
                <w:szCs w:val="16"/>
                <w:color w:val="auto"/>
              </w:rPr>
            </w:pPr>
          </w:p>
        </w:tc>
        <w:tc>
          <w:tcPr>
            <w:tcW w:w="1140" w:type="dxa"/>
            <w:vAlign w:val="bottom"/>
          </w:tcPr>
          <w:p>
            <w:pPr>
              <w:jc w:val="center"/>
              <w:ind w:right="14"/>
              <w:spacing w:after="0" w:line="188"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6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reserves</w:t>
            </w:r>
          </w:p>
        </w:tc>
        <w:tc>
          <w:tcPr>
            <w:tcW w:w="100" w:type="dxa"/>
            <w:vAlign w:val="bottom"/>
          </w:tcPr>
          <w:p>
            <w:pPr>
              <w:spacing w:after="0"/>
              <w:rPr>
                <w:sz w:val="19"/>
                <w:szCs w:val="19"/>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315,006,942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1,481,241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(897,501)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9"/>
              </w:rPr>
              <w:t>(25,614)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564,190</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in connection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vesting of share-based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8,137,192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compensation(Note 21)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30,963</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warrants(Note 26)</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9"/>
              </w:rPr>
              <w:t>(12,580)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323,144,134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1,512,982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(1,092,958)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b w:val="1"/>
                <w:bCs w:val="1"/>
                <w:color w:val="auto"/>
                <w:w w:val="99"/>
              </w:rPr>
              <w:t>(38,194)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 -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8"/>
          </w:tcPr>
          <w:p>
            <w:pPr>
              <w:ind w:left="440"/>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Microvast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16"/>
                <w:szCs w:val="16"/>
                <w:color w:val="auto"/>
              </w:rPr>
            </w:pPr>
          </w:p>
        </w:tc>
        <w:tc>
          <w:tcPr>
            <w:tcW w:w="18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Holdings, Inc.</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920" w:type="dxa"/>
            <w:vAlign w:val="bottom"/>
            <w:gridSpan w:val="2"/>
            <w:vMerge w:val="restart"/>
          </w:tcPr>
          <w:p>
            <w:pPr>
              <w:jc w:val="center"/>
              <w:ind w:right="120"/>
              <w:spacing w:after="0" w:line="138"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20" w:type="dxa"/>
            <w:vAlign w:val="bottom"/>
            <w:gridSpan w:val="3"/>
            <w:vMerge w:val="restart"/>
          </w:tcPr>
          <w:p>
            <w:pPr>
              <w:jc w:val="right"/>
              <w:ind w:right="120"/>
              <w:spacing w:after="0" w:line="13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60" w:type="dxa"/>
            <w:vAlign w:val="bottom"/>
            <w:gridSpan w:val="3"/>
            <w:vMerge w:val="restart"/>
          </w:tcPr>
          <w:p>
            <w:pPr>
              <w:jc w:val="center"/>
              <w:ind w:right="120"/>
              <w:spacing w:after="0" w:line="138"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80" w:type="dxa"/>
            <w:vAlign w:val="bottom"/>
            <w:gridSpan w:val="3"/>
            <w:vMerge w:val="restart"/>
          </w:tcPr>
          <w:p>
            <w:pPr>
              <w:ind w:left="100"/>
              <w:spacing w:after="0" w:line="138" w:lineRule="exact"/>
              <w:rPr>
                <w:sz w:val="20"/>
                <w:szCs w:val="20"/>
                <w:color w:val="auto"/>
              </w:rPr>
            </w:pPr>
            <w:r>
              <w:rPr>
                <w:rFonts w:ascii="Times New Roman" w:cs="Times New Roman" w:eastAsia="Times New Roman" w:hAnsi="Times New Roman"/>
                <w:sz w:val="15"/>
                <w:szCs w:val="15"/>
                <w:b w:val="1"/>
                <w:bCs w:val="1"/>
                <w:color w:val="auto"/>
              </w:rPr>
              <w:t>Statutory</w:t>
            </w:r>
          </w:p>
        </w:tc>
        <w:tc>
          <w:tcPr>
            <w:tcW w:w="1060" w:type="dxa"/>
            <w:vAlign w:val="bottom"/>
            <w:gridSpan w:val="3"/>
            <w:vMerge w:val="restart"/>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Shareholders’</w:t>
            </w:r>
          </w:p>
        </w:tc>
        <w:tc>
          <w:tcPr>
            <w:tcW w:w="1160" w:type="dxa"/>
            <w:vAlign w:val="bottom"/>
            <w:gridSpan w:val="3"/>
            <w:vMerge w:val="restart"/>
          </w:tcPr>
          <w:p>
            <w:pPr>
              <w:ind w:left="40"/>
              <w:spacing w:after="0" w:line="138"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140" w:type="dxa"/>
            <w:vAlign w:val="bottom"/>
          </w:tcPr>
          <w:p>
            <w:pPr>
              <w:spacing w:after="0"/>
              <w:rPr>
                <w:sz w:val="10"/>
                <w:szCs w:val="10"/>
                <w:color w:val="auto"/>
              </w:rPr>
            </w:pPr>
          </w:p>
        </w:tc>
        <w:tc>
          <w:tcPr>
            <w:tcW w:w="660" w:type="dxa"/>
            <w:vAlign w:val="bottom"/>
            <w:vMerge w:val="restart"/>
          </w:tcPr>
          <w:p>
            <w:pPr>
              <w:jc w:val="right"/>
              <w:ind w:right="163"/>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income/(loss)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307,628,511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$ 1,416,160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(791,165)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(18,081)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612,977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612,977</w:t>
            </w:r>
          </w:p>
        </w:tc>
        <w:tc>
          <w:tcPr>
            <w:tcW w:w="0" w:type="dxa"/>
            <w:vAlign w:val="bottom"/>
          </w:tcPr>
          <w:p>
            <w:pPr>
              <w:spacing w:after="0"/>
              <w:rPr>
                <w:sz w:val="1"/>
                <w:szCs w:val="1"/>
                <w:color w:val="auto"/>
              </w:rPr>
            </w:pPr>
          </w:p>
        </w:tc>
      </w:tr>
      <w:tr>
        <w:trPr>
          <w:trHeight w:val="201"/>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(106,412)</w:t>
            </w: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 contribution from</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Reduction of noncontrolling interest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in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connection with vesting of share-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based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7,378,431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compensation(Note 21)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65,246</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(7,621)</w:t>
            </w:r>
          </w:p>
        </w:tc>
        <w:tc>
          <w:tcPr>
            <w:tcW w:w="0" w:type="dxa"/>
            <w:vAlign w:val="bottom"/>
          </w:tcPr>
          <w:p>
            <w:pPr>
              <w:spacing w:after="0"/>
              <w:rPr>
                <w:sz w:val="1"/>
                <w:szCs w:val="1"/>
                <w:color w:val="auto"/>
              </w:rPr>
            </w:pPr>
          </w:p>
        </w:tc>
      </w:tr>
      <w:tr>
        <w:trPr>
          <w:trHeight w:val="218"/>
        </w:trPr>
        <w:tc>
          <w:tcPr>
            <w:tcW w:w="2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adjustments</w:t>
            </w: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315,006,942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$ 1,481,241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(897,501)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(25,614)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6,032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564,190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564,190</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Microvast</w:t>
            </w: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10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Holdings, Inc.</w:t>
            </w: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2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6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7"/>
                <w:szCs w:val="17"/>
                <w:b w:val="1"/>
                <w:bCs w:val="1"/>
                <w:color w:val="auto"/>
              </w:rPr>
              <w:t>Statutory</w:t>
            </w:r>
          </w:p>
        </w:tc>
        <w:tc>
          <w:tcPr>
            <w:tcW w:w="120" w:type="dxa"/>
            <w:vAlign w:val="bottom"/>
          </w:tcPr>
          <w:p>
            <w:pPr>
              <w:spacing w:after="0"/>
              <w:rPr>
                <w:sz w:val="16"/>
                <w:szCs w:val="16"/>
                <w:color w:val="auto"/>
              </w:rPr>
            </w:pPr>
          </w:p>
        </w:tc>
        <w:tc>
          <w:tcPr>
            <w:tcW w:w="1140" w:type="dxa"/>
            <w:vAlign w:val="bottom"/>
          </w:tcPr>
          <w:p>
            <w:pPr>
              <w:jc w:val="center"/>
              <w:ind w:right="14"/>
              <w:spacing w:after="0" w:line="188"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4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tcPr>
          <w:p>
            <w:pPr>
              <w:spacing w:after="0"/>
              <w:rPr>
                <w:sz w:val="21"/>
                <w:szCs w:val="21"/>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6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reserve</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44"/>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298,843,016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1,306,034</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(632,099)</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686,698</w:t>
            </w:r>
          </w:p>
        </w:tc>
        <w:tc>
          <w:tcPr>
            <w:tcW w:w="0" w:type="dxa"/>
            <w:vAlign w:val="bottom"/>
          </w:tcPr>
          <w:p>
            <w:pPr>
              <w:spacing w:after="0"/>
              <w:rPr>
                <w:sz w:val="1"/>
                <w:szCs w:val="1"/>
                <w:color w:val="auto"/>
              </w:rPr>
            </w:pP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(158,200)</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effect adjustment related to</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opening retained earnings for adoption</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5"/>
                <w:szCs w:val="15"/>
                <w:color w:val="auto"/>
              </w:rPr>
              <w:t>ASU2016-13</w:t>
            </w:r>
            <w:r>
              <w:rPr>
                <w:rFonts w:ascii="Times New Roman" w:cs="Times New Roman" w:eastAsia="Times New Roman" w:hAnsi="Times New Roman"/>
                <w:sz w:val="17"/>
                <w:szCs w:val="17"/>
                <w:color w:val="auto"/>
              </w:rPr>
              <w:t>, Financial instruments-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Credit losses (Topic 326)</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in connection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 vesting of share-based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8,785,495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compensation(Note 21)</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110,127</w:t>
            </w:r>
          </w:p>
        </w:tc>
        <w:tc>
          <w:tcPr>
            <w:tcW w:w="0" w:type="dxa"/>
            <w:vAlign w:val="bottom"/>
          </w:tcPr>
          <w:p>
            <w:pPr>
              <w:spacing w:after="0"/>
              <w:rPr>
                <w:sz w:val="1"/>
                <w:szCs w:val="1"/>
                <w:color w:val="auto"/>
              </w:rPr>
            </w:pP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(24,782)</w:t>
            </w:r>
          </w:p>
        </w:tc>
        <w:tc>
          <w:tcPr>
            <w:tcW w:w="0" w:type="dxa"/>
            <w:vAlign w:val="bottom"/>
          </w:tcPr>
          <w:p>
            <w:pPr>
              <w:spacing w:after="0"/>
              <w:rPr>
                <w:sz w:val="1"/>
                <w:szCs w:val="1"/>
                <w:color w:val="auto"/>
              </w:rPr>
            </w:pPr>
          </w:p>
        </w:tc>
      </w:tr>
      <w:tr>
        <w:trPr>
          <w:trHeight w:val="269"/>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307,628,511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1,416,160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(791,165)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(18,081)</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612,977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22225</wp:posOffset>
            </wp:positionV>
            <wp:extent cx="2938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6"/>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(158,200)</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/(gain) on disposal of property, plant and equipment</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debt restructuring</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19,811</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land use rights and intangible assets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lease expenses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90,808</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 liability and convertible loan</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Allowance of credit losses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Write-down for obsolete inventories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4,789</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Impairment loss from long-lived assets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warranty</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w:t>
            </w:r>
          </w:p>
        </w:tc>
      </w:tr>
      <w:tr>
        <w:trPr>
          <w:trHeight w:val="25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(38,924)</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(43,694)</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Amounts due from/to related parties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(19,375)</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payable</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13,490</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7,146</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Advance from customers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53,022</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(24,674)</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14,999</w:t>
            </w:r>
          </w:p>
        </w:tc>
      </w:tr>
      <w:tr>
        <w:trPr>
          <w:trHeight w:val="239"/>
        </w:trPr>
        <w:tc>
          <w:tcPr>
            <w:tcW w:w="5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w:t>
            </w:r>
          </w:p>
        </w:tc>
      </w:tr>
      <w:tr>
        <w:trPr>
          <w:trHeight w:val="23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from (used in) operating activities</w:t>
            </w:r>
          </w:p>
        </w:tc>
        <w:tc>
          <w:tcPr>
            <w:tcW w:w="13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(53,928)</w:t>
            </w:r>
          </w:p>
        </w:tc>
      </w:tr>
      <w:tr>
        <w:trPr>
          <w:trHeight w:val="244"/>
        </w:trPr>
        <w:tc>
          <w:tcPr>
            <w:tcW w:w="5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(150,880)</w:t>
            </w: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on disposal of property, plant and equipment</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(25,070)</w:t>
            </w:r>
          </w:p>
        </w:tc>
      </w:tr>
      <w:tr>
        <w:trPr>
          <w:trHeight w:val="245"/>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13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(165,605)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(175,945)</w:t>
            </w:r>
          </w:p>
        </w:tc>
      </w:tr>
      <w:tr>
        <w:trPr>
          <w:trHeight w:val="244"/>
        </w:trPr>
        <w:tc>
          <w:tcPr>
            <w:tcW w:w="5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bank borrowings</w:t>
            </w:r>
          </w:p>
        </w:tc>
        <w:tc>
          <w:tcPr>
            <w:tcW w:w="1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58,708</w:t>
            </w:r>
          </w:p>
        </w:tc>
      </w:tr>
      <w:tr>
        <w:trPr>
          <w:trHeight w:val="864"/>
        </w:trPr>
        <w:tc>
          <w:tcPr>
            <w:tcW w:w="5320" w:type="dxa"/>
            <w:vAlign w:val="bottom"/>
          </w:tcPr>
          <w:p>
            <w:pPr>
              <w:spacing w:after="0"/>
              <w:rPr>
                <w:sz w:val="24"/>
                <w:szCs w:val="24"/>
                <w:color w:val="auto"/>
              </w:rPr>
            </w:pPr>
          </w:p>
        </w:tc>
        <w:tc>
          <w:tcPr>
            <w:tcW w:w="1640" w:type="dxa"/>
            <w:vAlign w:val="bottom"/>
            <w:gridSpan w:val="2"/>
          </w:tcPr>
          <w:p>
            <w:pPr>
              <w:jc w:val="right"/>
              <w:ind w:right="1180"/>
              <w:spacing w:after="0"/>
              <w:rPr>
                <w:sz w:val="20"/>
                <w:szCs w:val="20"/>
                <w:color w:val="auto"/>
              </w:rPr>
            </w:pPr>
            <w:r>
              <w:rPr>
                <w:rFonts w:ascii="Times New Roman" w:cs="Times New Roman" w:eastAsia="Times New Roman" w:hAnsi="Times New Roman"/>
                <w:sz w:val="17"/>
                <w:szCs w:val="17"/>
                <w:color w:val="auto"/>
              </w:rPr>
              <w:t>F-12</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5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22225</wp:posOffset>
            </wp:positionV>
            <wp:extent cx="29387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38"/>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 of bonds payable</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(29,259)</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 of bank borrowings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(24,482)</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Convertible loan borrowed from a shareholder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debt issue costs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payment related to purchases of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37,589</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33,041</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44"/>
        </w:trPr>
        <w:tc>
          <w:tcPr>
            <w:tcW w:w="6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(8,586)</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(214,428)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(233,492)</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the year</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302,617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536,109</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the year</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109,601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88,189</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302,617</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amounts on 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231,420</w:t>
            </w:r>
          </w:p>
        </w:tc>
      </w:tr>
      <w:tr>
        <w:trPr>
          <w:trHeight w:val="23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43,648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71,197</w:t>
            </w:r>
          </w:p>
        </w:tc>
      </w:tr>
      <w:tr>
        <w:trPr>
          <w:trHeight w:val="269"/>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109,601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302,617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5,135</w:t>
            </w: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paid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6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Payable for purchase of property, plant and equipment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45,983</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96,350</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29,183</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ORGANIZATION AND BUSINESS OPERATIONS</w:t>
      </w:r>
    </w:p>
    <w:p>
      <w:pPr>
        <w:spacing w:after="0" w:line="221"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Microvast, Inc. was incorporated under the laws of the State of Texas in the United States of America on October 12, 2006 and re-domiciled to the State of Delaware on December 31, 2015. On July 23, 2021 (the “Closing Date”), Microvast, Inc. and Tuscan Holdings Corp.(“Tuscan”) consummated the previously announced merger (the “Merger” or the "Business Combination"), pursuant to the Agreement and Plan of Merger (the “Merger Agreement”) dated February 1, 2021, between Tuscan, Microvast, Inc. and TSCN Merger Sub Inc., a Delaware corporation (“Merger Sub”).</w:t>
      </w:r>
    </w:p>
    <w:p>
      <w:pPr>
        <w:spacing w:after="0" w:line="17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details of the Company’s major subsidiaries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 of</w:t>
            </w: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Percentage</w:t>
            </w: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of ownership</w:t>
            </w:r>
          </w:p>
        </w:tc>
      </w:tr>
      <w:tr>
        <w:trPr>
          <w:trHeight w:val="25"/>
        </w:trPr>
        <w:tc>
          <w:tcPr>
            <w:tcW w:w="4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1"/>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Microvast, Inc. (“</w:t>
            </w:r>
            <w:r>
              <w:rPr>
                <w:rFonts w:ascii="Times New Roman" w:cs="Times New Roman" w:eastAsia="Times New Roman" w:hAnsi="Times New Roman"/>
                <w:sz w:val="17"/>
                <w:szCs w:val="17"/>
                <w:b w:val="1"/>
                <w:bCs w:val="1"/>
                <w:i w:val="1"/>
                <w:iCs w:val="1"/>
                <w:color w:val="auto"/>
              </w:rPr>
              <w:t>Microvast</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Delaware, USA</w:t>
            </w:r>
          </w:p>
        </w:tc>
        <w:tc>
          <w:tcPr>
            <w:tcW w:w="2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October 2006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Power Solutions, Inc (“</w:t>
            </w:r>
            <w:r>
              <w:rPr>
                <w:rFonts w:ascii="Times New Roman" w:cs="Times New Roman" w:eastAsia="Times New Roman" w:hAnsi="Times New Roman"/>
                <w:sz w:val="17"/>
                <w:szCs w:val="17"/>
                <w:b w:val="1"/>
                <w:bCs w:val="1"/>
                <w:i w:val="1"/>
                <w:iCs w:val="1"/>
                <w:color w:val="auto"/>
              </w:rPr>
              <w:t>MP Solutions</w:t>
            </w:r>
            <w:r>
              <w:rPr>
                <w:rFonts w:ascii="Times New Roman" w:cs="Times New Roman" w:eastAsia="Times New Roman" w:hAnsi="Times New Roman"/>
                <w:sz w:val="17"/>
                <w:szCs w:val="17"/>
                <w:color w:val="auto"/>
              </w:rPr>
              <w: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Texas, USA</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2013</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64"/>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Microvast Power Systems Co., Ltd. (“</w:t>
            </w:r>
            <w:r>
              <w:rPr>
                <w:rFonts w:ascii="Times New Roman" w:cs="Times New Roman" w:eastAsia="Times New Roman" w:hAnsi="Times New Roman"/>
                <w:sz w:val="17"/>
                <w:szCs w:val="17"/>
                <w:b w:val="1"/>
                <w:bCs w:val="1"/>
                <w:i w:val="1"/>
                <w:iCs w:val="1"/>
                <w:color w:val="auto"/>
              </w:rPr>
              <w:t>MPS</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Huzhou, PRC</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2006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GmbH (“</w:t>
            </w:r>
            <w:r>
              <w:rPr>
                <w:rFonts w:ascii="Times New Roman" w:cs="Times New Roman" w:eastAsia="Times New Roman" w:hAnsi="Times New Roman"/>
                <w:sz w:val="17"/>
                <w:szCs w:val="17"/>
                <w:b w:val="1"/>
                <w:bCs w:val="1"/>
                <w:i w:val="1"/>
                <w:iCs w:val="1"/>
                <w:color w:val="auto"/>
              </w:rPr>
              <w:t>MV GmbH</w:t>
            </w:r>
            <w:r>
              <w:rPr>
                <w:rFonts w:ascii="Times New Roman" w:cs="Times New Roman" w:eastAsia="Times New Roman" w:hAnsi="Times New Roman"/>
                <w:sz w:val="17"/>
                <w:szCs w:val="17"/>
                <w:color w:val="auto"/>
              </w:rPr>
              <w:t>”)</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Germany</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2016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Huzhou Hongwei New Energy Automobile Co., Ltd.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Hongwei</w:t>
            </w:r>
            <w:r>
              <w:rPr>
                <w:rFonts w:ascii="Times New Roman" w:cs="Times New Roman" w:eastAsia="Times New Roman" w:hAnsi="Times New Roman"/>
                <w:sz w:val="17"/>
                <w:szCs w:val="17"/>
                <w:color w:val="auto"/>
              </w:rPr>
              <w:t>”)</w:t>
            </w:r>
          </w:p>
        </w:tc>
        <w:tc>
          <w:tcPr>
            <w:tcW w:w="2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Huzhou, PRC</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4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Microvast Energy, Inc. (“</w:t>
            </w:r>
            <w:r>
              <w:rPr>
                <w:rFonts w:ascii="Times New Roman" w:cs="Times New Roman" w:eastAsia="Times New Roman" w:hAnsi="Times New Roman"/>
                <w:sz w:val="17"/>
                <w:szCs w:val="17"/>
                <w:b w:val="1"/>
                <w:bCs w:val="1"/>
                <w:i w:val="1"/>
                <w:iCs w:val="1"/>
                <w:color w:val="auto"/>
              </w:rPr>
              <w:t>MV Energy</w:t>
            </w:r>
            <w:r>
              <w:rPr>
                <w:rFonts w:ascii="Times New Roman" w:cs="Times New Roman" w:eastAsia="Times New Roman" w:hAnsi="Times New Roman"/>
                <w:sz w:val="17"/>
                <w:szCs w:val="17"/>
                <w:color w:val="auto"/>
              </w:rPr>
              <w: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Colorado, USA</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29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and its subsidiaries (collectively, the “Group”) are primarily engaged in developing, manufacturing, and selling lithium-ion battery technologies for use in commercial electric vehicles and battery energy storage systems across the globe.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of the Group have been prepared in accordance with the generally accepted accounting principles in the United States of America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w:t>
      </w:r>
    </w:p>
    <w:p>
      <w:pPr>
        <w:spacing w:after="0" w:line="223"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of the Group include the financial statements of the Company and its subsidiaries. All intercompany transactions and balances have been eliminated upon consolidation.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accompanying consolidated financial statements of the Group have been prepared on a going concern basis, which assumes that the Group will continue to realize its assets and settle its liabilities in the ordinary course of business.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For the years ended December 31, 2024, 2023 and 2022, the Group incurred net losses of $195,457 (including a $93,173 impairment loss from property, plant and equipment and a $79,960 loss on changes in fair value of warrant liability and convertible loan), $106,412 and $158,200, and generated /(used) cash flows from /(in) operating activities amounting to $2,814, $(75,303), $(53,928), respectively.</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of December 31, 2024, the Group had working capital of $97,873, shareholders’ equity of $387,895 (including an accumulated deficit of $1,092,958), and cash and cash equivalents of $73,007. As of December 31, 2024, the Group held outstanding borrowings of $111,728, with $70,666 due within the next 12 months, and other current liabilities of $259,487, which include accounts payable, notes payable, accrued expenses and other current liabilities. Additionally, as of December 31, 2024, the Group had $48,242 in purchase commitments primarily related to inventory, and $53,228 in capital commitments with $30,713 due within the next 12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conditions and events raise substantial doubt about the Group’s ability to continue as a going concern.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Management’s primary plans to alleviate the substantial doubt are as described below.</w:t>
      </w:r>
    </w:p>
    <w:p>
      <w:pPr>
        <w:spacing w:after="0" w:line="226" w:lineRule="exact"/>
        <w:rPr>
          <w:sz w:val="20"/>
          <w:szCs w:val="20"/>
          <w:color w:val="auto"/>
        </w:rPr>
      </w:pPr>
    </w:p>
    <w:p>
      <w:pPr>
        <w:ind w:left="620" w:right="80" w:hanging="617"/>
        <w:spacing w:after="0" w:line="251" w:lineRule="auto"/>
        <w:tabs>
          <w:tab w:leader="none" w:pos="23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Forecasted cash inflow from operations </w:t>
      </w:r>
      <w:r>
        <w:rPr>
          <w:rFonts w:ascii="Times New Roman" w:cs="Times New Roman" w:eastAsia="Times New Roman" w:hAnsi="Times New Roman"/>
          <w:sz w:val="17"/>
          <w:szCs w:val="17"/>
          <w:color w:val="auto"/>
        </w:rPr>
        <w:t>- As of March 31, 2025, the Group has performed a review of its cash flow forecast for the twelve months ending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March 31, 2026. For the year ended December 31, 2024, the Group generated cash flow of $2,814 from its operating activities. The Group believes that its operating cash flow in the forecasted period will continue to grow. Management believes the forecast is based on reasonable assumptions including: i) there is no significant uncertainty on the execution of the existing contract backlog in the forecasted period, and ii) despite the potential fluctuation of the raw material prices, the gross margin in the forecasted period is not expected to significantly decline considering the selling price secured by the contract backlogs and the market conditions of major raw materials.</w:t>
      </w:r>
    </w:p>
    <w:p>
      <w:pPr>
        <w:spacing w:after="0" w:line="191" w:lineRule="exact"/>
        <w:rPr>
          <w:rFonts w:ascii="Times New Roman" w:cs="Times New Roman" w:eastAsia="Times New Roman" w:hAnsi="Times New Roman"/>
          <w:sz w:val="17"/>
          <w:szCs w:val="17"/>
          <w:color w:val="auto"/>
        </w:rPr>
      </w:pPr>
    </w:p>
    <w:p>
      <w:pPr>
        <w:ind w:left="620" w:hanging="617"/>
        <w:spacing w:after="0" w:line="255" w:lineRule="auto"/>
        <w:tabs>
          <w:tab w:leader="none" w:pos="23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Refinancing of short-term bank borrowings </w:t>
      </w:r>
      <w:r>
        <w:rPr>
          <w:rFonts w:ascii="Times New Roman" w:cs="Times New Roman" w:eastAsia="Times New Roman" w:hAnsi="Times New Roman"/>
          <w:sz w:val="17"/>
          <w:szCs w:val="17"/>
          <w:color w:val="auto"/>
        </w:rPr>
        <w:t>- While there can be no assurance that the Group will be able to refinance its short-term bank borrowings as they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due, historically, the Group has rolled over or obtained replacement borrowings from existing creditors for its short-term bank loans upon the maturity date of the loans if needed. For $37,083 short-term bank borrowings outstanding as of December 31, 2024 which the Company has successful refinancing experience, the Group assumed that it will continue to be able to do so for the next twelve months.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Below factors are considered by the management in assessing whether the plan is probable of being effectively implemented.</w:t>
      </w:r>
    </w:p>
    <w:p>
      <w:pPr>
        <w:spacing w:after="0" w:line="243" w:lineRule="exact"/>
        <w:rPr>
          <w:sz w:val="20"/>
          <w:szCs w:val="20"/>
          <w:color w:val="auto"/>
        </w:rPr>
      </w:pPr>
    </w:p>
    <w:p>
      <w:pPr>
        <w:ind w:left="860" w:hanging="238"/>
        <w:spacing w:after="0"/>
        <w:tabs>
          <w:tab w:leader="none" w:pos="8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refinancing of these loans have regularly occurred historically, even during the Group’s financially distressed periods.</w:t>
      </w:r>
    </w:p>
    <w:p>
      <w:pPr>
        <w:spacing w:after="0" w:line="229" w:lineRule="exact"/>
        <w:rPr>
          <w:rFonts w:ascii="Times New Roman" w:cs="Times New Roman" w:eastAsia="Times New Roman" w:hAnsi="Times New Roman"/>
          <w:sz w:val="17"/>
          <w:szCs w:val="17"/>
          <w:color w:val="auto"/>
        </w:rPr>
      </w:pPr>
    </w:p>
    <w:p>
      <w:pPr>
        <w:ind w:left="1000" w:right="500" w:hanging="378"/>
        <w:spacing w:after="0" w:line="271" w:lineRule="auto"/>
        <w:tabs>
          <w:tab w:leader="none" w:pos="85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loans were borrowed by MPS, the Group’s main operating subsidiary. MPS generated profit and positive cash flow during the year ended December 31, 2024 and has shown improvement in operations comparing to the year ended December 31, 2023.</w:t>
      </w:r>
    </w:p>
    <w:p>
      <w:pPr>
        <w:spacing w:after="0" w:line="190"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early 2025 the Group successfully refinanced loans of $12,330 that matured.</w:t>
      </w:r>
    </w:p>
    <w:p>
      <w:pPr>
        <w:spacing w:after="0" w:line="229"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has established long-term relationships with those banks and has never defaulted on repayments historically.</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Based on the above, the Group concluded that it is probable that management’s plans will alleviate the substantial doubt about the Group’s ability to continue as a going concern and that adequate sources of liquidity will exist to fund the Company’s working capital and capital expenditures requirements and to meet its short term debt obligations, and other liabilities and commitments as they become due. Therefore, the accompanying consolidated financial statements do not include any adjustments relating to the recoverability and classification of recorded asset amounts or to the amounts and classification of liabilities that might be necessary should the Group not continue as a going concern.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2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credit losses, provision for obsolete inventories, impairment of property, plant and equipment, valuation allowance for deferred tax assets, product warranties, fair value measurement of Bridge Notes, fair value measurement of warrant liability and share 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and highly liquid investments, which are unrestricted from withdrawal or use, or which have maturities of three months or less.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Restricted cash represents deposits made to banks to secure bank acceptance notes (or Notes Payable), letters of credit issued by the Group, and restricted use bank borrowings (see Note 12). It is common in the PRC that the banks require the Group to pledge notes receivable or make a deposit as collateral. The deposits and the matured bank acceptance notes from its customers are recorded as restricted cash in the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7"/>
          <w:szCs w:val="17"/>
          <w:color w:val="auto"/>
        </w:rPr>
        <w:t>Accounts receivable represents those receivables derived in the ordinary course of business, net of allowance for credit losses. Beginning on January 1, 2022, the Group evaluates its accounts receivable for expected credit losses on a regular basis. The Group maintains an estimated allowance for credit losses to reduce its accounts receivable to the amount that it believes will be collected. The Group uses the creditworthiness of customers, aging of the receivables, past transaction history with customers and their current condition, changes in customer payment terms, specific facts and circumstances, and the overall economic climate in the industries the Group serves to monitor the Group's receivables within the scope of expected credit losses model and use these as a basis to develop the Group's expected loss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receivable and payable</w:t>
      </w:r>
    </w:p>
    <w:p>
      <w:pPr>
        <w:spacing w:after="0" w:line="21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7"/>
          <w:szCs w:val="17"/>
          <w:color w:val="auto"/>
        </w:rPr>
        <w:t>The Group accepts bank acceptance notes (“notes”) from customers in the PRC in the normal course of business. These notes may be presented to banks in the PRC for cash settlement or endorsed to suppliers to settle accounts payable. The Group derecognizes the notes upon endorsement to suppliers, as it no longer retains control over instruments. Notes receivable and notes payable are typically non-interest bearing and have maturities of one year or less.</w:t>
      </w:r>
    </w:p>
    <w:p>
      <w:pPr>
        <w:spacing w:after="0" w:line="18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As of December 31, 2024 and 2023, the balance of notes receivable were $7,579 and $23,736, respectively while certain notes receivable have been pledged to banks to secure their issuance of bank acceptance notes for the Group.</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2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Group’s short-term held-to-maturity investments are classified based on their contractual maturity dates which are less than one year and are recorded at their amortized costs. The Company recognized $3, $438 and $70 interest income from the short-term investments for the years ended December 31, 2024, 2023 and 2022, respectively.</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 net</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Inventories of the Group consist of raw materials, work in process and finished goods. Inventories are stated at the lower of cost or net realizable value. Inventory costs include expenses that are directly or indirectly incurred in the acquisition and production process, including shipping and handling costs charged by suppliers. The cost of materials and supplies used in production, direct labor costs and allocated overhead costs are all included in the inventory costs. The allocated overhead cost includes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primarily consist of advances to suppliers, prepaid expenses, deposits and value-added tax receivables.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22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Property, plant and equipment are carried at cost less accumulated depreciation. Depreciation is calculated on a straight-line basis over the following estimated useful lives:</w:t>
      </w:r>
    </w:p>
    <w:p>
      <w:pPr>
        <w:sectPr>
          <w:pgSz w:w="11900" w:h="16838" w:orient="portrait"/>
          <w:cols w:equalWidth="0" w:num="1">
            <w:col w:w="11240"/>
          </w:cols>
          <w:pgMar w:left="320" w:top="119" w:right="33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Buildings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17"/>
          <w:szCs w:val="17"/>
          <w:color w:val="auto"/>
        </w:rPr>
        <w:t>20 years</w:t>
      </w:r>
    </w:p>
    <w:p>
      <w:pPr>
        <w:spacing w:after="0" w:line="49" w:lineRule="exact"/>
        <w:rPr>
          <w:sz w:val="20"/>
          <w:szCs w:val="20"/>
          <w:color w:val="auto"/>
        </w:rPr>
      </w:pPr>
    </w:p>
    <w:p>
      <w:pPr>
        <w:sectPr>
          <w:pgSz w:w="11900" w:h="16838" w:orient="portrait"/>
          <w:cols w:equalWidth="0" w:num="2">
            <w:col w:w="4920" w:space="720"/>
            <w:col w:w="560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Machineries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 years</w:t>
      </w:r>
    </w:p>
    <w:p>
      <w:pPr>
        <w:spacing w:after="0" w:line="49" w:lineRule="exact"/>
        <w:rPr>
          <w:sz w:val="20"/>
          <w:szCs w:val="20"/>
          <w:color w:val="auto"/>
        </w:rPr>
      </w:pPr>
    </w:p>
    <w:p>
      <w:pPr>
        <w:sectPr>
          <w:pgSz w:w="11900" w:h="16838" w:orient="portrait"/>
          <w:cols w:equalWidth="0" w:num="2">
            <w:col w:w="4920" w:space="720"/>
            <w:col w:w="560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Fixtures and electronic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4 - 5 years</w:t>
      </w:r>
    </w:p>
    <w:p>
      <w:pPr>
        <w:spacing w:after="0" w:line="49" w:lineRule="exact"/>
        <w:rPr>
          <w:sz w:val="20"/>
          <w:szCs w:val="20"/>
          <w:color w:val="auto"/>
        </w:rPr>
      </w:pPr>
    </w:p>
    <w:p>
      <w:pPr>
        <w:sectPr>
          <w:pgSz w:w="11900" w:h="16838" w:orient="portrait"/>
          <w:cols w:equalWidth="0" w:num="2">
            <w:col w:w="4920" w:space="720"/>
            <w:col w:w="560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Motor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 years</w:t>
      </w:r>
    </w:p>
    <w:p>
      <w:pPr>
        <w:spacing w:after="0" w:line="49" w:lineRule="exact"/>
        <w:rPr>
          <w:sz w:val="20"/>
          <w:szCs w:val="20"/>
          <w:color w:val="auto"/>
        </w:rPr>
      </w:pPr>
    </w:p>
    <w:p>
      <w:pPr>
        <w:sectPr>
          <w:pgSz w:w="11900" w:h="16838" w:orient="portrait"/>
          <w:cols w:equalWidth="0" w:num="2">
            <w:col w:w="4920" w:space="720"/>
            <w:col w:w="560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Shorter of the lease term or estimated useful lives</w:t>
      </w:r>
    </w:p>
    <w:p>
      <w:pPr>
        <w:spacing w:after="0" w:line="200" w:lineRule="exact"/>
        <w:rPr>
          <w:sz w:val="20"/>
          <w:szCs w:val="20"/>
          <w:color w:val="auto"/>
        </w:rPr>
      </w:pPr>
    </w:p>
    <w:p>
      <w:pPr>
        <w:sectPr>
          <w:pgSz w:w="11900" w:h="16838" w:orient="portrait"/>
          <w:cols w:equalWidth="0" w:num="2">
            <w:col w:w="4920" w:space="720"/>
            <w:col w:w="5600"/>
          </w:cols>
          <w:pgMar w:left="320" w:top="119" w:right="339" w:bottom="1440" w:gutter="0" w:footer="0" w:header="0"/>
          <w:type w:val="continuous"/>
        </w:sectPr>
      </w:pPr>
    </w:p>
    <w:p>
      <w:pPr>
        <w:spacing w:after="0" w:line="10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Construction in progress represents manufacturing facilities and equipment under construction, and is stated at cost. The capitalization of these costs ceases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Land use rights, net</w:t>
      </w:r>
    </w:p>
    <w:p>
      <w:pPr>
        <w:spacing w:after="0" w:line="22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intangible assets, net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Acquired intangible assets with definite lives are amortized on a straight-line basis over their expected useful economic lives.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accordance with ASC 360, Property, Plant and Equipment ("ASC 360"), the Company reviews long-lived assets such as property, plant and equipment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and an impairment loss is recorded as a component of operating expenses. Fair value is estimated based on various valuation techniques. For assets held for sales, the amount of potential impairment may be based upon appraisal of the asset, estimated market value of similar assets or estimated cash flow from the disposition of the asset. The evaluation of asset impairment requires the Company to make assumptions about future cash flows over the life of the asset being evaluated. These assumptions require significant judgment and actual results may differ from assumed and estimated amounts. Refer to Note 6 for details.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p>
      <w:pPr>
        <w:spacing w:after="0" w:line="24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Assets to be disposed of by sale are reported at the lower of the carrying value or fair vale less cost to sell when the Company has committed to a sale agreement and would be reported separately as assets held for sale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Restructuring</w:t>
      </w:r>
    </w:p>
    <w:p>
      <w:pPr>
        <w:spacing w:after="0" w:line="24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A debt restructuring is the modification of debt in which a creditor grants a concession it would not otherwise consider to a debtor that is experiencing financial difficulties. These modifications may include an extension of the maturity date, a reduction of the face amount or maturity amount of the debt, or a reduction of accrued interest. During the year ended December 31, 2024, the Company entered into several settlement agreements with certain suppliers with payables, under which the Company received concessions that forgive certain contractually owed amounts and allow for deferred payment schedules. A restructuring gain of $9,406 on the payable concession was recorded in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w:t>
      </w:r>
    </w:p>
    <w:p>
      <w:pPr>
        <w:spacing w:after="0" w:line="22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Financial instruments include cash and cash equivalents, restricted cash, short-term investments, accounts receivable, notes receivable, other receivable, amounts due from/to related parties, accounts payable, short-term bank borrowings, notes payable, long-term bank borrowing, bonds payable, warrant liability and convertible loan with shareholder. The Group carries its cash and cash equivalents, restricted cash, warrant liability and convertible loan with shareholder at fair value. The carrying values of other financial instruments approximate their fair values reported in the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w:t>
      </w:r>
    </w:p>
    <w:p>
      <w:pPr>
        <w:spacing w:after="0" w:line="2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 continued</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applies to assets or liabilities for which there are quoted prices in active markets for identical assets or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2</w:t>
      </w:r>
    </w:p>
    <w:p>
      <w:pPr>
        <w:spacing w:after="0" w:line="19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Level 3</w:t>
      </w:r>
    </w:p>
    <w:p>
      <w:pPr>
        <w:spacing w:after="0" w:line="18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with shareholder measured at fair value</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has elected the fair value option to account for the convertible loan with shareholder described in Note 26 – Convertible loan with shareholder measured at fair value herein, and records changes in fair value in the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As a result of applying the fair value option, direct costs and fees related to the convertible loan were expensed as incurred. Loss of $79,737 was recognized for the year ended December 31, 2024. The fair value of the convertible loan with shareholder was determined by using a discounted cash flow model for the bond component and a Black-Scholes-Merton model for the conversion option, which is considered a Level 3 fair value measurement.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Nature of Goods and Services</w:t>
      </w:r>
    </w:p>
    <w:p>
      <w:pPr>
        <w:spacing w:after="0" w:line="2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Group’s revenue consists primarily of sales of lithium-ion batteries. The obligation of the Group is providing the battery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Contract balances include accounts receivable and advances from customers. Accounts receivable represent cash not received from customers and are recorded when the rights to consideration is unconditional. The allowance for credit losses reflects the best estimate of probable losses inherent to the accounts receivable balance. Contract liabilities, recorded in advance from customers in the consolidated balance sheet, represent payment received in advance. During the years ended December 31, 2024, 2023 and 2022, the Group recognized $4,348, $2,492 and $1,151 of revenue previously included in advance from customers as of January 1, 2024, January 1, 2023 and January 1, 2022, respectively, which consist of payments received in advance related to its sales of lithium-ion batteries.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added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 reports revenue net of VAT. Entities in PRC that are VAT general tax payers are allowed to offset qualified VAT paid against their output VAT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2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Cost of revenues primarily consists of the cost of the products ultimately sold to customers, shipping and handling costs charged to the Group in the sales, product warranty expense, provision for obsolete inventories and other related cost that are directly attributable to the production of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Warranty</w:t>
      </w:r>
    </w:p>
    <w:p>
      <w:pPr>
        <w:spacing w:after="0" w:line="223"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The Group provides product warranty, which entails repair or replacement of non-conforming items, in conjunction with the sales of products. The warranty liability recorded at each balance sheet date reflects management’s best estimates of its product warranty based on historical information and other currently available evidence.</w:t>
      </w:r>
    </w:p>
    <w:p>
      <w:pPr>
        <w:spacing w:after="0" w:line="16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Group’s product warranty generally ranges from one to eight years. The Group establishes a reserve for the estimated cost of the product warranty at the time revenue is recognized. The portion of the warranty that is expected to incur within the next 12 months is recorded in accrued expenses and other current liabilities, while the remaining balance is recorded in other non-current liabilities on the consolidated balance sheets. Product warranty is recorded as a cost of revenues.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primarily consist of salaries and benefits for research and development personnel, raw materials, office rental expense, general expenses and depreciation expenses associated with research and development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Subsidy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subsidies represent government grants received from local government authorities.</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Government subsidies related to the investment in production facilities is initially recorded as other current or other non-current liabilities and is amortized on a straight-line basis to offset the cost of revenues over the life of the relevant production assets or amortized on an effective interest method over the term of the loan.</w:t>
      </w:r>
    </w:p>
    <w:p>
      <w:pPr>
        <w:spacing w:after="0" w:line="1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Group amortized the deferred subsidy at $620, $390 and $538 during the years ended December 31, 2024, 2023 and 2022, respectively. As of December 31, 2024 and 2023, the carrying amount of the current portion of the deferred subsidy income was $1,026 and $531, and the non-current portion was $5,610 and $3,382,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7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2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stockholder return (“TSR”), compensation expense is recognized on a straight-line basis over the estimated service period of the award, regardless of whether the market condition is satisfied. Forfeitures are recognized as they occur.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Liability-classified awards are remeasured at their fair-value-based measurement as of each reporting date until settlement.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determines if an arrangement is a lease or contains a lease at lease inception. Operating leases are required to be recorded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machines and electronic appliances, the Company elected the short-term lease exemption as their lease terms are 12 months or less.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the Company recorded operating lease right-of-use (ROU) assets of $17,628 and operating lease liabilities of $17,635, including current portion in the amount of $3,039, which was recorded under accrued expenses and other current liabilities on the balance sheet.</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for lessor accounting, the Company provides leasing arrangement to its customers primarily for the sale of vehicles. Revenue from the sale of these products under sales-type leases is recognized at the inception of the lease. Interest income on sales-type leases is recognized over the life of each respective lease using the interest method. As of December 31, 2024, the Company recorded net investment in sales-type leases of $8,031 including current portion in the amount of $3,678, which was recorded under accounts receivables on the balance sheet.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223" w:lineRule="exact"/>
        <w:rPr>
          <w:sz w:val="20"/>
          <w:szCs w:val="20"/>
          <w:color w:val="auto"/>
        </w:rPr>
      </w:pPr>
    </w:p>
    <w:p>
      <w:pPr>
        <w:ind w:right="1000"/>
        <w:spacing w:after="0" w:line="287" w:lineRule="auto"/>
        <w:rPr>
          <w:sz w:val="20"/>
          <w:szCs w:val="20"/>
          <w:color w:val="auto"/>
        </w:rPr>
      </w:pPr>
      <w:r>
        <w:rPr>
          <w:rFonts w:ascii="Times New Roman" w:cs="Times New Roman" w:eastAsia="Times New Roman" w:hAnsi="Times New Roman"/>
          <w:sz w:val="17"/>
          <w:szCs w:val="17"/>
          <w:color w:val="auto"/>
        </w:rPr>
        <w:t>Comprehensive loss includes net loss and foreign currency translation adjustments. Comprehensive loss is reported in the consolidated statements of comprehensive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Basic loss per share is computed by dividing net loss attributable to common stock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Diluted loss per share is calculated by dividing net loss attributable to Common Stock by the weighted average number of Common Stock and dilutive Common equivalent stock outstanding during the period. Common equivalent stock consist of shares issuable upon the conversion of convertible bonds using the if-converted method, and Common Stock issuable upon the vesting of non-vested shares or exercise of outstanding share options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currencies</w:t>
      </w:r>
    </w:p>
    <w:p>
      <w:pPr>
        <w:spacing w:after="0" w:line="22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functional currency of the Company and all subsidiaries located in the U.S. is the United States dollar (“U.S. dollar”). For the Company’s subsidiaries located in the PRC, the functional currency is the Chinese Renminbi (“RMB”); the Company’s UK subsidiary, MP UK, the functional currency is the Great British Pound (“Pound”); and the Company’s Germany subsidiary, MV GmbH, the functional currency is the Euro.</w:t>
      </w:r>
    </w:p>
    <w:p>
      <w:pPr>
        <w:spacing w:after="0" w:line="12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differences on the monetary items are recognized in the consolidated statements of operations in the period in which they arise.</w:t>
      </w:r>
    </w:p>
    <w:p>
      <w:pPr>
        <w:spacing w:after="0" w:line="2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22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$87,802 and $62,829 as of December 31, 2024 and 2023, respectively, which were denominated in RMB.</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23"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 The Group conducts credit evaluations of customers and generally does not require collateral or other security from its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net revenues from customers that accounted for 10% or more of the Group’s net revenues for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spacing w:after="0"/>
              <w:rPr>
                <w:sz w:val="17"/>
                <w:szCs w:val="17"/>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300" w:type="dxa"/>
            <w:vAlign w:val="bottom"/>
          </w:tcPr>
          <w:p>
            <w:pPr>
              <w:spacing w:after="0"/>
              <w:rPr>
                <w:sz w:val="19"/>
                <w:szCs w:val="19"/>
                <w:color w:val="auto"/>
              </w:rPr>
            </w:pPr>
          </w:p>
        </w:tc>
        <w:tc>
          <w:tcPr>
            <w:tcW w:w="15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5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6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6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B</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revenue contributed by Customer 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such customer represented less than 10% of the Group's revenue during the respective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accounts receivable from customers that accounted for 10% or more of the Group’s accounts receivable: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940" w:type="dxa"/>
            <w:vAlign w:val="bottom"/>
          </w:tcPr>
          <w:p>
            <w:pPr>
              <w:spacing w:after="0"/>
              <w:rPr>
                <w:sz w:val="19"/>
                <w:szCs w:val="19"/>
                <w:color w:val="auto"/>
              </w:rPr>
            </w:pP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6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of accounts receivable from Customer 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accounts receivable from Customer D</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receivable from such customers represented less than 10% of the Group's accounts receivable during the respective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Concentration</w:t>
      </w:r>
    </w:p>
    <w:p>
      <w:pPr>
        <w:spacing w:after="0" w:line="2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The Group relies on third parties for the supply of raw materials. In instances where these parties fail to perform their obligations, the Group may find alternative suppliers in the open market. For the years ended December 31, 2024, 2023 and 2022, 19%, 15% and 18% of our raw materials were purchased through company E, E and F, respectively, although numerous alternate sources of supply are readily available on comparable terms for the raw materials supplied by company E and 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newly adopted</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ASU 2023-07 intends to improve reportable segment disclosure requirements, enhance interim disclosure requirements and provide new segment disclosure requirements for entities with a single reportable segment. ASU 2023-07 is effective for fiscal years beginning after December 15, 2023, and for interim periods with fiscal years beginning after December 15, 2024. ASU 2023-07 is to be adopted retrospectively to all prior periods presented. The Company adopted this guidance on January 1, 2024. For additional information, see “Note 24—Segment Information.”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 not expect a material impact to</w:t>
      </w:r>
    </w:p>
    <w:p>
      <w:pPr>
        <w:spacing w:after="0"/>
        <w:rPr>
          <w:sz w:val="20"/>
          <w:szCs w:val="20"/>
          <w:color w:val="auto"/>
        </w:rPr>
      </w:pPr>
      <w:r>
        <w:rPr>
          <w:rFonts w:ascii="Times New Roman" w:cs="Times New Roman" w:eastAsia="Times New Roman" w:hAnsi="Times New Roman"/>
          <w:sz w:val="17"/>
          <w:szCs w:val="17"/>
          <w:color w:val="auto"/>
        </w:rPr>
        <w:t>the consolidated financial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Company is currently assessing the impact of this guidance, however,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 not expect a material impact to the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 ACCOUNTS RECEIVABLE</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consisted of the following:</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6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143,288</w:t>
            </w: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9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120,626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138,717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Movement of allowance for credit losses was as follows:</w:t>
            </w: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6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Cumulative-effect adjustment upon adoption of ASU2016-13, Financial instruments- Credit</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(Topic 326)</w:t>
            </w:r>
          </w:p>
        </w:tc>
        <w:tc>
          <w:tcPr>
            <w:tcW w:w="9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 of expenses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 off</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Recoveries of credit losses</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the period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4,407</w:t>
            </w:r>
          </w:p>
        </w:tc>
        <w:tc>
          <w:tcPr>
            <w:tcW w:w="0" w:type="dxa"/>
            <w:vAlign w:val="bottom"/>
          </w:tcPr>
          <w:p>
            <w:pPr>
              <w:spacing w:after="0"/>
              <w:rPr>
                <w:sz w:val="1"/>
                <w:szCs w:val="1"/>
                <w:color w:val="auto"/>
              </w:rPr>
            </w:pPr>
          </w:p>
        </w:tc>
      </w:tr>
      <w:tr>
        <w:trPr>
          <w:trHeight w:val="857"/>
        </w:trPr>
        <w:tc>
          <w:tcPr>
            <w:tcW w:w="6620" w:type="dxa"/>
            <w:vAlign w:val="bottom"/>
          </w:tcPr>
          <w:p>
            <w:pPr>
              <w:ind w:left="5460"/>
              <w:spacing w:after="0"/>
              <w:rPr>
                <w:sz w:val="20"/>
                <w:szCs w:val="20"/>
                <w:color w:val="auto"/>
              </w:rPr>
            </w:pPr>
            <w:r>
              <w:rPr>
                <w:rFonts w:ascii="Times New Roman" w:cs="Times New Roman" w:eastAsia="Times New Roman" w:hAnsi="Times New Roman"/>
                <w:sz w:val="17"/>
                <w:szCs w:val="17"/>
                <w:color w:val="auto"/>
              </w:rPr>
              <w:t>F-24</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6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ectPr>
          <w:pgSz w:w="11900" w:h="16838" w:orient="portrait"/>
          <w:cols w:equalWidth="0" w:num="1">
            <w:col w:w="11240"/>
          </w:cols>
          <w:pgMar w:left="320" w:top="119"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Work in process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Raw materials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Finished goods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85,179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86,379</w:t>
            </w:r>
          </w:p>
        </w:tc>
      </w:tr>
      <w:tr>
        <w:trPr>
          <w:trHeight w:val="258"/>
        </w:trPr>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35,867</w:t>
            </w:r>
          </w:p>
        </w:tc>
      </w:tr>
      <w:tr>
        <w:trPr>
          <w:trHeight w:val="264"/>
        </w:trPr>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18,760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27,503</w:t>
            </w:r>
          </w:p>
        </w:tc>
      </w:tr>
      <w:tr>
        <w:trPr>
          <w:trHeight w:val="238"/>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143,327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149,749</w:t>
            </w:r>
          </w:p>
        </w:tc>
      </w:tr>
      <w:tr>
        <w:trPr>
          <w:trHeight w:val="25"/>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-687070</wp:posOffset>
            </wp:positionV>
            <wp:extent cx="7138670" cy="163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-359410</wp:posOffset>
            </wp:positionV>
            <wp:extent cx="7138670" cy="163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119" w:right="339" w:bottom="1440" w:gutter="0" w:footer="0" w:header="0"/>
          <w:type w:val="continuous"/>
        </w:sectPr>
      </w:pPr>
    </w:p>
    <w:p>
      <w:pPr>
        <w:spacing w:after="0" w:line="8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Write-down of obsolete inventories at $3,286, $3,613 and $4,789 were recognized for the years ended December 31, 2024, 2023 and 2022, respectively, primarily related to inventory becoming obsolete as a result of technology development or product upgrade.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PREPAID EXPENSES AND OTHER 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 and tariff refund 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to suppliers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27,019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25,752</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balance of the VAT receivables represented the amount available for future deduction against VAT payable.</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PROPERTY, PLANT AND EQUIPMENT, 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Machineries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204,599</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144,497</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32,808</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Fixtures and electronic equipment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415,809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407,063</w:t>
            </w: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(108,309)</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196,114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321,913</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620,667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7"/>
                <w:szCs w:val="17"/>
                <w:color w:val="auto"/>
              </w:rPr>
              <w:t>F-25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PLANT AND EQUIPMENT, NET - continued</w:t>
      </w:r>
    </w:p>
    <w:p>
      <w:pPr>
        <w:spacing w:after="0" w:line="31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The Group recorded depreciation expenses of $30,057, $22,141 and $19,811 for the years ended December 31, 2024, 2023 and 2022, respectively. During the first half year of 2024, the Company decided to pause the construction of the battery plant in Clarksville, Tennessee until additional funding for the remaining capital expenditure is secured. The Company utilized the residual method to estimate the fair value of the building and auxiliary equipment in Clarksville (“Clarksville Property”) and recognized $56,889 impairment losses. For the years ended December 31, 2024, 2023 and 2022, the Company assessed the recoverability of the long-lived assets and recognized $93,173, $504 and $1,798 impairment losses,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of accumulated depreciation, of $24,359 and $1,251 was subject to liens as of December 31, 2024 and 2023,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LESSOR ACCOUNTING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income is included in products sales in the accompanying consolidated statements of operations. Supplemental income statement information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5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526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Pr>
          <w:p>
            <w:pPr>
              <w:spacing w:after="0"/>
              <w:rPr>
                <w:sz w:val="19"/>
                <w:szCs w:val="19"/>
                <w:color w:val="auto"/>
              </w:rPr>
            </w:pPr>
          </w:p>
        </w:tc>
        <w:tc>
          <w:tcPr>
            <w:tcW w:w="192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5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income – sales-type leases</w:t>
            </w:r>
          </w:p>
        </w:tc>
        <w:tc>
          <w:tcPr>
            <w:tcW w:w="1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at lease commencement</w:t>
            </w:r>
          </w:p>
        </w:tc>
        <w:tc>
          <w:tcPr>
            <w:tcW w:w="1420" w:type="dxa"/>
            <w:vAlign w:val="bottom"/>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9,664</w:t>
            </w:r>
          </w:p>
        </w:tc>
        <w:tc>
          <w:tcPr>
            <w:tcW w:w="1920" w:type="dxa"/>
            <w:vAlign w:val="bottom"/>
            <w:gridSpan w:val="3"/>
          </w:tcPr>
          <w:p>
            <w:pPr>
              <w:jc w:val="right"/>
              <w:ind w:right="15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on lease receivables</w:t>
            </w:r>
          </w:p>
        </w:tc>
        <w:tc>
          <w:tcPr>
            <w:tcW w:w="1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260" w:type="dxa"/>
            <w:vAlign w:val="bottom"/>
          </w:tcPr>
          <w:p>
            <w:pPr>
              <w:spacing w:after="0"/>
              <w:rPr>
                <w:sz w:val="19"/>
                <w:szCs w:val="19"/>
                <w:color w:val="auto"/>
              </w:rPr>
            </w:pPr>
          </w:p>
        </w:tc>
        <w:tc>
          <w:tcPr>
            <w:tcW w:w="1420" w:type="dxa"/>
            <w:vAlign w:val="bottom"/>
            <w:tcBorders>
              <w:top w:val="single" w:sz="8" w:color="auto"/>
            </w:tcBorders>
          </w:tcPr>
          <w:p>
            <w:pPr>
              <w:jc w:val="right"/>
              <w:ind w:right="1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9,801</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ind w:right="1574"/>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
        </w:trPr>
        <w:tc>
          <w:tcPr>
            <w:tcW w:w="5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in Sales-type Leases</w:t>
      </w:r>
    </w:p>
    <w:p>
      <w:pPr>
        <w:spacing w:after="0" w:line="19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Net investment in sales-type leases, which is the sum of the present value of the future contractual lease payments, is presented on the consolidated balance sheets as a component of Accounts receivables for the current portion and as Other non-current assets for the long-term portion. Lease receivables relating to sales-type leases are presented on the consolidated balance sheets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5"/>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lease receivables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Unearned income</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in sales-type leases</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8,031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4,353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LESSOR ACCOUNTING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activities in the allowance for credit losses are as follows:</w:t>
      </w:r>
    </w:p>
    <w:p>
      <w:pPr>
        <w:spacing w:after="0" w:line="58"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22860</wp:posOffset>
            </wp:positionV>
            <wp:extent cx="2234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118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118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the period</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Maturity Analysis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schedule by year of the future minimum lease payments to be received under Sales-type finance leases at December 31,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Sales-type Leases</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8. LAND USE RIGHTS, NET</w:t>
            </w: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Land use rights consisted of the following:</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land use rights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14,309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14,711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(2,938)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7"/>
                <w:szCs w:val="17"/>
                <w:color w:val="auto"/>
              </w:rPr>
              <w:t>(2,727)</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Land use rights,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11,371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b w:val="1"/>
                <w:bCs w:val="1"/>
                <w:color w:val="auto"/>
              </w:rPr>
              <w:t>11,984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$291, $294 and $310 for the years ended December 31, 2024, 2023 and 2022, respectively. Future amortization expense is $291 per year for each of the next five years through December 31, 2029 and thereafter.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ACQUIRED INTANGIBLE ASSETS, NET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acquired intangible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w w:val="99"/>
              </w:rPr>
              <w:t>5,377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rPr>
              <w:t>5,472</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7"/>
                <w:szCs w:val="17"/>
                <w:color w:val="auto"/>
              </w:rPr>
              <w:t>(2,770)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7"/>
                <w:szCs w:val="17"/>
                <w:color w:val="auto"/>
              </w:rPr>
              <w:t>(2,336)</w:t>
            </w: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Acquired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w w:val="99"/>
              </w:rPr>
              <w:t>2,607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rPr>
              <w:t>3,136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Group recorded amortization expense of $484, $493 and $244 for the years ended December 31, 2024, 2023 and 2022, respectively. No impairment losses were recognized for the years ended December 31, 2024, 2023 and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amortization expense for each of the five succeeding fiscal years and thereafter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3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8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2,607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ACCRUED EXPENSES AND OTHER CURRENT LIABILITIES</w:t>
            </w:r>
          </w:p>
        </w:tc>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3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53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Payables for purchase of property, plant and equipment</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96,350</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14,312</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warranty, current</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13,738</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welfare</w:t>
            </w: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8,089</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tax payable</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7,117</w:t>
            </w:r>
          </w:p>
        </w:tc>
        <w:tc>
          <w:tcPr>
            <w:tcW w:w="0" w:type="dxa"/>
            <w:vAlign w:val="bottom"/>
          </w:tcPr>
          <w:p>
            <w:pPr>
              <w:spacing w:after="0"/>
              <w:rPr>
                <w:sz w:val="1"/>
                <w:szCs w:val="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w:t>
            </w:r>
          </w:p>
        </w:tc>
        <w:tc>
          <w:tcPr>
            <w:tcW w:w="0" w:type="dxa"/>
            <w:vAlign w:val="bottom"/>
          </w:tcPr>
          <w:p>
            <w:pPr>
              <w:spacing w:after="0"/>
              <w:rPr>
                <w:sz w:val="1"/>
                <w:szCs w:val="1"/>
                <w:color w:val="auto"/>
              </w:rPr>
            </w:pPr>
          </w:p>
        </w:tc>
      </w:tr>
      <w:tr>
        <w:trPr>
          <w:trHeight w:val="23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2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6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98,456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148,284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5300" w:type="dxa"/>
            <w:vAlign w:val="bottom"/>
          </w:tcPr>
          <w:p>
            <w:pPr>
              <w:spacing w:after="0"/>
              <w:rPr>
                <w:sz w:val="24"/>
                <w:szCs w:val="24"/>
                <w:color w:val="auto"/>
              </w:rPr>
            </w:pPr>
          </w:p>
        </w:tc>
        <w:tc>
          <w:tcPr>
            <w:tcW w:w="3060" w:type="dxa"/>
            <w:vAlign w:val="bottom"/>
            <w:gridSpan w:val="2"/>
          </w:tcPr>
          <w:p>
            <w:pPr>
              <w:jc w:val="right"/>
              <w:ind w:right="2580"/>
              <w:spacing w:after="0"/>
              <w:rPr>
                <w:sz w:val="20"/>
                <w:szCs w:val="20"/>
                <w:color w:val="auto"/>
              </w:rPr>
            </w:pPr>
            <w:r>
              <w:rPr>
                <w:rFonts w:ascii="Times New Roman" w:cs="Times New Roman" w:eastAsia="Times New Roman" w:hAnsi="Times New Roman"/>
                <w:sz w:val="17"/>
                <w:szCs w:val="17"/>
                <w:color w:val="auto"/>
              </w:rPr>
              <w:t>F-28</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30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PRODUCT WARRANTY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Movement of product warranty was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3"/>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7"/>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year</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58,458</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Provided during the year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Utilized during the year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(26,916)</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(3,579)</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33,107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35,217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42,060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warranty, current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13,738</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13,044</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warranty, non-current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29,016</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Warranty provisions are based upon historical experience.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BANK BORROWINGS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27, 2022, the Group entered into a $111,483 (RMB800 million) loan facilities agreement with a group of lenders led by a bank in China (the "2022 Facility Agreement"). The interest rate is prime plus 115 basis points where prime is based on Loan Prime Rate published by the National Inter-bank Funding Center of the PRC and is payable on a quarterly basis. The loan facilities can only be used for the manufacturing capacity expansion at the Group’s facility located in Huzhou, China. The unutilized draw-down amount are recorded as non-current restricted cash. The Group had a balance of non-current restricted cash of $22 and $6,171 as of December 31, 2024 and 2023, respectively. The 2022 Facility Agreement contains certain customary restrictive covenants, including but not limited to disposal of assets and dividend distribution without the consent of the lenders, and certain customary events of default.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Group had outstanding borrowings of $68,436 under the 2022 Facility Agreement and the table below is the repayment schedule.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Repayment Date</w:t>
            </w:r>
          </w:p>
        </w:tc>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Repayment Amount</w:t>
            </w:r>
          </w:p>
        </w:tc>
      </w:tr>
      <w:tr>
        <w:trPr>
          <w:trHeight w:val="25"/>
        </w:trPr>
        <w:tc>
          <w:tcPr>
            <w:tcW w:w="7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1"/>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10, 2025</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$13,687 (RMB99.9 million)</w:t>
            </w:r>
          </w:p>
        </w:tc>
      </w:tr>
      <w:tr>
        <w:trPr>
          <w:trHeight w:val="23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10, 2025</w:t>
            </w:r>
          </w:p>
        </w:tc>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$13,687 (RMB99.9 million)</w:t>
            </w:r>
          </w:p>
        </w:tc>
      </w:tr>
      <w:tr>
        <w:trPr>
          <w:trHeight w:val="25"/>
        </w:trPr>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38"/>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10, 2026</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$20,531 (RMB149.9 million)</w:t>
            </w:r>
          </w:p>
        </w:tc>
      </w:tr>
      <w:tr>
        <w:trPr>
          <w:trHeight w:val="23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10, 2026</w:t>
            </w:r>
          </w:p>
        </w:tc>
        <w:tc>
          <w:tcPr>
            <w:tcW w:w="3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$20,531 (RMB149.9 million)</w:t>
            </w: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amount of interest expenses capitalized, which was recorded in the construction in progress and the property, plant and equipment, was $359 and $1,503 as of December 31, 2024 and 2023 , respectively.</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Group has also entered into short-term loan agreements and bank facilities with Chinese banks. The original terms of the loans from Chinese banks are within 12 months and the interest rates range from 3.25% to 4.85% per annum. The amount of interest expenses, which was recorded in profits and loss was $1,405 and $639 as of December 31, 2024 and 2023,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BANK BORROWINGS - continued</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Changes in bank borrowings were as follows:</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43"/>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7"/>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2"/>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46,395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bank borrowings</w:t>
            </w: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101,517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47,852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58,708</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of principal</w:t>
            </w: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(24,482)</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difference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111,728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79,153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46,395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6"/>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of bank borrowings includes:</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70,666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35,392</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43,761</w:t>
            </w:r>
          </w:p>
        </w:tc>
      </w:tr>
      <w:tr>
        <w:trPr>
          <w:trHeight w:val="25"/>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111,728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Certain assets of the Group have been pledged to secure the above banking facilities granted to the Group. The aggregate carrying amount of the assets pledged by the Group as of December 31, 2024 and 2023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124,565</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use rights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11,984</w:t>
            </w:r>
          </w:p>
        </w:tc>
        <w:tc>
          <w:tcPr>
            <w:tcW w:w="0" w:type="dxa"/>
            <w:vAlign w:val="bottom"/>
          </w:tcPr>
          <w:p>
            <w:pPr>
              <w:spacing w:after="0"/>
              <w:rPr>
                <w:sz w:val="1"/>
                <w:szCs w:val="1"/>
                <w:color w:val="auto"/>
              </w:rPr>
            </w:pPr>
          </w:p>
        </w:tc>
      </w:tr>
      <w:tr>
        <w:trPr>
          <w:trHeight w:val="25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191,863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136,549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13. OTHER NON-CURRENT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warranty, non-current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21,479</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subsidy income, non-current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payable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24,861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14. BONDS PAYABLE</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bonds payable</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Huzhou Saiyuan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43,157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43,157</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43,157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43,157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BONDS PAYABLE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Huzhou Saiyuan Loan</w:t>
      </w:r>
    </w:p>
    <w:p>
      <w:pPr>
        <w:spacing w:after="0" w:line="21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 convertible bonds.</w:t>
      </w:r>
    </w:p>
    <w:p>
      <w:pPr>
        <w:spacing w:after="0" w:line="16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If the subscribed bonds are not repaid by the maturity date of January 31, 2027,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$950,000.</w:t>
      </w:r>
    </w:p>
    <w:p>
      <w:pPr>
        <w:spacing w:after="0" w:line="1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September 2020 and 2022, MPS entered into two supplement agreements with Huzhou Saiyuan, respectively, to change the repayment schedule as follows: (i) $14,629 (RMB100 million) was repaid, together with interest accrued, on or before November 10, 2022, (ii) $14,630 (RMB100 million) was repaid, together with interest accrued, on or before December 31, 2022, and (iii) the remaining $43,888 (RMB300 million) will be repaid, together with interest accrued, on or before January 31, 2027. The applicable interest rate will be increased to 12% if the Group is in default on the repayment of the bonds at the due date. The remaining terms and conditions of the convertible bonds were unchanged. The Company has fully complied with the amended repayment schedule. With $692 (equivalent to RMB5 million) repaid in 2023, the outstanding balance of the convertible bonds was $43,157 (RMB295 million) as of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WARRANTS</w:t>
      </w:r>
    </w:p>
    <w:p>
      <w:pPr>
        <w:spacing w:after="0" w:line="2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Upon the Merger, the Company assumed 27,600,000 publicly-traded warrants (“Public Warrants”) which were issued in connection with Tuscan’s initial public offering. The Company also assumed 837,000 private placement warrants issued to Tuscan Holdings Acquisition LLC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2024, none of the Public Warrants or the Private Warrants have been exercised.</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Public Warrants became exercisable 30 days after the completion of the Merger. No Warrants were exercisable for cash until the Company registered Common Stock issuable upon exercise of the Warrants with the SEC. Since the registration of Common Stock was not completed within 90 days following the Merger, warrant holders were able to exercise the Warrants on a net-share settlement basis until the registration statement became effective on June 8, 2022. The Public Warrants will expire five years after the completion of the Merger or earlier upon redemption or liquidation.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Once the Public Warrants became exercisable, the Company may redeem the Public Warrants:</w:t>
      </w:r>
    </w:p>
    <w:p>
      <w:pPr>
        <w:spacing w:after="0" w:line="178" w:lineRule="exact"/>
        <w:rPr>
          <w:sz w:val="20"/>
          <w:szCs w:val="20"/>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w:t>
      </w:r>
    </w:p>
    <w:p>
      <w:pPr>
        <w:spacing w:after="0" w:line="165" w:lineRule="exact"/>
        <w:rPr>
          <w:rFonts w:ascii="Times New Roman" w:cs="Times New Roman" w:eastAsia="Times New Roman" w:hAnsi="Times New Roman"/>
          <w:sz w:val="17"/>
          <w:szCs w:val="17"/>
          <w:color w:val="auto"/>
        </w:rPr>
      </w:pPr>
    </w:p>
    <w:p>
      <w:pPr>
        <w:ind w:left="940" w:right="140" w:hanging="318"/>
        <w:spacing w:after="0" w:line="287" w:lineRule="auto"/>
        <w:tabs>
          <w:tab w:leader="none" w:pos="9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spacing w:after="0" w:line="99"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the warrants.</w:t>
      </w:r>
    </w:p>
    <w:p>
      <w:pPr>
        <w:spacing w:after="0" w:line="21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net-share settlement basis.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WARRANTS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Public Warrant was determined to be equity classified in accordance with ASC 815, Derivatives and Hedging.</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6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Private Warrant liability was measured at fair value, resulting in (loss)/gain of $(223), $59 and $979 for the years ended December 31, 2024, 2023 and 2022, respectively. This was classified within changes in fair value of warrant liability in the consolidated statements of operations.</w:t>
      </w:r>
    </w:p>
    <w:p>
      <w:pPr>
        <w:spacing w:after="0" w:line="15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The Private Warrants were valued using the following assumptions under the Monte Carlo Model that assumes optimal exercise of the Company’s redemption option at the earliest possible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9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9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2.07</w:t>
            </w:r>
          </w:p>
        </w:tc>
      </w:tr>
      <w:tr>
        <w:trPr>
          <w:trHeight w:val="23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5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1.57</w:t>
            </w:r>
          </w:p>
        </w:tc>
      </w:tr>
      <w:tr>
        <w:trPr>
          <w:trHeight w:val="23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113.75 %</w:t>
            </w:r>
          </w:p>
        </w:tc>
      </w:tr>
      <w:tr>
        <w:trPr>
          <w:trHeight w:val="25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r>
      <w:tr>
        <w:trPr>
          <w:trHeight w:val="232"/>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rate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On May 28, 2024, the Company also issued a warrant exercisable for 5,500,000 shares of Common Stock at an initial exercise price of $2.00 per share. The Warrant expires on May 28, 2029 in connection of the convertible loan with shareholder. See Note 26 – Convertible loan with shareholder measured at fair value.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Measured or disclosed at fair value on a recurring basis</w:t>
      </w:r>
    </w:p>
    <w:p>
      <w:pPr>
        <w:spacing w:after="0" w:line="22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Group measured its financial assets and liabilities, including cash and cash equivalents, restricted cash, warrant liability, convertible loan with shareholder at fair value on a recurring basis. Cash and cash equivalents and restricted cash are classified within Level 1 of the fair value hierarchy because they are valued based on the quoted market price in an active market. The fair value of the warrant liability and convertible loan with shareholder are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Refer to Note 26 for disclosure of valuation model utilized in measuring the fair value of convertible loan.</w:t>
      </w:r>
    </w:p>
    <w:p>
      <w:pPr>
        <w:spacing w:after="0" w:line="17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December 31, 2024 and 2023, information about inputs for the fair value measurements of the Group’s assets and liabilities that are measured at fair value on a recurring basis in periods subsequent to their initial recognition is as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7"/>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Fair Value Measurement as of December 31, 2024</w:t>
            </w:r>
          </w:p>
        </w:tc>
        <w:tc>
          <w:tcPr>
            <w:tcW w:w="1100" w:type="dxa"/>
            <w:vAlign w:val="bottom"/>
            <w:tcBorders>
              <w:bottom w:val="single" w:sz="8" w:color="auto"/>
            </w:tcBorders>
          </w:tcPr>
          <w:p>
            <w:pPr>
              <w:spacing w:after="0"/>
              <w:rPr>
                <w:sz w:val="20"/>
                <w:szCs w:val="20"/>
                <w:color w:val="auto"/>
              </w:rPr>
            </w:pPr>
          </w:p>
        </w:tc>
      </w:tr>
      <w:tr>
        <w:trPr>
          <w:trHeight w:val="211"/>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Market for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73,007</w:t>
            </w:r>
          </w:p>
        </w:tc>
      </w:tr>
      <w:tr>
        <w:trPr>
          <w:trHeight w:val="23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36,594</w:t>
            </w: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109,601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109,601</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4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loan with shareholder measured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r>
      <w:tr>
        <w:trPr>
          <w:trHeight w:val="24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104,903</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104,903</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3"/>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7"/>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Fair Value Measurement as of December 31, 2023</w:t>
            </w:r>
          </w:p>
        </w:tc>
        <w:tc>
          <w:tcPr>
            <w:tcW w:w="1100" w:type="dxa"/>
            <w:vAlign w:val="bottom"/>
            <w:tcBorders>
              <w:bottom w:val="single" w:sz="8" w:color="auto"/>
            </w:tcBorders>
          </w:tcPr>
          <w:p>
            <w:pPr>
              <w:spacing w:after="0"/>
              <w:rPr>
                <w:sz w:val="24"/>
                <w:szCs w:val="24"/>
                <w:color w:val="auto"/>
              </w:rPr>
            </w:pPr>
          </w:p>
        </w:tc>
      </w:tr>
      <w:tr>
        <w:trPr>
          <w:trHeight w:val="211"/>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Quoted Prices in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Active</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Market for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Inputs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44,541</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44,541</w:t>
            </w:r>
          </w:p>
        </w:tc>
      </w:tr>
      <w:tr>
        <w:trPr>
          <w:trHeight w:val="23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43,648</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43,648</w:t>
            </w: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88,189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88,189</w:t>
            </w:r>
          </w:p>
        </w:tc>
      </w:tr>
      <w:tr>
        <w:trPr>
          <w:trHeight w:val="20"/>
        </w:trPr>
        <w:tc>
          <w:tcPr>
            <w:tcW w:w="50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financial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3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F-33</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6"/>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Measured or disclosed at fair value on a recurring basis-continued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the beginning and ending balances for Level 3 warrant liability during the year ended December 31,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180" w:type="dxa"/>
            <w:vAlign w:val="bottom"/>
            <w:tcBorders>
              <w:bottom w:val="single" w:sz="8" w:color="auto"/>
            </w:tcBorders>
          </w:tcPr>
          <w:p>
            <w:pPr>
              <w:spacing w:after="0"/>
              <w:rPr>
                <w:sz w:val="21"/>
                <w:szCs w:val="21"/>
                <w:color w:val="auto"/>
              </w:rPr>
            </w:pPr>
          </w:p>
        </w:tc>
      </w:tr>
      <w:tr>
        <w:trPr>
          <w:trHeight w:val="238"/>
        </w:trPr>
        <w:tc>
          <w:tcPr>
            <w:tcW w:w="648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year</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4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0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44"/>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290</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10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r>
      <w:tr>
        <w:trPr>
          <w:trHeight w:val="20"/>
        </w:trPr>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the beginning and ending balances for Level 3 convertible loan with shareholder during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164465</wp:posOffset>
            </wp:positionV>
            <wp:extent cx="11296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6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27"/>
        </w:trPr>
        <w:tc>
          <w:tcPr>
            <w:tcW w:w="9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5"/>
        </w:trPr>
        <w:tc>
          <w:tcPr>
            <w:tcW w:w="9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convertible loan with shareholder</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25,944</w:t>
            </w:r>
          </w:p>
        </w:tc>
      </w:tr>
      <w:tr>
        <w:trPr>
          <w:trHeight w:val="25"/>
        </w:trPr>
        <w:tc>
          <w:tcPr>
            <w:tcW w:w="9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paid during the period</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r>
      <w:tr>
        <w:trPr>
          <w:trHeight w:val="232"/>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79,737</w:t>
            </w:r>
          </w:p>
        </w:tc>
      </w:tr>
      <w:tr>
        <w:trPr>
          <w:trHeight w:val="25"/>
        </w:trPr>
        <w:tc>
          <w:tcPr>
            <w:tcW w:w="9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6"/>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Measured or disclosed at fair value on a nonrecurring basis</w:t>
      </w:r>
    </w:p>
    <w:p>
      <w:pPr>
        <w:spacing w:after="0" w:line="223"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The Company’s assets measured at fair value on a nonrecurring basis include long-lived assets. The Company reviews the carrying amounts of such assets when events indicate that their carrying amounts may not be recoverable. Any resulting asset impairment would require that the asset be recorded at its fair value. The fair value of the asset or asset group is determined using cost approach, sales comparison approach and income capitalization approach with unobservable inputs (Level 3), depending on the underlying nature of the asset or the asset group.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LEASES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Group has operating leases for office spaces and warehouses. Certain leases include termination options, which are factored into the Group's determination of lease payments when appropriate.</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Operating lease cost for the years ended December 31, 2024, 2023 and 2022 were $3,478, $3,663 and $3,030, which excluded cost of short-term contracts. Short-term lease cost for the years ended December 31, 2024, 2023 and 2022 were $458, $435 and $373.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weighted average remaining lease term was 9.1 years and weighted average discount rate was 5.2% for the Group's operating leases.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LEASES - 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of the leases were as follows:</w:t>
      </w:r>
    </w:p>
    <w:p>
      <w:pPr>
        <w:spacing w:after="0" w:line="21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0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23"/>
                <w:szCs w:val="23"/>
                <w:color w:val="auto"/>
              </w:rPr>
            </w:pPr>
          </w:p>
        </w:tc>
      </w:tr>
      <w:tr>
        <w:trPr>
          <w:trHeight w:val="225"/>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payments for operating leases</w:t>
            </w: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20" w:type="dxa"/>
            <w:vAlign w:val="bottom"/>
          </w:tcPr>
          <w:p>
            <w:pPr>
              <w:spacing w:after="0"/>
              <w:rPr>
                <w:sz w:val="19"/>
                <w:szCs w:val="19"/>
                <w:color w:val="auto"/>
              </w:rPr>
            </w:pPr>
          </w:p>
        </w:tc>
      </w:tr>
      <w:tr>
        <w:trPr>
          <w:trHeight w:val="25"/>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0" w:type="dxa"/>
            <w:vAlign w:val="bottom"/>
          </w:tcPr>
          <w:p>
            <w:pPr>
              <w:spacing w:after="0"/>
              <w:rPr>
                <w:sz w:val="20"/>
                <w:szCs w:val="20"/>
                <w:color w:val="auto"/>
              </w:rPr>
            </w:pPr>
          </w:p>
        </w:tc>
      </w:tr>
      <w:tr>
        <w:trPr>
          <w:trHeight w:val="529"/>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is a maturity analysis of the annual undiscounted cash flows for lease liabilities as of December 31, 2024: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5"/>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20" w:type="dxa"/>
            <w:vAlign w:val="bottom"/>
          </w:tcPr>
          <w:p>
            <w:pPr>
              <w:spacing w:after="0"/>
              <w:rPr>
                <w:sz w:val="20"/>
                <w:szCs w:val="20"/>
                <w:color w:val="auto"/>
              </w:rPr>
            </w:pPr>
          </w:p>
        </w:tc>
      </w:tr>
      <w:tr>
        <w:trPr>
          <w:trHeight w:val="25"/>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20" w:type="dxa"/>
            <w:vAlign w:val="bottom"/>
          </w:tcPr>
          <w:p>
            <w:pPr>
              <w:spacing w:after="0"/>
              <w:rPr>
                <w:sz w:val="20"/>
                <w:szCs w:val="20"/>
                <w:color w:val="auto"/>
              </w:rPr>
            </w:pPr>
          </w:p>
        </w:tc>
      </w:tr>
      <w:tr>
        <w:trPr>
          <w:trHeight w:val="25"/>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w:t>
            </w:r>
          </w:p>
        </w:tc>
        <w:tc>
          <w:tcPr>
            <w:tcW w:w="20" w:type="dxa"/>
            <w:vAlign w:val="bottom"/>
          </w:tcPr>
          <w:p>
            <w:pPr>
              <w:spacing w:after="0"/>
              <w:rPr>
                <w:sz w:val="20"/>
                <w:szCs w:val="20"/>
                <w:color w:val="auto"/>
              </w:rPr>
            </w:pPr>
          </w:p>
        </w:tc>
      </w:tr>
      <w:tr>
        <w:trPr>
          <w:trHeight w:val="25"/>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future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21,845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5"/>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(4,210)</w:t>
            </w:r>
          </w:p>
        </w:tc>
      </w:tr>
      <w:tr>
        <w:trPr>
          <w:trHeight w:val="25"/>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17,635</w:t>
            </w:r>
          </w:p>
        </w:tc>
        <w:tc>
          <w:tcPr>
            <w:tcW w:w="20" w:type="dxa"/>
            <w:vAlign w:val="bottom"/>
            <w:shd w:val="clear" w:color="auto" w:fill="CCEEFF"/>
          </w:tcPr>
          <w:p>
            <w:pPr>
              <w:spacing w:after="0"/>
              <w:rPr>
                <w:sz w:val="23"/>
                <w:szCs w:val="23"/>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INCOME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is incorporated in the U.S. and is subject to the U.S. state and federal income tax. Net operating losses incurred in taxable years beginning after December 31, 2017, may be carried forward indefinitely but are subject to an 80% taxable income limitation. The Coronavirus Aid, Relief, and Economic Security (CARES) Act enacted in 2020 did not have a material impact on the Company's income tax provision for the years ended December 31, 2024, 2023 and 2022. are permitted to be carried forward indefinitely but may not be carried back.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PRC</w:t>
      </w:r>
    </w:p>
    <w:p>
      <w:pPr>
        <w:spacing w:after="0" w:line="169" w:lineRule="exact"/>
        <w:rPr>
          <w:sz w:val="20"/>
          <w:szCs w:val="20"/>
          <w:color w:val="auto"/>
        </w:rPr>
      </w:pPr>
    </w:p>
    <w:p>
      <w:pPr>
        <w:jc w:val="both"/>
        <w:ind w:right="440"/>
        <w:spacing w:after="0" w:line="270" w:lineRule="auto"/>
        <w:rPr>
          <w:sz w:val="20"/>
          <w:szCs w:val="20"/>
          <w:color w:val="auto"/>
        </w:rPr>
      </w:pPr>
      <w:r>
        <w:rPr>
          <w:rFonts w:ascii="Times New Roman" w:cs="Times New Roman" w:eastAsia="Times New Roman" w:hAnsi="Times New Roman"/>
          <w:sz w:val="17"/>
          <w:szCs w:val="17"/>
          <w:color w:val="auto"/>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1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MPS was recognized as a “New and High Tech Enterprise” (“NHTE”) by the relevant PRC government authorities in 2021 and 2024. Therefore, MPS, as the NHTE, is entitled to an income tax rate of 15% for 2024, 2023 and 2022.</w:t>
      </w:r>
    </w:p>
    <w:p>
      <w:pPr>
        <w:spacing w:after="0" w:line="1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Huzhou Hongwei New Energy Automobile Co., Ltd. (“Hongwei”) was recognized as a NHTE by the relevant PRC government authorities in 2020 and 2023, and it is entitled to an income tax rate of 15% for 2024, 2023 and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withholding tax rate of 10% under the EIT Law is imposed on dividends declared to foreign investors with respect to profit earned by PRC subsidiaries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2008 onward. Deferred tax liability was not provided with respect to undistributed profits of relevant PRC subsidiaries for the years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2023 and 2022, as the Group concluded that profits generated by the relevant PRC subsidiaries are considered to be permanently reinvested,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because the Group does not have any present plan to pay any cash dividends on its ordinary shares in the foreseeable future and intends to retain all of its available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funds and any future earnings for use in the operation and expansion of its business.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INCOME TAXES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Germany</w:t>
      </w:r>
    </w:p>
    <w:p>
      <w:pPr>
        <w:spacing w:after="0" w:line="2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German enterprise income tax, which is a combination of corporate income tax and trade tax, is calculated at an average tax rate of 29.1%, 29.9% and 27.9% for the years ended December 31, 2024, 2023 and 2022, respectively, for the Company’s subsidiary located in Germany in accordance with relevant tax rules and regulations in Germany.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provision for income tax of nil, $10, and $33 has been recognized for the years ended December 31, 2024, 2023 and 2022,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before provision for income tax for the years ended December 31, 2024, 2023 and 2022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46"/>
        </w:trPr>
        <w:tc>
          <w:tcPr>
            <w:tcW w:w="6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 (USA)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(116,353)</w:t>
            </w:r>
          </w:p>
        </w:tc>
      </w:tr>
      <w:tr>
        <w:trPr>
          <w:trHeight w:val="25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(41,814)</w:t>
            </w:r>
          </w:p>
        </w:tc>
      </w:tr>
      <w:tr>
        <w:trPr>
          <w:trHeight w:val="26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provision for income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(106,402)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(158,167)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deferred components of the income tax expense in the consolidated statements of operations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5000" w:type="dxa"/>
            <w:vAlign w:val="bottom"/>
          </w:tcPr>
          <w:p>
            <w:pPr>
              <w:spacing w:after="0"/>
              <w:rPr>
                <w:sz w:val="19"/>
                <w:szCs w:val="19"/>
                <w:color w:val="auto"/>
              </w:rPr>
            </w:pPr>
          </w:p>
        </w:tc>
        <w:tc>
          <w:tcPr>
            <w:tcW w:w="286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25"/>
        </w:trPr>
        <w:tc>
          <w:tcPr>
            <w:tcW w:w="50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tax expense</w:t>
            </w:r>
          </w:p>
        </w:tc>
        <w:tc>
          <w:tcPr>
            <w:tcW w:w="2860" w:type="dxa"/>
            <w:vAlign w:val="bottom"/>
            <w:gridSpan w:val="2"/>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expense</w:t>
            </w:r>
          </w:p>
        </w:tc>
        <w:tc>
          <w:tcPr>
            <w:tcW w:w="16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provision for income tax</w:t>
            </w:r>
          </w:p>
        </w:tc>
        <w:tc>
          <w:tcPr>
            <w:tcW w:w="2860" w:type="dxa"/>
            <w:vAlign w:val="bottom"/>
            <w:gridSpan w:val="2"/>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components of the Group’s deferred tax assets are as follows:</w:t>
            </w:r>
          </w:p>
        </w:tc>
        <w:tc>
          <w:tcPr>
            <w:tcW w:w="1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5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5"/>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0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67,569</w:t>
            </w:r>
          </w:p>
        </w:tc>
        <w:tc>
          <w:tcPr>
            <w:tcW w:w="0" w:type="dxa"/>
            <w:vAlign w:val="bottom"/>
          </w:tcPr>
          <w:p>
            <w:pPr>
              <w:spacing w:after="0"/>
              <w:rPr>
                <w:sz w:val="1"/>
                <w:szCs w:val="1"/>
                <w:color w:val="auto"/>
              </w:rPr>
            </w:pPr>
          </w:p>
        </w:tc>
      </w:tr>
      <w:tr>
        <w:trPr>
          <w:trHeight w:val="239"/>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of convertible loan</w:t>
            </w: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credit losses and inventory provision</w:t>
            </w:r>
          </w:p>
        </w:tc>
        <w:tc>
          <w:tcPr>
            <w:tcW w:w="16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0" w:type="dxa"/>
            <w:vAlign w:val="bottom"/>
          </w:tcPr>
          <w:p>
            <w:pPr>
              <w:spacing w:after="0"/>
              <w:rPr>
                <w:sz w:val="1"/>
                <w:szCs w:val="1"/>
                <w:color w:val="auto"/>
              </w:rPr>
            </w:pPr>
          </w:p>
        </w:tc>
      </w:tr>
      <w:tr>
        <w:trPr>
          <w:trHeight w:val="252"/>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warranty</w:t>
            </w: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0" w:type="dxa"/>
            <w:vAlign w:val="bottom"/>
          </w:tcPr>
          <w:p>
            <w:pPr>
              <w:spacing w:after="0"/>
              <w:rPr>
                <w:sz w:val="1"/>
                <w:szCs w:val="1"/>
                <w:color w:val="auto"/>
              </w:rPr>
            </w:pPr>
          </w:p>
        </w:tc>
      </w:tr>
      <w:tr>
        <w:trPr>
          <w:trHeight w:val="26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of property, plant and equipment</w:t>
            </w:r>
          </w:p>
        </w:tc>
        <w:tc>
          <w:tcPr>
            <w:tcW w:w="1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52"/>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w:t>
            </w: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0" w:type="dxa"/>
            <w:vAlign w:val="bottom"/>
          </w:tcPr>
          <w:p>
            <w:pPr>
              <w:spacing w:after="0"/>
              <w:rPr>
                <w:sz w:val="1"/>
                <w:szCs w:val="1"/>
                <w:color w:val="auto"/>
              </w:rPr>
            </w:pPr>
          </w:p>
        </w:tc>
      </w:tr>
      <w:tr>
        <w:trPr>
          <w:trHeight w:val="26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w:t>
            </w:r>
          </w:p>
        </w:tc>
        <w:tc>
          <w:tcPr>
            <w:tcW w:w="1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0" w:type="dxa"/>
            <w:vAlign w:val="bottom"/>
          </w:tcPr>
          <w:p>
            <w:pPr>
              <w:spacing w:after="0"/>
              <w:rPr>
                <w:sz w:val="1"/>
                <w:szCs w:val="1"/>
                <w:color w:val="auto"/>
              </w:rPr>
            </w:pPr>
          </w:p>
        </w:tc>
      </w:tr>
      <w:tr>
        <w:trPr>
          <w:trHeight w:val="252"/>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Others</w:t>
            </w: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(106,651)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(76,223)</w:t>
            </w:r>
          </w:p>
        </w:tc>
        <w:tc>
          <w:tcPr>
            <w:tcW w:w="0" w:type="dxa"/>
            <w:vAlign w:val="bottom"/>
          </w:tcPr>
          <w:p>
            <w:pPr>
              <w:spacing w:after="0"/>
              <w:rPr>
                <w:sz w:val="1"/>
                <w:szCs w:val="1"/>
                <w:color w:val="auto"/>
              </w:rPr>
            </w:pPr>
          </w:p>
        </w:tc>
      </w:tr>
      <w:tr>
        <w:trPr>
          <w:trHeight w:val="244"/>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60" w:type="dxa"/>
            <w:vAlign w:val="bottom"/>
            <w:gridSpan w:val="2"/>
            <w:vMerge w:val="restart"/>
          </w:tcPr>
          <w:p>
            <w:pPr>
              <w:jc w:val="right"/>
              <w:ind w:right="1994"/>
              <w:spacing w:after="0"/>
              <w:rPr>
                <w:sz w:val="20"/>
                <w:szCs w:val="20"/>
                <w:color w:val="auto"/>
              </w:rPr>
            </w:pPr>
            <w:r>
              <w:rPr>
                <w:rFonts w:ascii="Times New Roman" w:cs="Times New Roman" w:eastAsia="Times New Roman" w:hAnsi="Times New Roman"/>
                <w:sz w:val="17"/>
                <w:szCs w:val="17"/>
                <w:color w:val="auto"/>
              </w:rPr>
              <w:t>F-36</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00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0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INCOME TAXES -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movements of valuation allowance for the years end December 31, 2024, 2023 and 2022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66,853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55,100</w:t>
            </w:r>
          </w:p>
        </w:tc>
      </w:t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12,725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11,838</w:t>
            </w:r>
          </w:p>
        </w:tc>
      </w:tr>
      <w:tr>
        <w:trPr>
          <w:trHeight w:val="25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Reversal</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(11,278)</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(3,355)</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106,651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76,223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66,853</w:t>
            </w: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Reconciliation between the income tax expense computed by applying the U.S. federal corporate income tax rate of 21% to loss before provision for income tax and actual provision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(158,167)</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at the U.S. federal corporate income tax rate of 21%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(33,214)</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permanent differences – share-based compensation</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20,098</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effect of permanent differences – others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(4,295)</w:t>
            </w:r>
          </w:p>
        </w:tc>
      </w:tr>
      <w:tr>
        <w:trPr>
          <w:trHeight w:val="26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income tax rate difference in other jurisdictions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15,754</w:t>
            </w:r>
          </w:p>
        </w:tc>
      </w:tr>
      <w:tr>
        <w:trPr>
          <w:trHeight w:val="25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As of December 31, 2024, the Group had $359,290 operating loss carried forward. The operating loss carried forward for the Company’s PRC subsidiaries amounted to $219,668, which will expire on various dates from 2025 to 2034. For the remaining operating loss, $139,622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is primarily related to entities with net operating loss carry-forwards for which the Group does not believe it will ultimately be realized.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NONCONTROLLING INTERESTS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 controlling interests of Microvast Inc.</w:t>
      </w:r>
    </w:p>
    <w:p>
      <w:pPr>
        <w:spacing w:after="0" w:line="2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On December 19, 2022, Microvast Inc. and a third party set up a company named Microvast Precision Works Co., Ltd ("MPW"). The Company holds a 70% shareholding in MPW and consolidates MPW, and the third party holds 30%. The total registered capital of MPW is $7,246 which the shareholders intended to fund pro-rata to their shareholding. As of December 31, 2022, no investment was paid by any of the parties and MPW had no operation. In 2023, the Company invested cash of $5,072 in MPW and fulfilled its funding obligation. The third party shareholder did not fully inject its funding as was required, and informed the Company that it would withdraw from MPW. As a result, Microvast Inc. became MPW's sole owner as of December 31, 2023. The amount of net loss attributable to non controlling interests was nil, $76 and nil for the years ended December 31, 2024, 2023 and 2022,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COMMON STOCK</w:t>
      </w:r>
    </w:p>
    <w:p>
      <w:pPr>
        <w:spacing w:after="0" w:line="22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Company has authorized 800,000,000 shares to be issued at $0.0001 par value, with 750,000,000 shares designated as Common Stock and 50,000,000 shares of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SHARE-BASED PAYMENT</w:t>
      </w:r>
    </w:p>
    <w:p>
      <w:pPr>
        <w:spacing w:after="0" w:line="221"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7"/>
          <w:szCs w:val="17"/>
          <w:color w:val="auto"/>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w:t>
      </w:r>
    </w:p>
    <w:p>
      <w:pPr>
        <w:ind w:right="20"/>
        <w:spacing w:after="0" w:line="256"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schedules, using the ratio of 160.3. The 2021 Plan reserved 5% of the fully-diluted shares of Common Stock outstanding immediately following the Closing Date plus the shares underlying awards rolled over from the 2012 Plan for issuance in accordance with the 2021 Plan’s terms. As of December 31, 2024, 15,608,278 shares of Common Stock was available for grant under the 2021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Share options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2024, a termination and transition advisory services agreement was entered between a former employee and the Company. According to this agreement, all unvested restricted stock units, performance-based restricted stock units and stock options held by the employee as of April 10, 2024 will vest in full immediately following April 10, 2025. The Company accounted for the modification as a Type III (improbable-to-probable) modification, which represents the modification of the award that was not expected to vest under the original vesting conditions at the date of the modification. The Company recognized compensation cost equal to the modified award’s fair value at the date of the modification over the period in which the former employee serves as consultant to the Company.</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 and modification date fair value of the stock options was determined using the Black Scholes model with the following assumptions: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Pr>
          <w:p>
            <w:pPr>
              <w:spacing w:after="0"/>
              <w:rPr>
                <w:sz w:val="19"/>
                <w:szCs w:val="19"/>
                <w:color w:val="auto"/>
              </w:rPr>
            </w:pPr>
          </w:p>
        </w:tc>
        <w:tc>
          <w:tcPr>
            <w:tcW w:w="3840" w:type="dxa"/>
            <w:vAlign w:val="bottom"/>
            <w:gridSpan w:val="3"/>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74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5"/>
        </w:trPr>
        <w:tc>
          <w:tcPr>
            <w:tcW w:w="7400" w:type="dxa"/>
            <w:vAlign w:val="bottom"/>
          </w:tcPr>
          <w:p>
            <w:pPr>
              <w:spacing w:after="0"/>
              <w:rPr>
                <w:sz w:val="19"/>
                <w:szCs w:val="19"/>
                <w:color w:val="auto"/>
              </w:rPr>
            </w:pPr>
          </w:p>
        </w:tc>
        <w:tc>
          <w:tcPr>
            <w:tcW w:w="198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7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74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$1.29-$5.69</w:t>
            </w: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$1.21-$6.28</w:t>
            </w:r>
          </w:p>
        </w:tc>
      </w:tr>
      <w:tr>
        <w:trPr>
          <w:trHeight w:val="252"/>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terms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1.25-7.26</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0.25-6.00</w:t>
            </w:r>
          </w:p>
        </w:tc>
      </w:tr>
      <w:tr>
        <w:trPr>
          <w:trHeight w:val="26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85.66%-103.11%</w:t>
            </w: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55.59%-86.83%</w:t>
            </w:r>
          </w:p>
        </w:tc>
      </w:tr>
      <w:tr>
        <w:trPr>
          <w:trHeight w:val="252"/>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4.05%-5.00%</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3.48%-5.38%</w:t>
            </w:r>
          </w:p>
        </w:tc>
      </w:tr>
      <w:tr>
        <w:trPr>
          <w:trHeight w:val="25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r>
        <w:trPr>
          <w:trHeight w:val="24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fair value of options 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$0.0035-$0.89</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$0.01-$1.48</w:t>
            </w:r>
          </w:p>
        </w:tc>
      </w:tr>
    </w:tbl>
    <w:p>
      <w:pPr>
        <w:spacing w:after="0" w:line="2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a blend of implied volatility from the average volatility of peer companies, implied volatility and the Company's historical volatility. Risk-free interest rate was estimated based on the market yield of US Government Bonds with maturity close to the expected term of the options. The dividend yield was estimated by the Company based on its expected dividend policy over the expected term of the options.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SHARE-BASED PAYMENT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Share options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options activity for the year ended December 31, 2024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193"/>
        </w:trPr>
        <w:tc>
          <w:tcPr>
            <w:tcW w:w="4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7"/>
                <w:szCs w:val="17"/>
                <w:b w:val="1"/>
                <w:bCs w:val="1"/>
                <w:color w:val="auto"/>
              </w:rPr>
              <w:t>Exercise</w:t>
            </w:r>
          </w:p>
        </w:tc>
        <w:tc>
          <w:tcPr>
            <w:tcW w:w="15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7"/>
                <w:szCs w:val="17"/>
                <w:b w:val="1"/>
                <w:bCs w:val="1"/>
                <w:color w:val="auto"/>
                <w:w w:val="99"/>
              </w:rPr>
              <w:t>Grant Date</w:t>
            </w:r>
          </w:p>
        </w:tc>
        <w:tc>
          <w:tcPr>
            <w:tcW w:w="14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Remaining</w:t>
            </w:r>
          </w:p>
        </w:tc>
      </w:tr>
      <w:tr>
        <w:trPr>
          <w:trHeight w:val="22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Share options life</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Price (US$)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Fair Value (US $)</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w:t>
            </w:r>
          </w:p>
        </w:tc>
      </w:tr>
      <w:tr>
        <w:trPr>
          <w:trHeight w:val="25"/>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32,876,682</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5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(2,175,283)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32,701,399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5.80</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to vest and exercisable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32,701,399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3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Exercisable as of 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29,768,065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years ended December 31, 2024, 2023 and 2022, the Company recorded share-based compensation expense of $25,175, $51,289 and $60,020 related to the option awards.</w:t>
      </w:r>
    </w:p>
    <w:p>
      <w:pPr>
        <w:spacing w:after="0" w:line="1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total unrecognized equity-based compensation costs as of December 31, 2024 related to the stock options was $2,001, which is expected to be recognized over a weighted-average period of 1.7 years. The aggregate intrinsic value of the share options as of December 31, 2024 was $1,637.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Capped Non-vested share units</w:t>
      </w:r>
    </w:p>
    <w:p>
      <w:pPr>
        <w:spacing w:after="0" w:line="22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capped non-vested share units ("CRSUs") represent rights for the holder to receive cash determined by the number of shares granted multiplied by the lower of the fair market value and the capped price, which will be settled in the form of cash payments. The CRSUs were accounted for as liability classified awards.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27, 2022, the Board of Directors and Compensation Committee approved a modification of the settlement terms of 20,023,699 CRSUs under the 2021 Plan from cash settlement to share settlement (the “CRSU Modification”). Pursuant to the CRSU Modification, on each vesting date, if the stock price is higher than the capped price, the number of shares to be issued will be calculated based on the following formula: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to be issued = Capped price* Number of shares vested /Vesting date stock price</w:t>
      </w:r>
    </w:p>
    <w:p>
      <w:pPr>
        <w:spacing w:after="0" w:line="2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If the stock price is equal to or less than the capped price, the Company will grant a fixed number of shares on each vesting date based on the vesting schedule. All other terms of the CRSUs remain unchanged. The CRSU Modification resulted in a change of the CRSUs’ classification from liability to equity, as the predominant feature of the modified CRSUs was the granting of a fixed number of shares on each vesting date instead of a fixed monetary amount. The determination of the predominant feature was based on the estimated probability of how the awards will be settled using the Monte Carlo model.</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At the CRSU Modification date, the Company reclassified the amounts previously recorded as a share-based compensation liability to additional paid-in capital. The modified CRSUs were accounted for as an equity award going forward from the date of the CRSU Modification with compensation expenses recognized for each tranche at the fair value measured on the modification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SHARE-BASED PAYMENT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Capped Non-vested share units -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CRSU Modification date, the Company used the Monte Carlo valuation model in determining the fair value of the CRSUs with assumptions as follows:</w:t>
      </w:r>
    </w:p>
    <w:p>
      <w:pPr>
        <w:spacing w:after="0" w:line="29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7"/>
          <w:szCs w:val="17"/>
          <w:b w:val="1"/>
          <w:bCs w:val="1"/>
          <w:color w:val="auto"/>
        </w:rPr>
        <w:t>Modification Date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380" w:type="dxa"/>
            <w:vAlign w:val="bottom"/>
            <w:tcBorders>
              <w:top w:val="single" w:sz="8" w:color="auto"/>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2.07</w:t>
            </w:r>
          </w:p>
        </w:tc>
      </w:tr>
      <w:tr>
        <w:trPr>
          <w:trHeight w:val="232"/>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50.93 %</w:t>
            </w:r>
          </w:p>
        </w:tc>
        <w:tc>
          <w:tcPr>
            <w:tcW w:w="1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73.89%</w:t>
            </w:r>
          </w:p>
        </w:tc>
      </w:tr>
      <w:tr>
        <w:trPr>
          <w:trHeight w:val="25"/>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3.05%</w:t>
            </w:r>
          </w:p>
        </w:tc>
      </w:tr>
      <w:tr>
        <w:trPr>
          <w:trHeight w:val="232"/>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yields</w:t>
            </w:r>
          </w:p>
        </w:tc>
        <w:tc>
          <w:tcPr>
            <w:tcW w:w="2640" w:type="dxa"/>
            <w:vAlign w:val="bottom"/>
            <w:gridSpan w:val="2"/>
          </w:tcPr>
          <w:p>
            <w:pPr>
              <w:jc w:val="right"/>
              <w:ind w:right="1014"/>
              <w:spacing w:after="0"/>
              <w:rPr>
                <w:sz w:val="20"/>
                <w:szCs w:val="20"/>
                <w:color w:val="auto"/>
              </w:rPr>
            </w:pPr>
            <w:r>
              <w:rPr>
                <w:rFonts w:ascii="Times New Roman" w:cs="Times New Roman" w:eastAsia="Times New Roman" w:hAnsi="Times New Roman"/>
                <w:sz w:val="17"/>
                <w:szCs w:val="17"/>
                <w:color w:val="auto"/>
              </w:rPr>
              <w:t>0.00%</w:t>
            </w:r>
          </w:p>
        </w:tc>
      </w:tr>
    </w:tbl>
    <w:p>
      <w:pPr>
        <w:spacing w:after="0" w:line="3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Expected term was the time left (in years) from the CRSU Modification date to the vesting date based on the terms of the applicable award agreements. The volatility of the underlying common stock was estimated based on the historical stock price volatility of comparable listed companies over a period comparable to the expected term of the awards. Risk-free interest rate was estimated based on the market yield of US Government Bonds with maturity close to the expected term of the awards. The dividend yield was estimated by the Company based on its expected dividend policy over the expected term of the awards.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During the years ended December 31, 2024, 2023 and 2022, the Company recorded share-based compensation expense of $2,793, $9,647 and $32,804 related to these CRSUs awards.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CRSUs' activity for the year ended December 31, 2024 was as follows: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0"/>
        </w:trPr>
        <w:tc>
          <w:tcPr>
            <w:tcW w:w="15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206"/>
        </w:trPr>
        <w:tc>
          <w:tcPr>
            <w:tcW w:w="15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Number on</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Grant</w:t>
            </w:r>
          </w:p>
        </w:tc>
      </w:tr>
      <w:tr>
        <w:trPr>
          <w:trHeight w:val="206"/>
        </w:trPr>
        <w:tc>
          <w:tcPr>
            <w:tcW w:w="15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Non-Vested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 Fair Value</w:t>
            </w:r>
          </w:p>
        </w:tc>
      </w:tr>
      <w:tr>
        <w:trPr>
          <w:trHeight w:val="227"/>
        </w:trPr>
        <w:tc>
          <w:tcPr>
            <w:tcW w:w="15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per Share (US$)</w:t>
            </w:r>
          </w:p>
        </w:tc>
      </w:tr>
      <w:tr>
        <w:trPr>
          <w:trHeight w:val="25"/>
        </w:trPr>
        <w:tc>
          <w:tcPr>
            <w:tcW w:w="15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8"/>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6,665,014</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(6,665,014)</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5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2024</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503"/>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 is no unrecognized equity-based compensation costs as of December 31, 2024 related to the CRSUs.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3"/>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tc>
        <w:tc>
          <w:tcPr>
            <w:tcW w:w="6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1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Following the Merger, the Company granted 5,158,451 restricted stock units (“RSUs”) and 2,680,372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$1,850, $1,992 and $1,358 related to these RSU awards and $1,044, $2,386 and $2,048 related to these PSU awards during the years ended December 31, 2024, 2023 and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SHARE-BASED PAYMENT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Units - continued</w:t>
      </w:r>
    </w:p>
    <w:p>
      <w:pPr>
        <w:spacing w:after="0" w:line="22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following assumptions were used for the respective periods below to calculate the fair value of common shares to be issued under TSR awards on the date of grant using the Monte Carlo pricing model: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92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5"/>
        </w:trPr>
        <w:tc>
          <w:tcPr>
            <w:tcW w:w="9280" w:type="dxa"/>
            <w:vAlign w:val="bottom"/>
          </w:tcPr>
          <w:p>
            <w:pPr>
              <w:spacing w:after="0"/>
              <w:rPr>
                <w:sz w:val="19"/>
                <w:szCs w:val="19"/>
                <w:color w:val="auto"/>
              </w:rPr>
            </w:pPr>
          </w:p>
        </w:tc>
        <w:tc>
          <w:tcPr>
            <w:tcW w:w="1960" w:type="dxa"/>
            <w:vAlign w:val="bottom"/>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92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1"/>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52"/>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61.89 %</w:t>
            </w:r>
          </w:p>
        </w:tc>
      </w:tr>
      <w:tr>
        <w:trPr>
          <w:trHeight w:val="264"/>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r>
      <w:tr>
        <w:trPr>
          <w:trHeight w:val="232"/>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Expected term was derived based on the remaining time from the grant date through the end of the performance period. The volatility of the underlying common stock during the lives of the awards was estimated based on the historical stock price volatility of comparable listed companies over a period comparable to the expected term of the awards. Risk-free interest rate was estimated based on the market yield of US Government Bond with maturity close to the expected term of</w:t>
      </w:r>
    </w:p>
    <w:p>
      <w:pPr>
        <w:spacing w:after="0"/>
        <w:rPr>
          <w:sz w:val="20"/>
          <w:szCs w:val="20"/>
          <w:color w:val="auto"/>
        </w:rPr>
      </w:pPr>
      <w:r>
        <w:rPr>
          <w:rFonts w:ascii="Times New Roman" w:cs="Times New Roman" w:eastAsia="Times New Roman" w:hAnsi="Times New Roman"/>
          <w:sz w:val="17"/>
          <w:szCs w:val="17"/>
          <w:color w:val="auto"/>
        </w:rPr>
        <w:t>the awards. The dividend yield was estimated by the Company based on its expected dividend policy over the expected term of the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The restricted stock units activity for the year ended December 31, 2024 was as follows: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3"/>
        </w:trPr>
        <w:tc>
          <w:tcPr>
            <w:tcW w:w="7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6"/>
        </w:trPr>
        <w:tc>
          <w:tcPr>
            <w:tcW w:w="794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 Grant</w:t>
            </w:r>
          </w:p>
        </w:tc>
      </w:tr>
      <w:tr>
        <w:trPr>
          <w:trHeight w:val="206"/>
        </w:trPr>
        <w:tc>
          <w:tcPr>
            <w:tcW w:w="794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Non-Vested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 Fair Value</w:t>
            </w:r>
          </w:p>
        </w:tc>
      </w:tr>
      <w:tr>
        <w:trPr>
          <w:trHeight w:val="227"/>
        </w:trPr>
        <w:tc>
          <w:tcPr>
            <w:tcW w:w="794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Share (US$)</w:t>
            </w:r>
          </w:p>
        </w:tc>
      </w:tr>
      <w:tr>
        <w:trPr>
          <w:trHeight w:val="25"/>
        </w:trPr>
        <w:tc>
          <w:tcPr>
            <w:tcW w:w="7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48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w w:val="99"/>
              </w:rPr>
              <w:t>3,598,606</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w:t>
            </w:r>
          </w:p>
        </w:tc>
        <w:tc>
          <w:tcPr>
            <w:tcW w:w="148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w w:val="99"/>
              </w:rPr>
              <w:t>2,516,736</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(1,472,178)</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rPr>
              <w:t>(1,219,859)</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5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2024</w:t>
            </w:r>
          </w:p>
        </w:tc>
        <w:tc>
          <w:tcPr>
            <w:tcW w:w="148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3,423,305</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unrecognized equity-based compensation costs as of December 31, 2024 related to the non-vested restricted stock units was $3,318.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summarizes the classification of share-based compensation:</w:t>
            </w: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7"/>
        </w:trPr>
        <w:tc>
          <w:tcPr>
            <w:tcW w:w="5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38"/>
        </w:trPr>
        <w:tc>
          <w:tcPr>
            <w:tcW w:w="53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224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67,261</w:t>
            </w:r>
          </w:p>
        </w:tc>
      </w:tr>
      <w:tr>
        <w:trPr>
          <w:trHeight w:val="2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13,987</w:t>
            </w: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w:t>
            </w:r>
          </w:p>
        </w:tc>
      </w:tr>
      <w:tr>
        <w:trPr>
          <w:trHeight w:val="24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3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244"/>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40" w:type="dxa"/>
            <w:vAlign w:val="bottom"/>
            <w:gridSpan w:val="2"/>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30,862</w:t>
            </w:r>
          </w:p>
        </w:tc>
        <w:tc>
          <w:tcPr>
            <w:tcW w:w="8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65,314</w:t>
            </w:r>
          </w:p>
        </w:tc>
        <w:tc>
          <w:tcPr>
            <w:tcW w:w="8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96,230</w:t>
            </w: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2240" w:type="dxa"/>
            <w:vAlign w:val="bottom"/>
            <w:gridSpan w:val="2"/>
          </w:tcPr>
          <w:p>
            <w:pPr>
              <w:jc w:val="right"/>
              <w:ind w:right="1674"/>
              <w:spacing w:after="0"/>
              <w:rPr>
                <w:sz w:val="20"/>
                <w:szCs w:val="20"/>
                <w:color w:val="auto"/>
              </w:rPr>
            </w:pPr>
            <w:r>
              <w:rPr>
                <w:rFonts w:ascii="Times New Roman" w:cs="Times New Roman" w:eastAsia="Times New Roman" w:hAnsi="Times New Roman"/>
                <w:sz w:val="17"/>
                <w:szCs w:val="17"/>
                <w:color w:val="auto"/>
              </w:rPr>
              <w:t>F-41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MAINLAND CHINA CONTRIBUTION PLAN</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$5,012, $3,552 and $3,370 for the years ended December 31, 2024, 2023 and 2022,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STATUTORY RESERVES AND RESTRICTED NET ASSETS</w:t>
      </w:r>
    </w:p>
    <w:p>
      <w:pPr>
        <w:spacing w:after="0" w:line="22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the retained earnings account in the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incurs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8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$528,337 and $528,337 as of December 31, 2024 and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SEGMENT INFORMATION</w:t>
      </w:r>
    </w:p>
    <w:p>
      <w:pPr>
        <w:spacing w:after="0" w:line="2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uses consolidated net loss to measure segment profit or loss, allocate resources, and assess performance. The CODM is regularly provided with the consolidated statements of operations and uses consolidated net loss to monitor budget versus actual results when making decisions about the allocation of operating and capital resources. As such, the Group concluded that it has one operating segment and one reporting segment.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SEGMENT INFORMATION - continued</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Long-lived assets, classified by major geographic regions are as follows: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70"/>
        </w:trPr>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38"/>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regions</w:t>
            </w:r>
          </w:p>
        </w:tc>
        <w:tc>
          <w:tcPr>
            <w:tcW w:w="188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4800" w:type="dxa"/>
            <w:vAlign w:val="bottom"/>
            <w:tcBorders>
              <w:top w:val="single" w:sz="8" w:color="auto"/>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auto"/>
            </w:tcBorders>
          </w:tcPr>
          <w:p>
            <w:pPr>
              <w:spacing w:after="0"/>
              <w:rPr>
                <w:sz w:val="20"/>
                <w:szCs w:val="20"/>
                <w:color w:val="auto"/>
              </w:rPr>
            </w:pPr>
          </w:p>
        </w:tc>
      </w:tr>
      <w:tr>
        <w:trPr>
          <w:trHeight w:val="244"/>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290,512</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304,380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290,512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304,380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48 %</w:t>
            </w:r>
          </w:p>
        </w:tc>
      </w:tr>
      <w:tr>
        <w:trPr>
          <w:trHeight w:val="25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Germany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14,871</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3 %</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18,119</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3 %</w:t>
            </w:r>
          </w:p>
        </w:tc>
      </w:tr>
      <w:tr>
        <w:trPr>
          <w:trHeight w:val="239"/>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184,177</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38 %</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310,152</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49 %</w:t>
            </w:r>
          </w:p>
        </w:tc>
      </w:tr>
      <w:tr>
        <w:trPr>
          <w:trHeight w:val="264"/>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489,560</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632,651</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Disaggregation of revenue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classified by major geographic regions in which the Group’s customers are located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3"/>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3"/>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2"/>
        </w:trPr>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regions</w:t>
            </w:r>
          </w:p>
        </w:tc>
        <w:tc>
          <w:tcPr>
            <w:tcW w:w="2080" w:type="dxa"/>
            <w:vAlign w:val="bottom"/>
            <w:gridSpan w:val="3"/>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3"/>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3"/>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2"/>
        </w:trPr>
        <w:tc>
          <w:tcPr>
            <w:tcW w:w="1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4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tcBorders>
          </w:tcPr>
          <w:p>
            <w:pPr>
              <w:spacing w:after="0"/>
              <w:rPr>
                <w:sz w:val="20"/>
                <w:szCs w:val="20"/>
                <w:color w:val="auto"/>
              </w:rPr>
            </w:pPr>
          </w:p>
        </w:tc>
      </w:tr>
      <w:tr>
        <w:trPr>
          <w:trHeight w:val="25"/>
        </w:trPr>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8"/>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127,138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156,480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132,469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48,767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Asia &amp; Pacific</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countries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Asia &amp; Pacific</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177,696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46 %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219,133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72 %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185,035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90 %</w:t>
            </w:r>
          </w:p>
        </w:tc>
      </w:tr>
      <w:tr>
        <w:trPr>
          <w:trHeight w:val="251"/>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Italy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150,809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56,592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European countries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187,718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84,358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27 %</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15,809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8 %</w:t>
            </w:r>
          </w:p>
        </w:tc>
      </w:tr>
      <w:tr>
        <w:trPr>
          <w:trHeight w:val="239"/>
        </w:trPr>
        <w:tc>
          <w:tcPr>
            <w:tcW w:w="1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14,387</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1 %</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3,651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2 %</w:t>
            </w:r>
          </w:p>
        </w:tc>
      </w:tr>
      <w:tr>
        <w:trPr>
          <w:trHeight w:val="269"/>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379,801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306,617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204,495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100 %</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RELATED PARTY BALANCES AND TRANSACTIONS</w:t>
      </w:r>
    </w:p>
    <w:p>
      <w:pPr>
        <w:spacing w:after="0" w:line="27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outstanding balance for the amount due to Ochem Chemical Co., Ltd controlled by the Chief Executive Officer was $5 as of December 31, 2024 and nil as of December 31,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CONVERTIBLE LOAN WITH SHAREHOLDER MEASURED AT FAIR VALUE</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28, 2024, Microvast Inc. entered into a $25,000 convertible loan agreement ("Loan Agreement") with Mr. Yang Wu, the Company’s Chief Executive Officer and Chairman.</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loan consists of an initial term loan of $12,000 and a delayed draw term loan of $13,000, bearing an initial interest rate equal to the Secured Overnight Financing Rate ("SOFR") plus an applicable margin of 9.75% per annum. Of this margin, 3.75% will be paid in kind ("PIK"), with the remainder payable in cash. The original maturity date was November 28, 2025, subject to acceleration in the event of default under the terms of the Loan Agreement.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On March 17, 2025, the Company entered into a First Amendment to the Loan Agreement (the “First Amendment”) with Mr. Yang Wu, the Company’s Chief Executive Officer and Chairman. The First Amendment extends the maturity date from November 28, 2025 to May 28, 2026. All other terms and conditions of the Loan Agreement remain unchanged.</w:t>
      </w:r>
    </w:p>
    <w:p>
      <w:pPr>
        <w:spacing w:after="0" w:line="18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Loan Agreement also grants Mr. Wu the right to convert the outstanding principal balance of the loan into shares of common stock at an initial conversion rate of two shares per $1.00 of principal amount converted.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initial term loan of $12,000 was received in May 2024 and the delayed draw term loan of $13,000 was received in July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loan is secured by a first priority security interest in substantially all of its assets by Microvast Inc. and all other entities within the Group as guarantors.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has elected fair value option to account for the convertible loan. Direct costs and fees related to the convertible loan were expensed as incurred. Subsequent changes in the fair value are recorded as a gain/(loss) in the consolidated statement of operations. The outstanding balance for the Convertible loan with shareholder was $104,613 as of December 31, 2024.</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significant input of the discounted cash flow model for the bond component is the discount rate. Below are the key inputs used in Black-Scholes-Merton model for the conversion option: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9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5"/>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 price of public stock</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2.07</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0.50</w:t>
            </w:r>
          </w:p>
        </w:tc>
      </w:tr>
      <w:tr>
        <w:trPr>
          <w:trHeight w:val="25"/>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76.99 %</w:t>
            </w:r>
          </w:p>
        </w:tc>
      </w:tr>
      <w:tr>
        <w:trPr>
          <w:trHeight w:val="25"/>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4.09 %</w:t>
            </w: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rate</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estimated using a blend of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connection with the convertible loan from Mr. Wu, on May 28, 2024, the Company also issued to Mr. Wu a warrant exercisable for 5,500,000 shares of common stock at an initial exercise price of $2.00 per share. The warrant expires on May 28, 2029. No warrants were exercised for the year ended December 31, 2024. Since the warrant met the criteria of equity classification, the Group recorded the warrant in additional paid-in capital on the issuance date at $779, with no changes recognized subsequent to the issuance date. The initial carrying amounts of the warrant is determined by the difference between the total proceeds received and the fair value of the convertible loan.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27. NET LOSS PER SHARE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3"/>
        </w:trPr>
        <w:tc>
          <w:tcPr>
            <w:tcW w:w="8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for the years indicated: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0"/>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37"/>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6"/>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 shareholders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(158,200)</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 used in computing basic and diluted net loss per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318,462,843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310,909,379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303,279,188</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8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r>
    </w:tbl>
    <w:p>
      <w:pPr>
        <w:spacing w:after="0" w:line="29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2024, 2023 and 2022, the following Common Stock outstanding were excluded from the calculation of diluted net loss per share, as their inclusion would have been anti-dilutive for the years prescribed.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3480" w:type="dxa"/>
            <w:vAlign w:val="bottom"/>
            <w:tcBorders>
              <w:bottom w:val="single" w:sz="8" w:color="auto"/>
            </w:tcBorders>
            <w:gridSpan w:val="5"/>
          </w:tcPr>
          <w:p>
            <w:pPr>
              <w:ind w:left="1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38"/>
        </w:trPr>
        <w:tc>
          <w:tcPr>
            <w:tcW w:w="66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share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31,767,047</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35,572,123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35,244,877</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vesting of non-vested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2,662,282</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3,623,777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1,399,711</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capped non-vested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3,733,136</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10,393,732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7,314,598</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exercise of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31,697,929</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28,437,000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28,437,000</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vesting of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11,202,179</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19,999,988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19,999,988</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that may be subject to cancellation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1,687,500</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1,687,500</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upon convert of convertible loan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25,803,279</w:t>
            </w:r>
          </w:p>
        </w:tc>
        <w:tc>
          <w:tcPr>
            <w:tcW w:w="8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Corporate Governance Actions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Stephen Vogel, Ruth Epstein, Stefan Selig, Richard Rieger, Amy Butte, Yang Wu and Yanzhuan Zheng have been named as defendants in a litigation filed in the Court of Chancery captioned </w:t>
      </w:r>
      <w:r>
        <w:rPr>
          <w:rFonts w:ascii="Times New Roman" w:cs="Times New Roman" w:eastAsia="Times New Roman" w:hAnsi="Times New Roman"/>
          <w:sz w:val="17"/>
          <w:szCs w:val="17"/>
          <w:i w:val="1"/>
          <w:iCs w:val="1"/>
          <w:color w:val="auto"/>
        </w:rPr>
        <w:t>Matt Jacob v. Stephen A. Vogel, et al., C.A. No. 2022-0600-PAF (</w:t>
      </w:r>
      <w:r>
        <w:rPr>
          <w:rFonts w:ascii="Times New Roman" w:cs="Times New Roman" w:eastAsia="Times New Roman" w:hAnsi="Times New Roman"/>
          <w:sz w:val="17"/>
          <w:szCs w:val="17"/>
          <w:color w:val="auto"/>
        </w:rPr>
        <w:t>Del. Ch.) (filed July 07, 2022). The plaintiff is seeking to certify the litigation as a stockholder class action. The complaint alleges that Stephen Vogel, Ruth Epstein, Stefan Selig, Richard Rieger and Amy Butte breached their fiduciary duties in connection with Tuscan's acquisition of Microvast, Inc., including by making inadequate disclosures concerning the projected earnings of Microvast, Inc. The complaint further alleges that once the earnings of the combined company became public, the Company's stock dropped, causing losses to investors. The complaint also alleges that Yang Wu and Yanzhuan Zheng aided and abetted these purported breaches. Certain defendants have answered the complaint, and certain defendants have filed motions to dismiss, which will be argued on April 03, 2025.</w:t>
      </w:r>
    </w:p>
    <w:p>
      <w:pPr>
        <w:spacing w:after="0" w:line="1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 w:cs="Times New Roman" w:eastAsia="Times New Roman" w:hAnsi="Times New Roman"/>
          <w:sz w:val="17"/>
          <w:szCs w:val="17"/>
          <w:i w:val="1"/>
          <w:iCs w:val="1"/>
          <w:color w:val="auto"/>
        </w:rPr>
        <w:t>In re Microvast Holdings Inc</w:t>
      </w:r>
      <w:r>
        <w:rPr>
          <w:rFonts w:ascii="Times New Roman" w:cs="Times New Roman" w:eastAsia="Times New Roman" w:hAnsi="Times New Roman"/>
          <w:sz w:val="17"/>
          <w:szCs w:val="17"/>
          <w:color w:val="auto"/>
        </w:rPr>
        <w:t>., C.A. No. 2023-1245-PAF. On March 18, 2024, the Court of Chancery granted the petition, validating and declaring effective each Act as of the time and date such Act was originally taken.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Corporate Governance Actions - continued</w:t>
      </w:r>
    </w:p>
    <w:p>
      <w:pPr>
        <w:spacing w:after="0" w:line="15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 xml:space="preserve">The Company, the directors of Company predecessor, Tuscan, and certain former and current Company officers and directors have also been named as defendants in a litigation filed in the Court of Chancery captioned </w:t>
      </w:r>
      <w:r>
        <w:rPr>
          <w:rFonts w:ascii="Times New Roman" w:cs="Times New Roman" w:eastAsia="Times New Roman" w:hAnsi="Times New Roman"/>
          <w:sz w:val="17"/>
          <w:szCs w:val="17"/>
          <w:i w:val="1"/>
          <w:iCs w:val="1"/>
          <w:color w:val="auto"/>
        </w:rPr>
        <w:t>Denish Bhavsar v. Stephen Vogel, et al.</w:t>
      </w:r>
      <w:r>
        <w:rPr>
          <w:rFonts w:ascii="Times New Roman" w:cs="Times New Roman" w:eastAsia="Times New Roman" w:hAnsi="Times New Roman"/>
          <w:sz w:val="17"/>
          <w:szCs w:val="17"/>
          <w:color w:val="auto"/>
        </w:rPr>
        <w:t>, Case No. 2024-0137-PAF (Del. Ch.) (filed Feb. 14, 2024). The plaintiff purports to assert derivative claims on behalf of the Company. The complaint alleges among other things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w:t>
      </w:r>
    </w:p>
    <w:p>
      <w:pPr>
        <w:spacing w:after="0" w:line="12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7"/>
          <w:szCs w:val="17"/>
          <w:color w:val="auto"/>
        </w:rPr>
        <w:t xml:space="preserve">The Company, certain former and current Company officers and directors have also been named as defendants in a litigation filed in the Court of Chancery captioned </w:t>
      </w:r>
      <w:r>
        <w:rPr>
          <w:rFonts w:ascii="Times New Roman" w:cs="Times New Roman" w:eastAsia="Times New Roman" w:hAnsi="Times New Roman"/>
          <w:sz w:val="17"/>
          <w:szCs w:val="17"/>
          <w:i w:val="1"/>
          <w:iCs w:val="1"/>
          <w:color w:val="auto"/>
        </w:rPr>
        <w:t>Henry Park v. Yang Wu, et al.</w:t>
      </w:r>
      <w:r>
        <w:rPr>
          <w:rFonts w:ascii="Times New Roman" w:cs="Times New Roman" w:eastAsia="Times New Roman" w:hAnsi="Times New Roman"/>
          <w:sz w:val="17"/>
          <w:szCs w:val="17"/>
          <w:color w:val="auto"/>
        </w:rPr>
        <w:t>, C.A. No. 2024-0868-PAF (Del. Ch.) (filed August 19, 2024). The plaintiff purports to assert derivative claims on behalf of the Company. The complaint alleges that certain individual defendants breached their fiduciary duties in connection with Tuscan’s acquisition of Microvast, Inc., including by making inadequate disclosures concerning Microvast, Inc.’s earnings and by refusing to investigate a litigation demand. On October 14, 2024, the Company and other defendants filed a motion to dismiss but the judge has not yet ruled on the motion.</w:t>
      </w:r>
    </w:p>
    <w:p>
      <w:pPr>
        <w:spacing w:after="0" w:line="20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(1) Microvast Inc.'s performance and financial health in connection with the merger between Tuscan and Microvast Inc., and (2) the Company's loss of a conditional grant from the United States Department of Energy. The Company has reviewed and responded to a certain of the demands and is evaluating responses to others. The Company has also received, reviewed and responded to a stockholder demand for books and records made pursuant to Section 220 of the Delaware General Corporation Law that purportedly seeks to investigate the loss of the DOE grant.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Securities Litigation</w:t>
      </w:r>
    </w:p>
    <w:p>
      <w:pPr>
        <w:spacing w:after="0" w:line="2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 xml:space="preserve">The Company and certain of its officers have also been named as defendants in a putative class action complaint by a shareholder of the Company in the U.S. District Court for the Southern District of Texas under the caption </w:t>
      </w:r>
      <w:r>
        <w:rPr>
          <w:rFonts w:ascii="Times New Roman" w:cs="Times New Roman" w:eastAsia="Times New Roman" w:hAnsi="Times New Roman"/>
          <w:sz w:val="17"/>
          <w:szCs w:val="17"/>
          <w:i w:val="1"/>
          <w:iCs w:val="1"/>
          <w:color w:val="auto"/>
        </w:rPr>
        <w:t>Schelling v. Microvast Holdings, Inc.,</w:t>
      </w:r>
      <w:r>
        <w:rPr>
          <w:rFonts w:ascii="Times New Roman" w:cs="Times New Roman" w:eastAsia="Times New Roman" w:hAnsi="Times New Roman"/>
          <w:sz w:val="17"/>
          <w:szCs w:val="17"/>
          <w:color w:val="auto"/>
        </w:rPr>
        <w:t xml:space="preserve"> 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and the nature of Company-associated operations in China. On March 1, 2024, the court appointed Co-Lead Plaintiffs and Co-Lead Counsel for the proposed class of Company investors. Plaintiffs amended their complaint on May 13, 2024, and defendants filed a motion to dismiss on June 20, 2024. Briefing on the motion to dismiss was completed on September 10, 2024. The Court has not ruled yet on the motion.</w:t>
      </w:r>
    </w:p>
    <w:p>
      <w:pPr>
        <w:spacing w:after="0" w:line="18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 xml:space="preserve">The Company and certain of its officers and directors have also been named as defendants in three derivative actions filed in the Southern District of Texas under the captions </w:t>
      </w:r>
      <w:r>
        <w:rPr>
          <w:rFonts w:ascii="Times New Roman" w:cs="Times New Roman" w:eastAsia="Times New Roman" w:hAnsi="Times New Roman"/>
          <w:sz w:val="17"/>
          <w:szCs w:val="17"/>
          <w:i w:val="1"/>
          <w:iCs w:val="1"/>
          <w:color w:val="auto"/>
        </w:rPr>
        <w:t>Bhavsar v. Wu et al.</w:t>
      </w:r>
      <w:r>
        <w:rPr>
          <w:rFonts w:ascii="Times New Roman" w:cs="Times New Roman" w:eastAsia="Times New Roman" w:hAnsi="Times New Roman"/>
          <w:sz w:val="17"/>
          <w:szCs w:val="17"/>
          <w:color w:val="auto"/>
        </w:rPr>
        <w:t xml:space="preserve">, No. 4:24-cv-00372 (S.D. Tex.) (filed Jan. 31, 2024), </w:t>
      </w:r>
      <w:r>
        <w:rPr>
          <w:rFonts w:ascii="Times New Roman" w:cs="Times New Roman" w:eastAsia="Times New Roman" w:hAnsi="Times New Roman"/>
          <w:sz w:val="17"/>
          <w:szCs w:val="17"/>
          <w:i w:val="1"/>
          <w:iCs w:val="1"/>
          <w:color w:val="auto"/>
        </w:rPr>
        <w:t>Marti et al v. Wu et al</w:t>
      </w:r>
      <w:r>
        <w:rPr>
          <w:rFonts w:ascii="Times New Roman" w:cs="Times New Roman" w:eastAsia="Times New Roman" w:hAnsi="Times New Roman"/>
          <w:sz w:val="17"/>
          <w:szCs w:val="17"/>
          <w:color w:val="auto"/>
        </w:rPr>
        <w:t xml:space="preserve">, Case No. 4:24-cv-00633 (S.D. Tex.) (filed Feb. 23, 2024), </w:t>
      </w:r>
      <w:r>
        <w:rPr>
          <w:rFonts w:ascii="Times New Roman" w:cs="Times New Roman" w:eastAsia="Times New Roman" w:hAnsi="Times New Roman"/>
          <w:sz w:val="17"/>
          <w:szCs w:val="17"/>
          <w:i w:val="1"/>
          <w:iCs w:val="1"/>
          <w:color w:val="auto"/>
        </w:rPr>
        <w:t>Gidaro v. Wu et al</w:t>
      </w:r>
      <w:r>
        <w:rPr>
          <w:rFonts w:ascii="Times New Roman" w:cs="Times New Roman" w:eastAsia="Times New Roman" w:hAnsi="Times New Roman"/>
          <w:sz w:val="17"/>
          <w:szCs w:val="17"/>
          <w:color w:val="auto"/>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 w:cs="Times New Roman" w:eastAsia="Times New Roman" w:hAnsi="Times New Roman"/>
          <w:sz w:val="17"/>
          <w:szCs w:val="17"/>
          <w:i w:val="1"/>
          <w:iCs w:val="1"/>
          <w:color w:val="auto"/>
        </w:rPr>
        <w:t>Schelling</w:t>
      </w:r>
      <w:r>
        <w:rPr>
          <w:rFonts w:ascii="Times New Roman" w:cs="Times New Roman" w:eastAsia="Times New Roman" w:hAnsi="Times New Roman"/>
          <w:sz w:val="17"/>
          <w:szCs w:val="17"/>
          <w:color w:val="auto"/>
        </w:rPr>
        <w:t xml:space="preserve"> 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 w:cs="Times New Roman" w:eastAsia="Times New Roman" w:hAnsi="Times New Roman"/>
          <w:sz w:val="17"/>
          <w:szCs w:val="17"/>
          <w:i w:val="1"/>
          <w:iCs w:val="1"/>
          <w:color w:val="auto"/>
        </w:rPr>
        <w:t>Bhavsar v. Wu</w:t>
      </w:r>
      <w:r>
        <w:rPr>
          <w:rFonts w:ascii="Times New Roman" w:cs="Times New Roman" w:eastAsia="Times New Roman" w:hAnsi="Times New Roman"/>
          <w:sz w:val="17"/>
          <w:szCs w:val="17"/>
          <w:color w:val="auto"/>
        </w:rPr>
        <w:t xml:space="preserve"> et al., No. 4:24-cv-00372, consolidating the </w:t>
      </w:r>
      <w:r>
        <w:rPr>
          <w:rFonts w:ascii="Times New Roman" w:cs="Times New Roman" w:eastAsia="Times New Roman" w:hAnsi="Times New Roman"/>
          <w:sz w:val="17"/>
          <w:szCs w:val="17"/>
          <w:i w:val="1"/>
          <w:iCs w:val="1"/>
          <w:color w:val="auto"/>
        </w:rPr>
        <w:t>Bhavsar</w:t>
      </w:r>
      <w:r>
        <w:rPr>
          <w:rFonts w:ascii="Times New Roman" w:cs="Times New Roman" w:eastAsia="Times New Roman" w:hAnsi="Times New Roman"/>
          <w:sz w:val="17"/>
          <w:szCs w:val="17"/>
          <w:color w:val="auto"/>
        </w:rPr>
        <w:t xml:space="preserve"> case and </w:t>
      </w:r>
      <w:r>
        <w:rPr>
          <w:rFonts w:ascii="Times New Roman" w:cs="Times New Roman" w:eastAsia="Times New Roman" w:hAnsi="Times New Roman"/>
          <w:sz w:val="17"/>
          <w:szCs w:val="17"/>
          <w:i w:val="1"/>
          <w:iCs w:val="1"/>
          <w:color w:val="auto"/>
        </w:rPr>
        <w:t>Marti et al v. Wu et al</w:t>
      </w:r>
      <w:r>
        <w:rPr>
          <w:rFonts w:ascii="Times New Roman" w:cs="Times New Roman" w:eastAsia="Times New Roman" w:hAnsi="Times New Roman"/>
          <w:sz w:val="17"/>
          <w:szCs w:val="17"/>
          <w:color w:val="auto"/>
        </w:rPr>
        <w:t xml:space="preserve">, Case No. 4:24-cv-00633. The consolidated derivative litigation (the “Consolidated Derivative Action”) is captioned </w:t>
      </w:r>
      <w:r>
        <w:rPr>
          <w:rFonts w:ascii="Times New Roman" w:cs="Times New Roman" w:eastAsia="Times New Roman" w:hAnsi="Times New Roman"/>
          <w:sz w:val="17"/>
          <w:szCs w:val="17"/>
          <w:i w:val="1"/>
          <w:iCs w:val="1"/>
          <w:color w:val="auto"/>
        </w:rPr>
        <w:t>In re Microvast Holdings, Inc. Derivative Litigation</w:t>
      </w:r>
      <w:r>
        <w:rPr>
          <w:rFonts w:ascii="Times New Roman" w:cs="Times New Roman" w:eastAsia="Times New Roman" w:hAnsi="Times New Roman"/>
          <w:sz w:val="17"/>
          <w:szCs w:val="17"/>
          <w:color w:val="auto"/>
        </w:rPr>
        <w:t xml:space="preserve">, Lead Case No. 4:24-cv-00372 (S.D. Tex.). The parties in the </w:t>
      </w:r>
      <w:r>
        <w:rPr>
          <w:rFonts w:ascii="Times New Roman" w:cs="Times New Roman" w:eastAsia="Times New Roman" w:hAnsi="Times New Roman"/>
          <w:sz w:val="17"/>
          <w:szCs w:val="17"/>
          <w:i w:val="1"/>
          <w:iCs w:val="1"/>
          <w:color w:val="auto"/>
        </w:rPr>
        <w:t>Gidardo</w:t>
      </w:r>
      <w:r>
        <w:rPr>
          <w:rFonts w:ascii="Times New Roman" w:cs="Times New Roman" w:eastAsia="Times New Roman" w:hAnsi="Times New Roman"/>
          <w:sz w:val="17"/>
          <w:szCs w:val="17"/>
          <w:color w:val="auto"/>
        </w:rPr>
        <w:t xml:space="preserve"> action filed a stipulation to consolidate the </w:t>
      </w:r>
      <w:r>
        <w:rPr>
          <w:rFonts w:ascii="Times New Roman" w:cs="Times New Roman" w:eastAsia="Times New Roman" w:hAnsi="Times New Roman"/>
          <w:sz w:val="17"/>
          <w:szCs w:val="17"/>
          <w:i w:val="1"/>
          <w:iCs w:val="1"/>
          <w:color w:val="auto"/>
        </w:rPr>
        <w:t>Gidaro</w:t>
      </w:r>
      <w:r>
        <w:rPr>
          <w:rFonts w:ascii="Times New Roman" w:cs="Times New Roman" w:eastAsia="Times New Roman" w:hAnsi="Times New Roman"/>
          <w:sz w:val="17"/>
          <w:szCs w:val="17"/>
          <w:color w:val="auto"/>
        </w:rPr>
        <w:t xml:space="preserve"> case into the Consolidated Derivative Action. The Consolidated Derivative Action is stayed pending disposition of an anticipated motion to dismiss in the </w:t>
      </w:r>
      <w:r>
        <w:rPr>
          <w:rFonts w:ascii="Times New Roman" w:cs="Times New Roman" w:eastAsia="Times New Roman" w:hAnsi="Times New Roman"/>
          <w:sz w:val="17"/>
          <w:szCs w:val="17"/>
          <w:i w:val="1"/>
          <w:iCs w:val="1"/>
          <w:color w:val="auto"/>
        </w:rPr>
        <w:t>Schelling</w:t>
      </w:r>
      <w:r>
        <w:rPr>
          <w:rFonts w:ascii="Times New Roman" w:cs="Times New Roman" w:eastAsia="Times New Roman" w:hAnsi="Times New Roman"/>
          <w:sz w:val="17"/>
          <w:szCs w:val="17"/>
          <w:color w:val="auto"/>
        </w:rPr>
        <w:t xml:space="preserve"> Action.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Securities Litigation - continued</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The Company and Microvast Energy, Inc. (“MV Energy”), a subsidiary of the Company, have been named as defendants in a litigation filed in the Montgomery County Chancery Court for the State of Tennessee under the caption </w:t>
      </w:r>
      <w:r>
        <w:rPr>
          <w:rFonts w:ascii="Times New Roman" w:cs="Times New Roman" w:eastAsia="Times New Roman" w:hAnsi="Times New Roman"/>
          <w:sz w:val="17"/>
          <w:szCs w:val="17"/>
          <w:i w:val="1"/>
          <w:iCs w:val="1"/>
          <w:color w:val="auto"/>
        </w:rPr>
        <w:t>Stoncor Group, Inc. v. Microvast, Inc., et al</w:t>
      </w:r>
      <w:r>
        <w:rPr>
          <w:rFonts w:ascii="Times New Roman" w:cs="Times New Roman" w:eastAsia="Times New Roman" w:hAnsi="Times New Roman"/>
          <w:sz w:val="17"/>
          <w:szCs w:val="17"/>
          <w:color w:val="auto"/>
        </w:rPr>
        <w:t>, Case No. CD-24-12 (Tenn. Ch.) (filed Mar. 18, 2024). The plaintiff alleges that the Company failed to pay it for construction work that it performed on a Microvast facility in Tennessee, and seeks damages of $1,251, plus certain fees and expenses, and foreclosure on the facility to satisfy the payment allegedly owed. The parties have entered into a settlement agreement and this matter has been stayed by the order of the court.</w:t>
      </w:r>
    </w:p>
    <w:p>
      <w:pPr>
        <w:spacing w:after="0" w:line="15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 xml:space="preserve">Deidra Milan is an ex-employee of Microvast, and is the putative representative of a class of more than 100 individual employees who were let go from their jobs at a plant in Clarksville, Tennessee. She has filed </w:t>
      </w:r>
      <w:r>
        <w:rPr>
          <w:rFonts w:ascii="Times New Roman" w:cs="Times New Roman" w:eastAsia="Times New Roman" w:hAnsi="Times New Roman"/>
          <w:sz w:val="17"/>
          <w:szCs w:val="17"/>
          <w:i w:val="1"/>
          <w:iCs w:val="1"/>
          <w:color w:val="auto"/>
        </w:rPr>
        <w:t>Civil Action No. 3:24-cv-00627, Deidre Milan, Plaintiff v. Microvast, Inc. and Microvast Holdings, Inc</w:t>
      </w:r>
      <w:r>
        <w:rPr>
          <w:rFonts w:ascii="Times New Roman" w:cs="Times New Roman" w:eastAsia="Times New Roman" w:hAnsi="Times New Roman"/>
          <w:sz w:val="17"/>
          <w:szCs w:val="17"/>
          <w:color w:val="auto"/>
        </w:rPr>
        <w:t>. in the US District Court for the Middle District of Tennessee. The Company filed an answer to the suit on July 19, 2024. The Class Action Complaint is brought under the Worker Adjustment and Notification Act, 29 U.S.C. §§2101-2109 (the “WARN Act”), which requires advance notice before certain types of plant closings and mass layoffs. Plaintiff alleges that Defendants failed to give proper advance notice of a mass layoff in violation of the WARN Act. Plaintiffs seek backpay, medical expenses, attorney’s fees and statutory penalties in an unspecified amount.</w:t>
      </w:r>
    </w:p>
    <w:p>
      <w:pPr>
        <w:spacing w:after="0" w:line="14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 xml:space="preserve">Microvast, Inc., a subsidiary of the Company, has been named as a defendant in a contract dispute litigation filed in Montgomery County Chancery Court for the State of Tennessee under the caption </w:t>
      </w:r>
      <w:r>
        <w:rPr>
          <w:rFonts w:ascii="Times New Roman" w:cs="Times New Roman" w:eastAsia="Times New Roman" w:hAnsi="Times New Roman"/>
          <w:sz w:val="17"/>
          <w:szCs w:val="17"/>
          <w:i w:val="1"/>
          <w:iCs w:val="1"/>
          <w:color w:val="auto"/>
        </w:rPr>
        <w:t>DPR Construction, GP vs.</w:t>
      </w:r>
      <w:r>
        <w:rPr>
          <w:rFonts w:ascii="Times New Roman" w:cs="Times New Roman" w:eastAsia="Times New Roman" w:hAnsi="Times New Roman"/>
          <w:sz w:val="17"/>
          <w:szCs w:val="17"/>
          <w:color w:val="auto"/>
        </w:rPr>
        <w:t xml:space="preserve"> Microvast,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No. CD-24-31 (Tenn. Ch.) (filed June 20, 2024). The Plaintiff alleges that the Company failed to pay it for construction work that is performed on a Microvast facility in Tennessee, and seeks damages of $19,950 in progress billings, the additional sum of $1,566 being held as retainage on Plaintiff's progress billings under the contract, lost profits on the work yet to be performed under the contract plus certain fees and expenses, and foreclosure on the facility to satisfy the payment allegedly owed. The Parties entered into a settlement agreement and this matter has been stayed by order of the court.</w:t>
      </w:r>
    </w:p>
    <w:p>
      <w:pPr>
        <w:spacing w:after="0" w:line="16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 xml:space="preserve">Microvast, Inc. has been named as a defendant in a contract dispute litigation filed in Montgomery County Chancery Court for the State of Tennessee under the caption </w:t>
      </w:r>
      <w:r>
        <w:rPr>
          <w:rFonts w:ascii="Times New Roman" w:cs="Times New Roman" w:eastAsia="Times New Roman" w:hAnsi="Times New Roman"/>
          <w:sz w:val="17"/>
          <w:szCs w:val="17"/>
          <w:i w:val="1"/>
          <w:iCs w:val="1"/>
          <w:color w:val="auto"/>
        </w:rPr>
        <w:t>Faith Technologies, Inc. Microvast, Inc. et al.</w:t>
      </w:r>
      <w:r>
        <w:rPr>
          <w:rFonts w:ascii="Times New Roman" w:cs="Times New Roman" w:eastAsia="Times New Roman" w:hAnsi="Times New Roman"/>
          <w:sz w:val="17"/>
          <w:szCs w:val="17"/>
          <w:color w:val="auto"/>
        </w:rPr>
        <w:t>, Case No. CD-24-36 (Tenn. Ch.) (filed on July 15, 2024). Plaintiff asserts claims for damages related to its subcontract with DPR Construction, GP under which Plaintiff provided fire protection system services on a Microvast facility in Tennessee, and seeks damages of $1,699 plus cost of court and attorneys and prejudgment interest. The Parties entered into a settlement agreement and this matter has been stayed by order of the court.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 -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 - continued</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7"/>
          <w:szCs w:val="17"/>
          <w:i w:val="1"/>
          <w:iCs w:val="1"/>
          <w:color w:val="auto"/>
        </w:rPr>
        <w:t>Bernhard MCC,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LLC. vs. U.S. Engineering Innovations, LLC, DPR Construction, Microvast, Inc. and the Industrial Development Board of the County of Montgomery, C</w:t>
      </w:r>
      <w:r>
        <w:rPr>
          <w:rFonts w:ascii="Times New Roman" w:cs="Times New Roman" w:eastAsia="Times New Roman" w:hAnsi="Times New Roman"/>
          <w:sz w:val="17"/>
          <w:szCs w:val="17"/>
          <w:color w:val="auto"/>
        </w:rPr>
        <w:t>ase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CD-24-27 (Tenn. Ch.) (filed on May 28, 2024 ) brought by a subcontractor on the Microvast Facility in Tennessee for lien enforcement of $5,681. The Parties entered into a settlement agreement and this matter has been stayed by order of the court. On November 11, 2024, this matter was stayed by order of the court.</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7"/>
          <w:szCs w:val="17"/>
          <w:i w:val="1"/>
          <w:iCs w:val="1"/>
          <w:color w:val="auto"/>
        </w:rPr>
        <w:t>Virginia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Transformer Corp. v. Microvast, Inc.and the Industrial Development Board of the County of Montgomery, Tennessee, </w:t>
      </w:r>
      <w:r>
        <w:rPr>
          <w:rFonts w:ascii="Times New Roman" w:cs="Times New Roman" w:eastAsia="Times New Roman" w:hAnsi="Times New Roman"/>
          <w:sz w:val="17"/>
          <w:szCs w:val="17"/>
          <w:color w:val="auto"/>
        </w:rPr>
        <w:t>Case No. RE-24-32 (Tenn. Ch.) (filed on July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01, 2024) brought by a prime contractor on the Microvast Facility in Tennessee for lien enforcement of $1,769. The Parties entered into a settlement agreement and this matter has been stayed by order of the court. Plaintiff has filed a motion to lift the stay and to amend its complaint to add a claim for breach of the settlement agreement. That motion remains pending.</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Microvast, Inc. has initiated lawsuit as a plaintiff in an action filed in the 11th Judicial District Court, Harris County, Texas under the caption </w:t>
      </w:r>
      <w:r>
        <w:rPr>
          <w:rFonts w:ascii="Times New Roman" w:cs="Times New Roman" w:eastAsia="Times New Roman" w:hAnsi="Times New Roman"/>
          <w:sz w:val="17"/>
          <w:szCs w:val="17"/>
          <w:i w:val="1"/>
          <w:iCs w:val="1"/>
          <w:color w:val="auto"/>
        </w:rPr>
        <w:t>Microvast, Inc.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Grupo Basan Barba Santana, S.A. De C.V., Cause No. 2025-11326 (</w:t>
      </w:r>
      <w:r>
        <w:rPr>
          <w:rFonts w:ascii="Times New Roman" w:cs="Times New Roman" w:eastAsia="Times New Roman" w:hAnsi="Times New Roman"/>
          <w:sz w:val="17"/>
          <w:szCs w:val="17"/>
          <w:color w:val="auto"/>
        </w:rPr>
        <w:t>filed on February 19,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Microvast ordered and paid energy storage systems from Grupo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Basan. Microvast ended the supply contract and under the supply contract, Microvast was entitled to the return of a large portion of the $3.5 million deposit Microvast had paid Grupo Basan as well as compensation for a significant number of products that it never received. However, Grupo Basan not only has failed to return those funds, but Grupo Basan has itself demanded $2.4 million in million in termination costs that are not provided for in the supply agreement. Microvast recently filed suit in Harris County, Texas seeking at least $2.6 million plus fees and interest.</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November 14, 2024, Microvast Energy, Inc. was named as a defendant in breach of contract action filed before the American Arbitration Association (“AAA”) under the caption </w:t>
      </w:r>
      <w:r>
        <w:rPr>
          <w:rFonts w:ascii="Times New Roman" w:cs="Times New Roman" w:eastAsia="Times New Roman" w:hAnsi="Times New Roman"/>
          <w:sz w:val="17"/>
          <w:szCs w:val="17"/>
          <w:i w:val="1"/>
          <w:iCs w:val="1"/>
          <w:color w:val="auto"/>
        </w:rPr>
        <w:t>Clenera Battery Holdco LLC v. Microvast, Inc.., Case No. 01-24-0008-7288.</w:t>
      </w:r>
      <w:r>
        <w:rPr>
          <w:rFonts w:ascii="Times New Roman" w:cs="Times New Roman" w:eastAsia="Times New Roman" w:hAnsi="Times New Roman"/>
          <w:sz w:val="17"/>
          <w:szCs w:val="17"/>
          <w:color w:val="auto"/>
        </w:rPr>
        <w:t xml:space="preserve"> Clenera's breach of contract claim centers on a supply agreement</w:t>
      </w:r>
    </w:p>
    <w:p>
      <w:pPr>
        <w:jc w:val="both"/>
        <w:spacing w:after="0"/>
        <w:rPr>
          <w:sz w:val="20"/>
          <w:szCs w:val="20"/>
          <w:color w:val="auto"/>
        </w:rPr>
      </w:pPr>
      <w:r>
        <w:rPr>
          <w:rFonts w:ascii="Times New Roman" w:cs="Times New Roman" w:eastAsia="Times New Roman" w:hAnsi="Times New Roman"/>
          <w:sz w:val="17"/>
          <w:szCs w:val="17"/>
          <w:color w:val="auto"/>
        </w:rPr>
        <w:t xml:space="preserve">between Microvast and Clenera for custom-made battery containers. Clenera alleges that Microvast must refund approximately $36 million due to Microvast's failure to deliver the containers by the contractual deadline, per the terms of the supply agreement. Clenera also seeks interest and attorneys’ fees. The parties have appointed their arbitrators and a chair has been selected. On November 15, 2024, Clenera had filed an action for the same claim against Microvast Holdings, Inc. in the Supreme Court of the State of New York, County of New York, under the caption </w:t>
      </w:r>
      <w:r>
        <w:rPr>
          <w:rFonts w:ascii="Times New Roman" w:cs="Times New Roman" w:eastAsia="Times New Roman" w:hAnsi="Times New Roman"/>
          <w:sz w:val="17"/>
          <w:szCs w:val="17"/>
          <w:i w:val="1"/>
          <w:iCs w:val="1"/>
          <w:color w:val="auto"/>
        </w:rPr>
        <w:t>Clenera Battery Holdco LLC v. Microvast Holdings, Inc.</w:t>
      </w:r>
      <w:r>
        <w:rPr>
          <w:rFonts w:ascii="Times New Roman" w:cs="Times New Roman" w:eastAsia="Times New Roman" w:hAnsi="Times New Roman"/>
          <w:sz w:val="17"/>
          <w:szCs w:val="17"/>
          <w:color w:val="auto"/>
        </w:rPr>
        <w:t>, Index No. 659103/2024. Microvast Holdings, Inc. was the guarantor for the supply agreement between Clenera and Microvast Energy. Clenera's allegations are identical to its arbitration claim against Microvast Energy. Clenera has agreed to consolidate this action into the AAA arbitration. This consolidation is under review by the AAA panel.</w:t>
      </w:r>
    </w:p>
    <w:p>
      <w:pPr>
        <w:spacing w:after="0" w:line="17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The Group is also involved in other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2024 and December 31, 2023, based on the information currently available, the Group believes that any loss contingencies that may arise as a result of currently pending legal proceedings cannot be accurately quantified at this time and thus cannot determine whether they will have a material adverse effect on the Group’s business,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Capital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commitments for construction of property and purchase of property, plant and equipment were $53,228 as of December 31, 2024.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COMMITMENTS AND CONTINGENCIES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Purchase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commitments for non-cancelable contractual obligations primarily related to purchases of inventory were $48,242 as of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Pledged assets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Other than the pledges disclosed in Note 12, the Group may pledge certain assets to banks to secure the issuance of bank acceptance notes for the Group. As of December 31, 2024, notes receivable from customers in the amount of $5,167, together with certain of the Group's machinery and equipment with a carrying value of $23,809 has been pledged to secure the issuance of such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Liens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Company had received $24,359 of liens.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SUBSEQUENT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Subsequent funding activities</w:t>
      </w:r>
    </w:p>
    <w:p>
      <w:pPr>
        <w:spacing w:after="0" w:line="21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On March 17, 2025, the Company entered into the First Amendment to Loan and Security Agreement (the “First Amendment”) to its Loan and Security Agreement (the “Loan Agreement”), dated as of May 28, 2024, with Mr. Yang Wu, the Company’s shareholder, Chief Executive Officer and Chairman. The First Amendment amends the Loan Agreement to extend the Maturity Date from November 28, 2025 to May 28, 2026. All other terms and conditions of the Loan Agreement remain the same.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year end of 2024 to the date of issuance of the financial statements in this Annual Report, the Company received $28,085 of short-term bank borrowings.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from subsidiaries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21,875</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31,795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23,385</w:t>
            </w: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365,395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540,954</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397,190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564,339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due to subsidiaries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9,005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w:t>
            </w: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9,295</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Deficit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(par value of US$0.0001 per share, 750,000,000 shares authorized as of December 31, 2024 and</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 324,831,634 and 316,694,442 shares issued, and 323,144,134 and 315,006,942 shares outstanding as of</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2024 and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1,512,982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1,481,241</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reserves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0" w:type="dxa"/>
            <w:vAlign w:val="bottom"/>
          </w:tcPr>
          <w:p>
            <w:pPr>
              <w:spacing w:after="0"/>
              <w:rPr>
                <w:sz w:val="1"/>
                <w:szCs w:val="1"/>
                <w:color w:val="auto"/>
              </w:rPr>
            </w:pP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(897,501)</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(25,614)</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387,895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564,190</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397,190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564,339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STATEMENT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4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from subsidiaries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0" w:type="dxa"/>
            <w:vAlign w:val="bottom"/>
          </w:tcPr>
          <w:p>
            <w:pPr>
              <w:spacing w:after="0"/>
              <w:rPr>
                <w:sz w:val="1"/>
                <w:szCs w:val="1"/>
                <w:color w:val="auto"/>
              </w:rPr>
            </w:pP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(2,438)</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(2,438)</w:t>
            </w:r>
          </w:p>
        </w:tc>
        <w:tc>
          <w:tcPr>
            <w:tcW w:w="0" w:type="dxa"/>
            <w:vAlign w:val="bottom"/>
          </w:tcPr>
          <w:p>
            <w:pPr>
              <w:spacing w:after="0"/>
              <w:rPr>
                <w:sz w:val="1"/>
                <w:szCs w:val="1"/>
                <w:color w:val="auto"/>
              </w:rPr>
            </w:pPr>
          </w:p>
        </w:tc>
      </w:tr>
      <w:tr>
        <w:trPr>
          <w:trHeight w:val="264"/>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change in fair value of warrant liability</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/income before 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720</w:t>
            </w:r>
          </w:p>
        </w:tc>
        <w:tc>
          <w:tcPr>
            <w:tcW w:w="0" w:type="dxa"/>
            <w:vAlign w:val="bottom"/>
          </w:tcPr>
          <w:p>
            <w:pPr>
              <w:spacing w:after="0"/>
              <w:rPr>
                <w:sz w:val="1"/>
                <w:szCs w:val="1"/>
                <w:color w:val="auto"/>
              </w:rPr>
            </w:pP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investment in subsidiaries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(194,456)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(108,407)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(158,920)</w:t>
            </w:r>
          </w:p>
        </w:tc>
        <w:tc>
          <w:tcPr>
            <w:tcW w:w="0" w:type="dxa"/>
            <w:vAlign w:val="bottom"/>
          </w:tcPr>
          <w:p>
            <w:pPr>
              <w:spacing w:after="0"/>
              <w:rPr>
                <w:sz w:val="1"/>
                <w:szCs w:val="1"/>
                <w:color w:val="auto"/>
              </w:rPr>
            </w:pPr>
          </w:p>
        </w:tc>
      </w:tr>
      <w:tr>
        <w:trPr>
          <w:trHeight w:val="28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Microvast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(195,457)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(106,336)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(158,200)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 of nil: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(24,782)</w:t>
            </w:r>
          </w:p>
        </w:tc>
        <w:tc>
          <w:tcPr>
            <w:tcW w:w="0" w:type="dxa"/>
            <w:vAlign w:val="bottom"/>
          </w:tcPr>
          <w:p>
            <w:pPr>
              <w:spacing w:after="0"/>
              <w:rPr>
                <w:sz w:val="1"/>
                <w:szCs w:val="1"/>
                <w:color w:val="auto"/>
              </w:rPr>
            </w:pP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 attributable to Microvast Holdings, Inc.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(208,037)</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(113,869)</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(182,982)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STATEMENT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 or as otherwise noted)</w:t>
      </w:r>
    </w:p>
    <w:p>
      <w:pPr>
        <w:spacing w:after="0" w:line="24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22860</wp:posOffset>
            </wp:positionV>
            <wp:extent cx="2938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(used) in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(255,662)</w:t>
            </w:r>
          </w:p>
        </w:tc>
      </w:tr>
      <w:tr>
        <w:trPr>
          <w:trHeight w:val="239"/>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short-term investment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(25,070)</w:t>
            </w:r>
          </w:p>
        </w:tc>
      </w:tr>
      <w:tr>
        <w:trPr>
          <w:trHeight w:val="245"/>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(100,379)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(280,732)</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received from shareholders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27,559</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27,559</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Decrease in cash, cash equivalents and restricted cash</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(97,827)</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(257,671)</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the period</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357,008</w:t>
            </w:r>
          </w:p>
        </w:tc>
      </w:tr>
      <w:tr>
        <w:trPr>
          <w:trHeight w:val="24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the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99,337</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380" w:right="2740"/>
        <w:spacing w:after="0" w:line="272" w:lineRule="auto"/>
        <w:rPr>
          <w:sz w:val="20"/>
          <w:szCs w:val="20"/>
          <w:color w:val="auto"/>
        </w:rPr>
      </w:pPr>
      <w:r>
        <w:rPr>
          <w:rFonts w:ascii="Times New Roman" w:cs="Times New Roman" w:eastAsia="Times New Roman" w:hAnsi="Times New Roman"/>
          <w:sz w:val="17"/>
          <w:szCs w:val="17"/>
          <w:b w:val="1"/>
          <w:bCs w:val="1"/>
          <w:color w:val="auto"/>
        </w:rPr>
        <w:t>ADDITIONAL INFORMATION FINANCIAL STATEMENT SCHEDULE I CONDENSED FINANCIAL INFORMATION OF PARENT COMPANY NOTES OF THE CONDENSED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FOR PREPARATION</w:t>
      </w:r>
    </w:p>
    <w:p>
      <w:pPr>
        <w:spacing w:after="0" w:line="22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financial information of the Company has been prepared using the same accounting policies as set out in the Group’s consolidated financial statements except that the Company has used the equity method to account for investments in its subsidiaries.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INVESTMENTS IN SUBSIDIARIES</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Under supervision and with the participation of our management, including our Chief Executive Officer and Chief Financial Officer, we evaluated the effectiveness of our disclosure controls and procedures (as defined in Rules 13a-15(e) and 15d-15(e) under the Exchange Act) as of December 31, 2024. Based upon that evaluation, our Chief Executive Officer and Chief Financial Officer concluded that our disclosure controls and procedures were not effective as of December 31, 2024, as a result of the material weakness identified below.</w:t>
      </w:r>
    </w:p>
    <w:p>
      <w:pPr>
        <w:spacing w:after="0" w:line="171"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In light of this material weakness, we performed additional analysis as deemed necessary to ensure that our financial statements were prepared in accordance with U.S. GAAP. Based on such analysis and notwithstanding the identified material weakness, management, including our Chief Executive Officer and Chief Financial Officer, believe the consolidated financial statements included in this Annual Report fairly represent in all material respects our financial condition, results of operations and cash flows at and for the periods presented in accordance with U.S. GAAP.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1"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65"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Management assessed the effectiveness of our internal control over financial reporting as December 31, 2024. In making this assessment, management used the criteria set forth by the Committee of Sponsoring Organizations of the Treadway Commission (COSO) in Internal Control-Integrated Framework. As a result of this assessment, management has concluded that, as of December 31, 2024, our internal control over financial reporting was not effective due to the material weakness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w:t>
      </w:r>
    </w:p>
    <w:p>
      <w:pPr>
        <w:spacing w:after="0" w:line="221"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As defined in the standards established by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3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audit of the financial year ended December 31, 2024, we identified control deficiencies in the design and operation of internal controls over financial reporting that constituted a material weakness in aggregation. Significant improvement in the design and monitoring of information technology general controls (“GITC”) was made in 2024, however a material weakness has been identified relating to the design, implementation and monitoring of GITC for the ERP system that are relevant to the preparation of our financial statements. In particular, the Company’s GITC findings included: (i) inappropriate implementation of controls allowed developers to gain access to application layer of ERP; (ii) the monitoring controls were not appropriately designed to review the overall operations of the privileged users; (iii) the monitoring controls were not appropriately designed to review the permissions granted to users. A substantial portion of the Company's controls are dependent upon the information derived from the ERP system and therefore the dependent controls were also concluded to be ineffective.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 Remediation</w:t>
      </w:r>
    </w:p>
    <w:p>
      <w:pPr>
        <w:spacing w:after="0" w:line="221"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Subsequent to the identification of the material weakness, we have taken steps to address the control deficiencies and continue to implement our remediation plan, which we believe addresses the underlying causes. We executed on our remediation plan for the material weakness by: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all inappropriate access as of December 31, 2024, and strictly following segregation of duty rule set for developers.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more robust and precise processes to monitor the privileged user activities.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more robust and precise processes for the user access review.</w:t>
      </w:r>
    </w:p>
    <w:p>
      <w:pPr>
        <w:spacing w:after="0" w:line="200"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While we believe these efforts will continue to improve our internal controls and address the underlying causes of the material weakness, the material weakness will not be remediated until our remediation plan has been fully implemented and tested and we have concluded that following the improvements, our IT general controls are operating effectively for a sufficient period of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Control Deficiencies Evaluated During the Year</w:t>
      </w:r>
    </w:p>
    <w:p>
      <w:pPr>
        <w:spacing w:after="0" w:line="22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During the impairment assessment process for plant, property and equipment as of December 31, 2024, management identified a material misstatement in the previously issued financial statements for the second and third quarter of 2024. It is related to the impairment assessment of the Clarksville facility. Specifically, certain assets primarily including clean rooms were inadvertently excluded from the calculation of carrying value of the asset group used in the impairment test for the second quarter of 2024, leading to a $23.1 million understatement of the impairment charge, resulting in the need to restate the Company’s interim financial statements.</w:t>
      </w:r>
    </w:p>
    <w:p>
      <w:pPr>
        <w:spacing w:after="0" w:line="20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The Company is required to become SOX compliant as of December 31, 2024 for the first year and was in process during the year to design and implement appropriate internal controls. While this misstatement was not prevented or detected by internal controls during interim , the Company has implemented controls during the year-end closing to strengthen the impairment assessment process including 1) conducting a precise review of the calculation of carrying value of assets group; and 2) reconciling the individual assets included in the assets group carrying value calculation to the valuation scope of external valuers. By implementing those controls for purpose of the impairment assessment as of December 31, 2024, the Company was able to detect this issue and then proactively investigated the discrepancy and corrected the misstatement by restating the affected interim financial statements.</w:t>
      </w:r>
    </w:p>
    <w:p>
      <w:pPr>
        <w:spacing w:after="0" w:line="196"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While this control deficiency was material to the interim periods, management concluded it did not constitute a material weakness as of December 31, 2024, because appropriate controls have been effectively implemented during the year end to detect the misstatement therefore the deficiency was fully remediated for the year ended December 31, 2024. The Company’s internal control over financial reporting was therefore effective at year-end, except for the GITC-related material weakness noted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As described above, the Company is taking steps to remediate the material weakness noted above. Other than in connection with these remediation steps, there have been no changes in our internal control over financial reporting during the fiscal year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Effectiveness of Controls and Procedures</w:t>
      </w:r>
    </w:p>
    <w:p>
      <w:pPr>
        <w:spacing w:after="0" w:line="34" w:lineRule="exact"/>
        <w:rPr>
          <w:sz w:val="20"/>
          <w:szCs w:val="20"/>
          <w:color w:val="auto"/>
        </w:rPr>
      </w:pPr>
    </w:p>
    <w:p>
      <w:pPr>
        <w:ind w:right="160" w:firstLine="619"/>
        <w:spacing w:after="0" w:line="245"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believe that our disclosure controls and procedures and internal control over financial reporting are designed to provide reasonable levels of assurance of achieving their objectives and are effective at the reasonable assurance level. However, management does not expect that our disclosure controls and procedures or our internal control over financial reporting will prevent or detect all errors or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 Microvast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4" w:lineRule="exact"/>
        <w:rPr>
          <w:sz w:val="20"/>
          <w:szCs w:val="20"/>
          <w:color w:val="auto"/>
        </w:rPr>
      </w:pPr>
    </w:p>
    <w:p>
      <w:pPr>
        <w:ind w:right="180" w:firstLine="619"/>
        <w:spacing w:after="0" w:line="241"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Microvast Holdings, Inc. and subsidiaries (the “Company”)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because of the effect of the material weakness described below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(2013) </w:t>
      </w:r>
      <w:r>
        <w:rPr>
          <w:rFonts w:ascii="Times New Roman" w:cs="Times New Roman" w:eastAsia="Times New Roman" w:hAnsi="Times New Roman"/>
          <w:sz w:val="17"/>
          <w:szCs w:val="17"/>
          <w:color w:val="auto"/>
        </w:rPr>
        <w:t>issued by COSO.</w:t>
      </w:r>
    </w:p>
    <w:p>
      <w:pPr>
        <w:spacing w:after="0" w:line="205" w:lineRule="exact"/>
        <w:rPr>
          <w:sz w:val="20"/>
          <w:szCs w:val="20"/>
          <w:color w:val="auto"/>
        </w:rPr>
      </w:pPr>
    </w:p>
    <w:p>
      <w:pPr>
        <w:ind w:right="160" w:firstLine="619"/>
        <w:spacing w:after="0" w:line="24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balance sheets, and related consolidated statements of operations, comprehensive loss, changes in shareholders’ equity, cash flows and financial statement schedule(the “financial statements”) as of and for the year ended December 31, 2024, of the Company and our report dated March 31, 2025,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ind w:right="160" w:firstLine="619"/>
        <w:spacing w:after="0" w:line="24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w:t>
      </w:r>
    </w:p>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possibility that a material misstatement of the company’s annual or interim financial statements will not be prevented or detected on a timely basis. The following</w:t>
      </w:r>
    </w:p>
    <w:p>
      <w:pPr>
        <w:spacing w:after="0" w:line="1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unremediated material weakness has been identified and included in management's assessment: the material weakness related to management’s failure to design, implement and monitor the information technology general controls for ERP system that relevant to preparation of the financial statements. Consequently, business process controls that rely upon information from the ERP system were also deemed ineffective. This material weakness was considered in determining the nature, timing, and extent of audit tests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applied in our audit of the financial statements as of and for the year ended December 31, 2024, of the Company, and this report does not affect our report on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/s/Deloitte Touche Tohmatsu Certified Public Accountants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An issuer will not be required to comply with Item 9C until the SEC has identified it as having non-inspection year.</w:t>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Executive Officers and Board of Directors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information is as of March 24,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100" w:type="dxa"/>
            <w:vAlign w:val="bottom"/>
            <w:tcBorders>
              <w:bottom w:val="single" w:sz="8" w:color="CCEEFF"/>
            </w:tcBorders>
          </w:tcPr>
          <w:p>
            <w:pPr>
              <w:spacing w:after="0"/>
              <w:rPr>
                <w:sz w:val="20"/>
                <w:szCs w:val="20"/>
                <w:color w:val="auto"/>
              </w:rPr>
            </w:pPr>
          </w:p>
        </w:tc>
        <w:tc>
          <w:tcPr>
            <w:tcW w:w="7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Position(s)</w:t>
            </w:r>
          </w:p>
        </w:tc>
      </w:tr>
      <w:tr>
        <w:trPr>
          <w:trHeight w:val="244"/>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Fariyal Khanbabi</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Wenjuan Mattis,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Shengxian Wu,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General Counsel and Corporate Secretary</w:t>
            </w:r>
          </w:p>
        </w:tc>
      </w:tr>
      <w:tr>
        <w:trPr>
          <w:trHeight w:val="23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Arthur Wong</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5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 Ying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1"/>
                <w:szCs w:val="21"/>
                <w:color w:val="auto"/>
              </w:rPr>
            </w:pP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3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Yixin Pan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Executive Officers</w:t>
      </w:r>
    </w:p>
    <w:p>
      <w:pPr>
        <w:spacing w:after="0" w:line="217" w:lineRule="exact"/>
        <w:rPr>
          <w:sz w:val="20"/>
          <w:szCs w:val="20"/>
          <w:color w:val="auto"/>
        </w:rPr>
      </w:pPr>
    </w:p>
    <w:p>
      <w:pPr>
        <w:ind w:right="38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Yang Wu </w:t>
      </w:r>
      <w:r>
        <w:rPr>
          <w:rFonts w:ascii="Times New Roman" w:cs="Times New Roman" w:eastAsia="Times New Roman" w:hAnsi="Times New Roman"/>
          <w:sz w:val="17"/>
          <w:szCs w:val="17"/>
          <w:color w:val="auto"/>
        </w:rPr>
        <w:t>was elected to our Board as a Class III Director on July 23, 2021. Mr. Wu is the founder of Microvast and has been its Chairman,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and director since its inception in October 2006. Mr. Wu has periodically served as the Company's President, including from its inception through April 14, 2022, from January 10, 2023 through August 3, 2023 and from February 5, 2024 through the present.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Wu is qualified to serve on our Board due to his deep industry expertise and his leadership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Wu is a U.S. citizen and resides in the U.S.</w:t>
      </w:r>
    </w:p>
    <w:p>
      <w:pPr>
        <w:spacing w:after="0" w:line="211" w:lineRule="exact"/>
        <w:rPr>
          <w:sz w:val="20"/>
          <w:szCs w:val="20"/>
          <w:color w:val="auto"/>
        </w:rPr>
      </w:pPr>
    </w:p>
    <w:p>
      <w:pPr>
        <w:ind w:right="8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Fariyal Khanbabi </w:t>
      </w:r>
      <w:r>
        <w:rPr>
          <w:rFonts w:ascii="Times New Roman" w:cs="Times New Roman" w:eastAsia="Times New Roman" w:hAnsi="Times New Roman"/>
          <w:sz w:val="17"/>
          <w:szCs w:val="17"/>
          <w:color w:val="auto"/>
        </w:rPr>
        <w:t>was appointed as our Chief Financial Officer on October 21, 2024. Ms. Khanbabi previously served as Group Chief Executive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Dialight PLC (LSE: DIA) starting in August 2019. Prior to her promotion to CEO of Dialight, she held the position of Group Chief Financial Officer from September 2014 to August 2019. Prior to her tenure at Dialight, Ms. Khanbabi held several senior finance leadership roles, including serving as Chief Financial Officer at Harvest Energy from March 2009 to August 2014 and as Chief Financial Officer at Britannia Bulk Inc. from August 2006 to March 2009.</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Khanbabi is a U.K. citizen and resides in the U.S.</w:t>
      </w:r>
    </w:p>
    <w:p>
      <w:pPr>
        <w:spacing w:after="0" w:line="211" w:lineRule="exact"/>
        <w:rPr>
          <w:sz w:val="20"/>
          <w:szCs w:val="20"/>
          <w:color w:val="auto"/>
        </w:rPr>
      </w:pPr>
    </w:p>
    <w:p>
      <w:pPr>
        <w:ind w:right="220"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Shengxian Wu </w:t>
      </w:r>
      <w:r>
        <w:rPr>
          <w:rFonts w:ascii="Times New Roman" w:cs="Times New Roman" w:eastAsia="Times New Roman" w:hAnsi="Times New Roman"/>
          <w:sz w:val="17"/>
          <w:szCs w:val="17"/>
          <w:color w:val="auto"/>
        </w:rPr>
        <w:t>was appointed as our Chief Operating Officer on April 18, 2024. He joined Microvast, Inc. in 2016, and he has served as Microvast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China’s President since January 2021. Prior to joining Microvast China, Dr. Wu served as manager of the Commercial Vehicle Research Institute of Zhejiang Geely Holding Group.</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Dr. Wu is a citizen of China and resides in China.</w:t>
      </w:r>
    </w:p>
    <w:p>
      <w:pPr>
        <w:spacing w:after="0" w:line="237" w:lineRule="exact"/>
        <w:rPr>
          <w:sz w:val="20"/>
          <w:szCs w:val="20"/>
          <w:color w:val="auto"/>
        </w:rPr>
      </w:pPr>
    </w:p>
    <w:p>
      <w:pPr>
        <w:ind w:right="20"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Isida Tushe </w:t>
      </w:r>
      <w:r>
        <w:rPr>
          <w:rFonts w:ascii="Times New Roman" w:cs="Times New Roman" w:eastAsia="Times New Roman" w:hAnsi="Times New Roman"/>
          <w:sz w:val="17"/>
          <w:szCs w:val="17"/>
          <w:color w:val="auto"/>
        </w:rPr>
        <w:t>was elected to our Board as a Class III Director on October 18, 2024 and currently serves as Microvast’s President, General Counsel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Corporate Secretary. Ms. Tushe has served as Microvast’s General Counsel since March 15, 2023 and as Microvast’s Corporate Secretary since May 8, 2023, and she was appointed as Microvast’s President on April 18, 2024. Prior to joining Microvast, Ms. Tushe served as the General Counsel and Corporate Secretary at DC Green Bank and mPhase Technologies, Inc., where she oversaw all legal and compliance matters. Prior to that, Ms. Tushe served as the General Counsel of FFP New Hydro LLC, a developer of low-impact hydroelectric energy generation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and storage in the United States, overseeing all legal and lobbying functions. Ms. Tushe has also held various senior positions involving finance, commercial and legal aspects of structured finance, M&amp;A, project finance and development, intellectual property and corporate governance, including as VP and Senior Counsel at Pine Gate Renewables, LLC. and as VP of Project Finance and Counsel at Fuel Cell Energy, Inc. (NASDAQ: FCEL)</w:t>
      </w:r>
    </w:p>
    <w:p>
      <w:pPr>
        <w:spacing w:after="0" w:line="19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Ms. Tushe is qualified to serve on our Board due to her legal and finance project experience, particularly with companies in power generation, renewables and clean technologies.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Ms.Tushe is a U.S. citizen and resides in the U.S.</w:t>
      </w:r>
    </w:p>
    <w:p>
      <w:pPr>
        <w:spacing w:after="0" w:line="23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Wenjuan Mattis </w:t>
      </w:r>
      <w:r>
        <w:rPr>
          <w:rFonts w:ascii="Times New Roman" w:cs="Times New Roman" w:eastAsia="Times New Roman" w:hAnsi="Times New Roman"/>
          <w:sz w:val="17"/>
          <w:szCs w:val="17"/>
          <w:color w:val="auto"/>
        </w:rPr>
        <w:t>was appointed as our Chief Technology Officer on July 23, 2021. She joined Microvast, Inc. in 2013, and she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Microvast Inc.’s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the youngest member ever elected to the board of directors of the International Meeting on Lithium Batteries association. She has also served as the Vice President of International Automotive Lithium Battery Association since June 2013. Dr. Mattis holds a Bachelor of Science degree in Mechanics and Engineering Science from Fudan University, Shanghai and a Ph.D. degree in Materials Science and Engineering from the Pennsylvania State University. Dr. Mattis has been working on the development of lithium-ion battery technology for over 16 years. She has authored 22 papers and holds 97 patents.</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Dr. Mattis is a U.S. citizen and resides in the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Yang Wu's </w:t>
      </w:r>
      <w:r>
        <w:rPr>
          <w:rFonts w:ascii="Times New Roman" w:cs="Times New Roman" w:eastAsia="Times New Roman" w:hAnsi="Times New Roman"/>
          <w:sz w:val="17"/>
          <w:szCs w:val="17"/>
          <w:color w:val="auto"/>
        </w:rPr>
        <w:t>biographical information is set forth above.</w:t>
      </w:r>
    </w:p>
    <w:p>
      <w:pPr>
        <w:spacing w:after="0" w:line="21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Wei Ying </w:t>
      </w:r>
      <w:r>
        <w:rPr>
          <w:rFonts w:ascii="Times New Roman" w:cs="Times New Roman" w:eastAsia="Times New Roman" w:hAnsi="Times New Roman"/>
          <w:sz w:val="17"/>
          <w:szCs w:val="17"/>
          <w:color w:val="auto"/>
        </w:rPr>
        <w:t>was elected to the Board as a Class I Director on July 23, 2021. Mr. Ying has been a director of Microvast, Inc. since June 2017.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2014, Mr. Ying has been a managing partner and director of CDH Shanghai Dinghui Bai Fu Investment Management Co., Ltd., a key investment manager entity under CDH Investments Management Limited, and some of its affiliates. Mr. Ying has served as a director of Fountain Set (Holdings) Limited (HKG: 0420) since January 2015, a director of Zhongsheng Group Holdings Limited (OTCMKTS: ZSHGY) since December 2016, a director of Beijing East Environment Energy Technology Co., Ltd. (NEEQ: 831083) since February 2019, a director of Guolian Industry Investment Fund Management (Beijing) Co., Ltd. since February 2014, a director of Ningbo Dingcheng Investment Management Co., Ltd. since March 2018, a director of Shenzhen Tajirui Biomedical Co., Ltd. since July 2018, and as a director of Ningbo Dingyi Asset Management Co., Ltd. since October 2015. Mr. Ying received a Bachelor’s Degree in Economics from Zhejiang Gongshang University and a Master of Business Administration from the University of San Francisco School of Management. Mr. Ying is a Fund Practitioner and non-practitioner member of China Certified Public Accountant Association.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Ying is qualified to serve on our Board due to his extensive leadership experience and industry knowledge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Ying is a Hong Kong citizen and resides in Hong Kong.</w:t>
      </w:r>
    </w:p>
    <w:p>
      <w:pPr>
        <w:spacing w:after="0" w:line="21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Arthur Wong </w:t>
      </w:r>
      <w:r>
        <w:rPr>
          <w:rFonts w:ascii="Times New Roman" w:cs="Times New Roman" w:eastAsia="Times New Roman" w:hAnsi="Times New Roman"/>
          <w:sz w:val="17"/>
          <w:szCs w:val="17"/>
          <w:color w:val="auto"/>
        </w:rPr>
        <w:t>was elected to the Board as a Class II Director on July 23, 2021. Mr. Wong currently serves as an independent director and Chairman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 Committee of Daqo New Energy Corp. (NYSE: DQ). From March 2019 to June 2024, Mr. Wong served as an independent director and Chairman of the Audit Committee of Canadian Solar Inc. (NASDAQ: CSIQ). From November 2014 to February 2023, Mr. Wong served as an independent director and Chairman of the Audit Committee of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Institute of Certified Public Accountants, the Association of Chartered Certified Accountants and the Hong Kong Institute of Certified Public Accountants.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Wong is qualified to serve on our Board due to his extensive experience and knowledge of accounting and financial matters as well as audit functions.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Wong is both a U.K. citizen and a Hong Kong citizen and resides in China.</w:t>
      </w:r>
    </w:p>
    <w:p>
      <w:pPr>
        <w:spacing w:after="0" w:line="211" w:lineRule="exact"/>
        <w:rPr>
          <w:sz w:val="20"/>
          <w:szCs w:val="20"/>
          <w:color w:val="auto"/>
        </w:rPr>
      </w:pPr>
    </w:p>
    <w:p>
      <w:pPr>
        <w:ind w:right="10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Yixin Pan </w:t>
      </w:r>
      <w:r>
        <w:rPr>
          <w:rFonts w:ascii="Times New Roman" w:cs="Times New Roman" w:eastAsia="Times New Roman" w:hAnsi="Times New Roman"/>
          <w:sz w:val="17"/>
          <w:szCs w:val="17"/>
          <w:color w:val="auto"/>
        </w:rPr>
        <w:t>was elected to the board of directors of Microvast on October 18, 2024. Ms. Pan has over 25 years of experience in tech innovation,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entrepreneurship, operations, marketing, investment banking and M&amp;A across multiple industries and for Fortune 500 companies and small emerging technology startups. She has served as managing partner of XTVUE, LLC, a boutique investment bank and management consulting firm, since 2008. Ms. Pan received her MBA from Cornell University and an MS in Mechanical Engineering from Northern Illinois University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Pan is qualified to serve on our Board due to her extensive leadership experience.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Pan is a U.S. citizen and resides in the U.S.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Isida Tushe's </w:t>
      </w:r>
      <w:r>
        <w:rPr>
          <w:rFonts w:ascii="Times New Roman" w:cs="Times New Roman" w:eastAsia="Times New Roman" w:hAnsi="Times New Roman"/>
          <w:sz w:val="17"/>
          <w:szCs w:val="17"/>
          <w:color w:val="auto"/>
        </w:rPr>
        <w:t>biographical information is set forth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our Board</w:t>
      </w:r>
    </w:p>
    <w:p>
      <w:pPr>
        <w:spacing w:after="0" w:line="221" w:lineRule="exact"/>
        <w:rPr>
          <w:sz w:val="20"/>
          <w:szCs w:val="20"/>
          <w:color w:val="auto"/>
        </w:rPr>
      </w:pPr>
    </w:p>
    <w:p>
      <w:pPr>
        <w:jc w:val="both"/>
        <w:ind w:right="80" w:firstLine="172"/>
        <w:spacing w:after="0" w:line="270" w:lineRule="auto"/>
        <w:rPr>
          <w:sz w:val="20"/>
          <w:szCs w:val="20"/>
          <w:color w:val="auto"/>
        </w:rPr>
      </w:pPr>
      <w:r>
        <w:rPr>
          <w:rFonts w:ascii="Times New Roman" w:cs="Times New Roman" w:eastAsia="Times New Roman" w:hAnsi="Times New Roman"/>
          <w:sz w:val="17"/>
          <w:szCs w:val="17"/>
          <w:color w:val="auto"/>
        </w:rPr>
        <w:t>Our Board is divided into three classes, with each class serving a three-year term. The Class I director is Wei Ying, whose term expires at the annual meeting in 2025; the Class II director is Arthur Wong, whose term expires at the annual meeting in 2026; and the Class III directors are Yang Wu, Isida Tushe and Yixin Pan, each of whom serves a term expiring at the annual meeting in 2027.</w:t>
      </w:r>
    </w:p>
    <w:p>
      <w:pPr>
        <w:spacing w:after="0" w:line="191" w:lineRule="exact"/>
        <w:rPr>
          <w:sz w:val="20"/>
          <w:szCs w:val="20"/>
          <w:color w:val="auto"/>
        </w:rPr>
      </w:pPr>
    </w:p>
    <w:p>
      <w:pPr>
        <w:jc w:val="both"/>
        <w:ind w:right="120" w:firstLine="619"/>
        <w:spacing w:after="0" w:line="287" w:lineRule="auto"/>
        <w:rPr>
          <w:sz w:val="20"/>
          <w:szCs w:val="20"/>
          <w:color w:val="auto"/>
        </w:rPr>
      </w:pPr>
      <w:r>
        <w:rPr>
          <w:rFonts w:ascii="Times New Roman" w:cs="Times New Roman" w:eastAsia="Times New Roman" w:hAnsi="Times New Roman"/>
          <w:sz w:val="17"/>
          <w:szCs w:val="17"/>
          <w:color w:val="auto"/>
        </w:rPr>
        <w:t>Wei Ying agreed to serve as directors on our Board in his personal capacity and not as representative of CDH Griffin Holdings Company Limited or any of its affiliates. Mr. Ying has been a director of Microvast, Inc. since June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Arrangements and Family Relationships</w:t>
      </w:r>
    </w:p>
    <w:p>
      <w:pPr>
        <w:spacing w:after="0" w:line="221"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There are no arrangements or understandings between any of Yang Wu, Isida Tushe, Shengxian Wu, Ph.D., Wenjuan Mattis, Ph.D., or Fariyal Khanbabi and any other persons pursuant to which such individual was appointed as an executive officer of the Company. There are no family relationships between any of Yang Wu, Isida Tushe, Yixin Pan, Wei Ying, Arthur Wong, Shengxian Wu, Ph.D., Wenjuan Mattis, Ph.D., or Fariyal Khanbabi and any director, executive officer or any person nominated or chosen by the Company to become a director or executive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22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Our Board has an Audit Committee, a Nominating &amp; Corporate Governance Committee and a Compensation Committee. The Board committees act in an advisory capacity to the full Board, except that the Compensation Committee 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23"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The Audit Committee has three members and consists entirely of independent directors, each of whom meets the independence requirements set forth in the listing standards of the NASDAQ and Rule 10A-3 under the Exchange Act and under our categorical standards. Each member of the Audit Committee is financially literate, and at least one member of the Audit Committee has accounting and related financial management expertise and satisfies the criteria to be an “audit committee financial expert” under the rules and regulations of the SEC, as those qualifications are interpreted by our Board in its business judgment. Our Audit Committee consists of Ms. Pan, Mr. Wong and Mr. Ying, with Mr. Wong serving as chair and as the audit committee financial expert.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21"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applicable to our directors, officers and employees. A copy of that code is available on our principal corporate website at </w:t>
      </w:r>
      <w:r>
        <w:rPr>
          <w:rFonts w:ascii="Times New Roman" w:cs="Times New Roman" w:eastAsia="Times New Roman" w:hAnsi="Times New Roman"/>
          <w:sz w:val="17"/>
          <w:szCs w:val="17"/>
          <w:i w:val="1"/>
          <w:iCs w:val="1"/>
          <w:color w:val="auto"/>
        </w:rPr>
        <w:t>https://microvast.com</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47"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other than one late filing by Mr. Wu reporting three transactions, one late filing by Dr. Mattis reporting one transaction, one late filing by Mrs. Tushe reporting two transactions and one late filing by Mrs. Pan reporting one transaction. Dr. Wu has not made any Section 16 filings with respect to the preceding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section sets forth the compensation of our named executive officers for the year ended December 31, 2024 (our “NEOs”). Our NEOs are: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40" w:type="dxa"/>
            <w:vAlign w:val="bottom"/>
            <w:tcBorders>
              <w:bottom w:val="single" w:sz="8" w:color="CCEEFF"/>
            </w:tcBorders>
          </w:tcPr>
          <w:p>
            <w:pPr>
              <w:spacing w:after="0"/>
              <w:rPr>
                <w:sz w:val="20"/>
                <w:szCs w:val="20"/>
                <w:color w:val="auto"/>
              </w:rPr>
            </w:pPr>
          </w:p>
        </w:tc>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4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r>
      <w:tr>
        <w:trPr>
          <w:trHeight w:val="23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Shengxian Wu</w:t>
            </w: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51"/>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General Counsel and Corporate Secretary</w:t>
            </w:r>
          </w:p>
        </w:tc>
      </w:tr>
    </w:tbl>
    <w:p>
      <w:pPr>
        <w:spacing w:after="0" w:line="332" w:lineRule="exact"/>
        <w:rPr>
          <w:sz w:val="20"/>
          <w:szCs w:val="20"/>
          <w:color w:val="auto"/>
        </w:rPr>
      </w:pPr>
    </w:p>
    <w:p>
      <w:pPr>
        <w:jc w:val="both"/>
        <w:ind w:firstLine="619"/>
        <w:spacing w:after="0" w:line="341" w:lineRule="auto"/>
        <w:rPr>
          <w:sz w:val="20"/>
          <w:szCs w:val="20"/>
          <w:color w:val="auto"/>
        </w:rPr>
      </w:pPr>
      <w:r>
        <w:rPr>
          <w:rFonts w:ascii="Times New Roman" w:cs="Times New Roman" w:eastAsia="Times New Roman" w:hAnsi="Times New Roman"/>
          <w:sz w:val="17"/>
          <w:szCs w:val="17"/>
          <w:color w:val="auto"/>
        </w:rPr>
        <w:t>As a smaller reporting company, we are eligible to follow the reduced disclosure obligations regarding executive compensation that apply to smaller reporting companies. Accordingly, we have not included in this section a compensation discussion and analysis of our executive compensation programs or tabular compensation information other than the “Summary Compensation Table” and the “Outstanding Equity Awards at Fiscal Year-End” table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compensation of our NEOs for the years ended December 31, 2024 and 2023. Dr. Wu and Ms. Tushe were not NEOs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53"/>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Awards ($)</w:t>
            </w:r>
            <w:r>
              <w:rPr>
                <w:rFonts w:ascii="Times New Roman" w:cs="Times New Roman" w:eastAsia="Times New Roman" w:hAnsi="Times New Roman"/>
                <w:sz w:val="22"/>
                <w:szCs w:val="22"/>
                <w:color w:val="auto"/>
                <w:w w:val="98"/>
                <w:vertAlign w:val="superscript"/>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0"/>
                <w:szCs w:val="10"/>
                <w:color w:val="auto"/>
                <w:w w:val="99"/>
              </w:rPr>
              <w:t>(2)</w:t>
            </w: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29"/>
                <w:szCs w:val="29"/>
                <w:b w:val="1"/>
                <w:bCs w:val="1"/>
                <w:color w:val="auto"/>
                <w:w w:val="93"/>
                <w:vertAlign w:val="subscript"/>
              </w:rPr>
              <w:t>($)</w:t>
            </w:r>
            <w:r>
              <w:rPr>
                <w:rFonts w:ascii="Times New Roman" w:cs="Times New Roman" w:eastAsia="Times New Roman" w:hAnsi="Times New Roman"/>
                <w:sz w:val="10"/>
                <w:szCs w:val="10"/>
                <w:color w:val="auto"/>
                <w:w w:val="93"/>
              </w:rPr>
              <w:t>(3)</w:t>
            </w: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1"/>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546,480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1,136,480</w:t>
            </w:r>
          </w:p>
        </w:tc>
      </w:tr>
      <w:tr>
        <w:trPr>
          <w:trHeight w:val="19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Founder, Chairman and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3"/>
        </w:trPr>
        <w:tc>
          <w:tcPr>
            <w:tcW w:w="19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7"/>
                <w:szCs w:val="17"/>
                <w:i w:val="1"/>
                <w:iCs w:val="1"/>
                <w:color w:val="auto"/>
              </w:rPr>
              <w:t>Chief Executive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27"/>
        </w:trPr>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550,008</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99,000</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649,008</w:t>
            </w:r>
          </w:p>
        </w:tc>
      </w:tr>
      <w:tr>
        <w:trPr>
          <w:trHeight w:val="25"/>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Shengxian Wu</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93,750</w:t>
            </w:r>
          </w:p>
        </w:tc>
        <w:tc>
          <w:tcPr>
            <w:tcW w:w="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890,000</w:t>
            </w: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1,383,750</w:t>
            </w:r>
          </w:p>
        </w:tc>
      </w:tr>
      <w:tr>
        <w:trPr>
          <w:trHeight w:val="252"/>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4"/>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890,000</w:t>
            </w: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1,465,000</w:t>
            </w:r>
          </w:p>
        </w:tc>
      </w:tr>
      <w:tr>
        <w:trPr>
          <w:trHeight w:val="19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General</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3"/>
        </w:trPr>
        <w:tc>
          <w:tcPr>
            <w:tcW w:w="19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7"/>
                <w:szCs w:val="17"/>
                <w:i w:val="1"/>
                <w:iCs w:val="1"/>
                <w:color w:val="auto"/>
              </w:rPr>
              <w:t>Counsel and Company</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27"/>
        </w:trPr>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Secretary</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305" w:lineRule="exact"/>
        <w:rPr>
          <w:sz w:val="20"/>
          <w:szCs w:val="20"/>
          <w:color w:val="auto"/>
        </w:rPr>
      </w:pPr>
    </w:p>
    <w:p>
      <w:pPr>
        <w:ind w:left="320" w:right="60" w:hanging="317"/>
        <w:spacing w:after="0" w:line="260" w:lineRule="auto"/>
        <w:tabs>
          <w:tab w:leader="none" w:pos="31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grant date fair value of stock awards granted to our named executive officers, computed in accordance with Financial Accounting Standards Board Accounting Standards Codification Topic 718, Compensation—Stock Compensation (“FASB Topic 718”). The 2024 stock awards consist of grants of restricted stock units (“RSUs”) granted pursuant to the Microvast Holdings Inc 2021 Equity Incentive Plan (the “2021 Plan”). The terms of the 2024 RSUs are summarized in “Elements of Executive Compensation—Long Term Incentives” below. The assumptions made when calculating the amounts reported are found in Note 21, “Share-Based Payment” to our audited consolidated financial statements included in Part II, Item 8 of the Annual Report. Assuming maximum level of performance, the aggregate grant date values of the RSUs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RSUs ($)</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PSUs ($)</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 ($)</w:t>
            </w:r>
          </w:p>
        </w:tc>
      </w:tr>
      <w:tr>
        <w:trPr>
          <w:trHeight w:val="244"/>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590,000</w:t>
            </w:r>
          </w:p>
        </w:tc>
      </w:tr>
      <w:tr>
        <w:trPr>
          <w:trHeight w:val="23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Shengxian Wu</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Isida Tushe</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67" w:lineRule="exact"/>
        <w:rPr>
          <w:sz w:val="20"/>
          <w:szCs w:val="20"/>
          <w:color w:val="auto"/>
        </w:rPr>
      </w:pPr>
    </w:p>
    <w:p>
      <w:pPr>
        <w:ind w:left="320" w:right="420" w:hanging="317"/>
        <w:spacing w:after="0" w:line="270" w:lineRule="auto"/>
        <w:tabs>
          <w:tab w:leader="none" w:pos="38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stock options granted to our named executive officers, computed in accordance with FASB Topic 718. The assumptions made when calculating the amounts reported are found in Note 21, “Share-Based Payment” to our audited consolidated financial statements included in Part II, Item 8 of the Annual Report.</w:t>
      </w:r>
    </w:p>
    <w:p>
      <w:pPr>
        <w:spacing w:after="0" w:line="152" w:lineRule="exact"/>
        <w:rPr>
          <w:rFonts w:ascii="Times New Roman" w:cs="Times New Roman" w:eastAsia="Times New Roman" w:hAnsi="Times New Roman"/>
          <w:sz w:val="17"/>
          <w:szCs w:val="17"/>
          <w:color w:val="auto"/>
        </w:rPr>
      </w:pPr>
    </w:p>
    <w:p>
      <w:pPr>
        <w:ind w:left="320" w:right="220" w:hanging="317"/>
        <w:spacing w:after="0" w:line="248" w:lineRule="auto"/>
        <w:tabs>
          <w:tab w:leader="none" w:pos="38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non-equity incentive plan compensation was earned pursuant to the Company’s short-term cash incentive program. On January 31, 2023, the Compensation Committee of the Board established short-term cash incentive opportunities for our NEOs for 2023, which pay out in cash as a percentage of each NEO’s base salary based on achievement of pre-determined revenue and adjusted gross margin performance goals, each weighted equally. The Compensation Committee set the following bonus target for Mr. Wu the only current NEO who was an NEO only for 2023: 30% of base salary ($165,000).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21" w:lineRule="exact"/>
        <w:rPr>
          <w:sz w:val="20"/>
          <w:szCs w:val="20"/>
          <w:color w:val="auto"/>
        </w:rPr>
      </w:pPr>
    </w:p>
    <w:p>
      <w:pPr>
        <w:ind w:right="820" w:firstLine="619"/>
        <w:spacing w:after="0" w:line="287"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the other components of our executive compensation program.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The relative levels of base salary for our NEOs are designed to reflect each NEO’s scope of responsibility and accountability to us. The base salaries for each of our NEOs were increased effective December 1, 2024:</w:t>
      </w:r>
    </w:p>
    <w:p>
      <w:pPr>
        <w:ind w:left="920" w:hanging="298"/>
        <w:spacing w:after="0" w:line="238" w:lineRule="auto"/>
        <w:tabs>
          <w:tab w:leader="none" w:pos="920" w:val="left"/>
        </w:tabs>
        <w:numPr>
          <w:ilvl w:val="0"/>
          <w:numId w:val="51"/>
        </w:numPr>
        <w:rPr>
          <w:rFonts w:ascii="Arial" w:cs="Arial" w:eastAsia="Arial" w:hAnsi="Arial"/>
          <w:sz w:val="21"/>
          <w:szCs w:val="21"/>
          <w:color w:val="auto"/>
        </w:rPr>
      </w:pPr>
      <w:r>
        <w:rPr>
          <w:rFonts w:ascii="Times New Roman" w:cs="Times New Roman" w:eastAsia="Times New Roman" w:hAnsi="Times New Roman"/>
          <w:sz w:val="17"/>
          <w:szCs w:val="17"/>
          <w:color w:val="auto"/>
        </w:rPr>
        <w:t>Mr. Yang Wu: Increased from $550,000 to $564,480</w:t>
      </w:r>
    </w:p>
    <w:p>
      <w:pPr>
        <w:spacing w:after="0" w:line="14" w:lineRule="exact"/>
        <w:rPr>
          <w:rFonts w:ascii="Arial" w:cs="Arial" w:eastAsia="Arial" w:hAnsi="Arial"/>
          <w:sz w:val="21"/>
          <w:szCs w:val="21"/>
          <w:color w:val="auto"/>
        </w:rPr>
      </w:pPr>
    </w:p>
    <w:p>
      <w:pPr>
        <w:ind w:left="920" w:hanging="298"/>
        <w:spacing w:after="0" w:line="216" w:lineRule="auto"/>
        <w:tabs>
          <w:tab w:leader="none" w:pos="9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Dr. Shengxian Wu: Increased from $200,000 to $400,000</w:t>
      </w:r>
    </w:p>
    <w:p>
      <w:pPr>
        <w:spacing w:after="0" w:line="10" w:lineRule="exact"/>
        <w:rPr>
          <w:rFonts w:ascii="Times New Roman" w:cs="Times New Roman" w:eastAsia="Times New Roman" w:hAnsi="Times New Roman"/>
          <w:sz w:val="21"/>
          <w:szCs w:val="21"/>
          <w:color w:val="auto"/>
        </w:rPr>
      </w:pPr>
    </w:p>
    <w:p>
      <w:pPr>
        <w:ind w:left="920" w:hanging="298"/>
        <w:spacing w:after="0" w:line="233" w:lineRule="auto"/>
        <w:tabs>
          <w:tab w:leader="none" w:pos="9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Ms. Isida Tushe: Increased from $250,000 to $450,000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Incentives</w:t>
      </w:r>
    </w:p>
    <w:p>
      <w:pPr>
        <w:spacing w:after="0" w:line="221"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In 2023, the Compensation Committee of the Board established short-term cash incentive opportunities, which pay out in cash as a percentage of each executive's base salary based on achievement of pre-determined revenue and adjusted gross margin performance goals, each weighted equally.</w:t>
      </w:r>
    </w:p>
    <w:p>
      <w:pPr>
        <w:spacing w:after="0" w:line="15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Short-term incentives pay out 0% of target if the threshold performance goal or below is achieved and 120% of target if the maximum performance goal or above is achieved. Payouts are linearly interpolated for performance between levels. While the revenue component failed to achieve threshold performance, the adjusted gross margin component was achieved at maximum performance and each executive who remained at the Company through the end of 2023 received a payout of 60% of his or her short-term incentive target.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2024, with the Company experiencing volatility making it difficult to set goals, the Compensation Committee chose not to establish a formal short-term cash incentive program. Instead, the Compensation Committee granted one-time cash bonuses in the amounts of $125,000 and $93,750 to Ms. Tushe and Dr. Wu,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Incentives</w:t>
      </w:r>
    </w:p>
    <w:p>
      <w:pPr>
        <w:spacing w:after="0" w:line="247"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On December 1, 2024, the Compensation Committee approved 2024 long-term incentive awards (the “2024 LTI”) to the NEOs pursuant to the 2021 Plan. Mr. Wu, our CEO, received 500,000 RSUs, that were fully vested at grant. Ms. Tushe and Dr. Wu each received a grant of stock options to purchase 1,000,000 shares of the Company’s common stock at an exercise price per share of $1.29. The stock options will vest in equal installments on each November 8, 2025, 2026, and 2027, subject to continued employment on each vesting date.</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Mr. Wu received PSUs in 2022, which will vest, if at all, based on the Company’s achievement of relative total stockholder return (“TSR”) targets during the performance period from January 1, 2022 through December 31, 2024, provided that the recipient continues to provide services to the Company through the date achievement is certified by the Compensation Committee. The Committee reviewed the Company’s relative TSR and determined that the 2022 PSUs were earned at 60% of target.</w:t>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Measurement</w:t>
            </w:r>
          </w:p>
        </w:tc>
        <w:tc>
          <w:tcPr>
            <w:tcW w:w="16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Share Price at</w:t>
            </w:r>
          </w:p>
        </w:tc>
        <w:tc>
          <w:tcPr>
            <w:tcW w:w="16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Share Price at</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TSR for</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Target Relative TSR</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Actual Relative TSR</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Achievement</w:t>
            </w:r>
          </w:p>
        </w:tc>
      </w:tr>
      <w:tr>
        <w:trPr>
          <w:trHeight w:val="193"/>
        </w:trPr>
        <w:tc>
          <w:tcPr>
            <w:tcW w:w="162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Period</w:t>
            </w:r>
          </w:p>
        </w:tc>
        <w:tc>
          <w:tcPr>
            <w:tcW w:w="1600" w:type="dxa"/>
            <w:vAlign w:val="bottom"/>
            <w:tcBorders>
              <w:right w:val="single" w:sz="8" w:color="auto"/>
            </w:tcBorders>
          </w:tcPr>
          <w:p>
            <w:pPr>
              <w:jc w:val="right"/>
              <w:ind w:right="414"/>
              <w:spacing w:after="0" w:line="194" w:lineRule="exact"/>
              <w:rPr>
                <w:sz w:val="20"/>
                <w:szCs w:val="20"/>
                <w:color w:val="auto"/>
              </w:rPr>
            </w:pPr>
            <w:r>
              <w:rPr>
                <w:rFonts w:ascii="Times New Roman" w:cs="Times New Roman" w:eastAsia="Times New Roman" w:hAnsi="Times New Roman"/>
                <w:sz w:val="17"/>
                <w:szCs w:val="17"/>
                <w:b w:val="1"/>
                <w:bCs w:val="1"/>
                <w:color w:val="auto"/>
              </w:rPr>
              <w:t>1/1/2022</w:t>
            </w:r>
          </w:p>
        </w:tc>
        <w:tc>
          <w:tcPr>
            <w:tcW w:w="1600" w:type="dxa"/>
            <w:vAlign w:val="bottom"/>
            <w:tcBorders>
              <w:right w:val="single" w:sz="8" w:color="auto"/>
            </w:tcBorders>
          </w:tcPr>
          <w:p>
            <w:pPr>
              <w:jc w:val="right"/>
              <w:ind w:right="334"/>
              <w:spacing w:after="0" w:line="194" w:lineRule="exact"/>
              <w:rPr>
                <w:sz w:val="20"/>
                <w:szCs w:val="20"/>
                <w:color w:val="auto"/>
              </w:rPr>
            </w:pPr>
            <w:r>
              <w:rPr>
                <w:rFonts w:ascii="Times New Roman" w:cs="Times New Roman" w:eastAsia="Times New Roman" w:hAnsi="Times New Roman"/>
                <w:sz w:val="17"/>
                <w:szCs w:val="17"/>
                <w:b w:val="1"/>
                <w:bCs w:val="1"/>
                <w:color w:val="auto"/>
              </w:rPr>
              <w:t>12/31/2024</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Measurement Period</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Percentile for</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Percentile for</w:t>
            </w:r>
          </w:p>
        </w:tc>
        <w:tc>
          <w:tcPr>
            <w:tcW w:w="1600" w:type="dxa"/>
            <w:vAlign w:val="bottom"/>
            <w:tcBorders>
              <w:right w:val="single" w:sz="8" w:color="auto"/>
            </w:tcBorders>
          </w:tcPr>
          <w:p>
            <w:pPr>
              <w:spacing w:after="0"/>
              <w:rPr>
                <w:sz w:val="16"/>
                <w:szCs w:val="16"/>
                <w:color w:val="auto"/>
              </w:rPr>
            </w:pPr>
          </w:p>
        </w:tc>
      </w:tr>
      <w:tr>
        <w:trPr>
          <w:trHeight w:val="227"/>
        </w:trPr>
        <w:tc>
          <w:tcPr>
            <w:tcW w:w="16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Measurement Period</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Measurement Period</w:t>
            </w:r>
          </w:p>
        </w:tc>
        <w:tc>
          <w:tcPr>
            <w:tcW w:w="1600" w:type="dxa"/>
            <w:vAlign w:val="bottom"/>
            <w:tcBorders>
              <w:right w:val="single" w:sz="8" w:color="auto"/>
            </w:tcBorders>
          </w:tcPr>
          <w:p>
            <w:pPr>
              <w:spacing w:after="0"/>
              <w:rPr>
                <w:sz w:val="19"/>
                <w:szCs w:val="19"/>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83"/>
        </w:trPr>
        <w:tc>
          <w:tcPr>
            <w:tcW w:w="162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1/1/2022 –</w:t>
            </w:r>
          </w:p>
        </w:tc>
        <w:tc>
          <w:tcPr>
            <w:tcW w:w="1600" w:type="dxa"/>
            <w:vAlign w:val="bottom"/>
            <w:tcBorders>
              <w:right w:val="single" w:sz="8" w:color="auto"/>
            </w:tcBorders>
          </w:tcPr>
          <w:p>
            <w:pPr>
              <w:jc w:val="right"/>
              <w:ind w:right="534"/>
              <w:spacing w:after="0" w:line="183" w:lineRule="exact"/>
              <w:rPr>
                <w:sz w:val="20"/>
                <w:szCs w:val="20"/>
                <w:color w:val="auto"/>
              </w:rPr>
            </w:pPr>
            <w:r>
              <w:rPr>
                <w:rFonts w:ascii="Times New Roman" w:cs="Times New Roman" w:eastAsia="Times New Roman" w:hAnsi="Times New Roman"/>
                <w:sz w:val="17"/>
                <w:szCs w:val="17"/>
                <w:color w:val="auto"/>
              </w:rPr>
              <w:t>$4.31</w:t>
            </w:r>
          </w:p>
        </w:tc>
        <w:tc>
          <w:tcPr>
            <w:tcW w:w="1600" w:type="dxa"/>
            <w:vAlign w:val="bottom"/>
            <w:tcBorders>
              <w:right w:val="single" w:sz="8" w:color="auto"/>
            </w:tcBorders>
          </w:tcPr>
          <w:p>
            <w:pPr>
              <w:jc w:val="right"/>
              <w:ind w:right="534"/>
              <w:spacing w:after="0" w:line="183" w:lineRule="exact"/>
              <w:rPr>
                <w:sz w:val="20"/>
                <w:szCs w:val="20"/>
                <w:color w:val="auto"/>
              </w:rPr>
            </w:pPr>
            <w:r>
              <w:rPr>
                <w:rFonts w:ascii="Times New Roman" w:cs="Times New Roman" w:eastAsia="Times New Roman" w:hAnsi="Times New Roman"/>
                <w:sz w:val="17"/>
                <w:szCs w:val="17"/>
                <w:color w:val="auto"/>
              </w:rPr>
              <w:t>$2.00</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(53.53)%</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w:t>
            </w:r>
          </w:p>
        </w:tc>
        <w:tc>
          <w:tcPr>
            <w:tcW w:w="16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w:t>
            </w:r>
          </w:p>
        </w:tc>
        <w:tc>
          <w:tcPr>
            <w:tcW w:w="1600" w:type="dxa"/>
            <w:vAlign w:val="bottom"/>
            <w:tcBorders>
              <w:right w:val="single" w:sz="8" w:color="auto"/>
            </w:tcBorders>
          </w:tcPr>
          <w:p>
            <w:pPr>
              <w:jc w:val="right"/>
              <w:ind w:right="574"/>
              <w:spacing w:after="0" w:line="183" w:lineRule="exact"/>
              <w:rPr>
                <w:sz w:val="20"/>
                <w:szCs w:val="20"/>
                <w:color w:val="auto"/>
              </w:rPr>
            </w:pPr>
            <w:r>
              <w:rPr>
                <w:rFonts w:ascii="Times New Roman" w:cs="Times New Roman" w:eastAsia="Times New Roman" w:hAnsi="Times New Roman"/>
                <w:sz w:val="17"/>
                <w:szCs w:val="17"/>
                <w:color w:val="auto"/>
              </w:rPr>
              <w:t>60%</w:t>
            </w:r>
          </w:p>
        </w:tc>
      </w:tr>
      <w:tr>
        <w:trPr>
          <w:trHeight w:val="223"/>
        </w:trPr>
        <w:tc>
          <w:tcPr>
            <w:tcW w:w="1620" w:type="dxa"/>
            <w:vAlign w:val="bottom"/>
            <w:tcBorders>
              <w:left w:val="single" w:sz="8" w:color="auto"/>
              <w:right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12/31/2024</w:t>
            </w: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5"/>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 and Anti-Hedging and Anti-Pledging</w:t>
      </w:r>
    </w:p>
    <w:p>
      <w:pPr>
        <w:spacing w:after="0" w:line="234" w:lineRule="exact"/>
        <w:rPr>
          <w:sz w:val="20"/>
          <w:szCs w:val="20"/>
          <w:color w:val="auto"/>
        </w:rPr>
      </w:pPr>
    </w:p>
    <w:p>
      <w:pPr>
        <w:ind w:right="120" w:firstLine="619"/>
        <w:spacing w:after="0"/>
        <w:rPr>
          <w:sz w:val="20"/>
          <w:szCs w:val="20"/>
          <w:color w:val="auto"/>
        </w:rPr>
      </w:pPr>
      <w:r>
        <w:rPr>
          <w:rFonts w:ascii="Times New Roman" w:cs="Times New Roman" w:eastAsia="Times New Roman" w:hAnsi="Times New Roman"/>
          <w:sz w:val="17"/>
          <w:szCs w:val="17"/>
          <w:color w:val="auto"/>
        </w:rPr>
        <w:t>The Company has an insider trading policy which governs the purchase, sale and other dispositions of its securities by directors, officers, employees and other agents of the Company, as well as their immediate family members and other persons living in their households. We believe our insider trading policy is reasonably designed to promote compliance with insider trading laws, rules and regulations and any listing standards applicable to the Company. The insider trading policy prohibits covered persons from directly or indirectly purchasing or selling the Company’s securities while in possession of material non-public information concerning the Company, except in the limited circumstances described in the policy. Additionally, the Company’s directors, officers and employees are prohibited from engaging in hedging and pledging transactions with respect to the Company’s securities of the Company. The insider trading policy requires pre-approval of any transaction related to the Company’s securities by the Company’s directors, officers, certain employees and agents.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234" w:lineRule="exact"/>
        <w:rPr>
          <w:sz w:val="20"/>
          <w:szCs w:val="20"/>
          <w:color w:val="auto"/>
        </w:rPr>
      </w:pPr>
    </w:p>
    <w:p>
      <w:pPr>
        <w:jc w:val="both"/>
        <w:ind w:right="100" w:firstLine="619"/>
        <w:spacing w:after="0" w:line="245" w:lineRule="auto"/>
        <w:rPr>
          <w:sz w:val="20"/>
          <w:szCs w:val="20"/>
          <w:color w:val="auto"/>
        </w:rPr>
      </w:pPr>
      <w:r>
        <w:rPr>
          <w:rFonts w:ascii="Times New Roman" w:cs="Times New Roman" w:eastAsia="Times New Roman" w:hAnsi="Times New Roman"/>
          <w:sz w:val="17"/>
          <w:szCs w:val="17"/>
          <w:color w:val="auto"/>
        </w:rPr>
        <w:t>We have adopted a compensation recovery policy in accordance with the listing standards and rules of the Nasdaq Stock Market,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Award Policies and Practices</w:t>
      </w:r>
    </w:p>
    <w:p>
      <w:pPr>
        <w:spacing w:after="0" w:line="22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Although we have not adopted a formal policy pertaining to the timing of stock option grants to our named executive officers, it is our practice not to time the grant of equity awards, including stock options, in relation to the release of material non-public information. Similarly, the Company does not time the disclosure of material nonpublic information for the purpose of affecting the value of executive compensation. The Compensation Committee generally approves the grant of annual equity awards for the Company’s executive officers, including each of the named executive officers, in December of each year. In special circumstances, including the hiring or promotion of an individual or where the Compensation Committee determines it is in the best interest of the Company, the Compensation Committee may approve grants of equity awards at other times.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with NEOs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Mr. Wu is a party to a written employment arrangement with the Company (the “Employment Agreement”). The material terms of that arrangement are summarized below. For a description of the compensation actually paid to the NEOs for Fiscal Year 2024, please refer to the “Summary Compensation Table” above. Dr. Wu and Ms. Tushe are not parties to an employment agreement.</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Subject to earlier termination in accordance with the Employment Agreement, Mr. Wu is engaged for a three-year term of employment, at the end of which his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Employment Agreement provides for an annual base salary,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and eligibility to participate in the benefit plans or programs of the Company generally provided to other similarly situated executives of the Company.</w:t>
      </w:r>
    </w:p>
    <w:p>
      <w:pPr>
        <w:spacing w:after="0" w:line="19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term of employment under the Employment Agreement may be terminated by either the Company or Mr. Wu at any time and for any reason upon thirty (30) days’ prior written notice. Upon a termination by the Company or Mr. Wu for any reason, Mr. Wu (or his estate upon a termination due to his death) will receive all accrued salary and any earned but unpaid bonuses through and including the date of termination. Following a termination due to death or disability of Mr. Wu, he (or his estate) will also receive: (i) a pro rata bonus for the annual bonus that he would have earned for the fiscal year in which the death or disability occurs based on performance as determined by the Board, prorated for the period of time during the fiscal year worked by Mr. Wu; and (ii) if the death or disability occurs within his three-year term, full acceleration of any equity awards or other long-term incentive awards held by Mr. Wu as of the effective time of his Employment Agreement that were granted to Mr. Wu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195"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Following a termination of employment by the Company without Cause (as defined in the Employment Agreement) or due to resignation by Mr. Wu for Good Reason (as defined in the Employment Agreement), in either case, prior to a Change in Control (as defined in the Employment Agreement), subject to the execution and non-revocation by Mr. Wu of a general release of claims in favor of the Company, Mr. Wu will be entitled to: (i) an amount equal to two and a half times the sum of (x) Mr. Wu’s then-current base salary plus (y) the greater of (A) the average amount of the annual bonus paid to Mr. Wu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thirty (30) months; and (ii) if the termination without Cause or resignation for Good Reason occurs within three years following the effective time of his Employment Agreement, full acceleration of any equity awards or other long-term incentive awards held by Mr. Wu as of the effective time of his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Employment Agreement that were granted to the executive prior to such effective time. Any other outstanding equity awards or long-term incentive awards granted to Mr. Wu following the effective time of his Employment Agreement will be treated in accordance with the terms of the applicable plans and award agreements.</w:t>
      </w:r>
    </w:p>
    <w:p>
      <w:pPr>
        <w:spacing w:after="0" w:line="38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Following a termination by the Company without Cause or due to resignation by Mr. Wu for Good Reason on or within two years following the closing of a Change in Control, subject to the execution and non-revocation by Mr. Wu of a general release of claims in favor of the Company, Mr. Wu will be entitled to: (i) an amount equal to three times the sum of (x) Mr. Wu’s then-current base salary plus (y) the greater of (A) the average amount of the annual bonus paid to Mr. Wu for each of the three fiscal years immediately prior to the fiscal year in which the termination or resignation occurs or (B) the target annual bonus for the fiscal year in which the termination or resignation occurs, payable in a single lump sum within seventy-five (75) days of the termination or resignation; (ii) a pro rata bonus of the greater of (A) the average amount of the annual bonus paid to Mr. Wu for each of the three fiscal years immediately prior to the fiscal year in which the termination or resignation occurs or (B) the annual bonus Mr. Wu would have earned for the fiscal year in which the termination or resignation occurs based on performance as determined through the date of termination or resignation, prorated for the period of time during the fiscal year worked by Mr. Wu, payable in a single lump sum within seventy-five (75) days of the termination or resignation; and (iii) full acceleration of all outstanding equity awards held by Mr. Wu as of the date of termination or resignation.</w:t>
      </w:r>
    </w:p>
    <w:p>
      <w:pPr>
        <w:spacing w:after="0" w:line="2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Mr. Wu is subject to restrictive covenants as follows: (i) a post-termination non-compete covenant for a period of eighteen (18) months following his termination or resignation for any reason; (ii) confidentiality restrictions through the time period such confidential information remains not generally known to the public; and (iii) customer and employee non-solicitation and non-interference for a period of eighteen (18) months following his termination or resignation for any reason.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outstanding equity awards held by each of our NEOs as of December 31,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Pr>
          <w:p>
            <w:pPr>
              <w:spacing w:after="0"/>
              <w:rPr>
                <w:sz w:val="15"/>
                <w:szCs w:val="15"/>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incentive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or payout</w:t>
            </w:r>
          </w:p>
        </w:tc>
      </w:tr>
      <w:tr>
        <w:trPr>
          <w:trHeight w:val="155"/>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Market value of</w:t>
            </w:r>
          </w:p>
        </w:tc>
        <w:tc>
          <w:tcPr>
            <w:tcW w:w="13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 of units of</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unearned</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stock that have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shares, units or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units or</w:t>
            </w:r>
          </w:p>
        </w:tc>
      </w:tr>
      <w:tr>
        <w:trPr>
          <w:trHeight w:val="168"/>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unexercised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units of stock that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other rights that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rights that</w:t>
            </w:r>
          </w:p>
        </w:tc>
      </w:tr>
      <w:tr>
        <w:trPr>
          <w:trHeight w:val="155"/>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10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Option exercise</w:t>
            </w:r>
          </w:p>
        </w:tc>
        <w:tc>
          <w:tcPr>
            <w:tcW w:w="12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Option expiration</w:t>
            </w:r>
          </w:p>
        </w:tc>
        <w:tc>
          <w:tcPr>
            <w:tcW w:w="11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have not vested</w:t>
            </w:r>
          </w:p>
        </w:tc>
        <w:tc>
          <w:tcPr>
            <w:tcW w:w="12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13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have not vested</w:t>
            </w: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have not vested</w:t>
            </w:r>
          </w:p>
        </w:tc>
      </w:tr>
      <w:tr>
        <w:trPr>
          <w:trHeight w:val="231"/>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unexercisable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color w:val="auto"/>
                <w:w w:val="87"/>
                <w:vertAlign w:val="superscript"/>
              </w:rPr>
              <w:t>(1)</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color w:val="auto"/>
                <w:w w:val="87"/>
                <w:vertAlign w:val="superscript"/>
              </w:rPr>
              <w:t>(1)</w:t>
            </w:r>
          </w:p>
        </w:tc>
      </w:tr>
      <w:tr>
        <w:trPr>
          <w:trHeight w:val="179"/>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Yang Wu</w:t>
            </w:r>
          </w:p>
        </w:tc>
        <w:tc>
          <w:tcPr>
            <w:tcW w:w="12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Shengxian Wu</w:t>
            </w:r>
          </w:p>
        </w:tc>
        <w:tc>
          <w:tcPr>
            <w:tcW w:w="12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 (2)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12/5/2034</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40,000(8)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82,800</w:t>
            </w:r>
          </w:p>
        </w:tc>
      </w:tr>
      <w:tr>
        <w:trPr>
          <w:trHeight w:val="184"/>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160,300(6)</w:t>
            </w:r>
          </w:p>
        </w:tc>
        <w:tc>
          <w:tcPr>
            <w:tcW w:w="10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7/24/2027</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26,666(7)</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55,199</w:t>
            </w:r>
          </w:p>
        </w:tc>
        <w:tc>
          <w:tcPr>
            <w:tcW w:w="100" w:type="dxa"/>
            <w:vAlign w:val="bottom"/>
          </w:tcPr>
          <w:p>
            <w:pPr>
              <w:spacing w:after="0"/>
              <w:rPr>
                <w:sz w:val="15"/>
                <w:szCs w:val="15"/>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641,200(6)</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7/28/2030</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480,900(6)</w:t>
            </w:r>
          </w:p>
        </w:tc>
        <w:tc>
          <w:tcPr>
            <w:tcW w:w="10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12/25/2030</w:t>
            </w:r>
          </w:p>
        </w:tc>
        <w:tc>
          <w:tcPr>
            <w:tcW w:w="8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9"/>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Isida Tushe</w:t>
            </w:r>
          </w:p>
        </w:tc>
        <w:tc>
          <w:tcPr>
            <w:tcW w:w="12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 (2)</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12/5/2034</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33,334(3)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66,666 (3)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3/15/2033</w:t>
            </w:r>
          </w:p>
        </w:tc>
        <w:tc>
          <w:tcPr>
            <w:tcW w:w="80" w:type="dxa"/>
            <w:vAlign w:val="bottom"/>
          </w:tcPr>
          <w:p>
            <w:pPr>
              <w:spacing w:after="0"/>
              <w:rPr>
                <w:sz w:val="17"/>
                <w:szCs w:val="17"/>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 (4)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8/9/2033</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ind w:left="320" w:hanging="317"/>
        <w:spacing w:after="0" w:line="253" w:lineRule="auto"/>
        <w:tabs>
          <w:tab w:leader="none" w:pos="31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presented in the table is equal to the product of the number of RSUs and PSUs, as applicable, that had not vested as of December 31, 2024 and the closing price of our common stock on such date, which was $2.07.</w:t>
      </w:r>
    </w:p>
    <w:p>
      <w:pPr>
        <w:ind w:left="320" w:right="340" w:hanging="317"/>
        <w:spacing w:after="0" w:line="259" w:lineRule="auto"/>
        <w:tabs>
          <w:tab w:leader="none" w:pos="31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stock options granted that will vest in equal installments on each of November 8, 2025, 2026 and 2027, subject to the NEO’s continued employment with or services to us or one of our affiliates through the vesting date. 232,557 options are treated as incentive stock options (ISOs). ISOs are intended to qualify for favorable tax treatment under Section 422 of the Internal Revenue Code.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ind w:left="320" w:hanging="317"/>
        <w:spacing w:after="0" w:line="263"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stock options that vested one-third each on March 15, 2024 and 2025 and will vest one-third on March 15, 2026, subject to the NEO’s continued employment with or services to us or one of our affiliates through the vesting date.</w:t>
      </w:r>
    </w:p>
    <w:p>
      <w:pPr>
        <w:ind w:left="320" w:hanging="317"/>
        <w:spacing w:after="0" w:line="253"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stocks options that vested one-third on August 9, 2024 and will vest one-third each on August 9, 2025 and 2026, subject to the NEO’s continued employment with or services to us or one of our affiliates through the vesting date.</w:t>
      </w:r>
    </w:p>
    <w:p>
      <w:pPr>
        <w:ind w:left="320" w:hanging="317"/>
        <w:spacing w:after="0" w:line="253"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RSUs granted under the 2021 Plan that were unvested as of December 31, 2024. These RSUs were part of an award that vested one-third each on January 1, 2023, 2024 and 2025.</w:t>
      </w:r>
    </w:p>
    <w:p>
      <w:pPr>
        <w:ind w:left="300" w:hanging="297"/>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stock options that vested in equal installments on each July 23, 2022, 2023 and 2024.</w:t>
      </w:r>
    </w:p>
    <w:p>
      <w:pPr>
        <w:spacing w:after="0" w:line="10" w:lineRule="exact"/>
        <w:rPr>
          <w:rFonts w:ascii="Times New Roman" w:cs="Times New Roman" w:eastAsia="Times New Roman" w:hAnsi="Times New Roman"/>
          <w:sz w:val="17"/>
          <w:szCs w:val="17"/>
          <w:color w:val="auto"/>
        </w:rPr>
      </w:pPr>
    </w:p>
    <w:p>
      <w:pPr>
        <w:ind w:left="320" w:right="140" w:hanging="317"/>
        <w:spacing w:after="0" w:line="253"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RSUs granted under the 2021 Plan that were unvested as of December 31, 2024. These RSUs were part of an award that vested one-third each on January 31, 2024 and 2025 and will vest one third on January 31, 2026, subject to the NEO’s continued employment with or services to us or one of our affiliates through the vesting date.</w:t>
      </w:r>
    </w:p>
    <w:p>
      <w:pPr>
        <w:ind w:left="320" w:right="40" w:hanging="317"/>
        <w:spacing w:after="0" w:line="259"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PSUs granted pursuant to the 2023 long term incentive plan at threshold performance. These PSUs will vest, subject to achievement of the applicable performance criteria and the NEO's continued employment with or services to us or one of our affiliates through the vesting date, following the end of the performance period on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Plans</w:t>
      </w:r>
    </w:p>
    <w:p>
      <w:pPr>
        <w:spacing w:after="0" w:line="221"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and Change in Control Provisions</w:t>
      </w:r>
    </w:p>
    <w:p>
      <w:pPr>
        <w:spacing w:after="0" w:line="24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Compensation—Long Term Incentives” and “Employment, Transition and Separation Agreements with NEOs”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information regarding non-employee director compensation for the year ended December 31,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Yanzhuan Zheng(3)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Arthur Wong</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Stephen Vogel(3)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Ying Wei</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Yeelong Tan Balladon(3)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Yixin Pan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3"/>
        </w:trPr>
        <w:tc>
          <w:tcPr>
            <w:tcW w:w="156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7"/>
                <w:szCs w:val="17"/>
                <w:b w:val="1"/>
                <w:bCs w:val="1"/>
                <w:color w:val="auto"/>
              </w:rPr>
              <w:t>Paid in Cash</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6"/>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Stock Awards ($)</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 ($)</w:t>
            </w:r>
          </w:p>
        </w:tc>
      </w:tr>
      <w:tr>
        <w:trPr>
          <w:trHeight w:val="232"/>
        </w:trPr>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19,999(1)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99,999</w:t>
            </w:r>
          </w:p>
        </w:tc>
      </w:tr>
      <w:tr>
        <w:trPr>
          <w:trHeight w:val="245"/>
        </w:trPr>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46,712</w:t>
            </w:r>
          </w:p>
        </w:tc>
        <w:tc>
          <w:tcPr>
            <w:tcW w:w="8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46,712</w:t>
            </w:r>
          </w:p>
        </w:tc>
      </w:tr>
      <w:tr>
        <w:trPr>
          <w:trHeight w:val="245"/>
        </w:trPr>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79,999(1)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79,999</w:t>
            </w:r>
          </w:p>
        </w:tc>
      </w:tr>
      <w:tr>
        <w:trPr>
          <w:trHeight w:val="245"/>
        </w:trPr>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66,410</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8,907(1)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75,317</w:t>
            </w:r>
          </w:p>
        </w:tc>
      </w:tr>
      <w:tr>
        <w:trPr>
          <w:trHeight w:val="245"/>
        </w:trPr>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21,399</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58,096(2)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-613410</wp:posOffset>
            </wp:positionV>
            <wp:extent cx="7138670" cy="155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-302260</wp:posOffset>
            </wp:positionV>
            <wp:extent cx="7138670" cy="155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-932815</wp:posOffset>
            </wp:positionV>
            <wp:extent cx="7138670" cy="163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5900" w:space="720"/>
            <w:col w:w="4620"/>
          </w:cols>
          <w:pgMar w:left="320" w:top="119" w:right="339" w:bottom="1440" w:gutter="0" w:footer="0" w:header="0"/>
          <w:type w:val="continuous"/>
        </w:sectPr>
      </w:pPr>
    </w:p>
    <w:p>
      <w:pPr>
        <w:ind w:left="320" w:right="100" w:hanging="317"/>
        <w:spacing w:after="0" w:line="253" w:lineRule="auto"/>
        <w:tabs>
          <w:tab w:leader="none" w:pos="31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changes to the Company's non-employee director compensation policy that was amended from 2023 and adopted March 30, 2024, as summarized under "Non-Employee Director Compensation" below. Includes the portion of the non-employee director's annual cash retainer received as Elective RSUs, as summarized in “Non-Employee Director Compensation” below, computed in accordance with FASB Topic 718, as follows: Mr. Wong— 14,285; Mr. Ying— 57,142 and Ms. Balladon—6,362.</w:t>
      </w: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grant date fair value of the annual RSUs computed in accordance with FASB Topic 718 as follows: Ms. Pan—92,954.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ind w:left="320" w:right="160" w:hanging="317"/>
        <w:spacing w:after="0" w:line="260" w:lineRule="auto"/>
        <w:tabs>
          <w:tab w:leader="none" w:pos="31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Vogel resigned as a Board member on July 7, 2024. Ms. Balladon resigned as a Board member on July 10, 2024. Mr. Zheng resigned as a Board member on August 16, 2024. In connection with their resignations, Mr. Vogel, Ms. Balladon and Mr. Zheng forfeited all of their unvested RSUs and PSUs, as applicable.</w:t>
      </w:r>
    </w:p>
    <w:p>
      <w:pPr>
        <w:jc w:val="both"/>
        <w:ind w:left="320" w:right="20" w:hanging="317"/>
        <w:spacing w:after="0" w:line="259" w:lineRule="auto"/>
        <w:tabs>
          <w:tab w:leader="none" w:pos="31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Zheng does not receive any compensation for services provided to the Company as a director. Pursuant to the terms of a consulting agreement between Mr. Zheng and the Company, Mr. Zheng received the following as compensation for services provided to the Company as an advisor during 2024: salary and fees—$226,983. As of December 31, 2024, Mr. Zheng had 1,122,100 stock options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2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For Fiscal 2024, our non-employee directors other than Mr. Zheng were compensated for services in accordance with our non-employee director compensation policy that was amended from 2023 and adopted by our Board on March 30, 2024 (the "2024 Director Compensation Policy"). The material terms of the 2024 Director Compensation Policy are described below.</w:t>
      </w:r>
    </w:p>
    <w:p>
      <w:pPr>
        <w:spacing w:after="0" w:line="165"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For their service to the Company during 2024, each of our non-employee directors other than Mr. Zheng received an annual award of RSUs under the Director Compensation Policy, which will vest on December 31, 2024, subject to the director's continued service through such date. In addition, our non-employee directors other than Mr. Zheng may elect to receive all or a portion of their annual cash retainer and/or committee chair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2024 are set forth in footnote 1 to the "Director Compensation" table above. Our non-employee directors must make elections to receive equity in lieu of his or her cash retainer prior to the start of the calendar year, which elective RSUs will vest in equal installments on the last day of each fiscal quarter during the calendar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2024 Director Compensation Policy</w:t>
            </w:r>
          </w:p>
        </w:tc>
        <w:tc>
          <w:tcPr>
            <w:tcW w:w="3680" w:type="dxa"/>
            <w:vAlign w:val="bottom"/>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rPr>
              <w:t>2023 Director Compensation Policy</w:t>
            </w:r>
          </w:p>
        </w:tc>
      </w:tr>
      <w:tr>
        <w:trPr>
          <w:trHeight w:val="25"/>
        </w:trPr>
        <w:tc>
          <w:tcPr>
            <w:tcW w:w="372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Board Member Retainer</w:t>
            </w:r>
          </w:p>
        </w:tc>
        <w:tc>
          <w:tcPr>
            <w:tcW w:w="374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jc w:val="right"/>
              <w:ind w:right="1474"/>
              <w:spacing w:after="0"/>
              <w:rPr>
                <w:sz w:val="20"/>
                <w:szCs w:val="20"/>
                <w:color w:val="auto"/>
              </w:rPr>
            </w:pPr>
            <w:r>
              <w:rPr>
                <w:rFonts w:ascii="Times New Roman" w:cs="Times New Roman" w:eastAsia="Times New Roman" w:hAnsi="Times New Roman"/>
                <w:sz w:val="17"/>
                <w:szCs w:val="17"/>
                <w:color w:val="auto"/>
              </w:rPr>
              <w:t>$80,000</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Lead Independent Director Retainer</w:t>
            </w:r>
          </w:p>
        </w:tc>
        <w:tc>
          <w:tcPr>
            <w:tcW w:w="3740" w:type="dxa"/>
            <w:vAlign w:val="bottom"/>
          </w:tcPr>
          <w:p>
            <w:pPr>
              <w:jc w:val="right"/>
              <w:ind w:right="1494"/>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20"/>
                <w:szCs w:val="20"/>
                <w:color w:val="auto"/>
              </w:rPr>
            </w:pPr>
          </w:p>
        </w:tc>
        <w:tc>
          <w:tcPr>
            <w:tcW w:w="3680" w:type="dxa"/>
            <w:vAlign w:val="bottom"/>
          </w:tcPr>
          <w:p>
            <w:pPr>
              <w:jc w:val="right"/>
              <w:ind w:right="1474"/>
              <w:spacing w:after="0"/>
              <w:rPr>
                <w:sz w:val="20"/>
                <w:szCs w:val="20"/>
                <w:color w:val="auto"/>
              </w:rPr>
            </w:pPr>
            <w:r>
              <w:rPr>
                <w:rFonts w:ascii="Times New Roman" w:cs="Times New Roman" w:eastAsia="Times New Roman" w:hAnsi="Times New Roman"/>
                <w:sz w:val="17"/>
                <w:szCs w:val="17"/>
                <w:color w:val="auto"/>
              </w:rPr>
              <w:t>$25,000</w:t>
            </w:r>
          </w:p>
        </w:tc>
      </w:tr>
      <w:tr>
        <w:trPr>
          <w:trHeight w:val="25"/>
        </w:trPr>
        <w:tc>
          <w:tcPr>
            <w:tcW w:w="3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3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Audit Committee Chair Retainer</w:t>
            </w:r>
          </w:p>
        </w:tc>
        <w:tc>
          <w:tcPr>
            <w:tcW w:w="374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jc w:val="right"/>
              <w:ind w:right="1474"/>
              <w:spacing w:after="0"/>
              <w:rPr>
                <w:sz w:val="20"/>
                <w:szCs w:val="20"/>
                <w:color w:val="auto"/>
              </w:rPr>
            </w:pPr>
            <w:r>
              <w:rPr>
                <w:rFonts w:ascii="Times New Roman" w:cs="Times New Roman" w:eastAsia="Times New Roman" w:hAnsi="Times New Roman"/>
                <w:sz w:val="17"/>
                <w:szCs w:val="17"/>
                <w:color w:val="auto"/>
              </w:rPr>
              <w:t>$20,000</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Compensation Committee Chair Retainer</w:t>
            </w:r>
          </w:p>
        </w:tc>
        <w:tc>
          <w:tcPr>
            <w:tcW w:w="3740" w:type="dxa"/>
            <w:vAlign w:val="bottom"/>
          </w:tcPr>
          <w:p>
            <w:pPr>
              <w:jc w:val="right"/>
              <w:ind w:right="1494"/>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20"/>
                <w:szCs w:val="20"/>
                <w:color w:val="auto"/>
              </w:rPr>
            </w:pPr>
          </w:p>
        </w:tc>
        <w:tc>
          <w:tcPr>
            <w:tcW w:w="3680" w:type="dxa"/>
            <w:vAlign w:val="bottom"/>
          </w:tcPr>
          <w:p>
            <w:pPr>
              <w:jc w:val="right"/>
              <w:ind w:right="1474"/>
              <w:spacing w:after="0"/>
              <w:rPr>
                <w:sz w:val="20"/>
                <w:szCs w:val="20"/>
                <w:color w:val="auto"/>
              </w:rPr>
            </w:pPr>
            <w:r>
              <w:rPr>
                <w:rFonts w:ascii="Times New Roman" w:cs="Times New Roman" w:eastAsia="Times New Roman" w:hAnsi="Times New Roman"/>
                <w:sz w:val="17"/>
                <w:szCs w:val="17"/>
                <w:color w:val="auto"/>
              </w:rPr>
              <w:t>$15,000</w:t>
            </w:r>
          </w:p>
        </w:tc>
      </w:tr>
      <w:tr>
        <w:trPr>
          <w:trHeight w:val="25"/>
        </w:trPr>
        <w:tc>
          <w:tcPr>
            <w:tcW w:w="3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3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N&amp;GC Committee Chair Retainer</w:t>
            </w:r>
          </w:p>
        </w:tc>
        <w:tc>
          <w:tcPr>
            <w:tcW w:w="374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jc w:val="right"/>
              <w:ind w:right="1474"/>
              <w:spacing w:after="0"/>
              <w:rPr>
                <w:sz w:val="20"/>
                <w:szCs w:val="20"/>
                <w:color w:val="auto"/>
              </w:rPr>
            </w:pPr>
            <w:r>
              <w:rPr>
                <w:rFonts w:ascii="Times New Roman" w:cs="Times New Roman" w:eastAsia="Times New Roman" w:hAnsi="Times New Roman"/>
                <w:sz w:val="17"/>
                <w:szCs w:val="17"/>
                <w:color w:val="auto"/>
              </w:rPr>
              <w:t>$10,000</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Annual Restricted Stock Units (GDFV)</w:t>
            </w:r>
          </w:p>
        </w:tc>
        <w:tc>
          <w:tcPr>
            <w:tcW w:w="3740" w:type="dxa"/>
            <w:vAlign w:val="bottom"/>
          </w:tcPr>
          <w:p>
            <w:pPr>
              <w:jc w:val="right"/>
              <w:ind w:right="1494"/>
              <w:spacing w:after="0"/>
              <w:rPr>
                <w:sz w:val="20"/>
                <w:szCs w:val="20"/>
                <w:color w:val="auto"/>
              </w:rPr>
            </w:pPr>
            <w:r>
              <w:rPr>
                <w:rFonts w:ascii="Times New Roman" w:cs="Times New Roman" w:eastAsia="Times New Roman" w:hAnsi="Times New Roman"/>
                <w:sz w:val="17"/>
                <w:szCs w:val="17"/>
                <w:color w:val="auto"/>
              </w:rPr>
              <w:t>$95,000</w:t>
            </w:r>
          </w:p>
        </w:tc>
        <w:tc>
          <w:tcPr>
            <w:tcW w:w="100" w:type="dxa"/>
            <w:vAlign w:val="bottom"/>
          </w:tcPr>
          <w:p>
            <w:pPr>
              <w:spacing w:after="0"/>
              <w:rPr>
                <w:sz w:val="20"/>
                <w:szCs w:val="20"/>
                <w:color w:val="auto"/>
              </w:rPr>
            </w:pPr>
          </w:p>
        </w:tc>
        <w:tc>
          <w:tcPr>
            <w:tcW w:w="3680" w:type="dxa"/>
            <w:vAlign w:val="bottom"/>
          </w:tcPr>
          <w:p>
            <w:pPr>
              <w:jc w:val="right"/>
              <w:ind w:right="1474"/>
              <w:spacing w:after="0"/>
              <w:rPr>
                <w:sz w:val="20"/>
                <w:szCs w:val="20"/>
                <w:color w:val="auto"/>
              </w:rPr>
            </w:pPr>
            <w:r>
              <w:rPr>
                <w:rFonts w:ascii="Times New Roman" w:cs="Times New Roman" w:eastAsia="Times New Roman" w:hAnsi="Times New Roman"/>
                <w:sz w:val="17"/>
                <w:szCs w:val="17"/>
                <w:color w:val="auto"/>
              </w:rPr>
              <w:t>$95,000</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 Disclosure</w:t>
      </w:r>
    </w:p>
    <w:p>
      <w:pPr>
        <w:spacing w:after="0" w:line="234" w:lineRule="exact"/>
        <w:rPr>
          <w:sz w:val="20"/>
          <w:szCs w:val="20"/>
          <w:color w:val="auto"/>
        </w:rPr>
      </w:pPr>
    </w:p>
    <w:p>
      <w:pPr>
        <w:ind w:right="300" w:firstLine="619"/>
        <w:spacing w:after="0" w:line="262" w:lineRule="auto"/>
        <w:rPr>
          <w:sz w:val="20"/>
          <w:szCs w:val="20"/>
          <w:color w:val="auto"/>
        </w:rPr>
      </w:pPr>
      <w:r>
        <w:rPr>
          <w:rFonts w:ascii="Times New Roman" w:cs="Times New Roman" w:eastAsia="Times New Roman" w:hAnsi="Times New Roman"/>
          <w:sz w:val="17"/>
          <w:szCs w:val="17"/>
          <w:color w:val="auto"/>
        </w:rPr>
        <w:t>Pursuant to Section 953(a) of the Dodd-Frank Act and Item 402(v) of SEC Regulation S-K, we are providing the following information about the relationship between executive “compensation actually paid” (or “CAP”) to the Company’s principal executive officer (“PEO”) and non-PEO named executive officers (the “Non-PEO NEOs”) and certain aspects of the financial performance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tc>
        <w:tc>
          <w:tcPr>
            <w:tcW w:w="15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920" w:type="dxa"/>
            <w:vAlign w:val="bottom"/>
          </w:tcPr>
          <w:p>
            <w:pPr>
              <w:jc w:val="center"/>
              <w:ind w:left="14"/>
              <w:spacing w:after="0" w:line="224" w:lineRule="exact"/>
              <w:rPr>
                <w:sz w:val="20"/>
                <w:szCs w:val="20"/>
                <w:color w:val="auto"/>
              </w:rPr>
            </w:pPr>
            <w:r>
              <w:rPr>
                <w:rFonts w:ascii="Times New Roman" w:cs="Times New Roman" w:eastAsia="Times New Roman" w:hAnsi="Times New Roman"/>
                <w:sz w:val="17"/>
                <w:szCs w:val="17"/>
                <w:b w:val="1"/>
                <w:bCs w:val="1"/>
                <w:color w:val="auto"/>
                <w:w w:val="86"/>
              </w:rPr>
              <w:t>Year</w:t>
            </w:r>
            <w:r>
              <w:rPr>
                <w:rFonts w:ascii="Times New Roman" w:cs="Times New Roman" w:eastAsia="Times New Roman" w:hAnsi="Times New Roman"/>
                <w:sz w:val="22"/>
                <w:szCs w:val="22"/>
                <w:b w:val="1"/>
                <w:bCs w:val="1"/>
                <w:color w:val="auto"/>
                <w:w w:val="86"/>
                <w:vertAlign w:val="superscript"/>
              </w:rPr>
              <w:t>(1)</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Average Summary</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 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Microvast</w:t>
            </w: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GAAP</w:t>
            </w:r>
          </w:p>
        </w:tc>
        <w:tc>
          <w:tcPr>
            <w:tcW w:w="20" w:type="dxa"/>
            <w:vAlign w:val="bottom"/>
          </w:tcPr>
          <w:p>
            <w:pPr>
              <w:spacing w:after="0"/>
              <w:rPr>
                <w:sz w:val="19"/>
                <w:szCs w:val="19"/>
                <w:color w:val="auto"/>
              </w:rPr>
            </w:pPr>
          </w:p>
        </w:tc>
      </w:tr>
      <w:tr>
        <w:trPr>
          <w:trHeight w:val="191"/>
        </w:trPr>
        <w:tc>
          <w:tcPr>
            <w:tcW w:w="920" w:type="dxa"/>
            <w:vAlign w:val="bottom"/>
          </w:tcPr>
          <w:p>
            <w:pPr>
              <w:spacing w:after="0"/>
              <w:rPr>
                <w:sz w:val="16"/>
                <w:szCs w:val="16"/>
                <w:color w:val="auto"/>
              </w:rPr>
            </w:pPr>
          </w:p>
        </w:tc>
        <w:tc>
          <w:tcPr>
            <w:tcW w:w="184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w w:val="99"/>
              </w:rPr>
              <w:t>Compensation Table</w:t>
            </w:r>
          </w:p>
        </w:tc>
        <w:tc>
          <w:tcPr>
            <w:tcW w:w="1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Actually Paid to</w:t>
            </w:r>
          </w:p>
        </w:tc>
        <w:tc>
          <w:tcPr>
            <w:tcW w:w="216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w w:val="99"/>
              </w:rPr>
              <w:t>Compensation Table Total</w:t>
            </w:r>
          </w:p>
        </w:tc>
        <w:tc>
          <w:tcPr>
            <w:tcW w:w="186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Actually Paid to Non-</w:t>
            </w:r>
          </w:p>
        </w:tc>
        <w:tc>
          <w:tcPr>
            <w:tcW w:w="160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w w:val="99"/>
              </w:rPr>
              <w:t>Total Shareholder</w:t>
            </w:r>
          </w:p>
        </w:tc>
        <w:tc>
          <w:tcPr>
            <w:tcW w:w="1340" w:type="dxa"/>
            <w:vAlign w:val="bottom"/>
          </w:tcPr>
          <w:p>
            <w:pPr>
              <w:jc w:val="center"/>
              <w:ind w:right="54"/>
              <w:spacing w:after="0" w:line="190"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17"/>
                <w:szCs w:val="17"/>
                <w:b w:val="1"/>
                <w:bCs w:val="1"/>
                <w:color w:val="auto"/>
                <w:w w:val="95"/>
              </w:rPr>
              <w:t>Total for PEO</w:t>
            </w:r>
            <w:r>
              <w:rPr>
                <w:rFonts w:ascii="Times New Roman" w:cs="Times New Roman" w:eastAsia="Times New Roman" w:hAnsi="Times New Roman"/>
                <w:sz w:val="22"/>
                <w:szCs w:val="22"/>
                <w:b w:val="1"/>
                <w:bCs w:val="1"/>
                <w:color w:val="auto"/>
                <w:w w:val="95"/>
                <w:vertAlign w:val="superscript"/>
              </w:rPr>
              <w:t>(2)</w:t>
            </w:r>
          </w:p>
        </w:tc>
        <w:tc>
          <w:tcPr>
            <w:tcW w:w="152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PEO</w:t>
            </w:r>
            <w:r>
              <w:rPr>
                <w:rFonts w:ascii="Times New Roman" w:cs="Times New Roman" w:eastAsia="Times New Roman" w:hAnsi="Times New Roman"/>
                <w:sz w:val="9"/>
                <w:szCs w:val="9"/>
                <w:b w:val="1"/>
                <w:bCs w:val="1"/>
                <w:color w:val="auto"/>
              </w:rPr>
              <w:t>(3)</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c>
          <w:tcPr>
            <w:tcW w:w="1860" w:type="dxa"/>
            <w:vAlign w:val="bottom"/>
          </w:tcPr>
          <w:p>
            <w:pPr>
              <w:jc w:val="center"/>
              <w:spacing w:after="0" w:line="197" w:lineRule="exact"/>
              <w:rPr>
                <w:sz w:val="20"/>
                <w:szCs w:val="20"/>
                <w:color w:val="auto"/>
              </w:rPr>
            </w:pPr>
            <w:r>
              <w:rPr>
                <w:rFonts w:ascii="Times New Roman" w:cs="Times New Roman" w:eastAsia="Times New Roman" w:hAnsi="Times New Roman"/>
                <w:sz w:val="17"/>
                <w:szCs w:val="17"/>
                <w:b w:val="1"/>
                <w:bCs w:val="1"/>
                <w:color w:val="auto"/>
                <w:w w:val="98"/>
              </w:rPr>
              <w:t>PEO NEOs</w:t>
            </w:r>
            <w:r>
              <w:rPr>
                <w:rFonts w:ascii="Times New Roman" w:cs="Times New Roman" w:eastAsia="Times New Roman" w:hAnsi="Times New Roman"/>
                <w:sz w:val="22"/>
                <w:szCs w:val="22"/>
                <w:b w:val="1"/>
                <w:bCs w:val="1"/>
                <w:color w:val="auto"/>
                <w:w w:val="98"/>
                <w:vertAlign w:val="superscript"/>
              </w:rPr>
              <w:t>(3)</w:t>
            </w:r>
          </w:p>
        </w:tc>
        <w:tc>
          <w:tcPr>
            <w:tcW w:w="1600" w:type="dxa"/>
            <w:vAlign w:val="bottom"/>
          </w:tcPr>
          <w:p>
            <w:pPr>
              <w:jc w:val="center"/>
              <w:spacing w:after="0" w:line="197" w:lineRule="exact"/>
              <w:rPr>
                <w:sz w:val="20"/>
                <w:szCs w:val="20"/>
                <w:color w:val="auto"/>
              </w:rPr>
            </w:pPr>
            <w:r>
              <w:rPr>
                <w:rFonts w:ascii="Times New Roman" w:cs="Times New Roman" w:eastAsia="Times New Roman" w:hAnsi="Times New Roman"/>
                <w:sz w:val="17"/>
                <w:szCs w:val="17"/>
                <w:b w:val="1"/>
                <w:bCs w:val="1"/>
                <w:color w:val="auto"/>
                <w:w w:val="95"/>
              </w:rPr>
              <w:t>Return</w:t>
            </w:r>
            <w:r>
              <w:rPr>
                <w:rFonts w:ascii="Times New Roman" w:cs="Times New Roman" w:eastAsia="Times New Roman" w:hAnsi="Times New Roman"/>
                <w:sz w:val="22"/>
                <w:szCs w:val="22"/>
                <w:b w:val="1"/>
                <w:bCs w:val="1"/>
                <w:color w:val="auto"/>
                <w:w w:val="95"/>
                <w:vertAlign w:val="superscript"/>
              </w:rPr>
              <w:t>(4)</w:t>
            </w: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(Loss)</w:t>
            </w:r>
          </w:p>
        </w:tc>
        <w:tc>
          <w:tcPr>
            <w:tcW w:w="20" w:type="dxa"/>
            <w:vAlign w:val="bottom"/>
          </w:tcPr>
          <w:p>
            <w:pPr>
              <w:spacing w:after="0"/>
              <w:rPr>
                <w:sz w:val="17"/>
                <w:szCs w:val="17"/>
                <w:color w:val="auto"/>
              </w:rPr>
            </w:pPr>
          </w:p>
        </w:tc>
      </w:tr>
      <w:tr>
        <w:trPr>
          <w:trHeight w:val="240"/>
        </w:trPr>
        <w:tc>
          <w:tcPr>
            <w:tcW w:w="9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7"/>
                <w:szCs w:val="17"/>
                <w:b w:val="1"/>
                <w:bCs w:val="1"/>
                <w:color w:val="auto"/>
                <w:w w:val="97"/>
              </w:rPr>
              <w:t>Non-PEO NEOs</w:t>
            </w:r>
            <w:r>
              <w:rPr>
                <w:rFonts w:ascii="Times New Roman" w:cs="Times New Roman" w:eastAsia="Times New Roman" w:hAnsi="Times New Roman"/>
                <w:sz w:val="22"/>
                <w:szCs w:val="22"/>
                <w:b w:val="1"/>
                <w:bCs w:val="1"/>
                <w:color w:val="auto"/>
                <w:w w:val="97"/>
                <w:vertAlign w:val="superscript"/>
              </w:rPr>
              <w:t>(2)</w:t>
            </w:r>
          </w:p>
        </w:tc>
        <w:tc>
          <w:tcPr>
            <w:tcW w:w="1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 Mil.)</w:t>
            </w:r>
          </w:p>
        </w:tc>
        <w:tc>
          <w:tcPr>
            <w:tcW w:w="20" w:type="dxa"/>
            <w:vAlign w:val="bottom"/>
            <w:tcBorders>
              <w:bottom w:val="single" w:sz="8" w:color="auto"/>
            </w:tcBorders>
          </w:tcPr>
          <w:p>
            <w:pPr>
              <w:spacing w:after="0"/>
              <w:rPr>
                <w:sz w:val="20"/>
                <w:szCs w:val="20"/>
                <w:color w:val="auto"/>
              </w:rPr>
            </w:pPr>
          </w:p>
        </w:tc>
      </w:tr>
      <w:tr>
        <w:trPr>
          <w:trHeight w:val="238"/>
        </w:trPr>
        <w:tc>
          <w:tcPr>
            <w:tcW w:w="9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18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$1,141,207</w:t>
            </w:r>
          </w:p>
        </w:tc>
        <w:tc>
          <w:tcPr>
            <w:tcW w:w="1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rPr>
              <w:t>$1,349,765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$1,269,434</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$1,923,375</w:t>
            </w:r>
          </w:p>
        </w:tc>
        <w:tc>
          <w:tcPr>
            <w:tcW w:w="16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$135</w:t>
            </w:r>
          </w:p>
        </w:tc>
        <w:tc>
          <w:tcPr>
            <w:tcW w:w="13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($167)</w:t>
            </w:r>
          </w:p>
        </w:tc>
        <w:tc>
          <w:tcPr>
            <w:tcW w:w="20" w:type="dxa"/>
            <w:vAlign w:val="bottom"/>
          </w:tcPr>
          <w:p>
            <w:pPr>
              <w:spacing w:after="0"/>
              <w:rPr>
                <w:sz w:val="20"/>
                <w:szCs w:val="20"/>
                <w:color w:val="auto"/>
              </w:rPr>
            </w:pPr>
          </w:p>
        </w:tc>
      </w:tr>
      <w:tr>
        <w:trPr>
          <w:trHeight w:val="232"/>
        </w:trPr>
        <w:tc>
          <w:tcPr>
            <w:tcW w:w="92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9"/>
              </w:rPr>
              <w:t>2023</w:t>
            </w:r>
          </w:p>
        </w:tc>
        <w:tc>
          <w:tcPr>
            <w:tcW w:w="18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$649,008</w:t>
            </w:r>
          </w:p>
        </w:tc>
        <w:tc>
          <w:tcPr>
            <w:tcW w:w="1520" w:type="dxa"/>
            <w:vAlign w:val="bottom"/>
          </w:tcPr>
          <w:p>
            <w:pPr>
              <w:jc w:val="right"/>
              <w:ind w:right="362"/>
              <w:spacing w:after="0"/>
              <w:rPr>
                <w:sz w:val="20"/>
                <w:szCs w:val="20"/>
                <w:color w:val="auto"/>
              </w:rPr>
            </w:pPr>
            <w:r>
              <w:rPr>
                <w:rFonts w:ascii="Times New Roman" w:cs="Times New Roman" w:eastAsia="Times New Roman" w:hAnsi="Times New Roman"/>
                <w:sz w:val="17"/>
                <w:szCs w:val="17"/>
                <w:color w:val="auto"/>
              </w:rPr>
              <w:t>$554,345</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$1,506,396</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$1,425,089</w:t>
            </w:r>
          </w:p>
        </w:tc>
        <w:tc>
          <w:tcPr>
            <w:tcW w:w="160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$92</w:t>
            </w: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($106)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7140575</wp:posOffset>
            </wp:positionH>
            <wp:positionV relativeFrom="paragraph">
              <wp:posOffset>-842645</wp:posOffset>
            </wp:positionV>
            <wp:extent cx="8255" cy="540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-842645</wp:posOffset>
            </wp:positionV>
            <wp:extent cx="8255" cy="540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-842645</wp:posOffset>
            </wp:positionV>
            <wp:extent cx="8255" cy="540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-842645</wp:posOffset>
            </wp:positionV>
            <wp:extent cx="8255" cy="540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-842645</wp:posOffset>
            </wp:positionV>
            <wp:extent cx="8255" cy="540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-842645</wp:posOffset>
            </wp:positionV>
            <wp:extent cx="8255" cy="540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-842645</wp:posOffset>
            </wp:positionV>
            <wp:extent cx="8255" cy="540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54038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-842645</wp:posOffset>
            </wp:positionV>
            <wp:extent cx="8255" cy="540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540385"/>
                    </a:xfrm>
                    <a:prstGeom prst="rect">
                      <a:avLst/>
                    </a:prstGeom>
                    <a:noFill/>
                  </pic:spPr>
                </pic:pic>
              </a:graphicData>
            </a:graphic>
          </wp:anchor>
        </w:drawing>
      </w:r>
    </w:p>
    <w:p>
      <w:pPr>
        <w:spacing w:after="0" w:line="298" w:lineRule="exact"/>
        <w:rPr>
          <w:sz w:val="20"/>
          <w:szCs w:val="20"/>
          <w:color w:val="auto"/>
        </w:rPr>
      </w:pPr>
    </w:p>
    <w:p>
      <w:pPr>
        <w:ind w:left="240" w:hanging="237"/>
        <w:spacing w:after="0"/>
        <w:tabs>
          <w:tab w:leader="none" w:pos="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Yang Wu served as the PEO for the entirety of 2024 and 2023. Our Non-PEO NEOs for the applicable years were as follows:</w:t>
      </w:r>
    </w:p>
    <w:p>
      <w:pPr>
        <w:spacing w:after="0" w:line="27" w:lineRule="exact"/>
        <w:rPr>
          <w:rFonts w:ascii="Times New Roman" w:cs="Times New Roman" w:eastAsia="Times New Roman" w:hAnsi="Times New Roman"/>
          <w:sz w:val="17"/>
          <w:szCs w:val="17"/>
          <w:color w:val="auto"/>
        </w:rPr>
      </w:pPr>
    </w:p>
    <w:p>
      <w:pPr>
        <w:ind w:left="340" w:hanging="105"/>
        <w:spacing w:after="0"/>
        <w:tabs>
          <w:tab w:leader="none" w:pos="3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Dr. Shengxian Wu and Isida Tushe</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19"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105"/>
        <w:spacing w:after="0"/>
        <w:tabs>
          <w:tab w:leader="none" w:pos="3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Zachariah Ward, Craig Webster, and Shane Smith</w:t>
      </w:r>
    </w:p>
    <w:p>
      <w:pPr>
        <w:spacing w:after="0" w:line="242" w:lineRule="exact"/>
        <w:rPr>
          <w:rFonts w:ascii="Times New Roman" w:cs="Times New Roman" w:eastAsia="Times New Roman" w:hAnsi="Times New Roman"/>
          <w:sz w:val="17"/>
          <w:szCs w:val="17"/>
          <w:color w:val="auto"/>
        </w:rPr>
      </w:pPr>
    </w:p>
    <w:p>
      <w:pPr>
        <w:ind w:right="220" w:firstLine="3"/>
        <w:spacing w:after="0" w:line="262" w:lineRule="auto"/>
        <w:tabs>
          <w:tab w:leader="none" w:pos="24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these columns represent (i) the total compensation reported in the Summary Compensation Table (“SCT”) for the applicable year in the case of our PEO, Mr. Wu, and (ii) the average of the total compensation reported in the SCT for the applicable year for our Non-PEO NEOs reported for the applicable year.</w:t>
      </w:r>
    </w:p>
    <w:p>
      <w:pPr>
        <w:spacing w:after="0" w:line="184" w:lineRule="exact"/>
        <w:rPr>
          <w:rFonts w:ascii="Times New Roman" w:cs="Times New Roman" w:eastAsia="Times New Roman" w:hAnsi="Times New Roman"/>
          <w:sz w:val="17"/>
          <w:szCs w:val="17"/>
          <w:color w:val="auto"/>
        </w:rPr>
      </w:pPr>
    </w:p>
    <w:p>
      <w:pPr>
        <w:ind w:right="200" w:firstLine="3"/>
        <w:spacing w:after="0" w:line="260" w:lineRule="auto"/>
        <w:tabs>
          <w:tab w:leader="none" w:pos="24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these columns represent compensation actually paid; adjustments were made to the amounts reported in the Summary Compensation Table for the applicable year. A reconciliation of the adjustments for Mr. Wu and for the average of the Non-PEO NEOs is set forth in the following table, which describes the adjustments, each of which is prescribed by the SEC rules, to calculate the CAP Amounts from SCT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300" w:type="dxa"/>
            <w:vAlign w:val="bottom"/>
          </w:tcPr>
          <w:p>
            <w:pPr>
              <w:jc w:val="right"/>
              <w:ind w:right="1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jc w:val="right"/>
              <w:ind w:right="17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3420" w:type="dxa"/>
            <w:vAlign w:val="bottom"/>
          </w:tcPr>
          <w:p>
            <w:pPr>
              <w:spacing w:after="0"/>
              <w:rPr>
                <w:sz w:val="15"/>
                <w:szCs w:val="15"/>
                <w:color w:val="auto"/>
              </w:rPr>
            </w:pPr>
          </w:p>
        </w:tc>
        <w:tc>
          <w:tcPr>
            <w:tcW w:w="14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4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Average Non-PEO NEOs</w:t>
            </w:r>
          </w:p>
        </w:tc>
        <w:tc>
          <w:tcPr>
            <w:tcW w:w="15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PEO</w:t>
            </w:r>
          </w:p>
        </w:tc>
        <w:tc>
          <w:tcPr>
            <w:tcW w:w="24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Average Non-PEO NEOs</w:t>
            </w: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9"/>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tc>
        <w:tc>
          <w:tcPr>
            <w:tcW w:w="146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$1,141,207</w:t>
            </w:r>
          </w:p>
        </w:tc>
        <w:tc>
          <w:tcPr>
            <w:tcW w:w="230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$1,269,434</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$649,008</w:t>
            </w:r>
          </w:p>
        </w:tc>
        <w:tc>
          <w:tcPr>
            <w:tcW w:w="238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8"/>
              </w:rPr>
              <w:t>$1,506,396</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3"/>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w w:val="99"/>
              </w:rPr>
              <w:t xml:space="preserve">Minus </w:t>
            </w:r>
            <w:r>
              <w:rPr>
                <w:rFonts w:ascii="Times New Roman" w:cs="Times New Roman" w:eastAsia="Times New Roman" w:hAnsi="Times New Roman"/>
                <w:sz w:val="14"/>
                <w:szCs w:val="14"/>
                <w:color w:val="auto"/>
                <w:w w:val="99"/>
              </w:rPr>
              <w:t>Stock Award Value &amp; Option Award Value Reported</w:t>
            </w:r>
          </w:p>
        </w:tc>
        <w:tc>
          <w:tcPr>
            <w:tcW w:w="146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w w:val="98"/>
              </w:rPr>
              <w:t>$590,000</w:t>
            </w:r>
          </w:p>
        </w:tc>
        <w:tc>
          <w:tcPr>
            <w:tcW w:w="230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w w:val="98"/>
              </w:rPr>
              <w:t>$890,000</w:t>
            </w:r>
          </w:p>
        </w:tc>
        <w:tc>
          <w:tcPr>
            <w:tcW w:w="100" w:type="dxa"/>
            <w:vAlign w:val="bottom"/>
          </w:tcPr>
          <w:p>
            <w:pPr>
              <w:spacing w:after="0"/>
              <w:rPr>
                <w:sz w:val="15"/>
                <w:szCs w:val="15"/>
                <w:color w:val="auto"/>
              </w:rPr>
            </w:pPr>
          </w:p>
        </w:tc>
        <w:tc>
          <w:tcPr>
            <w:tcW w:w="15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238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8"/>
              </w:rPr>
              <w:t>$773,083</w:t>
            </w:r>
          </w:p>
        </w:tc>
        <w:tc>
          <w:tcPr>
            <w:tcW w:w="80" w:type="dxa"/>
            <w:vAlign w:val="bottom"/>
          </w:tcPr>
          <w:p>
            <w:pPr>
              <w:spacing w:after="0"/>
              <w:rPr>
                <w:sz w:val="15"/>
                <w:szCs w:val="15"/>
                <w:color w:val="auto"/>
              </w:rPr>
            </w:pPr>
          </w:p>
        </w:tc>
      </w:tr>
      <w:tr>
        <w:trPr>
          <w:trHeight w:val="17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SCT for the Covered Year</w:t>
            </w: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w w:val="99"/>
              </w:rPr>
              <w:t xml:space="preserve">Plus </w:t>
            </w:r>
            <w:r>
              <w:rPr>
                <w:rFonts w:ascii="Times New Roman" w:cs="Times New Roman" w:eastAsia="Times New Roman" w:hAnsi="Times New Roman"/>
                <w:sz w:val="14"/>
                <w:szCs w:val="14"/>
                <w:color w:val="auto"/>
                <w:w w:val="99"/>
              </w:rPr>
              <w:t>Year End Fair Value of Equity Awards Granted During</w:t>
            </w:r>
          </w:p>
        </w:tc>
        <w:tc>
          <w:tcPr>
            <w:tcW w:w="146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23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8"/>
              </w:rPr>
              <w:t>$1,670,000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238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color w:val="auto"/>
                <w:w w:val="98"/>
              </w:rPr>
              <w:t>$603,067</w:t>
            </w:r>
          </w:p>
        </w:tc>
        <w:tc>
          <w:tcPr>
            <w:tcW w:w="80" w:type="dxa"/>
            <w:vAlign w:val="bottom"/>
            <w:shd w:val="clear" w:color="auto" w:fill="CCEEFF"/>
          </w:tcPr>
          <w:p>
            <w:pPr>
              <w:spacing w:after="0"/>
              <w:rPr>
                <w:sz w:val="15"/>
                <w:szCs w:val="15"/>
                <w:color w:val="auto"/>
              </w:rPr>
            </w:pPr>
          </w:p>
        </w:tc>
      </w:tr>
      <w:tr>
        <w:trPr>
          <w:trHeight w:val="155"/>
        </w:trPr>
        <w:tc>
          <w:tcPr>
            <w:tcW w:w="34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the Covered Year that Remain Outstanding and Unvested as</w:t>
            </w:r>
          </w:p>
        </w:tc>
        <w:tc>
          <w:tcPr>
            <w:tcW w:w="14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Last Day of the Covered Year</w:t>
            </w:r>
          </w:p>
        </w:tc>
        <w:tc>
          <w:tcPr>
            <w:tcW w:w="146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3"/>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w w:val="98"/>
              </w:rPr>
              <w:t xml:space="preserve">Plus </w:t>
            </w:r>
            <w:r>
              <w:rPr>
                <w:rFonts w:ascii="Times New Roman" w:cs="Times New Roman" w:eastAsia="Times New Roman" w:hAnsi="Times New Roman"/>
                <w:sz w:val="14"/>
                <w:szCs w:val="14"/>
                <w:color w:val="auto"/>
                <w:w w:val="98"/>
              </w:rPr>
              <w:t>Year over Year Change in Fair Value as of the Last Day</w:t>
            </w:r>
          </w:p>
        </w:tc>
        <w:tc>
          <w:tcPr>
            <w:tcW w:w="146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230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w w:val="96"/>
              </w:rPr>
              <w:t>$34,491</w:t>
            </w:r>
          </w:p>
        </w:tc>
        <w:tc>
          <w:tcPr>
            <w:tcW w:w="100" w:type="dxa"/>
            <w:vAlign w:val="bottom"/>
          </w:tcPr>
          <w:p>
            <w:pPr>
              <w:spacing w:after="0"/>
              <w:rPr>
                <w:sz w:val="15"/>
                <w:szCs w:val="15"/>
                <w:color w:val="auto"/>
              </w:rPr>
            </w:pPr>
          </w:p>
        </w:tc>
        <w:tc>
          <w:tcPr>
            <w:tcW w:w="150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6"/>
              </w:rPr>
              <w:t>$29,700</w:t>
            </w:r>
          </w:p>
        </w:tc>
        <w:tc>
          <w:tcPr>
            <w:tcW w:w="238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6"/>
              </w:rPr>
              <w:t>$70,924</w:t>
            </w:r>
          </w:p>
        </w:tc>
        <w:tc>
          <w:tcPr>
            <w:tcW w:w="80" w:type="dxa"/>
            <w:vAlign w:val="bottom"/>
          </w:tcPr>
          <w:p>
            <w:pPr>
              <w:spacing w:after="0"/>
              <w:rPr>
                <w:sz w:val="15"/>
                <w:szCs w:val="15"/>
                <w:color w:val="auto"/>
              </w:rPr>
            </w:pPr>
          </w:p>
        </w:tc>
      </w:tr>
      <w:tr>
        <w:trPr>
          <w:trHeight w:val="155"/>
        </w:trPr>
        <w:tc>
          <w:tcPr>
            <w:tcW w:w="34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of the Covered Year of Outstanding and Unvested Equity</w:t>
            </w:r>
          </w:p>
        </w:tc>
        <w:tc>
          <w:tcPr>
            <w:tcW w:w="1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Granted in Prior Years</w:t>
            </w: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w w:val="97"/>
              </w:rPr>
              <w:t xml:space="preserve">Plus </w:t>
            </w:r>
            <w:r>
              <w:rPr>
                <w:rFonts w:ascii="Times New Roman" w:cs="Times New Roman" w:eastAsia="Times New Roman" w:hAnsi="Times New Roman"/>
                <w:sz w:val="14"/>
                <w:szCs w:val="14"/>
                <w:color w:val="auto"/>
                <w:w w:val="97"/>
              </w:rPr>
              <w:t>Fair Value as of Vesting Date of Equity Awards Granted</w:t>
            </w:r>
          </w:p>
        </w:tc>
        <w:tc>
          <w:tcPr>
            <w:tcW w:w="146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4"/>
                <w:szCs w:val="14"/>
                <w:color w:val="auto"/>
                <w:w w:val="98"/>
              </w:rPr>
              <w:t>$590,000</w:t>
            </w:r>
          </w:p>
        </w:tc>
        <w:tc>
          <w:tcPr>
            <w:tcW w:w="23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238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color w:val="auto"/>
                <w:w w:val="96"/>
              </w:rPr>
              <w:t>$40,750</w:t>
            </w:r>
          </w:p>
        </w:tc>
        <w:tc>
          <w:tcPr>
            <w:tcW w:w="80" w:type="dxa"/>
            <w:vAlign w:val="bottom"/>
            <w:shd w:val="clear" w:color="auto" w:fill="CCEEFF"/>
          </w:tcPr>
          <w:p>
            <w:pPr>
              <w:spacing w:after="0"/>
              <w:rPr>
                <w:sz w:val="15"/>
                <w:szCs w:val="15"/>
                <w:color w:val="auto"/>
              </w:rPr>
            </w:pPr>
          </w:p>
        </w:tc>
      </w:tr>
      <w:tr>
        <w:trPr>
          <w:trHeight w:val="18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Vested in the Covered Year</w:t>
            </w:r>
          </w:p>
        </w:tc>
        <w:tc>
          <w:tcPr>
            <w:tcW w:w="146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3"/>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 over Year Change in Fair Value as of the Vesting</w:t>
            </w:r>
          </w:p>
        </w:tc>
        <w:tc>
          <w:tcPr>
            <w:tcW w:w="146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w w:val="98"/>
              </w:rPr>
              <w:t>$208,559</w:t>
            </w:r>
          </w:p>
        </w:tc>
        <w:tc>
          <w:tcPr>
            <w:tcW w:w="230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w w:val="96"/>
              </w:rPr>
              <w:t>($160,550)</w:t>
            </w:r>
          </w:p>
        </w:tc>
        <w:tc>
          <w:tcPr>
            <w:tcW w:w="100" w:type="dxa"/>
            <w:vAlign w:val="bottom"/>
          </w:tcPr>
          <w:p>
            <w:pPr>
              <w:spacing w:after="0"/>
              <w:rPr>
                <w:sz w:val="15"/>
                <w:szCs w:val="15"/>
                <w:color w:val="auto"/>
              </w:rPr>
            </w:pPr>
          </w:p>
        </w:tc>
        <w:tc>
          <w:tcPr>
            <w:tcW w:w="1500" w:type="dxa"/>
            <w:vAlign w:val="bottom"/>
          </w:tcPr>
          <w:p>
            <w:pPr>
              <w:jc w:val="center"/>
              <w:ind w:left="271"/>
              <w:spacing w:after="0"/>
              <w:rPr>
                <w:sz w:val="20"/>
                <w:szCs w:val="20"/>
                <w:color w:val="auto"/>
              </w:rPr>
            </w:pPr>
            <w:r>
              <w:rPr>
                <w:rFonts w:ascii="Times New Roman" w:cs="Times New Roman" w:eastAsia="Times New Roman" w:hAnsi="Times New Roman"/>
                <w:sz w:val="14"/>
                <w:szCs w:val="14"/>
                <w:color w:val="auto"/>
                <w:w w:val="96"/>
              </w:rPr>
              <w:t>($124,363)</w:t>
            </w:r>
          </w:p>
        </w:tc>
        <w:tc>
          <w:tcPr>
            <w:tcW w:w="23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8"/>
              </w:rPr>
              <w:t>($22,964)</w:t>
            </w:r>
          </w:p>
        </w:tc>
        <w:tc>
          <w:tcPr>
            <w:tcW w:w="80" w:type="dxa"/>
            <w:vAlign w:val="bottom"/>
          </w:tcPr>
          <w:p>
            <w:pPr>
              <w:spacing w:after="0"/>
              <w:rPr>
                <w:sz w:val="15"/>
                <w:szCs w:val="15"/>
                <w:color w:val="auto"/>
              </w:rPr>
            </w:pPr>
          </w:p>
        </w:tc>
      </w:tr>
      <w:tr>
        <w:trPr>
          <w:trHeight w:val="155"/>
        </w:trPr>
        <w:tc>
          <w:tcPr>
            <w:tcW w:w="34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Date of Equity Awards Granted in Prior Years that Vested</w:t>
            </w:r>
          </w:p>
        </w:tc>
        <w:tc>
          <w:tcPr>
            <w:tcW w:w="1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During the Covered Year</w:t>
            </w: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Minus </w:t>
            </w:r>
            <w:r>
              <w:rPr>
                <w:rFonts w:ascii="Times New Roman" w:cs="Times New Roman" w:eastAsia="Times New Roman" w:hAnsi="Times New Roman"/>
                <w:sz w:val="14"/>
                <w:szCs w:val="14"/>
                <w:color w:val="auto"/>
              </w:rPr>
              <w:t>Fair Value at the End of the Prior Year of Equity</w:t>
            </w:r>
          </w:p>
        </w:tc>
        <w:tc>
          <w:tcPr>
            <w:tcW w:w="146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23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23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80" w:type="dxa"/>
            <w:vAlign w:val="bottom"/>
            <w:shd w:val="clear" w:color="auto" w:fill="CCEEFF"/>
          </w:tcPr>
          <w:p>
            <w:pPr>
              <w:spacing w:after="0"/>
              <w:rPr>
                <w:sz w:val="15"/>
                <w:szCs w:val="15"/>
                <w:color w:val="auto"/>
              </w:rPr>
            </w:pPr>
          </w:p>
        </w:tc>
      </w:tr>
      <w:tr>
        <w:trPr>
          <w:trHeight w:val="155"/>
        </w:trPr>
        <w:tc>
          <w:tcPr>
            <w:tcW w:w="34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Awards that Failed to Meet Vesting Conditions in the</w:t>
            </w:r>
          </w:p>
        </w:tc>
        <w:tc>
          <w:tcPr>
            <w:tcW w:w="146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Covered or were Forfeited During the Covered Year</w:t>
            </w:r>
          </w:p>
        </w:tc>
        <w:tc>
          <w:tcPr>
            <w:tcW w:w="146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73"/>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Value of Dividends or other Earnings Paid on Stock or</w:t>
            </w:r>
          </w:p>
        </w:tc>
        <w:tc>
          <w:tcPr>
            <w:tcW w:w="146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230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w w:val="99"/>
              </w:rPr>
              <w:t>$0</w:t>
            </w:r>
          </w:p>
        </w:tc>
        <w:tc>
          <w:tcPr>
            <w:tcW w:w="100" w:type="dxa"/>
            <w:vAlign w:val="bottom"/>
          </w:tcPr>
          <w:p>
            <w:pPr>
              <w:spacing w:after="0"/>
              <w:rPr>
                <w:sz w:val="15"/>
                <w:szCs w:val="15"/>
                <w:color w:val="auto"/>
              </w:rPr>
            </w:pPr>
          </w:p>
        </w:tc>
        <w:tc>
          <w:tcPr>
            <w:tcW w:w="150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23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99"/>
              </w:rPr>
              <w:t>$0</w:t>
            </w:r>
          </w:p>
        </w:tc>
        <w:tc>
          <w:tcPr>
            <w:tcW w:w="80" w:type="dxa"/>
            <w:vAlign w:val="bottom"/>
          </w:tcPr>
          <w:p>
            <w:pPr>
              <w:spacing w:after="0"/>
              <w:rPr>
                <w:sz w:val="15"/>
                <w:szCs w:val="15"/>
                <w:color w:val="auto"/>
              </w:rPr>
            </w:pPr>
          </w:p>
        </w:tc>
      </w:tr>
      <w:tr>
        <w:trPr>
          <w:trHeight w:val="155"/>
        </w:trPr>
        <w:tc>
          <w:tcPr>
            <w:tcW w:w="34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Option Awards Not Otherwise Reflected in Fair Value or</w:t>
            </w:r>
          </w:p>
        </w:tc>
        <w:tc>
          <w:tcPr>
            <w:tcW w:w="1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for the Covered Year</w:t>
            </w: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46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$1,349,765</w:t>
            </w:r>
          </w:p>
        </w:tc>
        <w:tc>
          <w:tcPr>
            <w:tcW w:w="2300" w:type="dxa"/>
            <w:vAlign w:val="bottom"/>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$1,923,375</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$554,345</w:t>
            </w:r>
          </w:p>
        </w:tc>
        <w:tc>
          <w:tcPr>
            <w:tcW w:w="23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8"/>
              </w:rPr>
              <w:t>$1,425,089</w:t>
            </w:r>
          </w:p>
        </w:tc>
        <w:tc>
          <w:tcPr>
            <w:tcW w:w="80" w:type="dxa"/>
            <w:vAlign w:val="bottom"/>
            <w:shd w:val="clear" w:color="auto" w:fill="CCEEFF"/>
          </w:tcPr>
          <w:p>
            <w:pPr>
              <w:spacing w:after="0"/>
              <w:rPr>
                <w:sz w:val="15"/>
                <w:szCs w:val="15"/>
                <w:color w:val="auto"/>
              </w:rPr>
            </w:pPr>
          </w:p>
        </w:tc>
      </w:tr>
      <w:tr>
        <w:trPr>
          <w:trHeight w:val="22"/>
        </w:trPr>
        <w:tc>
          <w:tcPr>
            <w:tcW w:w="34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right="160" w:firstLine="619"/>
        <w:spacing w:after="0" w:line="262" w:lineRule="auto"/>
        <w:rPr>
          <w:sz w:val="20"/>
          <w:szCs w:val="20"/>
          <w:color w:val="auto"/>
        </w:rPr>
      </w:pPr>
      <w:r>
        <w:rPr>
          <w:rFonts w:ascii="Times New Roman" w:cs="Times New Roman" w:eastAsia="Times New Roman" w:hAnsi="Times New Roman"/>
          <w:sz w:val="17"/>
          <w:szCs w:val="17"/>
          <w:color w:val="auto"/>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w:t>
      </w:r>
    </w:p>
    <w:p>
      <w:pPr>
        <w:spacing w:after="0" w:line="211" w:lineRule="exact"/>
        <w:rPr>
          <w:sz w:val="20"/>
          <w:szCs w:val="20"/>
          <w:color w:val="auto"/>
        </w:rPr>
      </w:pPr>
    </w:p>
    <w:p>
      <w:pPr>
        <w:ind w:right="80" w:firstLine="3"/>
        <w:spacing w:after="0" w:line="287" w:lineRule="auto"/>
        <w:tabs>
          <w:tab w:leader="none" w:pos="25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(TSR) is cumulative for the measurement periods beginning on December 31, 2022 and ending on December 31 of each of 2023 and 2024, respectively, calculated in accordance with Item 201(e) of Regulation S-K.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CAP and TSR</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graph below reflects the relationship between the PEO and Average Non-PEO NEOs CAP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5403215" cy="32334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03215" cy="323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CAP and GAAP Net Income (Loss)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graph below reflects the relationship between the PEO and Average Non-PEO NEOs CAP and our GAAP Net Income (Loss).</w:t>
      </w: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511175</wp:posOffset>
            </wp:positionV>
            <wp:extent cx="5403215" cy="3454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0321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March 24, 2025, by:</w:t>
      </w:r>
    </w:p>
    <w:p>
      <w:pPr>
        <w:spacing w:after="0" w:line="217" w:lineRule="exact"/>
        <w:rPr>
          <w:sz w:val="20"/>
          <w:szCs w:val="20"/>
          <w:color w:val="auto"/>
        </w:rPr>
      </w:pPr>
    </w:p>
    <w:p>
      <w:pPr>
        <w:ind w:left="920" w:hanging="298"/>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our outstanding shares of common stock;</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executive officer and director of the Company;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230" w:lineRule="exact"/>
        <w:rPr>
          <w:sz w:val="20"/>
          <w:szCs w:val="20"/>
          <w:color w:val="auto"/>
        </w:rPr>
      </w:pPr>
    </w:p>
    <w:p>
      <w:pPr>
        <w:jc w:val="both"/>
        <w:ind w:right="140" w:firstLine="619"/>
        <w:spacing w:after="0" w:line="254"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stock options and warrants that are currently exercisable or exercisable within 60 days and restricted stock units scheduled to vest within 60 days.</w:t>
      </w: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Names and Addresses of Beneficial Owners</w:t>
            </w:r>
            <w:r>
              <w:rPr>
                <w:rFonts w:ascii="Times New Roman" w:cs="Times New Roman" w:eastAsia="Times New Roman" w:hAnsi="Times New Roman"/>
                <w:sz w:val="22"/>
                <w:szCs w:val="22"/>
                <w:color w:val="auto"/>
                <w:vertAlign w:val="superscript"/>
              </w:rPr>
              <w:t>(1)</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Percent Beneficially</w:t>
            </w:r>
          </w:p>
        </w:tc>
      </w:tr>
      <w:tr>
        <w:trPr>
          <w:trHeight w:val="240"/>
        </w:trPr>
        <w:tc>
          <w:tcPr>
            <w:tcW w:w="44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394"/>
              <w:spacing w:after="0" w:line="241" w:lineRule="exact"/>
              <w:rPr>
                <w:sz w:val="20"/>
                <w:szCs w:val="20"/>
                <w:color w:val="auto"/>
              </w:rPr>
            </w:pPr>
            <w:r>
              <w:rPr>
                <w:rFonts w:ascii="Times New Roman" w:cs="Times New Roman" w:eastAsia="Times New Roman" w:hAnsi="Times New Roman"/>
                <w:sz w:val="17"/>
                <w:szCs w:val="17"/>
                <w:b w:val="1"/>
                <w:bCs w:val="1"/>
                <w:color w:val="auto"/>
              </w:rPr>
              <w:t>Owned</w:t>
            </w:r>
            <w:r>
              <w:rPr>
                <w:rFonts w:ascii="Times New Roman" w:cs="Times New Roman" w:eastAsia="Times New Roman" w:hAnsi="Times New Roman"/>
                <w:sz w:val="22"/>
                <w:szCs w:val="22"/>
                <w:color w:val="auto"/>
                <w:vertAlign w:val="superscript"/>
              </w:rPr>
              <w:t>(2)</w:t>
            </w:r>
          </w:p>
        </w:tc>
      </w:tr>
      <w:tr>
        <w:trPr>
          <w:trHeight w:val="232"/>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Directors and Executive Officers:</w:t>
            </w:r>
          </w:p>
        </w:tc>
        <w:tc>
          <w:tcPr>
            <w:tcW w:w="35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Yang Wu(3)</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141,068,036</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43.4 %</w:t>
            </w:r>
          </w:p>
        </w:tc>
      </w:tr>
      <w:tr>
        <w:trPr>
          <w:trHeight w:val="25"/>
        </w:trPr>
        <w:tc>
          <w:tcPr>
            <w:tcW w:w="4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Fariyal Khanbabi</w:t>
            </w:r>
          </w:p>
        </w:tc>
        <w:tc>
          <w:tcPr>
            <w:tcW w:w="3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 Ying(7)</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220,243</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Yixin Pan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92,954</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Wenjuan Mattis(4)</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2,606,788</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 Shengxian Wu(6)</w:t>
            </w:r>
          </w:p>
        </w:tc>
        <w:tc>
          <w:tcPr>
            <w:tcW w:w="5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1,456,144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877"/>
        </w:trPr>
        <w:tc>
          <w:tcPr>
            <w:tcW w:w="4420" w:type="dxa"/>
            <w:vAlign w:val="bottom"/>
          </w:tcPr>
          <w:p>
            <w:pPr>
              <w:spacing w:after="0"/>
              <w:rPr>
                <w:sz w:val="24"/>
                <w:szCs w:val="24"/>
                <w:color w:val="auto"/>
              </w:rPr>
            </w:pPr>
          </w:p>
        </w:tc>
        <w:tc>
          <w:tcPr>
            <w:tcW w:w="3540" w:type="dxa"/>
            <w:vAlign w:val="bottom"/>
          </w:tcPr>
          <w:p>
            <w:pPr>
              <w:jc w:val="right"/>
              <w:ind w:right="2174"/>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96"/>
        </w:trPr>
        <w:tc>
          <w:tcPr>
            <w:tcW w:w="442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5"/>
        </w:trPr>
        <w:tc>
          <w:tcPr>
            <w:tcW w:w="7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FF"/>
              </w:rPr>
              <w:t>Table of Content</w:t>
            </w:r>
          </w:p>
        </w:tc>
        <w:tc>
          <w:tcPr>
            <w:tcW w:w="4340" w:type="dxa"/>
            <w:vAlign w:val="bottom"/>
          </w:tcPr>
          <w:p>
            <w:pPr>
              <w:spacing w:after="0"/>
              <w:rPr>
                <w:sz w:val="17"/>
                <w:szCs w:val="17"/>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844"/>
        </w:trPr>
        <w:tc>
          <w:tcPr>
            <w:tcW w:w="620" w:type="dxa"/>
            <w:vAlign w:val="bottom"/>
          </w:tcPr>
          <w:p>
            <w:pPr>
              <w:spacing w:after="0"/>
              <w:rPr>
                <w:sz w:val="24"/>
                <w:szCs w:val="24"/>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Isida Tushe(5)</w:t>
            </w:r>
          </w:p>
        </w:tc>
        <w:tc>
          <w:tcPr>
            <w:tcW w:w="434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rPr>
              <w:t>133,333</w:t>
            </w:r>
          </w:p>
        </w:tc>
      </w:tr>
      <w:tr>
        <w:trPr>
          <w:trHeight w:val="25"/>
        </w:trPr>
        <w:tc>
          <w:tcPr>
            <w:tcW w:w="620" w:type="dxa"/>
            <w:vAlign w:val="bottom"/>
          </w:tcPr>
          <w:p>
            <w:pPr>
              <w:spacing w:after="0"/>
              <w:rPr>
                <w:sz w:val="2"/>
                <w:szCs w:val="2"/>
                <w:color w:val="auto"/>
              </w:rPr>
            </w:pPr>
          </w:p>
        </w:tc>
        <w:tc>
          <w:tcPr>
            <w:tcW w:w="6380" w:type="dxa"/>
            <w:vAlign w:val="bottom"/>
            <w:gridSpan w:val="2"/>
          </w:tcPr>
          <w:p>
            <w:pPr>
              <w:spacing w:after="0"/>
              <w:rPr>
                <w:sz w:val="2"/>
                <w:szCs w:val="2"/>
                <w:color w:val="auto"/>
              </w:rPr>
            </w:pPr>
          </w:p>
        </w:tc>
        <w:tc>
          <w:tcPr>
            <w:tcW w:w="4340" w:type="dxa"/>
            <w:vAlign w:val="bottom"/>
          </w:tcPr>
          <w:p>
            <w:pPr>
              <w:spacing w:after="0"/>
              <w:rPr>
                <w:sz w:val="2"/>
                <w:szCs w:val="2"/>
                <w:color w:val="auto"/>
              </w:rPr>
            </w:pPr>
          </w:p>
        </w:tc>
      </w:tr>
      <w:tr>
        <w:trPr>
          <w:trHeight w:val="238"/>
        </w:trPr>
        <w:tc>
          <w:tcPr>
            <w:tcW w:w="620" w:type="dxa"/>
            <w:vAlign w:val="bottom"/>
          </w:tcPr>
          <w:p>
            <w:pPr>
              <w:spacing w:after="0"/>
              <w:rPr>
                <w:sz w:val="20"/>
                <w:szCs w:val="20"/>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Arthur Wong</w:t>
            </w:r>
          </w:p>
        </w:tc>
        <w:tc>
          <w:tcPr>
            <w:tcW w:w="43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rPr>
              <w:t>129,592</w:t>
            </w:r>
          </w:p>
        </w:tc>
      </w:tr>
      <w:tr>
        <w:trPr>
          <w:trHeight w:val="258"/>
        </w:trPr>
        <w:tc>
          <w:tcPr>
            <w:tcW w:w="620" w:type="dxa"/>
            <w:vAlign w:val="bottom"/>
          </w:tcPr>
          <w:p>
            <w:pPr>
              <w:spacing w:after="0"/>
              <w:rPr>
                <w:sz w:val="22"/>
                <w:szCs w:val="22"/>
                <w:color w:val="auto"/>
              </w:rPr>
            </w:pPr>
          </w:p>
        </w:tc>
        <w:tc>
          <w:tcPr>
            <w:tcW w:w="6380" w:type="dxa"/>
            <w:vAlign w:val="bottom"/>
            <w:gridSpan w:val="2"/>
          </w:tcPr>
          <w:p>
            <w:pPr>
              <w:spacing w:after="0"/>
              <w:rPr>
                <w:sz w:val="22"/>
                <w:szCs w:val="22"/>
                <w:color w:val="auto"/>
              </w:rPr>
            </w:pPr>
          </w:p>
        </w:tc>
        <w:tc>
          <w:tcPr>
            <w:tcW w:w="4340" w:type="dxa"/>
            <w:vAlign w:val="bottom"/>
          </w:tcPr>
          <w:p>
            <w:pPr>
              <w:spacing w:after="0"/>
              <w:rPr>
                <w:sz w:val="22"/>
                <w:szCs w:val="22"/>
                <w:color w:val="auto"/>
              </w:rPr>
            </w:pPr>
          </w:p>
        </w:tc>
      </w:tr>
      <w:tr>
        <w:trPr>
          <w:trHeight w:val="238"/>
        </w:trPr>
        <w:tc>
          <w:tcPr>
            <w:tcW w:w="620" w:type="dxa"/>
            <w:vAlign w:val="bottom"/>
          </w:tcPr>
          <w:p>
            <w:pPr>
              <w:spacing w:after="0"/>
              <w:rPr>
                <w:sz w:val="20"/>
                <w:szCs w:val="20"/>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43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rPr>
              <w:t>145,707,090</w:t>
            </w:r>
          </w:p>
        </w:tc>
      </w:tr>
      <w:tr>
        <w:trPr>
          <w:trHeight w:val="239"/>
        </w:trPr>
        <w:tc>
          <w:tcPr>
            <w:tcW w:w="62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Five Percent Holders:</w:t>
            </w:r>
          </w:p>
        </w:tc>
        <w:tc>
          <w:tcPr>
            <w:tcW w:w="4340" w:type="dxa"/>
            <w:vAlign w:val="bottom"/>
          </w:tcPr>
          <w:p>
            <w:pPr>
              <w:spacing w:after="0"/>
              <w:rPr>
                <w:sz w:val="20"/>
                <w:szCs w:val="20"/>
                <w:color w:val="auto"/>
              </w:rPr>
            </w:pPr>
          </w:p>
        </w:tc>
      </w:tr>
      <w:tr>
        <w:trPr>
          <w:trHeight w:val="244"/>
        </w:trPr>
        <w:tc>
          <w:tcPr>
            <w:tcW w:w="6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Yang Wu(3)</w:t>
            </w:r>
          </w:p>
        </w:tc>
        <w:tc>
          <w:tcPr>
            <w:tcW w:w="434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rPr>
              <w:t>141,068,036</w:t>
            </w:r>
          </w:p>
        </w:tc>
      </w:tr>
      <w:tr>
        <w:trPr>
          <w:trHeight w:val="232"/>
        </w:trPr>
        <w:tc>
          <w:tcPr>
            <w:tcW w:w="62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CDH Griffin Holdings Company Limited(8)</w:t>
            </w:r>
          </w:p>
        </w:tc>
        <w:tc>
          <w:tcPr>
            <w:tcW w:w="43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40,435,753</w:t>
            </w:r>
          </w:p>
        </w:tc>
      </w:tr>
    </w:tbl>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Less than one percent.</w:t>
      </w:r>
    </w:p>
    <w:p>
      <w:pPr>
        <w:spacing w:after="0" w:line="231" w:lineRule="exact"/>
        <w:rPr>
          <w:sz w:val="20"/>
          <w:szCs w:val="20"/>
          <w:color w:val="auto"/>
        </w:rPr>
      </w:pPr>
    </w:p>
    <w:p>
      <w:pPr>
        <w:ind w:left="320" w:right="640" w:hanging="317"/>
        <w:spacing w:after="0" w:line="263"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the business address of each of the individuals listed is c/o Microvast Holdings, Inc., 12603 Southwest Freeway, Suite 300, Stafford, Texas 77477.</w:t>
      </w:r>
    </w:p>
    <w:p>
      <w:pPr>
        <w:ind w:left="320" w:right="320" w:hanging="317"/>
        <w:spacing w:after="0" w:line="253"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beneficial ownership is calculated based on 325,209,085 shares of common stock currently issued and outstanding as of March 24, 2025. Shares issuable upon the exercise of warrants or stock options and restricted stock units scheduled to vest within 60 days are deemed outstanding in the denominator used for computing the percentage of the respective person or group holding such warrants, stock options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ind w:left="320" w:right="260" w:hanging="317"/>
        <w:spacing w:after="0" w:line="253"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50,000,000 shares that may be received upon the conversion of certain convertible loans in the aggregate amount of $25,000,000 for which the principal balance may be converted, in whole or in part, in increments of $100,000 into shares of common stock at an initial conversion rate of two shares of common stock per $1.00 of principal to be converted; (ii) presently exercisable warrants to purchase 5,500,000 shares of common stock, and (iii) 2,000,000 shares held by Mr. Wu’s children, for which Mr. Wu has sole voting and shared dispositive power.</w:t>
      </w:r>
    </w:p>
    <w:p>
      <w:pPr>
        <w:ind w:left="300" w:hanging="297"/>
        <w:spacing w:after="0"/>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1,923,599 presently exercisable stock options.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100,000 presently exercisable stock options and (ii) 33,333 stock options that vested and became exercisable on March 15, 2025.</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1,282,100 presently exercisable stock options.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9,622 Elective RSUs that will vest on March 31, 2025.</w:t>
      </w:r>
    </w:p>
    <w:p>
      <w:pPr>
        <w:spacing w:after="0" w:line="10" w:lineRule="exact"/>
        <w:rPr>
          <w:rFonts w:ascii="Times New Roman" w:cs="Times New Roman" w:eastAsia="Times New Roman" w:hAnsi="Times New Roman"/>
          <w:sz w:val="17"/>
          <w:szCs w:val="17"/>
          <w:color w:val="auto"/>
        </w:rPr>
      </w:pPr>
    </w:p>
    <w:p>
      <w:pPr>
        <w:ind w:left="320" w:right="120" w:hanging="317"/>
        <w:spacing w:after="0" w:line="254"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a Schedule 13G filed on February 15, 2022, Evergreen Ever Limited ("Evergreen") has sole voting and dispositive power over 31,446,469 shares of common stock and Aurora Sheen Limited ("Aurora") has sole voting and dispositive power over 5,734,018 shares of common stock. In addition, Hangzhou CDH New Trend Equity Investment Partnership (Limited Partnership) ("New Trend") has sole voting and dispositive power over 3,255,266 shares of common stock that were issued in the name of (and held on behalf of New Trend by) MVST SPV Inc., a wholly owned subsidiary of the Company, pursuant to a framework agreement dated February 1, 2021 by and among the Company, New Trend and other parties named therein. The sole shareholder of Evergreen is Piccadilly, L.P., ("Piccadilly") the sole general partner of which is CDH China HF Holdings Company Limited ("HF Holdings"). The sole shareholder of Aurora is Shanghai Dinghui Pingxun Investment Partnership (LLP) ("Shanghai Dinghui") , the sole general partner of which is CDH Shanghai Baifu Wealth Management Company ("Shanghai Baifu"). Dispositive and voting power of the securities held by Evergreen and Aurora is exercised by the members of the investment and risk committee (the “IR Committee”), comprising Wu Shangzhi, Ying Wei, Li Dan, Wei Bin and William Hsu. The IR Committee is appointed by HF Holdings and Shanghai Baifu, respectively. HF Holdings and Shanghai Baifu may be deemed to have beneficial ownership over the shares held by Evergreen and Aurora, respectively. The general partner of New Trend is Dinghui Equity Investment Management (Tianjin) Company Limited ("Dinghui Equity"). Dispositive and voting power of the securities beneficially owned by New Trend is exercised by the members of the investment committee (the “Investment Committee”), comprising Wu Shangzhi, Jiao Shuge, Wang Lin and Huang Yan. The Investment Committee is appointed by Dinghui Equity. Dinghui Equity may be deemed to have beneficial ownership over the shares beneficially owned by New Trend. HF Holdings, Shanghai Baifu and Dinghui Equity are controlled by CDH Investment Management Company Limited ("CDH Investment"), and CDH Griffin Holdings Company Limited ("Griffin Holdings") holds a majority of the equity interests in CDH Investment. The ultimate parent entity is Griffin Holdings. The address for each of the foregoing entities is 1503, Level 15, International Commerce Centre, 1 Austin Road West, Kowloon, Hong Kong,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120"/>
        <w:spacing w:after="0" w:line="524" w:lineRule="auto"/>
        <w:rPr>
          <w:sz w:val="20"/>
          <w:szCs w:val="20"/>
          <w:color w:val="auto"/>
        </w:rPr>
      </w:pPr>
      <w:r>
        <w:rPr>
          <w:rFonts w:ascii="Times New Roman" w:cs="Times New Roman" w:eastAsia="Times New Roman" w:hAnsi="Times New Roman"/>
          <w:sz w:val="17"/>
          <w:szCs w:val="17"/>
          <w:b w:val="1"/>
          <w:bCs w:val="1"/>
          <w:color w:val="auto"/>
        </w:rPr>
        <w:t xml:space="preserve">ITEM 13. CERTAIN RELATIONSHIPS AND RELATED PARTY TRANSACTIONS, AND DIRECTOR INDEPENDENCE </w:t>
      </w:r>
      <w:r>
        <w:rPr>
          <w:rFonts w:ascii="Times New Roman" w:cs="Times New Roman" w:eastAsia="Times New Roman" w:hAnsi="Times New Roman"/>
          <w:sz w:val="17"/>
          <w:szCs w:val="17"/>
          <w:b w:val="1"/>
          <w:bCs w:val="1"/>
          <w:i w:val="1"/>
          <w:iCs w:val="1"/>
          <w:color w:val="auto"/>
        </w:rPr>
        <w:t>Stockholders Agreement</w:t>
      </w:r>
    </w:p>
    <w:p>
      <w:pPr>
        <w:spacing w:after="0" w:line="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on July 23,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Yang Wu, Yanzhuan Zheng, Stanley Whittingham and Arthur Wong were nominated by Yang Wu as the initial Wu Directors. The Stockholders Agreement provides that any increase or decrease in the number of directors will require the affirmative vote of the Wu Directors. Under the terms of the Stockholders Agreement, there are currently four Wu Directors.</w:t>
      </w:r>
    </w:p>
    <w:p>
      <w:pPr>
        <w:spacing w:after="0" w:line="201"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Stockholders Agreement also provides that, so long as Tuscan Holdings Acquisition LLC beneficially owns at least 5,175,000 shares of common stock, Tuscan Holdings Acquisition LLC will have the right, but not the obligation, to nominate for election to the Board at every meeting of the stockholders of the Company at which directors are elected, one individual (the “Tuscan Director”) less the number of Tuscan Directors then serving on the Board and whose terms in office are not expiring at such meeting. Stephen Vogel was nominated by Tuscan Holdings Acquisition LLC as the initial Tuscan Director. Since Tuscan Holdings Acquisition LLC no longer beneficially owns 5,175,000 shares of common stock, Tuscan Holdings Acquisition LLC no longer has the right to nominate a Tuscan Director.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and Lock-Up Agreement</w:t>
      </w:r>
    </w:p>
    <w:p>
      <w:pPr>
        <w:spacing w:after="0" w:line="24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On July 23, 2021, the Company entered into the Registration Rights and Lockup Agreement with stockholders of Microvast, Inc. prior to the consummation of the Business Combination, the affiliates of certain former investors in our subsidiary MPS, the Tuscan Group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200"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Subject to certain exceptions, the Registration Rights and Lock-Up Agreement further provides (1) Mr. Wu will be subject to a lock-up of two years for 75% of his shares of common stock, provided that, with respect to the 25% of his shares subject to the one-year lock-up, he can sell those shares if the shares trade at $15.00 or above for 20 days in any 30-day period, and (2) with respect to the shares of common stock owned by members of the Tuscan Group, certain officers and officers of the Company and the Tuscan Group such shares are subject to the transfer restrictions provided in the Amendment to the Escrow Agreement (as defined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Indemnity Agreements</w:t>
      </w:r>
    </w:p>
    <w:p>
      <w:pPr>
        <w:spacing w:after="0" w:line="249" w:lineRule="exact"/>
        <w:rPr>
          <w:sz w:val="20"/>
          <w:szCs w:val="20"/>
          <w:color w:val="auto"/>
        </w:rPr>
      </w:pPr>
    </w:p>
    <w:p>
      <w:pPr>
        <w:ind w:right="220" w:firstLine="619"/>
        <w:spacing w:after="0" w:line="260" w:lineRule="auto"/>
        <w:rPr>
          <w:sz w:val="20"/>
          <w:szCs w:val="20"/>
          <w:color w:val="auto"/>
        </w:rPr>
      </w:pPr>
      <w:r>
        <w:rPr>
          <w:rFonts w:ascii="Times New Roman" w:cs="Times New Roman" w:eastAsia="Times New Roman" w:hAnsi="Times New Roman"/>
          <w:sz w:val="17"/>
          <w:szCs w:val="17"/>
          <w:color w:val="auto"/>
        </w:rPr>
        <w:t>On July 23, 2021, we entered into indemnity agreements with Mr. Wu, Yanzhuan Zheng, Craig Webster, Wei Ying, Stanley Whittingham, Arthur Wong and Stephen Vogel, each of whom became a director following the Business Combination, and Wenjuan Mattis, Ph.D., Shane Smith, Shengxian Wu, and Sascha Rene Kelterborn, each of whom became an executive officer of the Company following the Business Combination. Each indemnity agreement provides that, subject to limited exceptions, we will indemnify the director or executive officer to the fullest extent permitted by law for claims arising in his or her capacity as our director or officer. On April 18, 2024, we entered into an indemnity agreement with Isida Tushe and on October 18, 2024, we entered into an indemnity agreement with Yixin Pan.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Support Agreement</w:t>
      </w:r>
    </w:p>
    <w:p>
      <w:pPr>
        <w:spacing w:after="0" w:line="249"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Business Combination, Tuscan and certain related parties entered into an amendment to the Escrow Agreement between Tuscan, the Company, Continental Stock Transfer &amp; Trust Company and the Tuscan Group (“Escrow Agreement”) pursuant to which 6,750,000 shares held by Tuscan Holdings Acquisition LLC, and the 30,000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held by each of Stefan M. Selig, Richard O. Rieger and Amy Butte (together with Tuscan Holdings Acquisition LLC, the “Founders”) are being held post-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Combination. Pursuant to the amended Escrow Agreement:</w:t>
      </w:r>
    </w:p>
    <w:p>
      <w:pPr>
        <w:spacing w:after="0" w:line="265" w:lineRule="exact"/>
        <w:rPr>
          <w:sz w:val="20"/>
          <w:szCs w:val="20"/>
          <w:color w:val="auto"/>
        </w:rPr>
      </w:pPr>
    </w:p>
    <w:p>
      <w:pPr>
        <w:ind w:left="620" w:right="20" w:hanging="307"/>
        <w:spacing w:after="0" w:line="241" w:lineRule="auto"/>
        <w:tabs>
          <w:tab w:leader="none" w:pos="615"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The Escrow Agent will hold 843,750 shares of common stock held by Tuscan Holdings Acquisition LLC until the date on which the last sale price of our common stock equals or exceeds $12.00 per share for any 20 trading days within any 30-trading day period following the closing of the Business Combination (the “First Earn-Out Target”).</w:t>
      </w:r>
    </w:p>
    <w:p>
      <w:pPr>
        <w:spacing w:after="0" w:line="22" w:lineRule="exact"/>
        <w:rPr>
          <w:rFonts w:ascii="Arial" w:cs="Arial" w:eastAsia="Arial" w:hAnsi="Arial"/>
          <w:sz w:val="21"/>
          <w:szCs w:val="21"/>
          <w:color w:val="auto"/>
        </w:rPr>
      </w:pPr>
    </w:p>
    <w:p>
      <w:pPr>
        <w:ind w:left="620" w:right="80" w:hanging="307"/>
        <w:spacing w:after="0" w:line="241" w:lineRule="auto"/>
        <w:tabs>
          <w:tab w:leader="none" w:pos="615"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The Escrow Agent will hold an additional 843,750 shares of common stock held by Tuscan Holdings Acquisition LLC until the date on which the last sale price of our common stock equals or exceeds $15.00 per share for any 20 trading days within any 30-trading day period following the closing of the Business Combination (the “Second Earn-Out Target”).</w:t>
      </w:r>
    </w:p>
    <w:p>
      <w:pPr>
        <w:spacing w:after="0" w:line="22" w:lineRule="exact"/>
        <w:rPr>
          <w:rFonts w:ascii="Arial" w:cs="Arial" w:eastAsia="Arial" w:hAnsi="Arial"/>
          <w:sz w:val="21"/>
          <w:szCs w:val="21"/>
          <w:color w:val="auto"/>
        </w:rPr>
      </w:pPr>
    </w:p>
    <w:p>
      <w:pPr>
        <w:ind w:left="620" w:right="300" w:hanging="307"/>
        <w:spacing w:after="0" w:line="250" w:lineRule="auto"/>
        <w:tabs>
          <w:tab w:leader="none" w:pos="615"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If neither the First Earn-Out Target nor the Second Earn-Out Target is satisfied on or prior to the fifth anniversary of the closing of the Business Combination, then the Escrow Agent will release all the shares held in escrow to the Company for cancellation for no consideration. If only the First Earn-Out Target has been satisfied on or prior to the fifth anniversary of the closing of the Business Combination, then the Escrow Agent will release 834,750 shares of common stock to the Company for cancellation for no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Independence of Directors</w:t>
      </w:r>
    </w:p>
    <w:p>
      <w:pPr>
        <w:spacing w:after="0" w:line="22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Under the listing rules of the Nasdaq Capital Market, we are required to have a majority of independent directors serving on our Board. Our Board has determined that three of our five directors, namely, Yixin Pan, Wei Ying, and Arthur Wong are independent within the meaning of NASDAQ Rule 5605(a)(2).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Regarding Related Party Transactions</w:t>
      </w:r>
    </w:p>
    <w:p>
      <w:pPr>
        <w:spacing w:after="0" w:line="221"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the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Deloitte Touche Tohmatsu Certified Public Accountants LLP (PCAOB ID No. 1113) , an independent registered public accounting firm and our principal external auditors,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6"/>
                <w:shd w:val="clear" w:color="auto" w:fill="CCEEFF"/>
              </w:rPr>
              <w:t>Audit fees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81"/>
                <w:shd w:val="clear" w:color="auto" w:fill="CCEEFF"/>
              </w:rPr>
              <w:t>(a)</w:t>
            </w:r>
          </w:p>
        </w:tc>
        <w:tc>
          <w:tcPr>
            <w:tcW w:w="6320" w:type="dxa"/>
            <w:vAlign w:val="bottom"/>
            <w:gridSpan w:val="2"/>
            <w:vMerge w:val="restart"/>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20" w:type="dxa"/>
            <w:vAlign w:val="bottom"/>
            <w:vMerge w:val="restart"/>
            <w:shd w:val="clear" w:color="auto" w:fill="CCEEFF"/>
          </w:tcPr>
          <w:p>
            <w:pPr>
              <w:jc w:val="center"/>
              <w:ind w:right="194"/>
              <w:spacing w:after="0"/>
              <w:rPr>
                <w:sz w:val="20"/>
                <w:szCs w:val="20"/>
                <w:color w:val="auto"/>
              </w:rPr>
            </w:pPr>
            <w:r>
              <w:rPr>
                <w:rFonts w:ascii="Times New Roman" w:cs="Times New Roman" w:eastAsia="Times New Roman" w:hAnsi="Times New Roman"/>
                <w:sz w:val="17"/>
                <w:szCs w:val="17"/>
                <w:color w:val="auto"/>
              </w:rPr>
              <w:t>million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million</w:t>
            </w:r>
          </w:p>
        </w:tc>
        <w:tc>
          <w:tcPr>
            <w:tcW w:w="0" w:type="dxa"/>
            <w:vAlign w:val="bottom"/>
          </w:tcPr>
          <w:p>
            <w:pPr>
              <w:spacing w:after="0"/>
              <w:rPr>
                <w:sz w:val="1"/>
                <w:szCs w:val="1"/>
                <w:color w:val="auto"/>
              </w:rPr>
            </w:pPr>
          </w:p>
        </w:tc>
      </w:tr>
      <w:tr>
        <w:trPr>
          <w:trHeight w:val="75"/>
        </w:trPr>
        <w:tc>
          <w:tcPr>
            <w:tcW w:w="720" w:type="dxa"/>
            <w:vAlign w:val="bottom"/>
            <w:tcBorders>
              <w:bottom w:val="single" w:sz="8" w:color="CCEEFF"/>
            </w:tcBorders>
            <w:gridSpan w:val="2"/>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6320" w:type="dxa"/>
            <w:vAlign w:val="bottom"/>
            <w:tcBorders>
              <w:bottom w:val="single" w:sz="8" w:color="CCEEFF"/>
            </w:tcBorders>
            <w:gridSpan w:val="2"/>
            <w:vMerge w:val="continue"/>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7180" w:type="dxa"/>
            <w:vAlign w:val="bottom"/>
            <w:gridSpan w:val="5"/>
          </w:tcPr>
          <w:p>
            <w:pPr>
              <w:ind w:left="20"/>
              <w:spacing w:after="0" w:line="245"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2"/>
                <w:szCs w:val="22"/>
                <w:color w:val="auto"/>
                <w:vertAlign w:val="superscript"/>
              </w:rPr>
              <w:t>(b)</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0"/>
        </w:trPr>
        <w:tc>
          <w:tcPr>
            <w:tcW w:w="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6"/>
                <w:shd w:val="clear" w:color="auto" w:fill="CCEEFF"/>
              </w:rPr>
              <w:t>Tax fees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81"/>
                <w:shd w:val="clear" w:color="auto" w:fill="CCEEFF"/>
              </w:rPr>
              <w:t>(c)</w:t>
            </w:r>
          </w:p>
        </w:tc>
        <w:tc>
          <w:tcPr>
            <w:tcW w:w="6460" w:type="dxa"/>
            <w:vAlign w:val="bottom"/>
            <w:gridSpan w:val="3"/>
            <w:vMerge w:val="restart"/>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9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0.1 million</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7"/>
              </w:rPr>
              <w:t>million</w:t>
            </w:r>
          </w:p>
        </w:tc>
        <w:tc>
          <w:tcPr>
            <w:tcW w:w="0" w:type="dxa"/>
            <w:vAlign w:val="bottom"/>
          </w:tcPr>
          <w:p>
            <w:pPr>
              <w:spacing w:after="0"/>
              <w:rPr>
                <w:sz w:val="1"/>
                <w:szCs w:val="1"/>
                <w:color w:val="auto"/>
              </w:rPr>
            </w:pPr>
          </w:p>
        </w:tc>
      </w:tr>
      <w:tr>
        <w:trPr>
          <w:trHeight w:val="75"/>
        </w:trPr>
        <w:tc>
          <w:tcPr>
            <w:tcW w:w="6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460" w:type="dxa"/>
            <w:vAlign w:val="bottom"/>
            <w:tcBorders>
              <w:bottom w:val="single" w:sz="8" w:color="CCEEFF"/>
            </w:tcBorders>
            <w:gridSpan w:val="3"/>
            <w:vMerge w:val="continue"/>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gridSpan w:val="2"/>
            <w:vMerge w:val="continue"/>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71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2"/>
                <w:szCs w:val="22"/>
                <w:color w:val="auto"/>
                <w:vertAlign w:val="superscript"/>
              </w:rPr>
              <w:t>(d)</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20" w:type="dxa"/>
            <w:vAlign w:val="bottom"/>
            <w:tcBorders>
              <w:bottom w:val="single" w:sz="8" w:color="auto"/>
            </w:tcBorders>
            <w:shd w:val="clear" w:color="auto" w:fill="CCEEFF"/>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million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million</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320" w:right="460" w:hanging="317"/>
        <w:spacing w:after="0" w:line="287" w:lineRule="auto"/>
        <w:tabs>
          <w:tab w:leader="none" w:pos="31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fees for services provided in connection with the audit of our consolidated financial statements, review of our interim consolidated financial statements, and audit services provided in connection with other statutory or regulatory filings.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right="340" w:hanging="317"/>
        <w:spacing w:after="0" w:line="287" w:lineRule="auto"/>
        <w:tabs>
          <w:tab w:leader="none" w:pos="31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consist of assurance and related services rendered by the principal accountant related to the performance of the audit or review of our consolidated financial statements, which have not been reported under audit fees above.</w:t>
      </w:r>
    </w:p>
    <w:p>
      <w:pPr>
        <w:spacing w:after="0" w:line="15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represent fees for professional services rendered for tax compliance, tax advice and tax planning.</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include fees for services provided other than the services reported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 Pre-Approval Policies and Procedures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At its regularly scheduled and special meetings, the Audit Committee of the Board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21" w:lineRule="exact"/>
        <w:rPr>
          <w:sz w:val="20"/>
          <w:szCs w:val="20"/>
          <w:color w:val="auto"/>
        </w:rPr>
      </w:pPr>
    </w:p>
    <w:p>
      <w:pPr>
        <w:ind w:left="940" w:hanging="318"/>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Statements—See “Index to Consolidated Financial Statements and Financial Statement Schedule” set forth on page F-1.</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F-1.</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Exhibits—See “Index to Exhibits” set forth on the following page.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0" w:type="dxa"/>
            <w:vAlign w:val="bottom"/>
            <w:gridSpan w:val="23"/>
          </w:tcPr>
          <w:p>
            <w:pPr>
              <w:jc w:val="center"/>
              <w:ind w:right="4440"/>
              <w:spacing w:after="0"/>
              <w:rPr>
                <w:sz w:val="20"/>
                <w:szCs w:val="20"/>
                <w:color w:val="auto"/>
              </w:rPr>
            </w:pPr>
            <w:r>
              <w:rPr>
                <w:rFonts w:ascii="Times New Roman" w:cs="Times New Roman" w:eastAsia="Times New Roman" w:hAnsi="Times New Roman"/>
                <w:sz w:val="17"/>
                <w:szCs w:val="17"/>
                <w:b w:val="1"/>
                <w:bCs w:val="1"/>
                <w:color w:val="auto"/>
              </w:rPr>
              <w:t>INDEX TO EXHIBITS</w:t>
            </w:r>
          </w:p>
        </w:tc>
      </w:tr>
      <w:tr>
        <w:trPr>
          <w:trHeight w:val="43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0" w:type="dxa"/>
            <w:vAlign w:val="bottom"/>
            <w:gridSpan w:val="23"/>
          </w:tcPr>
          <w:p>
            <w:pPr>
              <w:ind w:left="5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3"/>
        </w:trPr>
        <w:tc>
          <w:tcPr>
            <w:tcW w:w="98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680" w:type="dxa"/>
            <w:vAlign w:val="bottom"/>
            <w:tcBorders>
              <w:top w:val="single" w:sz="8" w:color="auto"/>
              <w:right w:val="single" w:sz="8" w:color="CCEEFF"/>
            </w:tcBorders>
            <w:gridSpan w:val="31"/>
            <w:shd w:val="clear" w:color="auto" w:fill="CCEEFF"/>
          </w:tcPr>
          <w:p>
            <w:pPr>
              <w:spacing w:after="0" w:line="193" w:lineRule="exact"/>
              <w:rPr>
                <w:rFonts w:ascii="Times New Roman" w:cs="Times New Roman" w:eastAsia="Times New Roman" w:hAnsi="Times New Roman"/>
                <w:sz w:val="17"/>
                <w:szCs w:val="17"/>
                <w:color w:val="auto"/>
              </w:rPr>
            </w:pPr>
            <w:hyperlink r:id="rId205">
              <w:r>
                <w:rPr>
                  <w:rFonts w:ascii="Times New Roman" w:cs="Times New Roman" w:eastAsia="Times New Roman" w:hAnsi="Times New Roman"/>
                  <w:sz w:val="17"/>
                  <w:szCs w:val="17"/>
                  <w:color w:val="auto"/>
                </w:rPr>
                <w:t>Second Amended and Restated Certificate of Incorporation of Microvast Holdings, Inc. (incorporated by reference from</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60" w:type="dxa"/>
            <w:vAlign w:val="bottom"/>
            <w:tcBorders>
              <w:top w:val="single" w:sz="8" w:color="auto"/>
            </w:tcBorders>
            <w:gridSpan w:val="20"/>
            <w:shd w:val="clear" w:color="auto" w:fill="CCEEFF"/>
          </w:tcPr>
          <w:p>
            <w:pPr>
              <w:spacing w:after="0" w:line="173" w:lineRule="exact"/>
              <w:rPr>
                <w:rFonts w:ascii="Times New Roman" w:cs="Times New Roman" w:eastAsia="Times New Roman" w:hAnsi="Times New Roman"/>
                <w:sz w:val="17"/>
                <w:szCs w:val="17"/>
                <w:color w:val="auto"/>
              </w:rPr>
            </w:pPr>
            <w:hyperlink r:id="rId205">
              <w:r>
                <w:rPr>
                  <w:rFonts w:ascii="Times New Roman" w:cs="Times New Roman" w:eastAsia="Times New Roman" w:hAnsi="Times New Roman"/>
                  <w:sz w:val="17"/>
                  <w:szCs w:val="17"/>
                  <w:color w:val="auto"/>
                </w:rPr>
                <w:t>Exhibit 3.1 to the Company’s Current Report on Form 8-K, filed with the SEC on July 28, 2021).</w:t>
              </w:r>
            </w:hyperlink>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6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06">
              <w:r>
                <w:rPr>
                  <w:rFonts w:ascii="Times New Roman" w:cs="Times New Roman" w:eastAsia="Times New Roman" w:hAnsi="Times New Roman"/>
                  <w:sz w:val="17"/>
                  <w:szCs w:val="17"/>
                  <w:color w:val="auto"/>
                </w:rPr>
                <w:t>Amended and Restated Bylaws of Microvast Holdings, Inc. (incorporated by reference from Exhibit 3.2 to the Company’s</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auto"/>
            </w:tcBorders>
            <w:gridSpan w:val="22"/>
          </w:tcPr>
          <w:p>
            <w:pPr>
              <w:spacing w:after="0" w:line="173" w:lineRule="exact"/>
              <w:rPr>
                <w:rFonts w:ascii="Times New Roman" w:cs="Times New Roman" w:eastAsia="Times New Roman" w:hAnsi="Times New Roman"/>
                <w:sz w:val="17"/>
                <w:szCs w:val="17"/>
                <w:color w:val="auto"/>
              </w:rPr>
            </w:pPr>
            <w:hyperlink r:id="rId206">
              <w:r>
                <w:rPr>
                  <w:rFonts w:ascii="Times New Roman" w:cs="Times New Roman" w:eastAsia="Times New Roman" w:hAnsi="Times New Roman"/>
                  <w:sz w:val="17"/>
                  <w:szCs w:val="17"/>
                  <w:color w:val="auto"/>
                </w:rPr>
                <w:t>Current Report on Form 8-K, filed with the SEC on July 28, 2021).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07">
              <w:r>
                <w:rPr>
                  <w:rFonts w:ascii="Times New Roman" w:cs="Times New Roman" w:eastAsia="Times New Roman" w:hAnsi="Times New Roman"/>
                  <w:sz w:val="17"/>
                  <w:szCs w:val="17"/>
                  <w:color w:val="auto"/>
                </w:rPr>
                <w:t xml:space="preserve">Description of Securities of the Registrant </w:t>
              </w:r>
              <w:r>
                <w:rPr>
                  <w:rFonts w:ascii="Times New Roman" w:cs="Times New Roman" w:eastAsia="Times New Roman" w:hAnsi="Times New Roman"/>
                  <w:sz w:val="17"/>
                  <w:szCs w:val="17"/>
                  <w:u w:val="single" w:color="auto"/>
                  <w:color w:val="auto"/>
                </w:rPr>
                <w:t>(incorporated</w:t>
              </w:r>
              <w:r>
                <w:rPr>
                  <w:rFonts w:ascii="Times New Roman" w:cs="Times New Roman" w:eastAsia="Times New Roman" w:hAnsi="Times New Roman"/>
                  <w:sz w:val="17"/>
                  <w:szCs w:val="17"/>
                  <w:color w:val="auto"/>
                </w:rPr>
                <w:t xml:space="preserve"> by reference from Exhibit 4.1 to the Company's Annual Report on</w:t>
              </w:r>
            </w:hyperlink>
          </w:p>
        </w:tc>
        <w:tc>
          <w:tcPr>
            <w:tcW w:w="1480" w:type="dxa"/>
            <w:vAlign w:val="bottom"/>
          </w:tcPr>
          <w:p>
            <w:pPr>
              <w:spacing w:after="0"/>
              <w:rPr>
                <w:sz w:val="18"/>
                <w:szCs w:val="18"/>
                <w:color w:val="auto"/>
              </w:rPr>
            </w:pPr>
          </w:p>
        </w:tc>
      </w:tr>
      <w:tr>
        <w:trPr>
          <w:trHeight w:val="153"/>
        </w:trPr>
        <w:tc>
          <w:tcPr>
            <w:tcW w:w="9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6"/>
            <w:shd w:val="clear" w:color="auto" w:fill="CCEEFF"/>
          </w:tcPr>
          <w:p>
            <w:pPr>
              <w:spacing w:after="0" w:line="154" w:lineRule="exact"/>
              <w:rPr>
                <w:rFonts w:ascii="Times New Roman" w:cs="Times New Roman" w:eastAsia="Times New Roman" w:hAnsi="Times New Roman"/>
                <w:sz w:val="17"/>
                <w:szCs w:val="17"/>
                <w:color w:val="auto"/>
              </w:rPr>
            </w:pPr>
            <w:hyperlink r:id="rId207">
              <w:r>
                <w:rPr>
                  <w:rFonts w:ascii="Times New Roman" w:cs="Times New Roman" w:eastAsia="Times New Roman" w:hAnsi="Times New Roman"/>
                  <w:sz w:val="17"/>
                  <w:szCs w:val="17"/>
                  <w:color w:val="auto"/>
                </w:rPr>
                <w:t>Form 10-K, filed with the SEC on April 1,</w:t>
              </w:r>
            </w:hyperlink>
          </w:p>
        </w:tc>
        <w:tc>
          <w:tcPr>
            <w:tcW w:w="6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gridSpan w:val="4"/>
            <w:shd w:val="clear" w:color="auto" w:fill="CCEEFF"/>
          </w:tcPr>
          <w:p>
            <w:pPr>
              <w:jc w:val="right"/>
              <w:ind w:right="1900"/>
              <w:spacing w:after="0" w:line="154" w:lineRule="exact"/>
              <w:rPr>
                <w:rFonts w:ascii="Times New Roman" w:cs="Times New Roman" w:eastAsia="Times New Roman" w:hAnsi="Times New Roman"/>
                <w:sz w:val="17"/>
                <w:szCs w:val="17"/>
                <w:color w:val="auto"/>
                <w:w w:val="86"/>
              </w:rPr>
            </w:pPr>
            <w:hyperlink r:id="rId207">
              <w:r>
                <w:rPr>
                  <w:rFonts w:ascii="Times New Roman" w:cs="Times New Roman" w:eastAsia="Times New Roman" w:hAnsi="Times New Roman"/>
                  <w:sz w:val="17"/>
                  <w:szCs w:val="17"/>
                  <w:color w:val="auto"/>
                  <w:w w:val="86"/>
                </w:rPr>
                <w:t>2024)</w:t>
              </w:r>
              <w:r>
                <w:rPr>
                  <w:rFonts w:ascii="Times New Roman" w:cs="Times New Roman" w:eastAsia="Times New Roman" w:hAnsi="Times New Roman"/>
                  <w:sz w:val="17"/>
                  <w:szCs w:val="17"/>
                  <w:u w:val="single" w:color="auto"/>
                  <w:color w:val="auto"/>
                  <w:w w:val="86"/>
                </w:rPr>
                <w:t>.</w:t>
              </w:r>
            </w:hyperlink>
          </w:p>
        </w:tc>
        <w:tc>
          <w:tcPr>
            <w:tcW w:w="1840" w:type="dxa"/>
            <w:vAlign w:val="bottom"/>
            <w:tcBorders>
              <w:top w:val="single" w:sz="8" w:color="auto"/>
            </w:tcBorders>
            <w:gridSpan w:val="2"/>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480" w:type="dxa"/>
            <w:vAlign w:val="bottom"/>
          </w:tcPr>
          <w:p>
            <w:pPr>
              <w:spacing w:after="0"/>
              <w:rPr>
                <w:sz w:val="13"/>
                <w:szCs w:val="13"/>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08">
              <w:r>
                <w:rPr>
                  <w:rFonts w:ascii="Times New Roman" w:cs="Times New Roman" w:eastAsia="Times New Roman" w:hAnsi="Times New Roman"/>
                  <w:sz w:val="17"/>
                  <w:szCs w:val="17"/>
                  <w:color w:val="auto"/>
                </w:rPr>
                <w:t>Specimen Common Stock Certificate (incorporated by reference from Exhibit 4.4 to the Company’s Current Report on Form</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tcBorders>
              <w:top w:val="single" w:sz="8" w:color="auto"/>
            </w:tcBorders>
            <w:gridSpan w:val="29"/>
          </w:tcPr>
          <w:p>
            <w:pPr>
              <w:spacing w:after="0" w:line="173" w:lineRule="exact"/>
              <w:rPr>
                <w:rFonts w:ascii="Times New Roman" w:cs="Times New Roman" w:eastAsia="Times New Roman" w:hAnsi="Times New Roman"/>
                <w:sz w:val="17"/>
                <w:szCs w:val="17"/>
                <w:color w:val="auto"/>
              </w:rPr>
            </w:pPr>
            <w:hyperlink r:id="rId208">
              <w:r>
                <w:rPr>
                  <w:rFonts w:ascii="Times New Roman" w:cs="Times New Roman" w:eastAsia="Times New Roman" w:hAnsi="Times New Roman"/>
                  <w:sz w:val="17"/>
                  <w:szCs w:val="17"/>
                  <w:color w:val="auto"/>
                </w:rPr>
                <w:t>8-K, filed with the SEC on July 28, 2021).</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Specimen Warrant Certificate (incorporated by reference from Exhibit 4.5 to the Company’s Current Report on Form 8-K,</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auto"/>
            </w:tcBorders>
            <w:gridSpan w:val="22"/>
            <w:shd w:val="clear" w:color="auto" w:fill="CCEEFF"/>
          </w:tcPr>
          <w:p>
            <w:pPr>
              <w:spacing w:after="0" w:line="173"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filed with the SEC on July 28, 2021).</w:t>
              </w:r>
            </w:hyperlink>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Warrant Agreement (incorporated by reference from Exhibit 4.4 to the Company’s Registration Statement on S-1, filed with</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tcBorders>
              <w:top w:val="single" w:sz="8" w:color="auto"/>
            </w:tcBorders>
            <w:gridSpan w:val="27"/>
          </w:tcPr>
          <w:p>
            <w:pPr>
              <w:spacing w:after="0" w:line="173"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the Company on February 26, 2019).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80" w:type="dxa"/>
            <w:vAlign w:val="bottom"/>
            <w:tcBorders>
              <w:bottom w:val="single" w:sz="8" w:color="auto"/>
            </w:tcBorders>
            <w:gridSpan w:val="17"/>
            <w:shd w:val="clear" w:color="auto" w:fill="CCEEFF"/>
          </w:tcPr>
          <w:p>
            <w:pPr>
              <w:spacing w:after="0" w:line="194"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Registration Rights and Lock-Up Agreement dated July 26, 2021, by and among (a) Microvast Holdings, Inc., (b) the</w:t>
              </w:r>
            </w:hyperlink>
          </w:p>
        </w:tc>
        <w:tc>
          <w:tcPr>
            <w:tcW w:w="600" w:type="dxa"/>
            <w:vAlign w:val="bottom"/>
            <w:tcBorders>
              <w:bottom w:val="single" w:sz="8" w:color="CCEEFF"/>
              <w:right w:val="single" w:sz="8" w:color="CCEEFF"/>
            </w:tcBorders>
            <w:gridSpan w:val="14"/>
            <w:shd w:val="clear" w:color="auto" w:fill="CCEEFF"/>
          </w:tcPr>
          <w:p>
            <w:pPr>
              <w:spacing w:after="0"/>
              <w:rPr>
                <w:sz w:val="16"/>
                <w:szCs w:val="16"/>
                <w:color w:val="auto"/>
              </w:rPr>
            </w:pPr>
          </w:p>
        </w:tc>
        <w:tc>
          <w:tcPr>
            <w:tcW w:w="1480" w:type="dxa"/>
            <w:vAlign w:val="bottom"/>
          </w:tcPr>
          <w:p>
            <w:pPr>
              <w:spacing w:after="0"/>
              <w:rPr>
                <w:sz w:val="16"/>
                <w:szCs w:val="16"/>
                <w:color w:val="auto"/>
              </w:rPr>
            </w:pPr>
          </w:p>
        </w:tc>
      </w:tr>
      <w:tr>
        <w:trPr>
          <w:trHeight w:val="173"/>
        </w:trPr>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680" w:type="dxa"/>
            <w:vAlign w:val="bottom"/>
            <w:tcBorders>
              <w:bottom w:val="single" w:sz="8" w:color="auto"/>
              <w:right w:val="single" w:sz="8" w:color="CCEEFF"/>
            </w:tcBorders>
            <w:gridSpan w:val="31"/>
            <w:shd w:val="clear" w:color="auto" w:fill="CCEEFF"/>
          </w:tcPr>
          <w:p>
            <w:pPr>
              <w:spacing w:after="0" w:line="173"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Microvast Equity Holders, (c) the CL Holders, (d) Tuscan Holdings Acquisition LLC, Stefan M. Selig, Richard O. Rieger and</w:t>
              </w:r>
            </w:hyperlink>
          </w:p>
        </w:tc>
        <w:tc>
          <w:tcPr>
            <w:tcW w:w="1480" w:type="dxa"/>
            <w:vAlign w:val="bottom"/>
          </w:tcPr>
          <w:p>
            <w:pPr>
              <w:spacing w:after="0"/>
              <w:rPr>
                <w:sz w:val="15"/>
                <w:szCs w:val="15"/>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86"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Amy Butte, and (e) EarlyBirdCapital, Inc. (incorporated by reference from Exhibit 4.1 to the Company’s Current Report on</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00" w:type="dxa"/>
            <w:vAlign w:val="bottom"/>
            <w:tcBorders>
              <w:top w:val="single" w:sz="8" w:color="auto"/>
            </w:tcBorders>
            <w:gridSpan w:val="25"/>
            <w:shd w:val="clear" w:color="auto" w:fill="CCEEFF"/>
          </w:tcPr>
          <w:p>
            <w:pPr>
              <w:spacing w:after="0" w:line="173"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Form 8-K, filed with the SEC on July 28,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Pr>
          <w:p>
            <w:pPr>
              <w:spacing w:after="0"/>
              <w:rPr>
                <w:sz w:val="2"/>
                <w:szCs w:val="2"/>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Stockholders Agreement dated July 26, 2021 by and among (a) Microvast Holdings, Inc., (b) Yang Wu and (c) Tuscan</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20" w:type="dxa"/>
            <w:vAlign w:val="bottom"/>
            <w:gridSpan w:val="9"/>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32"/>
          </w:tcPr>
          <w:p>
            <w:pPr>
              <w:spacing w:after="0" w:line="173"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Holdings Acquisition LLC. (incorporated by reference from Exhibit 4.2 to the Company’s Current Report on Form 8-K, filed</w:t>
              </w:r>
            </w:hyperlink>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0" w:type="dxa"/>
            <w:vAlign w:val="bottom"/>
            <w:tcBorders>
              <w:top w:val="single" w:sz="8" w:color="auto"/>
            </w:tcBorders>
            <w:gridSpan w:val="30"/>
          </w:tcPr>
          <w:p>
            <w:pPr>
              <w:spacing w:after="0" w:line="186"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with the SEC on July 28, 2021).</w:t>
              </w:r>
            </w:hyperlink>
          </w:p>
        </w:tc>
        <w:tc>
          <w:tcPr>
            <w:tcW w:w="1560" w:type="dxa"/>
            <w:vAlign w:val="bottom"/>
            <w:gridSpan w:val="2"/>
          </w:tcPr>
          <w:p>
            <w:pPr>
              <w:spacing w:after="0"/>
              <w:rPr>
                <w:sz w:val="16"/>
                <w:szCs w:val="16"/>
                <w:color w:val="auto"/>
              </w:rPr>
            </w:pP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320" w:type="dxa"/>
            <w:vAlign w:val="bottom"/>
            <w:tcBorders>
              <w:bottom w:val="single" w:sz="8" w:color="auto"/>
            </w:tcBorders>
            <w:gridSpan w:val="21"/>
            <w:shd w:val="clear" w:color="auto" w:fill="CCEEFF"/>
          </w:tcPr>
          <w:p>
            <w:pPr>
              <w:spacing w:after="0" w:line="194"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Common Stock Purchase Warrant, dated May 28, 2024, issued by Microvast Holdings, Inc. to Yang Wu (incorporated by</w:t>
              </w:r>
            </w:hyperlink>
          </w:p>
        </w:tc>
        <w:tc>
          <w:tcPr>
            <w:tcW w:w="360" w:type="dxa"/>
            <w:vAlign w:val="bottom"/>
            <w:tcBorders>
              <w:bottom w:val="single" w:sz="8" w:color="CCEEFF"/>
              <w:right w:val="single" w:sz="8" w:color="CCEEFF"/>
            </w:tcBorders>
            <w:gridSpan w:val="10"/>
            <w:shd w:val="clear" w:color="auto" w:fill="CCEEFF"/>
          </w:tcPr>
          <w:p>
            <w:pPr>
              <w:spacing w:after="0"/>
              <w:rPr>
                <w:sz w:val="16"/>
                <w:szCs w:val="16"/>
                <w:color w:val="auto"/>
              </w:rPr>
            </w:pPr>
          </w:p>
        </w:tc>
        <w:tc>
          <w:tcPr>
            <w:tcW w:w="1480" w:type="dxa"/>
            <w:vAlign w:val="bottom"/>
          </w:tcPr>
          <w:p>
            <w:pPr>
              <w:spacing w:after="0"/>
              <w:rPr>
                <w:sz w:val="16"/>
                <w:szCs w:val="16"/>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86"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reference from Exhibit 4.1 to the Company’s Current Report on Form 8-K, filed with the SEC on June 4, 2024).</w:t>
              </w:r>
            </w:hyperlink>
          </w:p>
        </w:tc>
        <w:tc>
          <w:tcPr>
            <w:tcW w:w="1480" w:type="dxa"/>
            <w:vAlign w:val="bottom"/>
          </w:tcPr>
          <w:p>
            <w:pPr>
              <w:spacing w:after="0"/>
              <w:rPr>
                <w:sz w:val="16"/>
                <w:szCs w:val="16"/>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6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4">
              <w:r>
                <w:rPr>
                  <w:rFonts w:ascii="Times New Roman" w:cs="Times New Roman" w:eastAsia="Times New Roman" w:hAnsi="Times New Roman"/>
                  <w:sz w:val="17"/>
                  <w:szCs w:val="17"/>
                  <w:color w:val="auto"/>
                </w:rPr>
                <w:t>Form of Indemnity Agreement (incorporated by reference from Exhibit 10.1 to the Company’s Current Report on Form 8-K,</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tcBorders>
              <w:top w:val="single" w:sz="8" w:color="auto"/>
            </w:tcBorders>
            <w:gridSpan w:val="28"/>
          </w:tcPr>
          <w:p>
            <w:pPr>
              <w:spacing w:after="0" w:line="173" w:lineRule="exact"/>
              <w:rPr>
                <w:rFonts w:ascii="Times New Roman" w:cs="Times New Roman" w:eastAsia="Times New Roman" w:hAnsi="Times New Roman"/>
                <w:sz w:val="17"/>
                <w:szCs w:val="17"/>
                <w:color w:val="auto"/>
              </w:rPr>
            </w:pPr>
            <w:hyperlink r:id="rId214">
              <w:r>
                <w:rPr>
                  <w:rFonts w:ascii="Times New Roman" w:cs="Times New Roman" w:eastAsia="Times New Roman" w:hAnsi="Times New Roman"/>
                  <w:sz w:val="17"/>
                  <w:szCs w:val="17"/>
                  <w:color w:val="auto"/>
                </w:rPr>
                <w:t>filed with the SEC on July 28, 2021).</w:t>
              </w:r>
            </w:hyperlink>
          </w:p>
        </w:tc>
        <w:tc>
          <w:tcPr>
            <w:tcW w:w="1600" w:type="dxa"/>
            <w:vAlign w:val="bottom"/>
            <w:gridSpan w:val="4"/>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Employment Agreement, dated February 1, 2021, by and between Microvast, Inc. and Yang Wu (incorporated by reference</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60" w:type="dxa"/>
            <w:vAlign w:val="bottom"/>
            <w:tcBorders>
              <w:top w:val="single" w:sz="8" w:color="auto"/>
            </w:tcBorders>
            <w:gridSpan w:val="23"/>
            <w:shd w:val="clear" w:color="auto" w:fill="CCEEFF"/>
          </w:tcPr>
          <w:p>
            <w:pPr>
              <w:spacing w:after="0" w:line="173"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from Exhibit 10.2 to the Company’s Current Report on Form 8-K, filed with the SEC on July 28,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6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Employment Agreement, dated February 1, 2021, by and between Microvast, Inc. and Wenjuan Mattis, Ph.D. (incorporated</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top w:val="single" w:sz="8" w:color="auto"/>
            </w:tcBorders>
            <w:gridSpan w:val="26"/>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by reference from Exhibit 10.4 to the Company’s Current Report on Form 8-K, filed with the SEC on July 28, 2021).</w:t>
              </w:r>
            </w:hyperlink>
          </w:p>
        </w:tc>
        <w:tc>
          <w:tcPr>
            <w:tcW w:w="1640" w:type="dxa"/>
            <w:vAlign w:val="bottom"/>
            <w:gridSpan w:val="6"/>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7">
              <w:r>
                <w:rPr>
                  <w:rFonts w:ascii="Times New Roman" w:cs="Times New Roman" w:eastAsia="Times New Roman" w:hAnsi="Times New Roman"/>
                  <w:sz w:val="17"/>
                  <w:szCs w:val="17"/>
                  <w:color w:val="auto"/>
                </w:rPr>
                <w:t>Offer Letter, dated October 11, 2024, by and between Microvast Holdings, Inc. and Fariyal Khanbabi (incorporated by</w:t>
              </w:r>
            </w:hyperlink>
          </w:p>
        </w:tc>
        <w:tc>
          <w:tcPr>
            <w:tcW w:w="1480" w:type="dxa"/>
            <w:vAlign w:val="bottom"/>
          </w:tcPr>
          <w:p>
            <w:pPr>
              <w:spacing w:after="0"/>
              <w:rPr>
                <w:sz w:val="16"/>
                <w:szCs w:val="16"/>
                <w:color w:val="auto"/>
              </w:rPr>
            </w:pPr>
          </w:p>
        </w:tc>
      </w:tr>
      <w:tr>
        <w:trPr>
          <w:trHeight w:val="218"/>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120" w:type="dxa"/>
            <w:vAlign w:val="bottom"/>
            <w:tcBorders>
              <w:top w:val="single" w:sz="8" w:color="auto"/>
              <w:bottom w:val="single" w:sz="8" w:color="auto"/>
              <w:right w:val="single" w:sz="8" w:color="CCEEFF"/>
            </w:tcBorders>
            <w:gridSpan w:val="18"/>
            <w:shd w:val="clear" w:color="auto" w:fill="CCEEFF"/>
          </w:tcPr>
          <w:p>
            <w:pPr>
              <w:spacing w:after="0" w:line="173" w:lineRule="exact"/>
              <w:rPr>
                <w:rFonts w:ascii="Times New Roman" w:cs="Times New Roman" w:eastAsia="Times New Roman" w:hAnsi="Times New Roman"/>
                <w:sz w:val="17"/>
                <w:szCs w:val="17"/>
                <w:color w:val="auto"/>
              </w:rPr>
            </w:pPr>
            <w:hyperlink r:id="rId217">
              <w:r>
                <w:rPr>
                  <w:rFonts w:ascii="Times New Roman" w:cs="Times New Roman" w:eastAsia="Times New Roman" w:hAnsi="Times New Roman"/>
                  <w:sz w:val="17"/>
                  <w:szCs w:val="17"/>
                  <w:color w:val="auto"/>
                </w:rPr>
                <w:t>reference from Exhibit 10.1 to the Company’s Current Report on Form 8-K, filed with the SEC on October 18, 2024).</w:t>
              </w:r>
            </w:hyperlink>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gridSpan w:val="7"/>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32"/>
          </w:tcPr>
          <w:p>
            <w:pPr>
              <w:spacing w:after="0" w:line="194" w:lineRule="exact"/>
              <w:rPr>
                <w:rFonts w:ascii="Times New Roman" w:cs="Times New Roman" w:eastAsia="Times New Roman" w:hAnsi="Times New Roman"/>
                <w:sz w:val="17"/>
                <w:szCs w:val="17"/>
                <w:color w:val="auto"/>
              </w:rPr>
            </w:pPr>
            <w:hyperlink r:id="rId218">
              <w:r>
                <w:rPr>
                  <w:rFonts w:ascii="Times New Roman" w:cs="Times New Roman" w:eastAsia="Times New Roman" w:hAnsi="Times New Roman"/>
                  <w:sz w:val="17"/>
                  <w:szCs w:val="17"/>
                  <w:color w:val="auto"/>
                </w:rPr>
                <w:t>Microvast Holdings, Inc. 2021 Equity Incentive Plan (incorporated by reference from Exhibit 99.1 to the Company’s</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auto"/>
            </w:tcBorders>
            <w:gridSpan w:val="15"/>
          </w:tcPr>
          <w:p>
            <w:pPr>
              <w:spacing w:after="0" w:line="173" w:lineRule="exact"/>
              <w:rPr>
                <w:rFonts w:ascii="Times New Roman" w:cs="Times New Roman" w:eastAsia="Times New Roman" w:hAnsi="Times New Roman"/>
                <w:sz w:val="17"/>
                <w:szCs w:val="17"/>
                <w:color w:val="auto"/>
              </w:rPr>
            </w:pPr>
            <w:hyperlink r:id="rId218">
              <w:r>
                <w:rPr>
                  <w:rFonts w:ascii="Times New Roman" w:cs="Times New Roman" w:eastAsia="Times New Roman" w:hAnsi="Times New Roman"/>
                  <w:sz w:val="17"/>
                  <w:szCs w:val="17"/>
                  <w:color w:val="auto"/>
                </w:rPr>
                <w:t>Registration Statement on Form S-8, filed with the SEC on October 1, 2021).</w:t>
              </w:r>
            </w:hyperlink>
          </w:p>
        </w:tc>
        <w:tc>
          <w:tcPr>
            <w:tcW w:w="300" w:type="dxa"/>
            <w:vAlign w:val="bottom"/>
            <w:gridSpan w:val="6"/>
          </w:tcPr>
          <w:p>
            <w:pPr>
              <w:spacing w:after="0"/>
              <w:rPr>
                <w:sz w:val="15"/>
                <w:szCs w:val="15"/>
                <w:color w:val="auto"/>
              </w:rPr>
            </w:pPr>
          </w:p>
        </w:tc>
        <w:tc>
          <w:tcPr>
            <w:tcW w:w="160" w:type="dxa"/>
            <w:vAlign w:val="bottom"/>
            <w:gridSpan w:val="3"/>
          </w:tcPr>
          <w:p>
            <w:pPr>
              <w:spacing w:after="0"/>
              <w:rPr>
                <w:sz w:val="15"/>
                <w:szCs w:val="15"/>
                <w:color w:val="auto"/>
              </w:rPr>
            </w:pPr>
          </w:p>
        </w:tc>
        <w:tc>
          <w:tcPr>
            <w:tcW w:w="1680" w:type="dxa"/>
            <w:vAlign w:val="bottom"/>
            <w:gridSpan w:val="8"/>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80" w:type="dxa"/>
            <w:vAlign w:val="bottom"/>
            <w:tcBorders>
              <w:right w:val="single" w:sz="8" w:color="CCEEFF"/>
            </w:tcBorders>
            <w:gridSpan w:val="31"/>
            <w:shd w:val="clear" w:color="auto" w:fill="CCEEFF"/>
          </w:tcPr>
          <w:p>
            <w:pPr>
              <w:spacing w:after="0" w:line="194" w:lineRule="exact"/>
              <w:rPr>
                <w:rFonts w:ascii="Times New Roman" w:cs="Times New Roman" w:eastAsia="Times New Roman" w:hAnsi="Times New Roman"/>
                <w:sz w:val="17"/>
                <w:szCs w:val="17"/>
                <w:color w:val="auto"/>
              </w:rPr>
            </w:pPr>
            <w:hyperlink r:id="rId219">
              <w:r>
                <w:rPr>
                  <w:rFonts w:ascii="Times New Roman" w:cs="Times New Roman" w:eastAsia="Times New Roman" w:hAnsi="Times New Roman"/>
                  <w:sz w:val="17"/>
                  <w:szCs w:val="17"/>
                  <w:color w:val="auto"/>
                </w:rPr>
                <w:t>Stock Escrow Agreement, between the Registrant, Continental Stock Transfer &amp; Trust Company and the Company’s Initial</w:t>
              </w:r>
            </w:hyperlink>
          </w:p>
        </w:tc>
        <w:tc>
          <w:tcPr>
            <w:tcW w:w="148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80" w:type="dxa"/>
            <w:vAlign w:val="bottom"/>
            <w:tcBorders>
              <w:top w:val="single" w:sz="8" w:color="auto"/>
            </w:tcBorders>
            <w:gridSpan w:val="24"/>
            <w:shd w:val="clear" w:color="auto" w:fill="CCEEFF"/>
          </w:tcPr>
          <w:p>
            <w:pPr>
              <w:spacing w:after="0" w:line="173" w:lineRule="exact"/>
              <w:rPr>
                <w:rFonts w:ascii="Times New Roman" w:cs="Times New Roman" w:eastAsia="Times New Roman" w:hAnsi="Times New Roman"/>
                <w:sz w:val="17"/>
                <w:szCs w:val="17"/>
                <w:color w:val="auto"/>
              </w:rPr>
            </w:pPr>
            <w:hyperlink r:id="rId219">
              <w:r>
                <w:rPr>
                  <w:rFonts w:ascii="Times New Roman" w:cs="Times New Roman" w:eastAsia="Times New Roman" w:hAnsi="Times New Roman"/>
                  <w:sz w:val="17"/>
                  <w:szCs w:val="17"/>
                  <w:color w:val="auto"/>
                </w:rPr>
                <w:t>Stockholder (incorporated by reference from Exhibit 10.6 to the Company’s Registration Statement on S-1, filed with the</w:t>
              </w:r>
            </w:hyperlink>
          </w:p>
        </w:tc>
        <w:tc>
          <w:tcPr>
            <w:tcW w:w="200" w:type="dxa"/>
            <w:vAlign w:val="bottom"/>
            <w:tcBorders>
              <w:top w:val="single" w:sz="8" w:color="CCEEFF"/>
              <w:right w:val="single" w:sz="8" w:color="CCEEFF"/>
            </w:tcBorders>
            <w:gridSpan w:val="7"/>
            <w:shd w:val="clear" w:color="auto" w:fill="CCEEFF"/>
          </w:tcPr>
          <w:p>
            <w:pPr>
              <w:spacing w:after="0"/>
              <w:rPr>
                <w:sz w:val="15"/>
                <w:szCs w:val="15"/>
                <w:color w:val="auto"/>
              </w:rPr>
            </w:pPr>
          </w:p>
        </w:tc>
        <w:tc>
          <w:tcPr>
            <w:tcW w:w="1480" w:type="dxa"/>
            <w:vAlign w:val="bottom"/>
          </w:tcPr>
          <w:p>
            <w:pPr>
              <w:spacing w:after="0"/>
              <w:rPr>
                <w:sz w:val="15"/>
                <w:szCs w:val="15"/>
                <w:color w:val="auto"/>
              </w:rPr>
            </w:pPr>
          </w:p>
        </w:tc>
      </w:tr>
      <w:tr>
        <w:trPr>
          <w:trHeight w:val="218"/>
        </w:trPr>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auto"/>
            </w:tcBorders>
            <w:gridSpan w:val="21"/>
            <w:shd w:val="clear" w:color="auto" w:fill="CCEEFF"/>
          </w:tcPr>
          <w:p>
            <w:pPr>
              <w:spacing w:after="0" w:line="186" w:lineRule="exact"/>
              <w:rPr>
                <w:rFonts w:ascii="Times New Roman" w:cs="Times New Roman" w:eastAsia="Times New Roman" w:hAnsi="Times New Roman"/>
                <w:sz w:val="17"/>
                <w:szCs w:val="17"/>
                <w:color w:val="auto"/>
              </w:rPr>
            </w:pPr>
            <w:hyperlink r:id="rId219">
              <w:r>
                <w:rPr>
                  <w:rFonts w:ascii="Times New Roman" w:cs="Times New Roman" w:eastAsia="Times New Roman" w:hAnsi="Times New Roman"/>
                  <w:sz w:val="17"/>
                  <w:szCs w:val="17"/>
                  <w:color w:val="auto"/>
                </w:rPr>
                <w:t>Company on February 26, 2019).</w:t>
              </w:r>
            </w:hyperlink>
          </w:p>
        </w:tc>
        <w:tc>
          <w:tcPr>
            <w:tcW w:w="360" w:type="dxa"/>
            <w:vAlign w:val="bottom"/>
            <w:tcBorders>
              <w:top w:val="single" w:sz="8" w:color="CCEEFF"/>
              <w:right w:val="single" w:sz="8" w:color="CCEEFF"/>
            </w:tcBorders>
            <w:gridSpan w:val="10"/>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864"/>
        </w:trPr>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80" w:type="dxa"/>
            <w:vAlign w:val="bottom"/>
            <w:tcBorders>
              <w:top w:val="single" w:sz="8" w:color="auto"/>
            </w:tcBorders>
            <w:gridSpan w:val="2"/>
          </w:tcPr>
          <w:p>
            <w:pPr>
              <w:spacing w:after="0"/>
              <w:rPr>
                <w:sz w:val="24"/>
                <w:szCs w:val="24"/>
                <w:color w:val="auto"/>
              </w:rPr>
            </w:pPr>
          </w:p>
        </w:tc>
        <w:tc>
          <w:tcPr>
            <w:tcW w:w="3020" w:type="dxa"/>
            <w:vAlign w:val="bottom"/>
            <w:tcBorders>
              <w:top w:val="single" w:sz="8" w:color="CCEEFF"/>
            </w:tcBorders>
            <w:gridSpan w:val="9"/>
          </w:tcPr>
          <w:p>
            <w:pPr>
              <w:jc w:val="right"/>
              <w:ind w:right="680"/>
              <w:spacing w:after="0"/>
              <w:rPr>
                <w:sz w:val="20"/>
                <w:szCs w:val="20"/>
                <w:color w:val="auto"/>
              </w:rPr>
            </w:pPr>
            <w:r>
              <w:rPr>
                <w:rFonts w:ascii="Times New Roman" w:cs="Times New Roman" w:eastAsia="Times New Roman" w:hAnsi="Times New Roman"/>
                <w:sz w:val="17"/>
                <w:szCs w:val="17"/>
                <w:color w:val="auto"/>
              </w:rPr>
              <w:t>97</w:t>
            </w:r>
          </w:p>
        </w:tc>
        <w:tc>
          <w:tcPr>
            <w:tcW w:w="13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-4731385</wp:posOffset>
            </wp:positionV>
            <wp:extent cx="361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6"/>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80" w:type="dxa"/>
            <w:vAlign w:val="bottom"/>
            <w:tcBorders>
              <w:bottom w:val="single" w:sz="8" w:color="auto"/>
            </w:tcBorders>
            <w:gridSpan w:val="33"/>
          </w:tcPr>
          <w:p>
            <w:pPr>
              <w:ind w:left="4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40" w:type="dxa"/>
            <w:vAlign w:val="bottom"/>
          </w:tcPr>
          <w:p>
            <w:pPr>
              <w:spacing w:after="0"/>
              <w:rPr>
                <w:sz w:val="21"/>
                <w:szCs w:val="21"/>
                <w:color w:val="auto"/>
              </w:rPr>
            </w:pPr>
          </w:p>
        </w:tc>
      </w:tr>
      <w:tr>
        <w:trPr>
          <w:trHeight w:val="193"/>
        </w:trPr>
        <w:tc>
          <w:tcPr>
            <w:tcW w:w="9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40" w:type="dxa"/>
            <w:vAlign w:val="bottom"/>
            <w:tcBorders>
              <w:bottom w:val="single" w:sz="8" w:color="auto"/>
            </w:tcBorders>
            <w:gridSpan w:val="28"/>
          </w:tcPr>
          <w:p>
            <w:pPr>
              <w:spacing w:after="0" w:line="193"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Amendment No. 1 to Stock Escrow Agreement, between the Registrant, Continental Stock Transfer &amp; Trust Company and</w:t>
              </w:r>
            </w:hyperlink>
          </w:p>
        </w:tc>
        <w:tc>
          <w:tcPr>
            <w:tcW w:w="1720" w:type="dxa"/>
            <w:vAlign w:val="bottom"/>
            <w:gridSpan w:val="12"/>
          </w:tcPr>
          <w:p>
            <w:pPr>
              <w:spacing w:after="0"/>
              <w:rPr>
                <w:sz w:val="16"/>
                <w:szCs w:val="16"/>
                <w:color w:val="auto"/>
              </w:rPr>
            </w:pP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gridSpan w:val="40"/>
          </w:tcPr>
          <w:p>
            <w:pPr>
              <w:spacing w:after="0" w:line="173"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the Company’s Initial Stockholder (incorporated by reference from Exhibit 10.13 to the Company’s Current Report on Form</w:t>
              </w:r>
            </w:hyperlink>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40" w:type="dxa"/>
            <w:vAlign w:val="bottom"/>
            <w:tcBorders>
              <w:top w:val="single" w:sz="8" w:color="auto"/>
            </w:tcBorders>
            <w:gridSpan w:val="33"/>
          </w:tcPr>
          <w:p>
            <w:pPr>
              <w:spacing w:after="0" w:line="186" w:lineRule="exact"/>
              <w:rPr>
                <w:rFonts w:ascii="Times New Roman" w:cs="Times New Roman" w:eastAsia="Times New Roman" w:hAnsi="Times New Roman"/>
                <w:sz w:val="17"/>
                <w:szCs w:val="17"/>
                <w:color w:val="auto"/>
              </w:rPr>
            </w:pPr>
            <w:hyperlink r:id="rId223">
              <w:r>
                <w:rPr>
                  <w:rFonts w:ascii="Times New Roman" w:cs="Times New Roman" w:eastAsia="Times New Roman" w:hAnsi="Times New Roman"/>
                  <w:sz w:val="17"/>
                  <w:szCs w:val="17"/>
                  <w:color w:val="auto"/>
                </w:rPr>
                <w:t>8-K, filed with the SEC on July 28, 2021).</w:t>
              </w:r>
            </w:hyperlink>
          </w:p>
        </w:tc>
        <w:tc>
          <w:tcPr>
            <w:tcW w:w="1620" w:type="dxa"/>
            <w:vAlign w:val="bottom"/>
            <w:gridSpan w:val="7"/>
          </w:tcPr>
          <w:p>
            <w:pPr>
              <w:spacing w:after="0"/>
              <w:rPr>
                <w:sz w:val="16"/>
                <w:szCs w:val="16"/>
                <w:color w:val="auto"/>
              </w:rPr>
            </w:pP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24">
              <w:r>
                <w:rPr>
                  <w:rFonts w:ascii="Times New Roman" w:cs="Times New Roman" w:eastAsia="Times New Roman" w:hAnsi="Times New Roman"/>
                  <w:sz w:val="17"/>
                  <w:szCs w:val="17"/>
                  <w:color w:val="auto"/>
                </w:rPr>
                <w:t>Form of Performance Stock Unit Award Agreement (incorporated by reference from Exhibit 99.1 to the Company’s Current</w:t>
              </w:r>
            </w:hyperlink>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540" w:type="dxa"/>
            <w:vAlign w:val="bottom"/>
            <w:tcBorders>
              <w:top w:val="single" w:sz="8" w:color="auto"/>
            </w:tcBorders>
            <w:gridSpan w:val="32"/>
            <w:shd w:val="clear" w:color="auto" w:fill="CCEEFF"/>
          </w:tcPr>
          <w:p>
            <w:pPr>
              <w:spacing w:after="0" w:line="173" w:lineRule="exact"/>
              <w:rPr>
                <w:rFonts w:ascii="Times New Roman" w:cs="Times New Roman" w:eastAsia="Times New Roman" w:hAnsi="Times New Roman"/>
                <w:sz w:val="17"/>
                <w:szCs w:val="17"/>
                <w:color w:val="auto"/>
              </w:rPr>
            </w:pPr>
            <w:hyperlink r:id="rId224">
              <w:r>
                <w:rPr>
                  <w:rFonts w:ascii="Times New Roman" w:cs="Times New Roman" w:eastAsia="Times New Roman" w:hAnsi="Times New Roman"/>
                  <w:sz w:val="17"/>
                  <w:szCs w:val="17"/>
                  <w:color w:val="auto"/>
                </w:rPr>
                <w:t>Report on Form 8-K, filed with the SEC on August 31, 2021).</w:t>
              </w:r>
            </w:hyperlink>
          </w:p>
        </w:tc>
        <w:tc>
          <w:tcPr>
            <w:tcW w:w="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9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rFonts w:ascii="Times New Roman" w:cs="Times New Roman" w:eastAsia="Times New Roman" w:hAnsi="Times New Roman"/>
                <w:sz w:val="17"/>
                <w:szCs w:val="17"/>
                <w:color w:val="auto"/>
              </w:rPr>
            </w:pPr>
            <w:hyperlink r:id="rId225">
              <w:r>
                <w:rPr>
                  <w:rFonts w:ascii="Times New Roman" w:cs="Times New Roman" w:eastAsia="Times New Roman" w:hAnsi="Times New Roman"/>
                  <w:sz w:val="17"/>
                  <w:szCs w:val="17"/>
                  <w:color w:val="auto"/>
                </w:rPr>
                <w:t>Form of Restricted Stock Unit Award Agreement (Performance Condition) (incorporated by reference from Exhibit 99.2 to</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tcBorders>
              <w:top w:val="single" w:sz="8" w:color="auto"/>
            </w:tcBorders>
            <w:gridSpan w:val="29"/>
          </w:tcPr>
          <w:p>
            <w:pPr>
              <w:spacing w:after="0" w:line="173" w:lineRule="exact"/>
              <w:rPr>
                <w:rFonts w:ascii="Times New Roman" w:cs="Times New Roman" w:eastAsia="Times New Roman" w:hAnsi="Times New Roman"/>
                <w:sz w:val="17"/>
                <w:szCs w:val="17"/>
                <w:color w:val="auto"/>
              </w:rPr>
            </w:pPr>
            <w:hyperlink r:id="rId225">
              <w:r>
                <w:rPr>
                  <w:rFonts w:ascii="Times New Roman" w:cs="Times New Roman" w:eastAsia="Times New Roman" w:hAnsi="Times New Roman"/>
                  <w:sz w:val="17"/>
                  <w:szCs w:val="17"/>
                  <w:color w:val="auto"/>
                </w:rPr>
                <w:t>the Company’s Current Report on Form 8-K, filed with the SEC on August 31,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26">
              <w:r>
                <w:rPr>
                  <w:rFonts w:ascii="Times New Roman" w:cs="Times New Roman" w:eastAsia="Times New Roman" w:hAnsi="Times New Roman"/>
                  <w:sz w:val="17"/>
                  <w:szCs w:val="17"/>
                  <w:color w:val="auto"/>
                </w:rPr>
                <w:t>Form of Restricted Stock Unit Award Agreement (without Performance Condition) (incorporated by reference from Exhibit</w:t>
              </w:r>
            </w:hyperlink>
          </w:p>
        </w:tc>
        <w:tc>
          <w:tcPr>
            <w:tcW w:w="1440" w:type="dxa"/>
            <w:vAlign w:val="bottom"/>
          </w:tcPr>
          <w:p>
            <w:pPr>
              <w:spacing w:after="0"/>
              <w:rPr>
                <w:sz w:val="16"/>
                <w:szCs w:val="16"/>
                <w:color w:val="auto"/>
              </w:rPr>
            </w:pPr>
          </w:p>
        </w:tc>
      </w:tr>
      <w:tr>
        <w:trPr>
          <w:trHeight w:val="218"/>
        </w:trPr>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40" w:type="dxa"/>
            <w:vAlign w:val="bottom"/>
            <w:tcBorders>
              <w:top w:val="single" w:sz="8" w:color="auto"/>
              <w:bottom w:val="single" w:sz="8" w:color="auto"/>
            </w:tcBorders>
            <w:gridSpan w:val="16"/>
            <w:shd w:val="clear" w:color="auto" w:fill="CCEEFF"/>
          </w:tcPr>
          <w:p>
            <w:pPr>
              <w:spacing w:after="0" w:line="173" w:lineRule="exact"/>
              <w:rPr>
                <w:rFonts w:ascii="Times New Roman" w:cs="Times New Roman" w:eastAsia="Times New Roman" w:hAnsi="Times New Roman"/>
                <w:sz w:val="17"/>
                <w:szCs w:val="17"/>
                <w:color w:val="auto"/>
              </w:rPr>
            </w:pPr>
            <w:hyperlink r:id="rId226">
              <w:r>
                <w:rPr>
                  <w:rFonts w:ascii="Times New Roman" w:cs="Times New Roman" w:eastAsia="Times New Roman" w:hAnsi="Times New Roman"/>
                  <w:sz w:val="17"/>
                  <w:szCs w:val="17"/>
                  <w:color w:val="auto"/>
                </w:rPr>
                <w:t>99.</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to the Company’s Current Report on Form 8-K, filed with the SEC on August 31, 2021).</w:t>
              </w:r>
            </w:hyperlink>
          </w:p>
        </w:tc>
        <w:tc>
          <w:tcPr>
            <w:tcW w:w="2060" w:type="dxa"/>
            <w:vAlign w:val="bottom"/>
            <w:tcBorders>
              <w:top w:val="single" w:sz="8" w:color="auto"/>
              <w:bottom w:val="single" w:sz="8" w:color="CCEEFF"/>
            </w:tcBorders>
            <w:gridSpan w:val="1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rFonts w:ascii="Times New Roman" w:cs="Times New Roman" w:eastAsia="Times New Roman" w:hAnsi="Times New Roman"/>
                <w:sz w:val="17"/>
                <w:szCs w:val="17"/>
                <w:color w:val="auto"/>
              </w:rPr>
            </w:pPr>
            <w:hyperlink r:id="rId227">
              <w:r>
                <w:rPr>
                  <w:rFonts w:ascii="Times New Roman" w:cs="Times New Roman" w:eastAsia="Times New Roman" w:hAnsi="Times New Roman"/>
                  <w:sz w:val="17"/>
                  <w:szCs w:val="17"/>
                  <w:color w:val="auto"/>
                </w:rPr>
                <w:t>Form of Restricted Stock Unit Award Agreement (Directors) (incorporated by reference from Exhibit 10.15 to the Company's</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tcBorders>
              <w:top w:val="single" w:sz="8" w:color="auto"/>
            </w:tcBorders>
            <w:gridSpan w:val="38"/>
          </w:tcPr>
          <w:p>
            <w:pPr>
              <w:spacing w:after="0" w:line="173" w:lineRule="exact"/>
              <w:rPr>
                <w:rFonts w:ascii="Times New Roman" w:cs="Times New Roman" w:eastAsia="Times New Roman" w:hAnsi="Times New Roman"/>
                <w:sz w:val="17"/>
                <w:szCs w:val="17"/>
                <w:color w:val="auto"/>
              </w:rPr>
            </w:pPr>
            <w:hyperlink r:id="rId227">
              <w:r>
                <w:rPr>
                  <w:rFonts w:ascii="Times New Roman" w:cs="Times New Roman" w:eastAsia="Times New Roman" w:hAnsi="Times New Roman"/>
                  <w:sz w:val="17"/>
                  <w:szCs w:val="17"/>
                  <w:color w:val="auto"/>
                </w:rPr>
                <w:t>Annual Report on Form 10-K, filed with the SEC on March 29, 2022).</w:t>
              </w:r>
            </w:hyperlink>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28">
              <w:r>
                <w:rPr>
                  <w:rFonts w:ascii="Times New Roman" w:cs="Times New Roman" w:eastAsia="Times New Roman" w:hAnsi="Times New Roman"/>
                  <w:sz w:val="17"/>
                  <w:szCs w:val="17"/>
                  <w:color w:val="auto"/>
                </w:rPr>
                <w:t>Loan and Security Agreement, dated May 28, 2024, by and among Microvast Holdings, Inc., Microvast, Inc., the subsidiaries</w:t>
              </w:r>
            </w:hyperlink>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380" w:type="dxa"/>
            <w:vAlign w:val="bottom"/>
            <w:tcBorders>
              <w:top w:val="single" w:sz="8" w:color="auto"/>
              <w:bottom w:val="single" w:sz="8" w:color="auto"/>
            </w:tcBorders>
            <w:gridSpan w:val="25"/>
            <w:shd w:val="clear" w:color="auto" w:fill="CCEEFF"/>
          </w:tcPr>
          <w:p>
            <w:pPr>
              <w:spacing w:after="0" w:line="173" w:lineRule="exact"/>
              <w:rPr>
                <w:rFonts w:ascii="Times New Roman" w:cs="Times New Roman" w:eastAsia="Times New Roman" w:hAnsi="Times New Roman"/>
                <w:sz w:val="17"/>
                <w:szCs w:val="17"/>
                <w:color w:val="auto"/>
              </w:rPr>
            </w:pPr>
            <w:hyperlink r:id="rId228">
              <w:r>
                <w:rPr>
                  <w:rFonts w:ascii="Times New Roman" w:cs="Times New Roman" w:eastAsia="Times New Roman" w:hAnsi="Times New Roman"/>
                  <w:sz w:val="17"/>
                  <w:szCs w:val="17"/>
                  <w:color w:val="auto"/>
                </w:rPr>
                <w:t>of Microvast Holdings, Inc. party hereto, Yang Wu and Acquiom Agency Services, LLC. (incorporated by reference from</w:t>
              </w:r>
            </w:hyperlink>
          </w:p>
        </w:tc>
        <w:tc>
          <w:tcPr>
            <w:tcW w:w="280" w:type="dxa"/>
            <w:vAlign w:val="bottom"/>
            <w:tcBorders>
              <w:top w:val="single" w:sz="8" w:color="auto"/>
              <w:bottom w:val="single" w:sz="8" w:color="CCEEFF"/>
            </w:tcBorders>
            <w:gridSpan w:val="12"/>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218"/>
        </w:trPr>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700" w:type="dxa"/>
            <w:vAlign w:val="bottom"/>
            <w:tcBorders>
              <w:bottom w:val="single" w:sz="8" w:color="auto"/>
            </w:tcBorders>
            <w:gridSpan w:val="18"/>
            <w:shd w:val="clear" w:color="auto" w:fill="CCEEFF"/>
          </w:tcPr>
          <w:p>
            <w:pPr>
              <w:spacing w:after="0" w:line="186" w:lineRule="exact"/>
              <w:rPr>
                <w:rFonts w:ascii="Times New Roman" w:cs="Times New Roman" w:eastAsia="Times New Roman" w:hAnsi="Times New Roman"/>
                <w:sz w:val="17"/>
                <w:szCs w:val="17"/>
                <w:color w:val="auto"/>
              </w:rPr>
            </w:pPr>
            <w:hyperlink r:id="rId228">
              <w:r>
                <w:rPr>
                  <w:rFonts w:ascii="Times New Roman" w:cs="Times New Roman" w:eastAsia="Times New Roman" w:hAnsi="Times New Roman"/>
                  <w:sz w:val="17"/>
                  <w:szCs w:val="17"/>
                  <w:color w:val="auto"/>
                </w:rPr>
                <w:t>Exhibit 10.1 to the Company's Current Report on Form 8-K, filed with the SEC on June 4, 2024).</w:t>
              </w:r>
            </w:hyperlink>
          </w:p>
        </w:tc>
        <w:tc>
          <w:tcPr>
            <w:tcW w:w="2020" w:type="dxa"/>
            <w:vAlign w:val="bottom"/>
            <w:tcBorders>
              <w:bottom w:val="single" w:sz="8" w:color="CCEEFF"/>
              <w:right w:val="single" w:sz="8" w:color="CCEEFF"/>
            </w:tcBorders>
            <w:gridSpan w:val="21"/>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rFonts w:ascii="Times New Roman" w:cs="Times New Roman" w:eastAsia="Times New Roman" w:hAnsi="Times New Roman"/>
                <w:sz w:val="17"/>
                <w:szCs w:val="17"/>
                <w:color w:val="auto"/>
              </w:rPr>
            </w:pPr>
            <w:hyperlink r:id="rId229">
              <w:r>
                <w:rPr>
                  <w:rFonts w:ascii="Times New Roman" w:cs="Times New Roman" w:eastAsia="Times New Roman" w:hAnsi="Times New Roman"/>
                  <w:sz w:val="17"/>
                  <w:szCs w:val="17"/>
                  <w:color w:val="auto"/>
                </w:rPr>
                <w:t>Transition Services Agreement, between Microvast Holdings, Inc. and Craig Webster dated April 10, 2024 (incorporated by</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top w:val="single" w:sz="8" w:color="auto"/>
            </w:tcBorders>
            <w:gridSpan w:val="31"/>
          </w:tcPr>
          <w:p>
            <w:pPr>
              <w:spacing w:after="0" w:line="173" w:lineRule="exact"/>
              <w:rPr>
                <w:rFonts w:ascii="Times New Roman" w:cs="Times New Roman" w:eastAsia="Times New Roman" w:hAnsi="Times New Roman"/>
                <w:sz w:val="17"/>
                <w:szCs w:val="17"/>
                <w:color w:val="auto"/>
              </w:rPr>
            </w:pPr>
            <w:hyperlink r:id="rId229">
              <w:r>
                <w:rPr>
                  <w:rFonts w:ascii="Times New Roman" w:cs="Times New Roman" w:eastAsia="Times New Roman" w:hAnsi="Times New Roman"/>
                  <w:sz w:val="17"/>
                  <w:szCs w:val="17"/>
                  <w:color w:val="auto"/>
                </w:rPr>
                <w:t>reference from Exhibit 10.1 to the Company's Current Report on Form 8-K, filed with the SEC on April 12, 2024).</w:t>
              </w:r>
            </w:hyperlink>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30">
              <w:r>
                <w:rPr>
                  <w:rFonts w:ascii="Times New Roman" w:cs="Times New Roman" w:eastAsia="Times New Roman" w:hAnsi="Times New Roman"/>
                  <w:sz w:val="17"/>
                  <w:szCs w:val="17"/>
                  <w:color w:val="auto"/>
                </w:rPr>
                <w:t>Pledge Agreement, dated May 28, 2024, by and among Microvast Holdings, Inc., Microvast, Inc., the subsidiaries of</w:t>
              </w:r>
            </w:hyperlink>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20" w:type="dxa"/>
            <w:vAlign w:val="bottom"/>
            <w:tcBorders>
              <w:top w:val="single" w:sz="8" w:color="auto"/>
              <w:bottom w:val="single" w:sz="8" w:color="auto"/>
            </w:tcBorders>
            <w:gridSpan w:val="20"/>
            <w:shd w:val="clear" w:color="auto" w:fill="CCEEFF"/>
          </w:tcPr>
          <w:p>
            <w:pPr>
              <w:spacing w:after="0" w:line="173" w:lineRule="exact"/>
              <w:rPr>
                <w:rFonts w:ascii="Times New Roman" w:cs="Times New Roman" w:eastAsia="Times New Roman" w:hAnsi="Times New Roman"/>
                <w:sz w:val="17"/>
                <w:szCs w:val="17"/>
                <w:color w:val="auto"/>
              </w:rPr>
            </w:pPr>
            <w:hyperlink r:id="rId230">
              <w:r>
                <w:rPr>
                  <w:rFonts w:ascii="Times New Roman" w:cs="Times New Roman" w:eastAsia="Times New Roman" w:hAnsi="Times New Roman"/>
                  <w:sz w:val="17"/>
                  <w:szCs w:val="17"/>
                  <w:color w:val="auto"/>
                </w:rPr>
                <w:t>Microvast Holdings, Inc. party thereto and Acquiom Agency Services LLC. (incorporated by reference from Exhibit</w:t>
              </w:r>
            </w:hyperlink>
          </w:p>
        </w:tc>
        <w:tc>
          <w:tcPr>
            <w:tcW w:w="560" w:type="dxa"/>
            <w:vAlign w:val="bottom"/>
            <w:tcBorders>
              <w:top w:val="single" w:sz="8" w:color="CCEEFF"/>
              <w:bottom w:val="single" w:sz="8" w:color="auto"/>
            </w:tcBorders>
            <w:gridSpan w:val="14"/>
            <w:shd w:val="clear" w:color="auto" w:fill="CCEEFF"/>
          </w:tcPr>
          <w:p>
            <w:pPr>
              <w:ind w:left="40"/>
              <w:spacing w:after="0" w:line="173" w:lineRule="exact"/>
              <w:rPr>
                <w:rFonts w:ascii="Times New Roman" w:cs="Times New Roman" w:eastAsia="Times New Roman" w:hAnsi="Times New Roman"/>
                <w:sz w:val="17"/>
                <w:szCs w:val="17"/>
                <w:color w:val="auto"/>
                <w:w w:val="97"/>
              </w:rPr>
            </w:pPr>
            <w:hyperlink r:id="rId230">
              <w:r>
                <w:rPr>
                  <w:rFonts w:ascii="Times New Roman" w:cs="Times New Roman" w:eastAsia="Times New Roman" w:hAnsi="Times New Roman"/>
                  <w:sz w:val="17"/>
                  <w:szCs w:val="17"/>
                  <w:color w:val="auto"/>
                  <w:w w:val="97"/>
                </w:rPr>
                <w:t>10.2. to</w:t>
              </w:r>
            </w:hyperlink>
          </w:p>
        </w:tc>
        <w:tc>
          <w:tcPr>
            <w:tcW w:w="140" w:type="dxa"/>
            <w:vAlign w:val="bottom"/>
            <w:tcBorders>
              <w:top w:val="single" w:sz="8" w:color="CCEEFF"/>
              <w:bottom w:val="single" w:sz="8" w:color="CCEEFF"/>
              <w:right w:val="single" w:sz="8" w:color="CCEEFF"/>
            </w:tcBorders>
            <w:gridSpan w:val="5"/>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86" w:lineRule="exact"/>
              <w:rPr>
                <w:rFonts w:ascii="Times New Roman" w:cs="Times New Roman" w:eastAsia="Times New Roman" w:hAnsi="Times New Roman"/>
                <w:sz w:val="17"/>
                <w:szCs w:val="17"/>
                <w:color w:val="auto"/>
              </w:rPr>
            </w:pPr>
            <w:hyperlink r:id="rId230">
              <w:r>
                <w:rPr>
                  <w:rFonts w:ascii="Times New Roman" w:cs="Times New Roman" w:eastAsia="Times New Roman" w:hAnsi="Times New Roman"/>
                  <w:sz w:val="17"/>
                  <w:szCs w:val="17"/>
                  <w:color w:val="auto"/>
                </w:rPr>
                <w:t>the Company's Current Report on Form 8-K, filed with the SEC on June 4, 2024).</w:t>
              </w:r>
            </w:hyperlink>
          </w:p>
        </w:tc>
        <w:tc>
          <w:tcPr>
            <w:tcW w:w="1440" w:type="dxa"/>
            <w:vAlign w:val="bottom"/>
          </w:tcPr>
          <w:p>
            <w:pPr>
              <w:spacing w:after="0"/>
              <w:rPr>
                <w:sz w:val="16"/>
                <w:szCs w:val="16"/>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rFonts w:ascii="Times New Roman" w:cs="Times New Roman" w:eastAsia="Times New Roman" w:hAnsi="Times New Roman"/>
                <w:sz w:val="17"/>
                <w:szCs w:val="17"/>
                <w:color w:val="auto"/>
              </w:rPr>
            </w:pPr>
            <w:hyperlink r:id="rId231">
              <w:r>
                <w:rPr>
                  <w:rFonts w:ascii="Times New Roman" w:cs="Times New Roman" w:eastAsia="Times New Roman" w:hAnsi="Times New Roman"/>
                  <w:sz w:val="17"/>
                  <w:szCs w:val="17"/>
                  <w:color w:val="auto"/>
                </w:rPr>
                <w:t>Form of Stock Option Award Agreement (incorporated by reference from Exhibit 10.3 to the Company's Quarterly Report on</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auto"/>
            </w:tcBorders>
            <w:gridSpan w:val="35"/>
          </w:tcPr>
          <w:p>
            <w:pPr>
              <w:spacing w:after="0" w:line="173" w:lineRule="exact"/>
              <w:rPr>
                <w:rFonts w:ascii="Times New Roman" w:cs="Times New Roman" w:eastAsia="Times New Roman" w:hAnsi="Times New Roman"/>
                <w:sz w:val="17"/>
                <w:szCs w:val="17"/>
                <w:color w:val="auto"/>
              </w:rPr>
            </w:pPr>
            <w:hyperlink r:id="rId231">
              <w:r>
                <w:rPr>
                  <w:rFonts w:ascii="Times New Roman" w:cs="Times New Roman" w:eastAsia="Times New Roman" w:hAnsi="Times New Roman"/>
                  <w:sz w:val="17"/>
                  <w:szCs w:val="17"/>
                  <w:color w:val="auto"/>
                </w:rPr>
                <w:t>Form 10-Q, filed with the SEC on May 16, 2022).</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English Translation of Syndicated Loan Agreement, dated September 27, 2022, by and among Microvast Power Systems Co.,</w:t>
              </w:r>
            </w:hyperlink>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540" w:type="dxa"/>
            <w:vAlign w:val="bottom"/>
            <w:tcBorders>
              <w:top w:val="single" w:sz="8" w:color="auto"/>
              <w:bottom w:val="single" w:sz="8" w:color="auto"/>
            </w:tcBorders>
            <w:gridSpan w:val="33"/>
            <w:shd w:val="clear" w:color="auto" w:fill="CCEEFF"/>
          </w:tcPr>
          <w:p>
            <w:pPr>
              <w:spacing w:after="0" w:line="173"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Ltd. and Lenders listed thereto (incorporated by reference from Exhibit 10.1 to the Company's Current Report on Form 8-K,</w:t>
              </w:r>
            </w:hyperlink>
          </w:p>
        </w:tc>
        <w:tc>
          <w:tcPr>
            <w:tcW w:w="180" w:type="dxa"/>
            <w:vAlign w:val="bottom"/>
            <w:tcBorders>
              <w:top w:val="single" w:sz="8" w:color="auto"/>
              <w:bottom w:val="single" w:sz="8" w:color="CCEEFF"/>
              <w:right w:val="single" w:sz="8" w:color="CCEEFF"/>
            </w:tcBorders>
            <w:gridSpan w:val="6"/>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86" w:lineRule="exact"/>
              <w:rPr>
                <w:rFonts w:ascii="Times New Roman" w:cs="Times New Roman" w:eastAsia="Times New Roman" w:hAnsi="Times New Roman"/>
                <w:sz w:val="17"/>
                <w:szCs w:val="17"/>
                <w:color w:val="auto"/>
              </w:rPr>
            </w:pPr>
            <w:hyperlink r:id="rId232">
              <w:r>
                <w:rPr>
                  <w:rFonts w:ascii="Times New Roman" w:cs="Times New Roman" w:eastAsia="Times New Roman" w:hAnsi="Times New Roman"/>
                  <w:sz w:val="17"/>
                  <w:szCs w:val="17"/>
                  <w:color w:val="auto"/>
                </w:rPr>
                <w:t>filed with the SEC on September 29, 2022).</w:t>
              </w:r>
            </w:hyperlink>
          </w:p>
        </w:tc>
        <w:tc>
          <w:tcPr>
            <w:tcW w:w="1440" w:type="dxa"/>
            <w:vAlign w:val="bottom"/>
          </w:tcPr>
          <w:p>
            <w:pPr>
              <w:spacing w:after="0"/>
              <w:rPr>
                <w:sz w:val="16"/>
                <w:szCs w:val="16"/>
                <w:color w:val="auto"/>
              </w:rPr>
            </w:pPr>
          </w:p>
        </w:tc>
      </w:tr>
      <w:tr>
        <w:trPr>
          <w:trHeight w:val="32"/>
        </w:trPr>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rFonts w:ascii="Times New Roman" w:cs="Times New Roman" w:eastAsia="Times New Roman" w:hAnsi="Times New Roman"/>
                <w:sz w:val="17"/>
                <w:szCs w:val="17"/>
                <w:color w:val="auto"/>
              </w:rPr>
            </w:pPr>
            <w:hyperlink r:id="rId233">
              <w:r>
                <w:rPr>
                  <w:rFonts w:ascii="Times New Roman" w:cs="Times New Roman" w:eastAsia="Times New Roman" w:hAnsi="Times New Roman"/>
                  <w:sz w:val="17"/>
                  <w:szCs w:val="17"/>
                  <w:color w:val="auto"/>
                </w:rPr>
                <w:t>Offer Letter, dated June 28, 2024, by and between Microvast Holdings, Inc. and Yaser Ali (incorporated by reference from</w:t>
              </w:r>
            </w:hyperlink>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20" w:type="dxa"/>
            <w:vAlign w:val="bottom"/>
            <w:tcBorders>
              <w:top w:val="single" w:sz="8" w:color="auto"/>
            </w:tcBorders>
            <w:gridSpan w:val="27"/>
          </w:tcPr>
          <w:p>
            <w:pPr>
              <w:spacing w:after="0" w:line="173" w:lineRule="exact"/>
              <w:rPr>
                <w:rFonts w:ascii="Times New Roman" w:cs="Times New Roman" w:eastAsia="Times New Roman" w:hAnsi="Times New Roman"/>
                <w:sz w:val="17"/>
                <w:szCs w:val="17"/>
                <w:color w:val="auto"/>
              </w:rPr>
            </w:pPr>
            <w:hyperlink r:id="rId233">
              <w:r>
                <w:rPr>
                  <w:rFonts w:ascii="Times New Roman" w:cs="Times New Roman" w:eastAsia="Times New Roman" w:hAnsi="Times New Roman"/>
                  <w:sz w:val="17"/>
                  <w:szCs w:val="17"/>
                  <w:color w:val="auto"/>
                </w:rPr>
                <w:t>Exhibit 10.1 to the Company’s Current Report on Form 8-K, filed with the SEC on July 5, 2024).</w:t>
              </w:r>
            </w:hyperlink>
          </w:p>
        </w:tc>
        <w:tc>
          <w:tcPr>
            <w:tcW w:w="16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1520" w:type="dxa"/>
            <w:vAlign w:val="bottom"/>
            <w:gridSpan w:val="4"/>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10.18+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34">
              <w:r>
                <w:rPr>
                  <w:rFonts w:ascii="Times New Roman" w:cs="Times New Roman" w:eastAsia="Times New Roman" w:hAnsi="Times New Roman"/>
                  <w:sz w:val="17"/>
                  <w:szCs w:val="17"/>
                  <w:color w:val="auto"/>
                </w:rPr>
                <w:t>Form of Performance Stock Option Award Agreement (incorporated by reference from Exhibit 10.2 to the Company's</w:t>
              </w:r>
            </w:hyperlink>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100" w:type="dxa"/>
            <w:vAlign w:val="bottom"/>
            <w:tcBorders>
              <w:top w:val="single" w:sz="8" w:color="auto"/>
            </w:tcBorders>
            <w:gridSpan w:val="21"/>
            <w:shd w:val="clear" w:color="auto" w:fill="CCEEFF"/>
          </w:tcPr>
          <w:p>
            <w:pPr>
              <w:spacing w:after="0" w:line="173" w:lineRule="exact"/>
              <w:rPr>
                <w:rFonts w:ascii="Times New Roman" w:cs="Times New Roman" w:eastAsia="Times New Roman" w:hAnsi="Times New Roman"/>
                <w:sz w:val="17"/>
                <w:szCs w:val="17"/>
                <w:color w:val="auto"/>
              </w:rPr>
            </w:pPr>
            <w:hyperlink r:id="rId234">
              <w:r>
                <w:rPr>
                  <w:rFonts w:ascii="Times New Roman" w:cs="Times New Roman" w:eastAsia="Times New Roman" w:hAnsi="Times New Roman"/>
                  <w:sz w:val="17"/>
                  <w:szCs w:val="17"/>
                  <w:color w:val="auto"/>
                </w:rPr>
                <w:t>Current Report on Form 8-K, filed with the SEC on August 8,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tcBorders>
            <w:gridSpan w:val="8"/>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9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48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tcBorders>
              <w:bottom w:val="single" w:sz="8" w:color="auto"/>
            </w:tcBorders>
            <w:gridSpan w:val="23"/>
          </w:tcPr>
          <w:p>
            <w:pPr>
              <w:spacing w:after="0" w:line="194" w:lineRule="exact"/>
              <w:rPr>
                <w:rFonts w:ascii="Times New Roman" w:cs="Times New Roman" w:eastAsia="Times New Roman" w:hAnsi="Times New Roman"/>
                <w:sz w:val="17"/>
                <w:szCs w:val="17"/>
                <w:color w:val="auto"/>
              </w:rPr>
            </w:pPr>
            <w:hyperlink r:id="rId235">
              <w:r>
                <w:rPr>
                  <w:rFonts w:ascii="Times New Roman" w:cs="Times New Roman" w:eastAsia="Times New Roman" w:hAnsi="Times New Roman"/>
                  <w:sz w:val="17"/>
                  <w:szCs w:val="17"/>
                  <w:color w:val="auto"/>
                </w:rPr>
                <w:t>Guaranty Agreement, dated May 28, 2024, by and among Microvast Holdings, Inc., Microvast, Inc., the subsidiaries of</w:t>
              </w:r>
            </w:hyperlink>
          </w:p>
        </w:tc>
        <w:tc>
          <w:tcPr>
            <w:tcW w:w="1960" w:type="dxa"/>
            <w:vAlign w:val="bottom"/>
            <w:gridSpan w:val="17"/>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86" w:lineRule="exact"/>
              <w:rPr>
                <w:rFonts w:ascii="Times New Roman" w:cs="Times New Roman" w:eastAsia="Times New Roman" w:hAnsi="Times New Roman"/>
                <w:sz w:val="17"/>
                <w:szCs w:val="17"/>
                <w:color w:val="auto"/>
              </w:rPr>
            </w:pPr>
            <w:hyperlink r:id="rId235">
              <w:r>
                <w:rPr>
                  <w:rFonts w:ascii="Times New Roman" w:cs="Times New Roman" w:eastAsia="Times New Roman" w:hAnsi="Times New Roman"/>
                  <w:sz w:val="17"/>
                  <w:szCs w:val="17"/>
                  <w:color w:val="auto"/>
                </w:rPr>
                <w:t>Microvast Holdings, Inc. party thereto and Acquiom Services LLC. (incorporated by reference from Exhibit 10.3 to the</w:t>
              </w:r>
            </w:hyperlink>
          </w:p>
        </w:tc>
      </w:tr>
      <w:tr>
        <w:trPr>
          <w:trHeight w:val="186"/>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tcBorders>
              <w:top w:val="single" w:sz="8" w:color="auto"/>
            </w:tcBorders>
            <w:gridSpan w:val="23"/>
          </w:tcPr>
          <w:p>
            <w:pPr>
              <w:spacing w:after="0" w:line="186" w:lineRule="exact"/>
              <w:rPr>
                <w:rFonts w:ascii="Times New Roman" w:cs="Times New Roman" w:eastAsia="Times New Roman" w:hAnsi="Times New Roman"/>
                <w:sz w:val="17"/>
                <w:szCs w:val="17"/>
                <w:color w:val="auto"/>
              </w:rPr>
            </w:pPr>
            <w:hyperlink r:id="rId235">
              <w:r>
                <w:rPr>
                  <w:rFonts w:ascii="Times New Roman" w:cs="Times New Roman" w:eastAsia="Times New Roman" w:hAnsi="Times New Roman"/>
                  <w:sz w:val="17"/>
                  <w:szCs w:val="17"/>
                  <w:color w:val="auto"/>
                </w:rPr>
                <w:t>Company's Current Report on Form 8-K, filed with the SEC on June 4, 2024).</w:t>
              </w:r>
            </w:hyperlink>
          </w:p>
        </w:tc>
        <w:tc>
          <w:tcPr>
            <w:tcW w:w="1960" w:type="dxa"/>
            <w:vAlign w:val="bottom"/>
            <w:gridSpan w:val="17"/>
          </w:tcPr>
          <w:p>
            <w:pPr>
              <w:spacing w:after="0"/>
              <w:rPr>
                <w:sz w:val="16"/>
                <w:szCs w:val="16"/>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5"/>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19.1*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auto"/>
            </w:tcBorders>
            <w:gridSpan w:val="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Microvast Holdings, Inc. Insider Trading Policy.</w:t>
            </w:r>
          </w:p>
        </w:tc>
        <w:tc>
          <w:tcPr>
            <w:tcW w:w="5380" w:type="dxa"/>
            <w:vAlign w:val="bottom"/>
            <w:tcBorders>
              <w:bottom w:val="single" w:sz="8" w:color="CCEEFF"/>
              <w:right w:val="single" w:sz="8" w:color="CCEEFF"/>
            </w:tcBorders>
            <w:gridSpan w:val="34"/>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sz w:val="20"/>
                <w:szCs w:val="20"/>
                <w:color w:val="auto"/>
              </w:rPr>
            </w:pPr>
            <w:r>
              <w:rPr>
                <w:rFonts w:ascii="Times New Roman" w:cs="Times New Roman" w:eastAsia="Times New Roman" w:hAnsi="Times New Roman"/>
                <w:sz w:val="17"/>
                <w:szCs w:val="17"/>
                <w:color w:val="auto"/>
              </w:rPr>
              <w:t>Subsidiaries of the Registrant.</w:t>
            </w:r>
          </w:p>
        </w:tc>
      </w:tr>
      <w:tr>
        <w:trPr>
          <w:trHeight w:val="32"/>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23.1*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auto"/>
            </w:tcBorders>
            <w:gridSpan w:val="11"/>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9"/>
              </w:rPr>
              <w:t>Consent of Deloitte Touche Tohmatsu Certified Public Accountants LLP.</w:t>
            </w:r>
          </w:p>
        </w:tc>
        <w:tc>
          <w:tcPr>
            <w:tcW w:w="3700" w:type="dxa"/>
            <w:vAlign w:val="bottom"/>
            <w:tcBorders>
              <w:bottom w:val="single" w:sz="8" w:color="CCEEFF"/>
              <w:right w:val="single" w:sz="8" w:color="CCEEFF"/>
            </w:tcBorders>
            <w:gridSpan w:val="28"/>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40"/>
          </w:tcPr>
          <w:p>
            <w:pPr>
              <w:spacing w:after="0"/>
              <w:rPr>
                <w:sz w:val="20"/>
                <w:szCs w:val="20"/>
                <w:color w:val="auto"/>
              </w:rPr>
            </w:pPr>
            <w:r>
              <w:rPr>
                <w:rFonts w:ascii="Times New Roman" w:cs="Times New Roman" w:eastAsia="Times New Roman" w:hAnsi="Times New Roman"/>
                <w:sz w:val="17"/>
                <w:szCs w:val="17"/>
                <w:color w:val="auto"/>
              </w:rPr>
              <w:t>Power of Attorney.</w:t>
            </w:r>
          </w:p>
        </w:tc>
      </w:tr>
      <w:tr>
        <w:trPr>
          <w:trHeight w:val="20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720" w:type="dxa"/>
            <w:vAlign w:val="bottom"/>
            <w:tcBorders>
              <w:right w:val="single" w:sz="8" w:color="CCEEFF"/>
            </w:tcBorders>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auto"/>
              </w:rPr>
              <w:t>Certification of Principal Executive Officer Pursuant to Securities Exchange Act Rules 13a-14(a) and 15(d)-14(a), as adopted</w:t>
            </w:r>
          </w:p>
        </w:tc>
        <w:tc>
          <w:tcPr>
            <w:tcW w:w="1440" w:type="dxa"/>
            <w:vAlign w:val="bottom"/>
          </w:tcPr>
          <w:p>
            <w:pPr>
              <w:spacing w:after="0"/>
              <w:rPr>
                <w:sz w:val="17"/>
                <w:szCs w:val="17"/>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40" w:type="dxa"/>
            <w:vAlign w:val="bottom"/>
            <w:tcBorders>
              <w:top w:val="single" w:sz="8" w:color="auto"/>
            </w:tcBorders>
            <w:gridSpan w:val="3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9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Financial Officer Pursuant to Securities Exchange Act Rules 13a-14(a) and 15(d)-14(a), as adopted</w:t>
            </w: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tcBorders>
              <w:top w:val="single" w:sz="8" w:color="auto"/>
            </w:tcBorders>
            <w:gridSpan w:val="34"/>
          </w:tcPr>
          <w:p>
            <w:pPr>
              <w:spacing w:after="0" w:line="173"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1580" w:type="dxa"/>
            <w:vAlign w:val="bottom"/>
            <w:gridSpan w:val="6"/>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Executive Officer Pursuant to 18 U.S.C. Section 1350, as adopted Pursuant to Section 906 of the</w:t>
            </w:r>
          </w:p>
        </w:tc>
        <w:tc>
          <w:tcPr>
            <w:tcW w:w="1440" w:type="dxa"/>
            <w:vAlign w:val="bottom"/>
          </w:tcPr>
          <w:p>
            <w:pPr>
              <w:spacing w:after="0"/>
              <w:rPr>
                <w:sz w:val="16"/>
                <w:szCs w:val="16"/>
                <w:color w:val="auto"/>
              </w:rPr>
            </w:pPr>
          </w:p>
        </w:tc>
      </w:tr>
      <w:tr>
        <w:trPr>
          <w:trHeight w:val="173"/>
        </w:trPr>
        <w:tc>
          <w:tcPr>
            <w:tcW w:w="9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auto"/>
            </w:tcBorders>
            <w:gridSpan w:val="2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auto"/>
              </w:rPr>
              <w:t>Sarbanes-Oxley Act of 2002.</w:t>
            </w:r>
          </w:p>
        </w:tc>
        <w:tc>
          <w:tcPr>
            <w:tcW w:w="320" w:type="dxa"/>
            <w:vAlign w:val="bottom"/>
            <w:tcBorders>
              <w:top w:val="single" w:sz="8" w:color="CCEEFF"/>
              <w:right w:val="single" w:sz="8" w:color="CCEEFF"/>
            </w:tcBorders>
            <w:gridSpan w:val="13"/>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40"/>
          </w:tcPr>
          <w:p>
            <w:pPr>
              <w:spacing w:after="0" w:line="194" w:lineRule="exact"/>
              <w:rPr>
                <w:sz w:val="20"/>
                <w:szCs w:val="20"/>
                <w:color w:val="auto"/>
              </w:rPr>
            </w:pPr>
            <w:r>
              <w:rPr>
                <w:rFonts w:ascii="Times New Roman" w:cs="Times New Roman" w:eastAsia="Times New Roman" w:hAnsi="Times New Roman"/>
                <w:sz w:val="17"/>
                <w:szCs w:val="17"/>
                <w:color w:val="auto"/>
              </w:rPr>
              <w:t>Certification of Principal Financial Officer Pursuant to 18 U.S.C. Section 1350, as adopted Pursuant to Section 906 of the</w:t>
            </w:r>
          </w:p>
        </w:tc>
      </w:tr>
      <w:tr>
        <w:trPr>
          <w:trHeight w:val="17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60" w:type="dxa"/>
            <w:vAlign w:val="bottom"/>
            <w:tcBorders>
              <w:top w:val="single" w:sz="8" w:color="auto"/>
            </w:tcBorders>
            <w:gridSpan w:val="24"/>
          </w:tcPr>
          <w:p>
            <w:pPr>
              <w:spacing w:after="0" w:line="173" w:lineRule="exact"/>
              <w:rPr>
                <w:sz w:val="20"/>
                <w:szCs w:val="20"/>
                <w:color w:val="auto"/>
              </w:rPr>
            </w:pPr>
            <w:r>
              <w:rPr>
                <w:rFonts w:ascii="Times New Roman" w:cs="Times New Roman" w:eastAsia="Times New Roman" w:hAnsi="Times New Roman"/>
                <w:sz w:val="17"/>
                <w:szCs w:val="17"/>
                <w:color w:val="auto"/>
              </w:rPr>
              <w:t>Sarbanes-Oxley Act of 2002.</w:t>
            </w:r>
          </w:p>
        </w:tc>
        <w:tc>
          <w:tcPr>
            <w:tcW w:w="1800" w:type="dxa"/>
            <w:vAlign w:val="bottom"/>
            <w:gridSpan w:val="16"/>
          </w:tcPr>
          <w:p>
            <w:pPr>
              <w:spacing w:after="0"/>
              <w:rPr>
                <w:sz w:val="15"/>
                <w:szCs w:val="15"/>
                <w:color w:val="auto"/>
              </w:rPr>
            </w:pPr>
          </w:p>
        </w:tc>
      </w:tr>
      <w:tr>
        <w:trPr>
          <w:trHeight w:val="44"/>
        </w:trPr>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97.1+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720" w:type="dxa"/>
            <w:vAlign w:val="bottom"/>
            <w:tcBorders>
              <w:right w:val="single" w:sz="8" w:color="CCEEFF"/>
            </w:tcBorders>
            <w:gridSpan w:val="39"/>
            <w:shd w:val="clear" w:color="auto" w:fill="CCEEFF"/>
          </w:tcPr>
          <w:p>
            <w:pPr>
              <w:spacing w:after="0" w:line="194" w:lineRule="exact"/>
              <w:rPr>
                <w:rFonts w:ascii="Times New Roman" w:cs="Times New Roman" w:eastAsia="Times New Roman" w:hAnsi="Times New Roman"/>
                <w:sz w:val="17"/>
                <w:szCs w:val="17"/>
                <w:color w:val="auto"/>
              </w:rPr>
            </w:pPr>
            <w:hyperlink r:id="rId236">
              <w:r>
                <w:rPr>
                  <w:rFonts w:ascii="Times New Roman" w:cs="Times New Roman" w:eastAsia="Times New Roman" w:hAnsi="Times New Roman"/>
                  <w:sz w:val="17"/>
                  <w:szCs w:val="17"/>
                  <w:color w:val="auto"/>
                </w:rPr>
                <w:t>Microvast Holdings, Inc. Amended and Restated Clawback Policy (incorporated by reference from Exhibit 97.1 to the</w:t>
              </w:r>
            </w:hyperlink>
          </w:p>
        </w:tc>
        <w:tc>
          <w:tcPr>
            <w:tcW w:w="1440" w:type="dxa"/>
            <w:vAlign w:val="bottom"/>
          </w:tcPr>
          <w:p>
            <w:pPr>
              <w:spacing w:after="0"/>
              <w:rPr>
                <w:sz w:val="16"/>
                <w:szCs w:val="16"/>
                <w:color w:val="auto"/>
              </w:rPr>
            </w:pPr>
          </w:p>
        </w:tc>
      </w:tr>
      <w:tr>
        <w:trPr>
          <w:trHeight w:val="218"/>
        </w:trPr>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120" w:type="dxa"/>
            <w:vAlign w:val="bottom"/>
            <w:tcBorders>
              <w:top w:val="single" w:sz="8" w:color="auto"/>
            </w:tcBorders>
            <w:gridSpan w:val="22"/>
            <w:shd w:val="clear" w:color="auto" w:fill="CCEEFF"/>
          </w:tcPr>
          <w:p>
            <w:pPr>
              <w:spacing w:after="0" w:line="173" w:lineRule="exact"/>
              <w:rPr>
                <w:rFonts w:ascii="Times New Roman" w:cs="Times New Roman" w:eastAsia="Times New Roman" w:hAnsi="Times New Roman"/>
                <w:sz w:val="17"/>
                <w:szCs w:val="17"/>
                <w:color w:val="auto"/>
              </w:rPr>
            </w:pPr>
            <w:hyperlink r:id="rId236">
              <w:r>
                <w:rPr>
                  <w:rFonts w:ascii="Times New Roman" w:cs="Times New Roman" w:eastAsia="Times New Roman" w:hAnsi="Times New Roman"/>
                  <w:sz w:val="17"/>
                  <w:szCs w:val="17"/>
                  <w:color w:val="auto"/>
                </w:rPr>
                <w:t>Company's Annual Report on Form 10-K, filed with the SEC on April 1, 2024).</w:t>
              </w:r>
            </w:hyperlink>
          </w:p>
        </w:tc>
        <w:tc>
          <w:tcPr>
            <w:tcW w:w="600" w:type="dxa"/>
            <w:vAlign w:val="bottom"/>
            <w:tcBorders>
              <w:top w:val="single" w:sz="8" w:color="CCEEFF"/>
              <w:right w:val="single" w:sz="8" w:color="CCEEFF"/>
            </w:tcBorders>
            <w:gridSpan w:val="17"/>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864"/>
        </w:trPr>
        <w:tc>
          <w:tcPr>
            <w:tcW w:w="9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740" w:type="dxa"/>
            <w:vAlign w:val="bottom"/>
            <w:tcBorders>
              <w:top w:val="single" w:sz="8" w:color="auto"/>
            </w:tcBorders>
            <w:gridSpan w:val="9"/>
          </w:tcPr>
          <w:p>
            <w:pPr>
              <w:ind w:left="4460"/>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700" w:type="dxa"/>
            <w:vAlign w:val="bottom"/>
          </w:tcPr>
          <w:p>
            <w:pPr>
              <w:spacing w:after="0"/>
              <w:rPr>
                <w:sz w:val="17"/>
                <w:szCs w:val="17"/>
                <w:color w:val="auto"/>
              </w:rPr>
            </w:pPr>
          </w:p>
        </w:tc>
      </w:tr>
      <w:tr>
        <w:trPr>
          <w:trHeight w:val="246"/>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 w:type="dxa"/>
            <w:vAlign w:val="bottom"/>
          </w:tcPr>
          <w:p>
            <w:pPr>
              <w:spacing w:after="0"/>
              <w:rPr>
                <w:sz w:val="21"/>
                <w:szCs w:val="21"/>
                <w:color w:val="auto"/>
              </w:rPr>
            </w:pPr>
          </w:p>
        </w:tc>
        <w:tc>
          <w:tcPr>
            <w:tcW w:w="870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3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5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5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3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5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32"/>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0"/>
          <w:szCs w:val="20"/>
          <w:color w:val="auto"/>
        </w:rPr>
      </w:pPr>
    </w:p>
    <w:p>
      <w:pPr>
        <w:ind w:right="8980" w:firstLine="3"/>
        <w:spacing w:after="0" w:line="253" w:lineRule="auto"/>
        <w:tabs>
          <w:tab w:leader="none" w:pos="25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ind w:left="620" w:hanging="619"/>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Certain schedules to this Exhibit have been omitted in accordance with Item 601(b)(2) of Regulation S-K. The Company hereby agrees to furnish supplementally a copy of all omitted schedules to the SEC upon request.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None.</w:t>
      </w: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80"/>
          </w:cols>
          <w:pgMar w:left="320" w:top="119" w:right="1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on March 31, 2025.</w:t>
      </w:r>
    </w:p>
    <w:p>
      <w:pPr>
        <w:spacing w:after="0" w:line="19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b w:val="1"/>
          <w:bCs w:val="1"/>
          <w:color w:val="auto"/>
        </w:rPr>
        <w:t>MICROVAST HOLDINGS, INC.</w:t>
      </w:r>
    </w:p>
    <w:p>
      <w:pPr>
        <w:spacing w:after="0" w:line="208" w:lineRule="exact"/>
        <w:rPr>
          <w:sz w:val="20"/>
          <w:szCs w:val="20"/>
          <w:color w:val="auto"/>
        </w:rPr>
      </w:pPr>
    </w:p>
    <w:p>
      <w:pPr>
        <w:ind w:left="6500"/>
        <w:spacing w:after="0"/>
        <w:tabs>
          <w:tab w:leader="none" w:pos="7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25400</wp:posOffset>
            </wp:positionV>
            <wp:extent cx="25952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4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Name: Fariyal Khanbabi</w:t>
      </w:r>
    </w:p>
    <w:p>
      <w:pPr>
        <w:spacing w:after="0" w:line="4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Yang Wu and Fariyal Khanbabi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79"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00"/>
          </w:cols>
          <w:pgMar w:left="320" w:top="119" w:right="379" w:bottom="1440" w:gutter="0" w:footer="0" w:header="0"/>
        </w:sectPr>
      </w:pPr>
    </w:p>
    <w:p>
      <w:pPr>
        <w:spacing w:after="0" w:line="1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21367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Yang Wu</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Fariyal Khanbabi</w:t>
      </w:r>
    </w:p>
    <w:p>
      <w:pPr>
        <w:spacing w:after="0" w:line="1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/s/ Arthur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Arthur Wong</w:t>
      </w:r>
    </w:p>
    <w:p>
      <w:pPr>
        <w:spacing w:after="0" w:line="16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Yixin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Yixin Pan</w:t>
      </w:r>
    </w:p>
    <w:p>
      <w:pPr>
        <w:spacing w:after="0" w:line="1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/s/Wei 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Wei Ying</w:t>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/s/Isida Tushe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1367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Isida Tushe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34461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30"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7"/>
          <w:szCs w:val="17"/>
          <w:color w:val="auto"/>
        </w:rPr>
        <w:t>Chief Executive Officer, President and Chairman of the Board (principal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27940</wp:posOffset>
            </wp:positionV>
            <wp:extent cx="14408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337" w:lineRule="exact"/>
        <w:rPr>
          <w:sz w:val="20"/>
          <w:szCs w:val="20"/>
          <w:color w:val="auto"/>
        </w:rPr>
      </w:pPr>
    </w:p>
    <w:p>
      <w:pPr>
        <w:sectPr>
          <w:pgSz w:w="11900" w:h="16838" w:orient="portrait"/>
          <w:cols w:equalWidth="0" w:num="3">
            <w:col w:w="2760" w:space="720"/>
            <w:col w:w="5360" w:space="720"/>
            <w:col w:w="1640"/>
          </w:cols>
          <w:pgMar w:left="320" w:top="11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00"/>
          </w:cols>
          <w:pgMar w:left="320" w:top="119" w:right="379" w:bottom="1440" w:gutter="0" w:footer="0" w:header="0"/>
          <w:type w:val="continuous"/>
        </w:sectPr>
      </w:pPr>
    </w:p>
    <w:bookmarkStart w:id="160" w:name="page161"/>
    <w:bookmarkEnd w:id="160"/>
    <w:p>
      <w:pPr>
        <w:spacing w:after="0" w:line="1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1"/>
          <w:szCs w:val="21"/>
          <w:b w:val="1"/>
          <w:bCs w:val="1"/>
          <w:color w:val="auto"/>
        </w:rPr>
        <w:t>MICROVAST HOLDINGS, INC. INSIDER TRADING POLICY</w:t>
      </w:r>
    </w:p>
    <w:p>
      <w:pPr>
        <w:spacing w:after="0" w:line="107" w:lineRule="exact"/>
        <w:rPr>
          <w:sz w:val="20"/>
          <w:szCs w:val="20"/>
          <w:color w:val="auto"/>
        </w:rPr>
      </w:pPr>
    </w:p>
    <w:p>
      <w:pPr>
        <w:ind w:left="609" w:hanging="608"/>
        <w:spacing w:after="0"/>
        <w:tabs>
          <w:tab w:leader="none" w:pos="609"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w:t>
      </w:r>
    </w:p>
    <w:p>
      <w:pPr>
        <w:spacing w:after="0" w:line="214" w:lineRule="exact"/>
        <w:rPr>
          <w:sz w:val="20"/>
          <w:szCs w:val="20"/>
          <w:color w:val="auto"/>
        </w:rPr>
      </w:pPr>
    </w:p>
    <w:p>
      <w:pPr>
        <w:jc w:val="both"/>
        <w:ind w:left="9" w:firstLine="619"/>
        <w:spacing w:after="0" w:line="253" w:lineRule="auto"/>
        <w:rPr>
          <w:sz w:val="20"/>
          <w:szCs w:val="20"/>
          <w:color w:val="auto"/>
        </w:rPr>
      </w:pPr>
      <w:r>
        <w:rPr>
          <w:rFonts w:ascii="Times New Roman" w:cs="Times New Roman" w:eastAsia="Times New Roman" w:hAnsi="Times New Roman"/>
          <w:sz w:val="21"/>
          <w:szCs w:val="21"/>
          <w:color w:val="auto"/>
        </w:rPr>
        <w:t>The purpose of this Insider Trading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is to promote compliance with applicable securities laws by Microvast Holdings, Inc. (“</w:t>
      </w:r>
      <w:r>
        <w:rPr>
          <w:rFonts w:ascii="Times New Roman" w:cs="Times New Roman" w:eastAsia="Times New Roman" w:hAnsi="Times New Roman"/>
          <w:sz w:val="21"/>
          <w:szCs w:val="21"/>
          <w:u w:val="single" w:color="auto"/>
          <w:color w:val="auto"/>
        </w:rPr>
        <w:t>Microvast Holdings</w:t>
      </w:r>
      <w:r>
        <w:rPr>
          <w:rFonts w:ascii="Times New Roman" w:cs="Times New Roman" w:eastAsia="Times New Roman" w:hAnsi="Times New Roman"/>
          <w:sz w:val="21"/>
          <w:szCs w:val="21"/>
          <w:color w:val="auto"/>
        </w:rPr>
        <w:t>”) and its subsidiaries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all directors, officers, employees and other agents of the Company (and members of the forgoing persons’ immediate families and households), in order to preserve the reputation and integrity of the Company, as well as that of all persons affiliated with the Company. Questions regarding this policy should be directed to the Company’s designated compliance officer (the “</w:t>
      </w:r>
      <w:r>
        <w:rPr>
          <w:rFonts w:ascii="Times New Roman" w:cs="Times New Roman" w:eastAsia="Times New Roman" w:hAnsi="Times New Roman"/>
          <w:sz w:val="21"/>
          <w:szCs w:val="21"/>
          <w:u w:val="single" w:color="auto"/>
          <w:color w:val="auto"/>
        </w:rPr>
        <w:t>Compliance Officer</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09" w:hanging="608"/>
        <w:spacing w:after="0"/>
        <w:tabs>
          <w:tab w:leader="none" w:pos="609"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w:t>
      </w:r>
    </w:p>
    <w:p>
      <w:pPr>
        <w:spacing w:after="0" w:line="227" w:lineRule="exact"/>
        <w:rPr>
          <w:sz w:val="20"/>
          <w:szCs w:val="20"/>
          <w:color w:val="auto"/>
        </w:rPr>
      </w:pPr>
    </w:p>
    <w:p>
      <w:pPr>
        <w:jc w:val="both"/>
        <w:ind w:left="9" w:firstLine="619"/>
        <w:spacing w:after="0" w:line="249" w:lineRule="auto"/>
        <w:rPr>
          <w:sz w:val="20"/>
          <w:szCs w:val="20"/>
          <w:color w:val="auto"/>
        </w:rPr>
      </w:pPr>
      <w:r>
        <w:rPr>
          <w:rFonts w:ascii="Times New Roman" w:cs="Times New Roman" w:eastAsia="Times New Roman" w:hAnsi="Times New Roman"/>
          <w:sz w:val="21"/>
          <w:szCs w:val="21"/>
          <w:color w:val="auto"/>
        </w:rPr>
        <w:t>It is the Company’s policy to comply with all applicable securities laws, including those relating to buying or selling securities in Microvast Holdings (“</w:t>
      </w:r>
      <w:r>
        <w:rPr>
          <w:rFonts w:ascii="Times New Roman" w:cs="Times New Roman" w:eastAsia="Times New Roman" w:hAnsi="Times New Roman"/>
          <w:sz w:val="21"/>
          <w:szCs w:val="21"/>
          <w:u w:val="single" w:color="auto"/>
          <w:color w:val="auto"/>
        </w:rPr>
        <w:t>Company Securities</w:t>
      </w:r>
      <w:r>
        <w:rPr>
          <w:rFonts w:ascii="Times New Roman" w:cs="Times New Roman" w:eastAsia="Times New Roman" w:hAnsi="Times New Roman"/>
          <w:sz w:val="21"/>
          <w:szCs w:val="21"/>
          <w:color w:val="auto"/>
        </w:rPr>
        <w:t>”). In the course of conducting the Company’s business, directors, officers, employees and others may become aware of material, non-public information (as defined in Section IV below) regarding the Company, its affiliates or other companies with which we do business. Directors, officers, employees and agents of the Company and members of their immediate families may not buy or sell Company Securities, or securities of any other publicly-held company, while in possession of material, non-public information concerning or related to such company that was obtained during the course of employment or other involvement with Company business, even if those persons believe the decision to buy or sell is not based upon such material, non-public information.</w:t>
      </w:r>
    </w:p>
    <w:p>
      <w:pPr>
        <w:spacing w:after="0" w:line="174" w:lineRule="exact"/>
        <w:rPr>
          <w:sz w:val="20"/>
          <w:szCs w:val="20"/>
          <w:color w:val="auto"/>
        </w:rPr>
      </w:pPr>
    </w:p>
    <w:p>
      <w:pPr>
        <w:jc w:val="both"/>
        <w:ind w:left="9" w:firstLine="619"/>
        <w:spacing w:after="0" w:line="253" w:lineRule="auto"/>
        <w:rPr>
          <w:sz w:val="20"/>
          <w:szCs w:val="20"/>
          <w:color w:val="auto"/>
        </w:rPr>
      </w:pPr>
      <w:r>
        <w:rPr>
          <w:rFonts w:ascii="Times New Roman" w:cs="Times New Roman" w:eastAsia="Times New Roman" w:hAnsi="Times New Roman"/>
          <w:sz w:val="21"/>
          <w:szCs w:val="21"/>
          <w:color w:val="auto"/>
        </w:rPr>
        <w:t>In addition, entities such as trusts or foundations over which a Company director, officer, employee or agent has control may not buy or sell securities while the employee is in possession of such material, non-public information concerning or related to such company. If you are in possession of material, non-public information, you may not disclose that information to others, even to family members or other Company employees, except for Company employees whose job responsibilities require knowledge of such information.</w:t>
      </w:r>
    </w:p>
    <w:p>
      <w:pPr>
        <w:spacing w:after="0" w:line="171" w:lineRule="exact"/>
        <w:rPr>
          <w:sz w:val="20"/>
          <w:szCs w:val="20"/>
          <w:color w:val="auto"/>
        </w:rPr>
      </w:pPr>
    </w:p>
    <w:p>
      <w:pPr>
        <w:jc w:val="both"/>
        <w:ind w:left="9" w:firstLine="619"/>
        <w:spacing w:after="0" w:line="256" w:lineRule="auto"/>
        <w:rPr>
          <w:sz w:val="20"/>
          <w:szCs w:val="20"/>
          <w:color w:val="auto"/>
        </w:rPr>
      </w:pPr>
      <w:r>
        <w:rPr>
          <w:rFonts w:ascii="Times New Roman" w:cs="Times New Roman" w:eastAsia="Times New Roman" w:hAnsi="Times New Roman"/>
          <w:sz w:val="21"/>
          <w:szCs w:val="21"/>
          <w:color w:val="auto"/>
        </w:rPr>
        <w:t>This Policy will continue to apply to any Company director, officer, employee or agent whose relationship with the Company terminates as long as the individual possesses material, non- public information that he or she obtained in the course of their employment or relationship with the Company.</w:t>
      </w:r>
    </w:p>
    <w:p>
      <w:pPr>
        <w:spacing w:after="0" w:line="177" w:lineRule="exact"/>
        <w:rPr>
          <w:sz w:val="20"/>
          <w:szCs w:val="20"/>
          <w:color w:val="auto"/>
        </w:rPr>
      </w:pPr>
    </w:p>
    <w:p>
      <w:pPr>
        <w:ind w:left="609" w:hanging="609"/>
        <w:spacing w:after="0"/>
        <w:tabs>
          <w:tab w:leader="none" w:pos="609"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Applicability</w:t>
      </w:r>
    </w:p>
    <w:p>
      <w:pPr>
        <w:spacing w:after="0" w:line="214" w:lineRule="exact"/>
        <w:rPr>
          <w:sz w:val="20"/>
          <w:szCs w:val="20"/>
          <w:color w:val="auto"/>
        </w:rPr>
      </w:pPr>
    </w:p>
    <w:p>
      <w:pPr>
        <w:jc w:val="both"/>
        <w:ind w:left="9" w:firstLine="619"/>
        <w:spacing w:after="0" w:line="249" w:lineRule="auto"/>
        <w:rPr>
          <w:sz w:val="20"/>
          <w:szCs w:val="20"/>
          <w:color w:val="auto"/>
        </w:rPr>
      </w:pPr>
      <w:r>
        <w:rPr>
          <w:rFonts w:ascii="Times New Roman" w:cs="Times New Roman" w:eastAsia="Times New Roman" w:hAnsi="Times New Roman"/>
          <w:sz w:val="21"/>
          <w:szCs w:val="21"/>
          <w:color w:val="auto"/>
        </w:rPr>
        <w:t>The general policy stated above applies to all directors, officers, employees and other agents of the Company. In order to ensure compliance with this Policy, the Board of Directors of Microvast Holdings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adopted the following procedures, which apply to directors and officers and certain employees and agents of the Company (“</w:t>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and their Related Persons (as defined in Section IV.D. below). The Company has determined that these Covered Persons are likely to have access to material, non-public information by virtue of their position with the Company. These procedures apply regardless of the dollar amount of the trade or the source of the material, non-public information. Any questions regarding the applicability of this Policy to a specific situation should be directed to the Compliance Officer.</w:t>
      </w:r>
    </w:p>
    <w:p>
      <w:pPr>
        <w:sectPr>
          <w:pgSz w:w="11900" w:h="16838" w:orient="portrait"/>
          <w:cols w:equalWidth="0" w:num="1">
            <w:col w:w="10869"/>
          </w:cols>
          <w:pgMar w:left="511" w:top="1440" w:right="519" w:bottom="1440" w:gutter="0" w:footer="0" w:header="0"/>
        </w:sectPr>
      </w:pPr>
    </w:p>
    <w:bookmarkStart w:id="161" w:name="page162"/>
    <w:bookmarkEnd w:id="161"/>
    <w:p>
      <w:pPr>
        <w:spacing w:after="0" w:line="50" w:lineRule="exact"/>
        <w:rPr>
          <w:sz w:val="20"/>
          <w:szCs w:val="20"/>
          <w:color w:val="auto"/>
        </w:rPr>
      </w:pPr>
    </w:p>
    <w:p>
      <w:pPr>
        <w:ind w:left="609" w:hanging="609"/>
        <w:spacing w:after="0"/>
        <w:tabs>
          <w:tab w:leader="none" w:pos="609"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Definition/Explanations</w:t>
      </w:r>
    </w:p>
    <w:p>
      <w:pPr>
        <w:spacing w:after="0" w:line="209" w:lineRule="exact"/>
        <w:rPr>
          <w:rFonts w:ascii="Times New Roman" w:cs="Times New Roman" w:eastAsia="Times New Roman" w:hAnsi="Times New Roman"/>
          <w:sz w:val="21"/>
          <w:szCs w:val="21"/>
          <w:b w:val="1"/>
          <w:bCs w:val="1"/>
          <w:color w:val="auto"/>
        </w:rPr>
      </w:pPr>
    </w:p>
    <w:p>
      <w:pPr>
        <w:ind w:left="629"/>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0"/>
          <w:szCs w:val="20"/>
          <w:b w:val="1"/>
          <w:bCs w:val="1"/>
          <w:color w:val="auto"/>
        </w:rPr>
        <w:t>Who is an “Insider”?</w:t>
      </w:r>
    </w:p>
    <w:p>
      <w:pPr>
        <w:spacing w:after="0" w:line="227" w:lineRule="exact"/>
        <w:rPr>
          <w:sz w:val="20"/>
          <w:szCs w:val="20"/>
          <w:color w:val="auto"/>
        </w:rPr>
      </w:pPr>
    </w:p>
    <w:p>
      <w:pPr>
        <w:jc w:val="both"/>
        <w:ind w:left="9" w:firstLine="619"/>
        <w:spacing w:after="0" w:line="252" w:lineRule="auto"/>
        <w:rPr>
          <w:sz w:val="20"/>
          <w:szCs w:val="20"/>
          <w:color w:val="auto"/>
        </w:rPr>
      </w:pPr>
      <w:r>
        <w:rPr>
          <w:rFonts w:ascii="Times New Roman" w:cs="Times New Roman" w:eastAsia="Times New Roman" w:hAnsi="Times New Roman"/>
          <w:sz w:val="21"/>
          <w:szCs w:val="21"/>
          <w:color w:val="auto"/>
        </w:rPr>
        <w:t>The definition of “insider” is broad. Any person who possesses material, non-public information is considered an insider as to that information. Insiders include Company directors, officers, employees, independent contractors and those persons in a special relationship with the Company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its auditors, consultants or attorneys). The definition of an insider is transaction-specific; that is, an individual is an insider with respect to each material, non-public item of which he or she is aware.</w:t>
      </w:r>
    </w:p>
    <w:p>
      <w:pPr>
        <w:spacing w:after="0" w:line="168" w:lineRule="exact"/>
        <w:rPr>
          <w:sz w:val="20"/>
          <w:szCs w:val="20"/>
          <w:color w:val="auto"/>
        </w:rPr>
      </w:pPr>
    </w:p>
    <w:p>
      <w:pPr>
        <w:ind w:left="1229" w:hanging="610"/>
        <w:spacing w:after="0"/>
        <w:tabs>
          <w:tab w:leader="none" w:pos="1229"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is “Material” Information?</w:t>
      </w:r>
    </w:p>
    <w:p>
      <w:pPr>
        <w:spacing w:after="0" w:line="227" w:lineRule="exact"/>
        <w:rPr>
          <w:sz w:val="20"/>
          <w:szCs w:val="20"/>
          <w:color w:val="auto"/>
        </w:rPr>
      </w:pPr>
    </w:p>
    <w:p>
      <w:pPr>
        <w:jc w:val="both"/>
        <w:ind w:left="9" w:firstLine="619"/>
        <w:spacing w:after="0" w:line="249" w:lineRule="auto"/>
        <w:rPr>
          <w:sz w:val="20"/>
          <w:szCs w:val="20"/>
          <w:color w:val="auto"/>
        </w:rPr>
      </w:pPr>
      <w:r>
        <w:rPr>
          <w:rFonts w:ascii="Times New Roman" w:cs="Times New Roman" w:eastAsia="Times New Roman" w:hAnsi="Times New Roman"/>
          <w:sz w:val="21"/>
          <w:szCs w:val="21"/>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Some examples of material information include:</w:t>
      </w:r>
    </w:p>
    <w:p>
      <w:pPr>
        <w:spacing w:after="0" w:line="191" w:lineRule="exact"/>
        <w:rPr>
          <w:sz w:val="20"/>
          <w:szCs w:val="20"/>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and other financial results (or material changes thereto);</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guidance on earnings estimates or other financial information;</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expansion or curtailment of operations, such as the purchase or sale of property or assets;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increase or decline in revenues;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policies or the declaration of a stock split or the offering of additional securities;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merger or acquisition proposals or agreements, including tender offers;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new products or plans to enter significant new businesses;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borrowing;</w:t>
      </w:r>
    </w:p>
    <w:p>
      <w:pPr>
        <w:spacing w:after="0" w:line="222"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gain or loss of a substantial customer;</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institution of significant litigation or regulatory proceedings or investigations;</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management developments; and</w:t>
      </w:r>
    </w:p>
    <w:p>
      <w:pPr>
        <w:spacing w:after="0" w:line="209" w:lineRule="exact"/>
        <w:rPr>
          <w:rFonts w:ascii="Times New Roman" w:cs="Times New Roman" w:eastAsia="Times New Roman" w:hAnsi="Times New Roman"/>
          <w:sz w:val="21"/>
          <w:szCs w:val="21"/>
          <w:color w:val="auto"/>
        </w:rPr>
      </w:pPr>
    </w:p>
    <w:p>
      <w:pPr>
        <w:ind w:left="1229" w:hanging="610"/>
        <w:spacing w:after="0"/>
        <w:tabs>
          <w:tab w:leader="none" w:pos="12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 or financial liquidity problems.</w:t>
      </w:r>
    </w:p>
    <w:p>
      <w:pPr>
        <w:sectPr>
          <w:pgSz w:w="11900" w:h="16838" w:orient="portrait"/>
          <w:cols w:equalWidth="0" w:num="1">
            <w:col w:w="10869"/>
          </w:cols>
          <w:pgMar w:left="511" w:top="1440" w:right="519" w:bottom="1440" w:gutter="0" w:footer="0" w:header="0"/>
        </w:sectPr>
      </w:pPr>
    </w:p>
    <w:bookmarkStart w:id="162" w:name="page163"/>
    <w:bookmarkEnd w:id="162"/>
    <w:p>
      <w:pPr>
        <w:spacing w:after="0" w:line="157" w:lineRule="exact"/>
        <w:rPr>
          <w:sz w:val="20"/>
          <w:szCs w:val="20"/>
          <w:color w:val="auto"/>
        </w:rPr>
      </w:pPr>
    </w:p>
    <w:p>
      <w:pPr>
        <w:jc w:val="both"/>
        <w:ind w:left="9"/>
        <w:spacing w:after="0" w:line="256" w:lineRule="auto"/>
        <w:rPr>
          <w:sz w:val="20"/>
          <w:szCs w:val="20"/>
          <w:color w:val="auto"/>
        </w:rPr>
      </w:pPr>
      <w:r>
        <w:rPr>
          <w:rFonts w:ascii="Times New Roman" w:cs="Times New Roman" w:eastAsia="Times New Roman" w:hAnsi="Times New Roman"/>
          <w:sz w:val="21"/>
          <w:szCs w:val="21"/>
          <w:color w:val="auto"/>
        </w:rPr>
        <w:t>The above list is not exhaustive, and many other types of information may be considered “material” depending on the circumstances. The materiality of certain information is subject to reassessment on a regular basis. When in doubt, please contact the Compliance Officer.</w:t>
      </w:r>
    </w:p>
    <w:p>
      <w:pPr>
        <w:spacing w:after="0" w:line="164" w:lineRule="exact"/>
        <w:rPr>
          <w:sz w:val="20"/>
          <w:szCs w:val="20"/>
          <w:color w:val="auto"/>
        </w:rPr>
      </w:pPr>
    </w:p>
    <w:p>
      <w:pPr>
        <w:ind w:left="1229" w:hanging="609"/>
        <w:spacing w:after="0"/>
        <w:tabs>
          <w:tab w:leader="none" w:pos="1229"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is “Non-Public” Information?</w:t>
      </w:r>
    </w:p>
    <w:p>
      <w:pPr>
        <w:spacing w:after="0" w:line="214" w:lineRule="exact"/>
        <w:rPr>
          <w:sz w:val="20"/>
          <w:szCs w:val="20"/>
          <w:color w:val="auto"/>
        </w:rPr>
      </w:pPr>
    </w:p>
    <w:p>
      <w:pPr>
        <w:jc w:val="both"/>
        <w:ind w:left="9" w:firstLine="619"/>
        <w:spacing w:after="0" w:line="251" w:lineRule="auto"/>
        <w:rPr>
          <w:sz w:val="20"/>
          <w:szCs w:val="20"/>
          <w:color w:val="auto"/>
        </w:rPr>
      </w:pPr>
      <w:r>
        <w:rPr>
          <w:rFonts w:ascii="Times New Roman" w:cs="Times New Roman" w:eastAsia="Times New Roman" w:hAnsi="Times New Roman"/>
          <w:sz w:val="21"/>
          <w:szCs w:val="21"/>
          <w:color w:val="auto"/>
        </w:rPr>
        <w:t>Information is “non-public” if it is not available to the general public. In order for information to be considered public, it must be widely disseminated in a manner that makes it generally available to investors through a report filed with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through media including Dow Jones, Reuters Economic Services, The Wall Street Journal, the Associated Press or United Press International. The circulation of rumors, even if accurate and reported in the media, does not constitute effective public dissemination. In addition, even after a public announcement of material information, a reasonable period of time must elapse in order for the market to react to the information.</w:t>
      </w:r>
    </w:p>
    <w:p>
      <w:pPr>
        <w:spacing w:after="0" w:line="174" w:lineRule="exact"/>
        <w:rPr>
          <w:sz w:val="20"/>
          <w:szCs w:val="20"/>
          <w:color w:val="auto"/>
        </w:rPr>
      </w:pPr>
    </w:p>
    <w:p>
      <w:pPr>
        <w:jc w:val="both"/>
        <w:ind w:left="9" w:firstLine="619"/>
        <w:spacing w:after="0" w:line="250" w:lineRule="auto"/>
        <w:rPr>
          <w:sz w:val="20"/>
          <w:szCs w:val="20"/>
          <w:color w:val="auto"/>
        </w:rPr>
      </w:pPr>
      <w:r>
        <w:rPr>
          <w:rFonts w:ascii="Times New Roman" w:cs="Times New Roman" w:eastAsia="Times New Roman" w:hAnsi="Times New Roman"/>
          <w:sz w:val="21"/>
          <w:szCs w:val="21"/>
          <w:color w:val="auto"/>
        </w:rPr>
        <w:t>Generally, approximately two full trading days following publication is a reasonable waiting period before information is deemed to be public. Therefore, if an announcement were to be made before the commencement of trading on a Monday, an employee could trade in Company Securities starting on Wednesday of that week, because two full trading days would have elapsed (all of Monday and Tuesday). If the announcement were made on Monday after trading begins, employees could not trade in Company Securities until Thursday. If the announcement were made on Friday after trading begins, employees could not trade in Company Securities until Wednesday of the following week. Note that this restriction is in addition to any other restrictions that apply under this Policy, including the requirement that certain trades be pre-cleared (see Section V.C. below) and that they occur during specified trading windows (see Section V.G. below).</w:t>
      </w:r>
    </w:p>
    <w:p>
      <w:pPr>
        <w:spacing w:after="0" w:line="175" w:lineRule="exact"/>
        <w:rPr>
          <w:sz w:val="20"/>
          <w:szCs w:val="20"/>
          <w:color w:val="auto"/>
        </w:rPr>
      </w:pPr>
    </w:p>
    <w:p>
      <w:pPr>
        <w:ind w:left="1229" w:hanging="609"/>
        <w:spacing w:after="0"/>
        <w:tabs>
          <w:tab w:leader="none" w:pos="1229"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Who is a “Related Person”?</w:t>
      </w:r>
    </w:p>
    <w:p>
      <w:pPr>
        <w:spacing w:after="0" w:line="214" w:lineRule="exact"/>
        <w:rPr>
          <w:sz w:val="20"/>
          <w:szCs w:val="20"/>
          <w:color w:val="auto"/>
        </w:rPr>
      </w:pPr>
    </w:p>
    <w:p>
      <w:pPr>
        <w:jc w:val="both"/>
        <w:ind w:left="9" w:firstLine="619"/>
        <w:spacing w:after="0" w:line="249" w:lineRule="auto"/>
        <w:rPr>
          <w:sz w:val="20"/>
          <w:szCs w:val="20"/>
          <w:color w:val="auto"/>
        </w:rPr>
      </w:pPr>
      <w:r>
        <w:rPr>
          <w:rFonts w:ascii="Times New Roman" w:cs="Times New Roman" w:eastAsia="Times New Roman" w:hAnsi="Times New Roman"/>
          <w:sz w:val="21"/>
          <w:szCs w:val="21"/>
          <w:color w:val="auto"/>
        </w:rPr>
        <w:t>For purposes of this Policy, a “Related Person” includes (1) your spouse, minor children and anyone else living in your household, (2) partnerships in which you are a general partner, (3) corporations in which you either singly or together with other “Related Persons” own a controlling interest, (4) trusts of which you are a trustee, settlor or beneficiary, (5) estates of which you are an executor or beneficiary or (6) any other group or entity where the insider has or shared with others the power to decide whether to buy or sell Company Securities. Although a person’s parent, child or sibling may not be considered a Related Person (unless living in the same household), a parent or sibling may be a “tippee” for securities laws purposes. See Section V.D. below for the Company’s policy on “tipping.”</w:t>
      </w:r>
    </w:p>
    <w:p>
      <w:pPr>
        <w:spacing w:after="0" w:line="176" w:lineRule="exact"/>
        <w:rPr>
          <w:sz w:val="20"/>
          <w:szCs w:val="20"/>
          <w:color w:val="auto"/>
        </w:rPr>
      </w:pPr>
    </w:p>
    <w:p>
      <w:pPr>
        <w:ind w:left="609" w:hanging="609"/>
        <w:spacing w:after="0"/>
        <w:tabs>
          <w:tab w:leader="none" w:pos="609"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Guidelines</w:t>
      </w:r>
    </w:p>
    <w:p>
      <w:pPr>
        <w:spacing w:after="0" w:line="223" w:lineRule="exact"/>
        <w:rPr>
          <w:sz w:val="20"/>
          <w:szCs w:val="20"/>
          <w:color w:val="auto"/>
        </w:rPr>
      </w:pPr>
    </w:p>
    <w:p>
      <w:pPr>
        <w:ind w:left="1229" w:hanging="610"/>
        <w:spacing w:after="0"/>
        <w:tabs>
          <w:tab w:leader="none" w:pos="1229"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Non-Disclosure of Material, Non-Public Information</w:t>
      </w:r>
    </w:p>
    <w:p>
      <w:pPr>
        <w:spacing w:after="0" w:line="214" w:lineRule="exact"/>
        <w:rPr>
          <w:sz w:val="20"/>
          <w:szCs w:val="20"/>
          <w:color w:val="auto"/>
        </w:rPr>
      </w:pPr>
    </w:p>
    <w:p>
      <w:pPr>
        <w:jc w:val="both"/>
        <w:ind w:left="9" w:firstLine="619"/>
        <w:spacing w:after="0" w:line="252" w:lineRule="auto"/>
        <w:rPr>
          <w:sz w:val="20"/>
          <w:szCs w:val="20"/>
          <w:color w:val="auto"/>
        </w:rPr>
      </w:pPr>
      <w:r>
        <w:rPr>
          <w:rFonts w:ascii="Times New Roman" w:cs="Times New Roman" w:eastAsia="Times New Roman" w:hAnsi="Times New Roman"/>
          <w:sz w:val="21"/>
          <w:szCs w:val="21"/>
          <w:color w:val="auto"/>
        </w:rPr>
        <w:t>Material, non-public information must not be disclosed to anyone, other than persons within the Company or third party agents of the Company (such as investment banking advisors or outside legal counsel) whose positions require them to know such information and who have professional or contractual obligations of confidentiality, until such information has been publicly released by the Company.</w:t>
      </w:r>
    </w:p>
    <w:p>
      <w:pPr>
        <w:sectPr>
          <w:pgSz w:w="11900" w:h="16838" w:orient="portrait"/>
          <w:cols w:equalWidth="0" w:num="1">
            <w:col w:w="10869"/>
          </w:cols>
          <w:pgMar w:left="511" w:top="1440" w:right="519" w:bottom="1440" w:gutter="0" w:footer="0" w:header="0"/>
        </w:sectPr>
      </w:pPr>
    </w:p>
    <w:bookmarkStart w:id="163" w:name="page164"/>
    <w:bookmarkEnd w:id="163"/>
    <w:p>
      <w:pPr>
        <w:spacing w:after="0" w:line="153" w:lineRule="exact"/>
        <w:rPr>
          <w:sz w:val="20"/>
          <w:szCs w:val="20"/>
          <w:color w:val="auto"/>
        </w:rPr>
      </w:pPr>
    </w:p>
    <w:p>
      <w:pPr>
        <w:ind w:left="1220" w:hanging="609"/>
        <w:spacing w:after="0"/>
        <w:tabs>
          <w:tab w:leader="none" w:pos="122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Prohibited Trading in Company Securities</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No Covered Persons or their Related Persons may place a purchase or sell order or recommend that another person place a purchase or sell order in Company Securities (including initial elections, changes in elections or reallocation of funds relating to 401(k) plan accounts, but excluding the exercise of options, other than as described in Section V.G. below) outside of a trading window (see Section V.G. below) or when he or she has knowledge of material, non-public information concerning or related to the Company. In addition, in some circumstances, the Company’s directors and officers may be prohibited from trading in Company Securities during any period when certain participants or beneficiaries of individual account plans (such as some pension fund plans) maintained by the Company are subject to a temporary trading suspension in Company Securities.</w:t>
      </w:r>
    </w:p>
    <w:p>
      <w:pPr>
        <w:spacing w:after="0" w:line="176" w:lineRule="exact"/>
        <w:rPr>
          <w:sz w:val="20"/>
          <w:szCs w:val="20"/>
          <w:color w:val="auto"/>
        </w:rPr>
      </w:pPr>
    </w:p>
    <w:p>
      <w:pPr>
        <w:ind w:left="1220" w:hanging="609"/>
        <w:spacing w:after="0"/>
        <w:tabs>
          <w:tab w:leader="none" w:pos="122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w:t>
      </w:r>
    </w:p>
    <w:p>
      <w:pPr>
        <w:spacing w:after="0" w:line="21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If securities transactions ever become the subject of scrutiny, they are likely to be viewed after-the-fact with the benefit of hindsight. Therefore, Covered Persons must obtain prior clearance from the Compliance Officer, or his or her designee, before he, she or any of his or her Related Persons makes any purchases or sales of Company Securities. An exercise of a stock option need not be pre-cleared if such exercise does not involve the sale of any Company Securities (for example, a sale of Company Securities to finance a broker-assisted “cashless” exercise). Pre- clearance may only be obtained by submitting the Pre-Trading Clearance and Certification Form attached hereto as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Each proposed transaction will be evaluated to determine if it raises insider trading concerns or other concerns under the applicable securities laws and regulations. Any advice will relate solely to the restraints imposed by law and will not constitute advice regarding the investment aspects of any transaction. Pre-clearance of a transaction is valid only for a 48-hour period. If the transaction order is not placed within that 48-hour period, pre-clearance of the transaction must be re-requested. If pre-clearance is denied, the fact of such denial must be kept confidential by the person requesting such pre-clearance.</w:t>
      </w:r>
    </w:p>
    <w:p>
      <w:pPr>
        <w:spacing w:after="0" w:line="178" w:lineRule="exact"/>
        <w:rPr>
          <w:sz w:val="20"/>
          <w:szCs w:val="20"/>
          <w:color w:val="auto"/>
        </w:rPr>
      </w:pPr>
    </w:p>
    <w:p>
      <w:pPr>
        <w:ind w:left="1220" w:hanging="609"/>
        <w:spacing w:after="0"/>
        <w:tabs>
          <w:tab w:leader="none" w:pos="122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“Tipping” Information to Others</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Insiders may be liable for communicating or tipping material, non-public information to any third party (“</w:t>
      </w:r>
      <w:r>
        <w:rPr>
          <w:rFonts w:ascii="Times New Roman" w:cs="Times New Roman" w:eastAsia="Times New Roman" w:hAnsi="Times New Roman"/>
          <w:sz w:val="21"/>
          <w:szCs w:val="21"/>
          <w:u w:val="single" w:color="auto"/>
          <w:color w:val="auto"/>
        </w:rPr>
        <w:t>tippee</w:t>
      </w:r>
      <w:r>
        <w:rPr>
          <w:rFonts w:ascii="Times New Roman" w:cs="Times New Roman" w:eastAsia="Times New Roman" w:hAnsi="Times New Roman"/>
          <w:sz w:val="21"/>
          <w:szCs w:val="21"/>
          <w:color w:val="auto"/>
        </w:rPr>
        <w:t>”),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Therefore, it is the Company’s policy that Covered Persons are required to keep completely and strictly confidential all non-public information relating to the Company.</w:t>
      </w:r>
    </w:p>
    <w:p>
      <w:pPr>
        <w:sectPr>
          <w:pgSz w:w="11900" w:h="16838" w:orient="portrait"/>
          <w:cols w:equalWidth="0" w:num="1">
            <w:col w:w="10860"/>
          </w:cols>
          <w:pgMar w:left="520" w:top="1440" w:right="519" w:bottom="1440" w:gutter="0" w:footer="0" w:header="0"/>
        </w:sectPr>
      </w:pPr>
    </w:p>
    <w:bookmarkStart w:id="164" w:name="page165"/>
    <w:bookmarkEnd w:id="164"/>
    <w:p>
      <w:pPr>
        <w:spacing w:after="0" w:line="153" w:lineRule="exact"/>
        <w:rPr>
          <w:sz w:val="20"/>
          <w:szCs w:val="20"/>
          <w:color w:val="auto"/>
        </w:rPr>
      </w:pPr>
    </w:p>
    <w:p>
      <w:pPr>
        <w:ind w:left="1220" w:hanging="609"/>
        <w:spacing w:after="0"/>
        <w:tabs>
          <w:tab w:leader="none" w:pos="122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Avoid Speculation</w:t>
      </w:r>
    </w:p>
    <w:p>
      <w:pPr>
        <w:spacing w:after="0" w:line="214"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Covered Persons and their Related Persons may not trade in options, warrants, puts and calls or similar derivative securities on Company Securities or sell Company Securities “short.” For further information, see Section V.I. below. In addition, Covered Persons and their Related Persons may not hold Company Securities in margin accounts. For further information, see Section</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V.J. below.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Covered Person or Related Person in conflict with the best interests of the Company and its securityholders. Except as required to perform their job, Covered Persons and their Related Persons are also prohibited from participating in on-line chat rooms or other social media forums involving the Company, its business or its stock.</w:t>
      </w:r>
    </w:p>
    <w:p>
      <w:pPr>
        <w:spacing w:after="0" w:line="16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Notwithstanding the foregoing, any person may, of course, exercise options granted to them by the Company and, subject to the restrictions discussed in this Policy and other applicable Company policies, sell shares acquired through the exercise of such options.</w:t>
      </w:r>
    </w:p>
    <w:p>
      <w:pPr>
        <w:spacing w:after="0" w:line="159" w:lineRule="exact"/>
        <w:rPr>
          <w:sz w:val="20"/>
          <w:szCs w:val="20"/>
          <w:color w:val="auto"/>
        </w:rPr>
      </w:pPr>
    </w:p>
    <w:p>
      <w:pPr>
        <w:ind w:left="1200" w:hanging="590"/>
        <w:spacing w:after="0"/>
        <w:tabs>
          <w:tab w:leader="none" w:pos="120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Trading in Securities of Other Public Companies</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No Covered Person or Related Person may place purchase or sell orders or recommend that another person place a purchase or sell order in the securities of another company if the person learns of material, non-public information about the other company in the course of his or her service to, or employment with, the Company.</w:t>
      </w:r>
    </w:p>
    <w:p>
      <w:pPr>
        <w:spacing w:after="0" w:line="177" w:lineRule="exact"/>
        <w:rPr>
          <w:sz w:val="20"/>
          <w:szCs w:val="20"/>
          <w:color w:val="auto"/>
        </w:rPr>
      </w:pPr>
    </w:p>
    <w:p>
      <w:pPr>
        <w:ind w:left="1220" w:hanging="610"/>
        <w:spacing w:after="0"/>
        <w:tabs>
          <w:tab w:leader="none" w:pos="12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Trading Window</w:t>
      </w:r>
    </w:p>
    <w:p>
      <w:pPr>
        <w:spacing w:after="0" w:line="21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20"/>
          <w:szCs w:val="20"/>
          <w:color w:val="auto"/>
        </w:rPr>
        <w:t>In addition to all of the other limitations contained in this Policy, Covered Persons and their Related Persons may only buy or sell Company Securities in the public market during the period beginning two trading days after the release of Microvast Holdings’ quarterly and year-end earnings announcement and continuing until the fifteenth calendar day prior to the end of the next fiscal quarter. This Policy does not apply to the exercise of stock options other than “cashless exercises” as described above. In addition, you should remember that, even if the trading window is open, you cannot trade in Company Securities if you are in possession of material, non-public information, and you still must receive pre-clearance for any trade in Company Securities.</w:t>
      </w:r>
    </w:p>
    <w:p>
      <w:pPr>
        <w:spacing w:after="0" w:line="159"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From time to time, the Company, through the Compliance Officer, may close trading during a trading window in light of developments that could involve material, non-public information. In these situations, the Compliance Officer will notify particular individuals that they should not engage in trading of Company Securities (except as permitted under a Rule 10b5-1 plan as described below) and should not disclose to others the fact that the trading window has been closed. If the relationship of an individual with the Company should terminate while such a notice is in effect, the prohibition will continue to apply until the Compliance Officer gives notice that the ban has been lifted.</w:t>
      </w:r>
    </w:p>
    <w:p>
      <w:pPr>
        <w:sectPr>
          <w:pgSz w:w="11900" w:h="16838" w:orient="portrait"/>
          <w:cols w:equalWidth="0" w:num="1">
            <w:col w:w="10860"/>
          </w:cols>
          <w:pgMar w:left="520" w:top="1440" w:right="519" w:bottom="1440" w:gutter="0" w:footer="0" w:header="0"/>
        </w:sectPr>
      </w:pPr>
    </w:p>
    <w:bookmarkStart w:id="165" w:name="page166"/>
    <w:bookmarkEnd w:id="165"/>
    <w:p>
      <w:pPr>
        <w:spacing w:after="0" w:line="154" w:lineRule="exact"/>
        <w:rPr>
          <w:sz w:val="20"/>
          <w:szCs w:val="20"/>
          <w:color w:val="auto"/>
        </w:rPr>
      </w:pPr>
    </w:p>
    <w:p>
      <w:pPr>
        <w:ind w:left="1220" w:hanging="609"/>
        <w:spacing w:after="0"/>
        <w:tabs>
          <w:tab w:leader="none" w:pos="122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Pre-Arranged Trading Plans</w:t>
      </w:r>
    </w:p>
    <w:p>
      <w:pPr>
        <w:spacing w:after="0" w:line="21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SEC Rule 10b5-1(c) provides a defense from insider trading liability if trades occur pursuant to a pre-arranged “trading plan” that meets specified conditions. Under this rule, if you enter into a binding contract, an instruction or a written plan that specifies the amount, price and date on which securities are to be purchased or sold, and if these arrangements are established at a time when you do not possess material, non-public information relevant to such trades, then you may claim a defense to insider trading liability if the transactions under the trading plan occur at a time when you have subsequently learned relevant material, non-public information. Arrangements under Rule 10b5-1(c) may specify the amount, price and date through a formula or may specify trading parameters which another person has discretion to administer, but you must not exercise any subsequent discretion affecting the transactions, and if your broker or any other person exercises discretion in implementing trades, you must not influence his or her actions and he or she must not possess any relevant material, non-public information at the time of the trades. Trading plans can be established for a single trade or a series of trades. The Company prefers that your trading plan provide for trades quarterly during the trading window.</w:t>
      </w:r>
    </w:p>
    <w:p>
      <w:pPr>
        <w:spacing w:after="0" w:line="18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It is important that you properly document the details of a trading plan. Please note that, in addition to the trading plan requirements described above, there are a number of additional procedural conditions to Rule 10b5-1(c) that must be satisfied before you can rely on a trading plan as an affirmative defense against an insider trading charge. These requirements include: (a) that you act in good faith; (b) that you not modify your trading instructions while you possess relevant material, non-public information; and (c) that you not enter into or alter a corresponding or hedging transaction or position. Because Rule 10b5-1(c) is complex, the Company recommends that you work with a broker and the Compliance Officer and be sure that you fully understand the applicable limitations and conditions before you establish a trading plan.</w:t>
      </w:r>
    </w:p>
    <w:p>
      <w:pPr>
        <w:spacing w:after="0" w:line="18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Compliance Officer will review a proposed trading plan to determine whether the Covered Person is entering into a plan at a time that he or she is not in possession of material, non- public information and the plan is otherwise in compliance with this Policy.</w:t>
      </w:r>
    </w:p>
    <w:p>
      <w:pPr>
        <w:spacing w:after="0" w:line="18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Compliance Officer will notify the chair of the Audit Committee if any executive officer or director intends to enter into a trading plan. If the chair deems appropriate, a review of any trading plan may be considered by the Audit Committee prior to approval.</w:t>
      </w:r>
    </w:p>
    <w:p>
      <w:pPr>
        <w:spacing w:after="0" w:line="164" w:lineRule="exact"/>
        <w:rPr>
          <w:sz w:val="20"/>
          <w:szCs w:val="20"/>
          <w:color w:val="auto"/>
        </w:rPr>
      </w:pPr>
    </w:p>
    <w:p>
      <w:pPr>
        <w:ind w:left="1220" w:hanging="610"/>
        <w:spacing w:after="0"/>
        <w:tabs>
          <w:tab w:leader="none" w:pos="122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Hedging</w:t>
      </w:r>
    </w:p>
    <w:p>
      <w:pPr>
        <w:spacing w:after="0" w:line="214" w:lineRule="exact"/>
        <w:rPr>
          <w:sz w:val="20"/>
          <w:szCs w:val="20"/>
          <w:color w:val="auto"/>
        </w:rPr>
      </w:pPr>
    </w:p>
    <w:p>
      <w:pPr>
        <w:jc w:val="both"/>
        <w:ind w:right="20" w:firstLine="619"/>
        <w:spacing w:after="0" w:line="250" w:lineRule="auto"/>
        <w:rPr>
          <w:sz w:val="20"/>
          <w:szCs w:val="20"/>
          <w:color w:val="auto"/>
        </w:rPr>
      </w:pPr>
      <w:r>
        <w:rPr>
          <w:rFonts w:ascii="Times New Roman" w:cs="Times New Roman" w:eastAsia="Times New Roman" w:hAnsi="Times New Roman"/>
          <w:sz w:val="21"/>
          <w:szCs w:val="21"/>
          <w:color w:val="auto"/>
        </w:rPr>
        <w:t>Hedging or monetization transactions can be accomplished in a number of ways, including through the use of financial instruments such as call or put options, prepaid variable forward contracts, equity swaps, collars and exchange funds. These hedging transactions may permit a Company director, officer or employee to own Company Securities without the full risks and rewards of ownership. When that occurs, the Company director, officer or employee may no longer have the same objectives as the Company or the other stockholders. In addition, directors and certain officers subject to the obligations of Section 16 under the Securities Exchange Act of 1934 are obligated to file reports with respect to hedging transactions with the SEC. As a result, the Board has determined that Company directors, officers and employees shall be prohibited from engaging in any hedging transactions.</w:t>
      </w:r>
    </w:p>
    <w:p>
      <w:pPr>
        <w:sectPr>
          <w:pgSz w:w="11900" w:h="16838" w:orient="portrait"/>
          <w:cols w:equalWidth="0" w:num="1">
            <w:col w:w="10860"/>
          </w:cols>
          <w:pgMar w:left="520" w:top="1440" w:right="519" w:bottom="1440" w:gutter="0" w:footer="0" w:header="0"/>
        </w:sectPr>
      </w:pPr>
    </w:p>
    <w:bookmarkStart w:id="166" w:name="page167"/>
    <w:bookmarkEnd w:id="166"/>
    <w:p>
      <w:pPr>
        <w:spacing w:after="0" w:line="153" w:lineRule="exact"/>
        <w:rPr>
          <w:sz w:val="20"/>
          <w:szCs w:val="20"/>
          <w:color w:val="auto"/>
        </w:rPr>
      </w:pPr>
    </w:p>
    <w:p>
      <w:pPr>
        <w:ind w:left="1220" w:hanging="609"/>
        <w:spacing w:after="0"/>
        <w:tabs>
          <w:tab w:leader="none" w:pos="12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Pledging</w:t>
      </w:r>
    </w:p>
    <w:p>
      <w:pPr>
        <w:spacing w:after="0" w:line="21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0"/>
          <w:szCs w:val="20"/>
          <w:color w:val="auto"/>
        </w:rPr>
        <w:t>Company Securities held in a margin account as collateral for a loan may be sold by a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w:t>
      </w:r>
    </w:p>
    <w:p>
      <w:pPr>
        <w:spacing w:after="0" w:line="170" w:lineRule="exact"/>
        <w:rPr>
          <w:sz w:val="20"/>
          <w:szCs w:val="20"/>
          <w:color w:val="auto"/>
        </w:rPr>
      </w:pPr>
    </w:p>
    <w:p>
      <w:pPr>
        <w:ind w:left="1220" w:hanging="609"/>
        <w:spacing w:after="0"/>
        <w:tabs>
          <w:tab w:leader="none" w:pos="122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Circumvention</w:t>
      </w:r>
    </w:p>
    <w:p>
      <w:pPr>
        <w:spacing w:after="0" w:line="214" w:lineRule="exact"/>
        <w:rPr>
          <w:sz w:val="20"/>
          <w:szCs w:val="20"/>
          <w:color w:val="auto"/>
        </w:rPr>
      </w:pPr>
    </w:p>
    <w:p>
      <w:pPr>
        <w:jc w:val="both"/>
        <w:ind w:right="20" w:firstLine="619"/>
        <w:spacing w:after="0" w:line="256" w:lineRule="auto"/>
        <w:rPr>
          <w:sz w:val="20"/>
          <w:szCs w:val="20"/>
          <w:color w:val="auto"/>
        </w:rPr>
      </w:pPr>
      <w:r>
        <w:rPr>
          <w:rFonts w:ascii="Times New Roman" w:cs="Times New Roman" w:eastAsia="Times New Roman" w:hAnsi="Times New Roman"/>
          <w:sz w:val="21"/>
          <w:szCs w:val="21"/>
          <w:color w:val="auto"/>
        </w:rPr>
        <w:t>No circumvention of this Policy is permitted. You may not try to accomplish indirectly what is prohibited directly by this Policy. The short-term benefits to an individual do not outweigh the potential liability that may result when an employee is involved in the illegal trading of securities.</w:t>
      </w:r>
    </w:p>
    <w:p>
      <w:pPr>
        <w:spacing w:after="0" w:line="164" w:lineRule="exact"/>
        <w:rPr>
          <w:sz w:val="20"/>
          <w:szCs w:val="20"/>
          <w:color w:val="auto"/>
        </w:rPr>
      </w:pPr>
    </w:p>
    <w:p>
      <w:pPr>
        <w:ind w:left="3440" w:hanging="623"/>
        <w:spacing w:after="0"/>
        <w:tabs>
          <w:tab w:leader="none" w:pos="344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Penalties for Insider Trading</w:t>
      </w:r>
    </w:p>
    <w:p>
      <w:pPr>
        <w:spacing w:after="0" w:line="227" w:lineRule="exact"/>
        <w:rPr>
          <w:sz w:val="20"/>
          <w:szCs w:val="20"/>
          <w:color w:val="auto"/>
        </w:rPr>
      </w:pPr>
    </w:p>
    <w:p>
      <w:pPr>
        <w:jc w:val="both"/>
        <w:ind w:right="20" w:firstLine="619"/>
        <w:spacing w:after="0" w:line="256" w:lineRule="auto"/>
        <w:rPr>
          <w:sz w:val="20"/>
          <w:szCs w:val="20"/>
          <w:color w:val="auto"/>
        </w:rPr>
      </w:pPr>
      <w:r>
        <w:rPr>
          <w:rFonts w:ascii="Times New Roman" w:cs="Times New Roman" w:eastAsia="Times New Roman" w:hAnsi="Times New Roman"/>
          <w:sz w:val="21"/>
          <w:szCs w:val="21"/>
          <w:color w:val="auto"/>
        </w:rPr>
        <w:t>Penalties for trading on or communicating material, non-public information are severe, both for individuals involved in such unlawful conduct and their employers. A person can be subject to some or all of the penalties below even if he or she does not permanently benefit from the violation. Penalties may include:</w:t>
      </w:r>
    </w:p>
    <w:p>
      <w:pPr>
        <w:spacing w:after="0" w:line="168" w:lineRule="exact"/>
        <w:rPr>
          <w:sz w:val="20"/>
          <w:szCs w:val="20"/>
          <w:color w:val="auto"/>
        </w:rPr>
      </w:pPr>
    </w:p>
    <w:p>
      <w:pPr>
        <w:ind w:left="1220" w:hanging="610"/>
        <w:spacing w:after="0"/>
        <w:tabs>
          <w:tab w:leader="none" w:pos="12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injunctions;</w:t>
      </w:r>
    </w:p>
    <w:p>
      <w:pPr>
        <w:spacing w:after="0" w:line="209" w:lineRule="exact"/>
        <w:rPr>
          <w:rFonts w:ascii="Times New Roman" w:cs="Times New Roman" w:eastAsia="Times New Roman" w:hAnsi="Times New Roman"/>
          <w:sz w:val="21"/>
          <w:szCs w:val="21"/>
          <w:color w:val="auto"/>
        </w:rPr>
      </w:pPr>
    </w:p>
    <w:p>
      <w:pPr>
        <w:ind w:left="1220" w:hanging="610"/>
        <w:spacing w:after="0"/>
        <w:tabs>
          <w:tab w:leader="none" w:pos="12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treble damages;</w:t>
      </w:r>
    </w:p>
    <w:p>
      <w:pPr>
        <w:spacing w:after="0" w:line="210" w:lineRule="exact"/>
        <w:rPr>
          <w:sz w:val="20"/>
          <w:szCs w:val="20"/>
          <w:color w:val="auto"/>
        </w:rPr>
      </w:pPr>
    </w:p>
    <w:p>
      <w:pPr>
        <w:ind w:left="4040" w:hanging="618"/>
        <w:spacing w:after="0"/>
        <w:tabs>
          <w:tab w:leader="none" w:pos="40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disgorgement of profits;</w:t>
      </w:r>
    </w:p>
    <w:p>
      <w:pPr>
        <w:spacing w:after="0" w:line="209" w:lineRule="exact"/>
        <w:rPr>
          <w:rFonts w:ascii="Times New Roman" w:cs="Times New Roman" w:eastAsia="Times New Roman" w:hAnsi="Times New Roman"/>
          <w:sz w:val="21"/>
          <w:szCs w:val="21"/>
          <w:color w:val="auto"/>
        </w:rPr>
      </w:pPr>
    </w:p>
    <w:p>
      <w:pPr>
        <w:ind w:left="1220" w:right="940" w:hanging="610"/>
        <w:spacing w:after="0" w:line="282" w:lineRule="auto"/>
        <w:tabs>
          <w:tab w:leader="none" w:pos="121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prison sentences of up to 20 years and criminal fines of up to $5 million per violation for natural persons and $25 million per violation for non- natural persons;</w:t>
      </w:r>
    </w:p>
    <w:p>
      <w:pPr>
        <w:spacing w:after="0" w:line="141" w:lineRule="exact"/>
        <w:rPr>
          <w:rFonts w:ascii="Times New Roman" w:cs="Times New Roman" w:eastAsia="Times New Roman" w:hAnsi="Times New Roman"/>
          <w:sz w:val="21"/>
          <w:szCs w:val="21"/>
          <w:color w:val="auto"/>
        </w:rPr>
      </w:pPr>
    </w:p>
    <w:p>
      <w:pPr>
        <w:ind w:left="1220" w:right="560" w:hanging="609"/>
        <w:spacing w:after="0" w:line="269" w:lineRule="auto"/>
        <w:tabs>
          <w:tab w:leader="none" w:pos="121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fines for the person who committed the violation of up to three times the profit gained or loss avoided, whether or not the person actually benefited;</w:t>
      </w:r>
    </w:p>
    <w:p>
      <w:pPr>
        <w:spacing w:after="0" w:line="154" w:lineRule="exact"/>
        <w:rPr>
          <w:rFonts w:ascii="Times New Roman" w:cs="Times New Roman" w:eastAsia="Times New Roman" w:hAnsi="Times New Roman"/>
          <w:sz w:val="21"/>
          <w:szCs w:val="21"/>
          <w:color w:val="auto"/>
        </w:rPr>
      </w:pPr>
    </w:p>
    <w:p>
      <w:pPr>
        <w:jc w:val="both"/>
        <w:ind w:left="1220" w:right="540" w:hanging="609"/>
        <w:spacing w:after="0" w:line="256" w:lineRule="auto"/>
        <w:tabs>
          <w:tab w:leader="none" w:pos="121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fines for the employer or other controlling/supervisory person of up to the greater of $1.2 million or three times the amount of the profit gained or loss avoided plus, in the case of entities, a criminal penalty of up to $2.5 million; and</w:t>
      </w:r>
    </w:p>
    <w:p>
      <w:pPr>
        <w:spacing w:after="0" w:line="181" w:lineRule="exact"/>
        <w:rPr>
          <w:rFonts w:ascii="Times New Roman" w:cs="Times New Roman" w:eastAsia="Times New Roman" w:hAnsi="Times New Roman"/>
          <w:sz w:val="21"/>
          <w:szCs w:val="21"/>
          <w:color w:val="auto"/>
        </w:rPr>
      </w:pPr>
    </w:p>
    <w:p>
      <w:pPr>
        <w:ind w:left="1220" w:right="540" w:hanging="609"/>
        <w:spacing w:after="0" w:line="269" w:lineRule="auto"/>
        <w:tabs>
          <w:tab w:leader="none" w:pos="121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criminal penalties up to 25 years in prison for knowingly executing a “scheme or artifice to defraud any person” in connection with any registered securities.</w:t>
      </w:r>
    </w:p>
    <w:p>
      <w:pPr>
        <w:spacing w:after="0" w:line="155" w:lineRule="exact"/>
        <w:rPr>
          <w:sz w:val="20"/>
          <w:szCs w:val="20"/>
          <w:color w:val="auto"/>
        </w:rPr>
      </w:pPr>
    </w:p>
    <w:p>
      <w:pPr>
        <w:ind w:right="20" w:firstLine="619"/>
        <w:spacing w:after="0" w:line="269" w:lineRule="auto"/>
        <w:rPr>
          <w:sz w:val="20"/>
          <w:szCs w:val="20"/>
          <w:color w:val="auto"/>
        </w:rPr>
      </w:pPr>
      <w:r>
        <w:rPr>
          <w:rFonts w:ascii="Times New Roman" w:cs="Times New Roman" w:eastAsia="Times New Roman" w:hAnsi="Times New Roman"/>
          <w:sz w:val="21"/>
          <w:szCs w:val="21"/>
          <w:color w:val="auto"/>
        </w:rPr>
        <w:t>In addition, any violation of this Policy can be expected to result in serious sanctions by the Company, including termination of the persons involved.</w:t>
      </w:r>
    </w:p>
    <w:p>
      <w:pPr>
        <w:sectPr>
          <w:pgSz w:w="11900" w:h="16838" w:orient="portrait"/>
          <w:cols w:equalWidth="0" w:num="1">
            <w:col w:w="10880"/>
          </w:cols>
          <w:pgMar w:left="520" w:top="1440" w:right="499" w:bottom="1440" w:gutter="0" w:footer="0" w:header="0"/>
        </w:sectPr>
      </w:pPr>
    </w:p>
    <w:bookmarkStart w:id="167" w:name="page168"/>
    <w:bookmarkEnd w:id="167"/>
    <w:p>
      <w:pPr>
        <w:spacing w:after="0" w:line="153" w:lineRule="exact"/>
        <w:rPr>
          <w:sz w:val="20"/>
          <w:szCs w:val="20"/>
          <w:color w:val="auto"/>
        </w:rPr>
      </w:pPr>
    </w:p>
    <w:p>
      <w:pPr>
        <w:ind w:left="8"/>
        <w:spacing w:after="0"/>
        <w:tabs>
          <w:tab w:leader="none" w:pos="567" w:val="left"/>
        </w:tabs>
        <w:rPr>
          <w:sz w:val="20"/>
          <w:szCs w:val="20"/>
          <w:color w:val="auto"/>
        </w:rPr>
      </w:pPr>
      <w:r>
        <w:rPr>
          <w:rFonts w:ascii="Times New Roman" w:cs="Times New Roman" w:eastAsia="Times New Roman" w:hAnsi="Times New Roman"/>
          <w:sz w:val="21"/>
          <w:szCs w:val="21"/>
          <w:b w:val="1"/>
          <w:bCs w:val="1"/>
          <w:color w:val="auto"/>
        </w:rPr>
        <w:t>IV.</w:t>
        <w:tab/>
        <w:t>Acknowledgment</w:t>
      </w:r>
    </w:p>
    <w:p>
      <w:pPr>
        <w:spacing w:after="0" w:line="214" w:lineRule="exact"/>
        <w:rPr>
          <w:sz w:val="20"/>
          <w:szCs w:val="20"/>
          <w:color w:val="auto"/>
        </w:rPr>
      </w:pPr>
    </w:p>
    <w:p>
      <w:pPr>
        <w:ind w:left="8" w:firstLine="619"/>
        <w:spacing w:after="0" w:line="269" w:lineRule="auto"/>
        <w:rPr>
          <w:sz w:val="20"/>
          <w:szCs w:val="20"/>
          <w:color w:val="auto"/>
        </w:rPr>
      </w:pPr>
      <w:r>
        <w:rPr>
          <w:rFonts w:ascii="Times New Roman" w:cs="Times New Roman" w:eastAsia="Times New Roman" w:hAnsi="Times New Roman"/>
          <w:sz w:val="21"/>
          <w:szCs w:val="21"/>
          <w:color w:val="auto"/>
        </w:rPr>
        <w:t xml:space="preserve">All Covered Persons must certify in writing using the form attached hereto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xml:space="preserve"> that they have read and intend to comply with the procedures set forth in this Policy.</w:t>
      </w:r>
    </w:p>
    <w:p>
      <w:pPr>
        <w:spacing w:after="0" w:line="155" w:lineRule="exact"/>
        <w:rPr>
          <w:sz w:val="20"/>
          <w:szCs w:val="20"/>
          <w:color w:val="auto"/>
        </w:rPr>
      </w:pPr>
    </w:p>
    <w:p>
      <w:pPr>
        <w:ind w:left="8" w:firstLine="619"/>
        <w:spacing w:after="0" w:line="269" w:lineRule="auto"/>
        <w:rPr>
          <w:sz w:val="20"/>
          <w:szCs w:val="20"/>
          <w:color w:val="auto"/>
        </w:rPr>
      </w:pPr>
      <w:r>
        <w:rPr>
          <w:rFonts w:ascii="Times New Roman" w:cs="Times New Roman" w:eastAsia="Times New Roman" w:hAnsi="Times New Roman"/>
          <w:sz w:val="21"/>
          <w:szCs w:val="21"/>
          <w:color w:val="auto"/>
        </w:rPr>
        <w:t xml:space="preserve">Additionally, in the event you decide to establish a Rule 10b5-1 trading plan, your broker- dealer will need to sign a Broker Instruction and Representation Letter in the form attached hereto as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588" w:hanging="588"/>
        <w:spacing w:after="0"/>
        <w:tabs>
          <w:tab w:leader="none" w:pos="588"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Interpretation</w:t>
      </w:r>
    </w:p>
    <w:p>
      <w:pPr>
        <w:spacing w:after="0" w:line="227" w:lineRule="exact"/>
        <w:rPr>
          <w:sz w:val="20"/>
          <w:szCs w:val="20"/>
          <w:color w:val="auto"/>
        </w:rPr>
      </w:pPr>
    </w:p>
    <w:p>
      <w:pPr>
        <w:ind w:left="8" w:right="20" w:firstLine="619"/>
        <w:spacing w:after="0" w:line="269" w:lineRule="auto"/>
        <w:rPr>
          <w:sz w:val="20"/>
          <w:szCs w:val="20"/>
          <w:color w:val="auto"/>
        </w:rPr>
      </w:pPr>
      <w:r>
        <w:rPr>
          <w:rFonts w:ascii="Times New Roman" w:cs="Times New Roman" w:eastAsia="Times New Roman" w:hAnsi="Times New Roman"/>
          <w:sz w:val="21"/>
          <w:szCs w:val="21"/>
          <w:color w:val="auto"/>
        </w:rPr>
        <w:t>This Policy should be interpreted and construed in the context of all applicable laws and the Certificate of Incorporation and Bylaws of Microvast Holdings, as well as any other corporate governance documents.</w:t>
      </w:r>
    </w:p>
    <w:p>
      <w:pPr>
        <w:spacing w:after="0" w:line="177" w:lineRule="exact"/>
        <w:rPr>
          <w:sz w:val="20"/>
          <w:szCs w:val="20"/>
          <w:color w:val="auto"/>
        </w:rPr>
      </w:pPr>
    </w:p>
    <w:p>
      <w:pPr>
        <w:ind w:left="8"/>
        <w:spacing w:after="0"/>
        <w:tabs>
          <w:tab w:leader="none" w:pos="587" w:val="left"/>
        </w:tabs>
        <w:rPr>
          <w:sz w:val="20"/>
          <w:szCs w:val="20"/>
          <w:color w:val="auto"/>
        </w:rPr>
      </w:pPr>
      <w:r>
        <w:rPr>
          <w:rFonts w:ascii="Times New Roman" w:cs="Times New Roman" w:eastAsia="Times New Roman" w:hAnsi="Times New Roman"/>
          <w:sz w:val="21"/>
          <w:szCs w:val="21"/>
          <w:b w:val="1"/>
          <w:bCs w:val="1"/>
          <w:color w:val="auto"/>
        </w:rPr>
        <w:t>VI.</w:t>
        <w:tab/>
        <w:t>Amendment; Waivers</w:t>
      </w:r>
    </w:p>
    <w:p>
      <w:pPr>
        <w:spacing w:after="0" w:line="214" w:lineRule="exact"/>
        <w:rPr>
          <w:sz w:val="20"/>
          <w:szCs w:val="20"/>
          <w:color w:val="auto"/>
        </w:rPr>
      </w:pPr>
    </w:p>
    <w:p>
      <w:pPr>
        <w:ind w:left="8" w:firstLine="619"/>
        <w:spacing w:after="0" w:line="269" w:lineRule="auto"/>
        <w:rPr>
          <w:sz w:val="20"/>
          <w:szCs w:val="20"/>
          <w:color w:val="auto"/>
        </w:rPr>
      </w:pPr>
      <w:r>
        <w:rPr>
          <w:rFonts w:ascii="Times New Roman" w:cs="Times New Roman" w:eastAsia="Times New Roman" w:hAnsi="Times New Roman"/>
          <w:sz w:val="21"/>
          <w:szCs w:val="21"/>
          <w:color w:val="auto"/>
        </w:rPr>
        <w:t>The Board reserves the right to amend this Policy at any time. The Board may grant a waiver of this Policy on a case-by-case basis but only under special circumstances.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21"/>
          <w:szCs w:val="21"/>
          <w:color w:val="auto"/>
        </w:rPr>
        <w:t>Approved and Adopted: July 23, 2021</w:t>
      </w:r>
    </w:p>
    <w:p>
      <w:pPr>
        <w:sectPr>
          <w:pgSz w:w="11900" w:h="16838" w:orient="portrait"/>
          <w:cols w:equalWidth="0" w:num="1">
            <w:col w:w="10868"/>
          </w:cols>
          <w:pgMar w:left="512" w:top="1440" w:right="519" w:bottom="1440" w:gutter="0" w:footer="0" w:header="0"/>
        </w:sectPr>
      </w:pPr>
    </w:p>
    <w:bookmarkStart w:id="168" w:name="page169"/>
    <w:bookmarkEnd w:id="168"/>
    <w:p>
      <w:pPr>
        <w:ind w:left="1018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3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21"/>
                <w:szCs w:val="21"/>
                <w:b w:val="1"/>
                <w:bCs w:val="1"/>
                <w:color w:val="auto"/>
              </w:rPr>
              <w:t>Name of Subsidiaries</w:t>
            </w:r>
          </w:p>
        </w:tc>
        <w:tc>
          <w:tcPr>
            <w:tcW w:w="492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21"/>
                <w:szCs w:val="21"/>
                <w:b w:val="1"/>
                <w:bCs w:val="1"/>
                <w:color w:val="auto"/>
                <w:w w:val="98"/>
              </w:rPr>
              <w:t>Place of Incorporation</w:t>
            </w:r>
          </w:p>
        </w:tc>
      </w:tr>
      <w:tr>
        <w:trPr>
          <w:trHeight w:val="268"/>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Solutions, Inc.</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Texas,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Systems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Power Systems UK Limited</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8"/>
              </w:rPr>
              <w:t>Cardiff, UK</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GmbH</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Germany</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Huzhou Hongwei New Energy Automobile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Huzhou Microvast Electric Vehicle Sales Service,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Energy, Inc.</w:t>
            </w:r>
          </w:p>
        </w:tc>
        <w:tc>
          <w:tcPr>
            <w:tcW w:w="4920" w:type="dxa"/>
            <w:vAlign w:val="bottom"/>
          </w:tcPr>
          <w:p>
            <w:pPr>
              <w:jc w:val="center"/>
              <w:ind w:left="577"/>
              <w:spacing w:after="0"/>
              <w:rPr>
                <w:sz w:val="20"/>
                <w:szCs w:val="20"/>
                <w:color w:val="auto"/>
              </w:rPr>
            </w:pPr>
            <w:r>
              <w:rPr>
                <w:rFonts w:ascii="Times New Roman" w:cs="Times New Roman" w:eastAsia="Times New Roman" w:hAnsi="Times New Roman"/>
                <w:sz w:val="21"/>
                <w:szCs w:val="21"/>
                <w:color w:val="auto"/>
                <w:w w:val="97"/>
              </w:rPr>
              <w:t>Colorado,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Advanced Membrane,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Advanced Materials, Inc.</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Delaware, USA</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Microvast Precision Works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r>
        <w:trPr>
          <w:trHeight w:val="284"/>
        </w:trPr>
        <w:tc>
          <w:tcPr>
            <w:tcW w:w="6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Angtai(Zhejiang) Engineering Construction Co. Ltd.</w:t>
            </w:r>
          </w:p>
        </w:tc>
        <w:tc>
          <w:tcPr>
            <w:tcW w:w="4920" w:type="dxa"/>
            <w:vAlign w:val="bottom"/>
          </w:tcPr>
          <w:p>
            <w:pPr>
              <w:jc w:val="center"/>
              <w:ind w:left="597"/>
              <w:spacing w:after="0"/>
              <w:rPr>
                <w:sz w:val="20"/>
                <w:szCs w:val="20"/>
                <w:color w:val="auto"/>
              </w:rPr>
            </w:pPr>
            <w:r>
              <w:rPr>
                <w:rFonts w:ascii="Times New Roman" w:cs="Times New Roman" w:eastAsia="Times New Roman" w:hAnsi="Times New Roman"/>
                <w:sz w:val="21"/>
                <w:szCs w:val="21"/>
                <w:color w:val="auto"/>
                <w:w w:val="97"/>
              </w:rPr>
              <w:t>Huzhou, PRC</w:t>
            </w:r>
          </w:p>
        </w:tc>
      </w:tr>
    </w:tbl>
    <w:p>
      <w:pPr>
        <w:sectPr>
          <w:pgSz w:w="11900" w:h="16838" w:orient="portrait"/>
          <w:cols w:equalWidth="0" w:num="1">
            <w:col w:w="11240"/>
          </w:cols>
          <w:pgMar w:left="320" w:top="1348"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No. 333-258978 on the post effective amendment to Form S-1 on Form S-3 and Registration Statement No. 333-259957 on Form S-8 of our reports dated March 31, 2025, relating to the financial statements of Microvast Holdings, Inc. and the effectiveness of Microvast Holdings, Inc,'s internal control over financial reporting appearing in the Annual Report on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Touche Tohmatsu Certified Public Accountants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Deloitte Touche Tohmatsu Certified Public Accountants LLP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Beijing, the People's Republic of China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31, 2025</w:t>
      </w:r>
    </w:p>
    <w:p>
      <w:pPr>
        <w:sectPr>
          <w:pgSz w:w="11900" w:h="16838" w:orient="portrait"/>
          <w:cols w:equalWidth="0" w:num="1">
            <w:col w:w="11240"/>
          </w:cols>
          <w:pgMar w:left="320" w:top="134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Yang Wu, certify that:</w:t>
      </w:r>
    </w:p>
    <w:p>
      <w:pPr>
        <w:spacing w:after="0" w:line="217" w:lineRule="exact"/>
        <w:rPr>
          <w:sz w:val="20"/>
          <w:szCs w:val="20"/>
          <w:color w:val="auto"/>
        </w:rPr>
      </w:pPr>
    </w:p>
    <w:p>
      <w:pPr>
        <w:ind w:left="620" w:hanging="307"/>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Microvast Holdings,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940" w:right="160" w:hanging="318"/>
        <w:spacing w:after="0" w:line="270" w:lineRule="auto"/>
        <w:tabs>
          <w:tab w:leader="none" w:pos="9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940" w:right="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940" w:right="8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260" w:val="left"/>
          <w:tab w:leader="none" w:pos="5960" w:val="left"/>
        </w:tabs>
        <w:rPr>
          <w:sz w:val="20"/>
          <w:szCs w:val="20"/>
          <w:color w:val="auto"/>
        </w:rPr>
      </w:pPr>
      <w:r>
        <w:rPr>
          <w:rFonts w:ascii="Times New Roman" w:cs="Times New Roman" w:eastAsia="Times New Roman" w:hAnsi="Times New Roman"/>
          <w:sz w:val="17"/>
          <w:szCs w:val="17"/>
          <w:color w:val="auto"/>
        </w:rPr>
        <w:t>Date: March 31,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41910</wp:posOffset>
            </wp:positionV>
            <wp:extent cx="333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6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Yang Wu</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9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Fariyal Khanbabi, certify that:</w:t>
      </w:r>
    </w:p>
    <w:p>
      <w:pPr>
        <w:spacing w:after="0" w:line="217" w:lineRule="exact"/>
        <w:rPr>
          <w:sz w:val="20"/>
          <w:szCs w:val="20"/>
          <w:color w:val="auto"/>
        </w:rPr>
      </w:pPr>
    </w:p>
    <w:p>
      <w:pPr>
        <w:ind w:left="620" w:hanging="307"/>
        <w:spacing w:after="0"/>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Microvast Holdings,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2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940" w:right="160" w:hanging="318"/>
        <w:spacing w:after="0" w:line="270" w:lineRule="auto"/>
        <w:tabs>
          <w:tab w:leader="none" w:pos="92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940" w:right="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940" w:right="8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260" w:val="left"/>
          <w:tab w:leader="none" w:pos="5960" w:val="left"/>
        </w:tabs>
        <w:rPr>
          <w:sz w:val="20"/>
          <w:szCs w:val="20"/>
          <w:color w:val="auto"/>
        </w:rPr>
      </w:pPr>
      <w:r>
        <w:rPr>
          <w:rFonts w:ascii="Times New Roman" w:cs="Times New Roman" w:eastAsia="Times New Roman" w:hAnsi="Times New Roman"/>
          <w:sz w:val="17"/>
          <w:szCs w:val="17"/>
          <w:color w:val="auto"/>
        </w:rPr>
        <w:t>Date: March 31,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41910</wp:posOffset>
            </wp:positionV>
            <wp:extent cx="33318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6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Fariyal Khanbabi</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099"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ADDED BY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Microvast Holdings, Inc. (the “Company”) on Form 10-K for the year ended December 31, 2024, as filed with the Securities and Exchange Commission on the date hereof (the “Report”), I, Yang Wu, Chief Executive Officer of the Company, certify, pursuant to 18 U.S.C. §1350, as added by §906 of the Sarbanes-Oxley Act of 2002, that, to the best of my knowledge:</w:t>
      </w:r>
    </w:p>
    <w:p>
      <w:pPr>
        <w:spacing w:after="0" w:line="165" w:lineRule="exact"/>
        <w:rPr>
          <w:sz w:val="20"/>
          <w:szCs w:val="20"/>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tabs>
          <w:tab w:leader="none" w:pos="5260" w:val="left"/>
          <w:tab w:leader="none" w:pos="5960" w:val="left"/>
        </w:tabs>
        <w:rPr>
          <w:sz w:val="20"/>
          <w:szCs w:val="20"/>
          <w:color w:val="auto"/>
        </w:rPr>
      </w:pPr>
      <w:r>
        <w:rPr>
          <w:rFonts w:ascii="Times New Roman" w:cs="Times New Roman" w:eastAsia="Times New Roman" w:hAnsi="Times New Roman"/>
          <w:sz w:val="17"/>
          <w:szCs w:val="17"/>
          <w:color w:val="auto"/>
        </w:rPr>
        <w:t>Date: March 31,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41910</wp:posOffset>
            </wp:positionV>
            <wp:extent cx="333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6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Yang Wu</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9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ADDED BY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Microvast Holdings, Inc. (the “Company”) on Form 10-K for the year ended December 31, 2024, as filed with the Securities and Exchange Commission on the date hereof (the “Report”), I, Fariyal Khanbabi, Chief Financial Officer of the Company, certify, pursuant to 18 U.S.C. §1350, as added by §906 of the Sarbanes-Oxley Act of 2002, that, to the best of my knowledge:</w:t>
      </w:r>
    </w:p>
    <w:p>
      <w:pPr>
        <w:spacing w:after="0" w:line="165" w:lineRule="exact"/>
        <w:rPr>
          <w:sz w:val="20"/>
          <w:szCs w:val="20"/>
          <w:color w:val="auto"/>
        </w:rPr>
      </w:pPr>
    </w:p>
    <w:p>
      <w:pPr>
        <w:ind w:left="620" w:hanging="307"/>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tabs>
          <w:tab w:leader="none" w:pos="5260" w:val="left"/>
          <w:tab w:leader="none" w:pos="5960" w:val="left"/>
        </w:tabs>
        <w:rPr>
          <w:sz w:val="20"/>
          <w:szCs w:val="20"/>
          <w:color w:val="auto"/>
        </w:rPr>
      </w:pPr>
      <w:r>
        <w:rPr>
          <w:rFonts w:ascii="Times New Roman" w:cs="Times New Roman" w:eastAsia="Times New Roman" w:hAnsi="Times New Roman"/>
          <w:sz w:val="17"/>
          <w:szCs w:val="17"/>
          <w:color w:val="auto"/>
        </w:rPr>
        <w:t>Date: March 31,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41910</wp:posOffset>
            </wp:positionV>
            <wp:extent cx="333184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3331845" cy="16510"/>
                    </a:xfrm>
                    <a:prstGeom prst="rect">
                      <a:avLst/>
                    </a:prstGeom>
                    <a:noFill/>
                  </pic:spPr>
                </pic:pic>
              </a:graphicData>
            </a:graphic>
          </wp:anchor>
        </w:drawing>
      </w:r>
    </w:p>
    <w:p>
      <w:pPr>
        <w:spacing w:after="0" w:line="8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Fariyal Khanbabi</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lvl w:ilvl="1">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lvl w:ilvl="1">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amp;"/>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7"/>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lvl w:ilvl="1">
      <w:lvlJc w:val="left"/>
      <w:lvlText w:val="%2."/>
      <w:numFmt w:val="lowerRoman"/>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2"/>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3"/>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3"/>
    </w:lvl>
  </w:abstractNum>
  <w:abstractNum w:abstractNumId="55">
    <w:nsid w:val="540A471C"/>
    <w:multiLevelType w:val="hybridMultilevel"/>
    <w:lvl w:ilvl="0">
      <w:lvlJc w:val="left"/>
      <w:lvlText w:val="(%1)"/>
      <w:numFmt w:val="decimal"/>
      <w:start w:val="1"/>
    </w:lvl>
    <w:lvl w:ilvl="1">
      <w:lvlJc w:val="left"/>
      <w:lvlText w:val="•"/>
      <w:numFmt w:val="bullet"/>
      <w:start w:val="1"/>
    </w:lvl>
  </w:abstractNum>
  <w:abstractNum w:abstractNumId="56">
    <w:nsid w:val="7BD3EE7B"/>
    <w:multiLevelType w:val="hybridMultilevel"/>
    <w:lvl w:ilvl="0">
      <w:lvlJc w:val="left"/>
      <w:lvlText w:val="(%1)"/>
      <w:numFmt w:val="decimal"/>
      <w:start w:val="1"/>
    </w:lvl>
    <w:lvl w:ilvl="1">
      <w:lvlJc w:val="left"/>
      <w:lvlText w:val="•"/>
      <w:numFmt w:val="bullet"/>
      <w:start w:val="1"/>
    </w:lvl>
  </w:abstractNum>
  <w:abstractNum w:abstractNumId="57">
    <w:nsid w:val="51D9C564"/>
    <w:multiLevelType w:val="hybridMultilevel"/>
    <w:lvl w:ilvl="0">
      <w:lvlJc w:val="left"/>
      <w:lvlText w:val="(%1)"/>
      <w:numFmt w:val="decimal"/>
      <w:start w:val="4"/>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2"/>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upperLetter"/>
      <w:start w:val="9"/>
    </w:lvl>
  </w:abstractNum>
  <w:abstractNum w:abstractNumId="66">
    <w:nsid w:val="68EB2F63"/>
    <w:multiLevelType w:val="hybridMultilevel"/>
    <w:lvl w:ilvl="0">
      <w:lvlJc w:val="left"/>
      <w:lvlText w:val="%1."/>
      <w:numFmt w:val="upperLetter"/>
      <w:start w:val="35"/>
    </w:lvl>
  </w:abstractNum>
  <w:abstractNum w:abstractNumId="67">
    <w:nsid w:val="4962813B"/>
    <w:multiLevelType w:val="hybridMultilevel"/>
    <w:lvl w:ilvl="0">
      <w:lvlJc w:val="left"/>
      <w:lvlText w:val="%1."/>
      <w:numFmt w:val="upperLetter"/>
      <w:start w:val="61"/>
    </w:lvl>
  </w:abstractNum>
  <w:abstractNum w:abstractNumId="68">
    <w:nsid w:val="60B6DF70"/>
    <w:multiLevelType w:val="hybridMultilevel"/>
    <w:lvl w:ilvl="0">
      <w:lvlJc w:val="left"/>
      <w:lvlText w:val="%1."/>
      <w:numFmt w:val="upperLetter"/>
      <w:start w:val="9"/>
    </w:lvl>
    <w:lvl w:ilvl="1">
      <w:lvlJc w:val="left"/>
      <w:lvlText w:val="%2"/>
      <w:numFmt w:val="upperLetter"/>
      <w:start w:val="1"/>
    </w:lvl>
  </w:abstractNum>
  <w:abstractNum w:abstractNumId="69">
    <w:nsid w:val="6A5EE64"/>
    <w:multiLevelType w:val="hybridMultilevel"/>
    <w:lvl w:ilvl="0">
      <w:lvlJc w:val="left"/>
      <w:lvlText w:val="%1."/>
      <w:numFmt w:val="upperLetter"/>
      <w:start w:val="2"/>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upperLetter"/>
      <w:start w:val="3"/>
    </w:lvl>
  </w:abstractNum>
  <w:abstractNum w:abstractNumId="72">
    <w:nsid w:val="1A27709E"/>
    <w:multiLevelType w:val="hybridMultilevel"/>
    <w:lvl w:ilvl="0">
      <w:lvlJc w:val="left"/>
      <w:lvlText w:val="%1."/>
      <w:numFmt w:val="upperLetter"/>
      <w:start w:val="4"/>
    </w:lvl>
  </w:abstractNum>
  <w:abstractNum w:abstractNumId="73">
    <w:nsid w:val="71EA1109"/>
    <w:multiLevelType w:val="hybridMultilevel"/>
    <w:lvl w:ilvl="0">
      <w:lvlJc w:val="left"/>
      <w:lvlText w:val="%1."/>
      <w:numFmt w:val="upperLetter"/>
      <w:start w:val="35"/>
    </w:lvl>
  </w:abstractNum>
  <w:abstractNum w:abstractNumId="74">
    <w:nsid w:val="100F59DC"/>
    <w:multiLevelType w:val="hybridMultilevel"/>
    <w:lvl w:ilvl="0">
      <w:lvlJc w:val="left"/>
      <w:lvlText w:val="%1."/>
      <w:numFmt w:val="upperLetter"/>
      <w:start w:val="1"/>
    </w:lvl>
  </w:abstractNum>
  <w:abstractNum w:abstractNumId="75">
    <w:nsid w:val="7FB7E0AA"/>
    <w:multiLevelType w:val="hybridMultilevel"/>
    <w:lvl w:ilvl="0">
      <w:lvlJc w:val="left"/>
      <w:lvlText w:val="%1."/>
      <w:numFmt w:val="upperLetter"/>
      <w:start w:val="2"/>
    </w:lvl>
  </w:abstractNum>
  <w:abstractNum w:abstractNumId="76">
    <w:nsid w:val="6EB5BD4"/>
    <w:multiLevelType w:val="hybridMultilevel"/>
    <w:lvl w:ilvl="0">
      <w:lvlJc w:val="left"/>
      <w:lvlText w:val="%1."/>
      <w:numFmt w:val="upperLetter"/>
      <w:start w:val="3"/>
    </w:lvl>
  </w:abstractNum>
  <w:abstractNum w:abstractNumId="77">
    <w:nsid w:val="6F6DD9AC"/>
    <w:multiLevelType w:val="hybridMultilevel"/>
    <w:lvl w:ilvl="0">
      <w:lvlJc w:val="left"/>
      <w:lvlText w:val="%1."/>
      <w:numFmt w:val="upperLetter"/>
      <w:start w:val="4"/>
    </w:lvl>
  </w:abstractNum>
  <w:abstractNum w:abstractNumId="78">
    <w:nsid w:val="94211F2"/>
    <w:multiLevelType w:val="hybridMultilevel"/>
    <w:lvl w:ilvl="0">
      <w:lvlJc w:val="left"/>
      <w:lvlText w:val="%1."/>
      <w:numFmt w:val="upperLetter"/>
      <w:start w:val="5"/>
    </w:lvl>
  </w:abstractNum>
  <w:abstractNum w:abstractNumId="79">
    <w:nsid w:val="885E1B"/>
    <w:multiLevelType w:val="hybridMultilevel"/>
    <w:lvl w:ilvl="0">
      <w:lvlJc w:val="left"/>
      <w:lvlText w:val="%1."/>
      <w:numFmt w:val="upperLetter"/>
      <w:start w:val="6"/>
    </w:lvl>
  </w:abstractNum>
  <w:abstractNum w:abstractNumId="80">
    <w:nsid w:val="76272110"/>
    <w:multiLevelType w:val="hybridMultilevel"/>
    <w:lvl w:ilvl="0">
      <w:lvlJc w:val="left"/>
      <w:lvlText w:val="%1."/>
      <w:numFmt w:val="upperLetter"/>
      <w:start w:val="7"/>
    </w:lvl>
  </w:abstractNum>
  <w:abstractNum w:abstractNumId="81">
    <w:nsid w:val="4C04A8AF"/>
    <w:multiLevelType w:val="hybridMultilevel"/>
    <w:lvl w:ilvl="0">
      <w:lvlJc w:val="left"/>
      <w:lvlText w:val="%1."/>
      <w:numFmt w:val="upperLetter"/>
      <w:start w:val="8"/>
    </w:lvl>
  </w:abstractNum>
  <w:abstractNum w:abstractNumId="82">
    <w:nsid w:val="1716703B"/>
    <w:multiLevelType w:val="hybridMultilevel"/>
    <w:lvl w:ilvl="0">
      <w:lvlJc w:val="left"/>
      <w:lvlText w:val="%1."/>
      <w:numFmt w:val="upperLetter"/>
      <w:start w:val="9"/>
    </w:lvl>
  </w:abstractNum>
  <w:abstractNum w:abstractNumId="83">
    <w:nsid w:val="14E17E33"/>
    <w:multiLevelType w:val="hybridMultilevel"/>
    <w:lvl w:ilvl="0">
      <w:lvlJc w:val="left"/>
      <w:lvlText w:val="%1."/>
      <w:numFmt w:val="upperLetter"/>
      <w:start w:val="10"/>
    </w:lvl>
  </w:abstractNum>
  <w:abstractNum w:abstractNumId="84">
    <w:nsid w:val="3222E7CD"/>
    <w:multiLevelType w:val="hybridMultilevel"/>
    <w:lvl w:ilvl="0">
      <w:lvlJc w:val="left"/>
      <w:lvlText w:val="%1."/>
      <w:numFmt w:val="upperLetter"/>
      <w:start w:val="11"/>
    </w:lvl>
  </w:abstractNum>
  <w:abstractNum w:abstractNumId="85">
    <w:nsid w:val="74DE0EE3"/>
    <w:multiLevelType w:val="hybridMultilevel"/>
    <w:lvl w:ilvl="0">
      <w:lvlJc w:val="left"/>
      <w:lvlText w:val="%1."/>
      <w:numFmt w:val="upperLetter"/>
      <w:start w:val="6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lvl w:ilvl="1">
      <w:lvlJc w:val="left"/>
      <w:lvlText w:val="•"/>
      <w:numFmt w:val="bullet"/>
      <w:start w:val="1"/>
    </w:lvl>
  </w:abstractNum>
  <w:abstractNum w:abstractNumId="88">
    <w:nsid w:val="46B7D447"/>
    <w:multiLevelType w:val="hybridMultilevel"/>
    <w:lvl w:ilvl="0">
      <w:lvlJc w:val="left"/>
      <w:lvlText w:val="%1."/>
      <w:numFmt w:val="upperLetter"/>
      <w:start w:val="22"/>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05" Type="http://schemas.openxmlformats.org/officeDocument/2006/relationships/hyperlink" Target="http://www.sec.gov/Archives/edgar/data/1760689/000121390021039093/ea144448ex3-1_microvast.htm" TargetMode="External"/><Relationship Id="rId206" Type="http://schemas.openxmlformats.org/officeDocument/2006/relationships/hyperlink" Target="http://www.sec.gov/Archives/edgar/data/1760689/000121390021039093/ea144448ex3-2_microvast.htm" TargetMode="External"/><Relationship Id="rId207" Type="http://schemas.openxmlformats.org/officeDocument/2006/relationships/hyperlink" Target="https://www.sec.gov/Archives/edgar/data/1760689/000176068924000007/mvst20221231-ex412.htm" TargetMode="External"/><Relationship Id="rId208" Type="http://schemas.openxmlformats.org/officeDocument/2006/relationships/hyperlink" Target="http://www.sec.gov/Archives/edgar/data/1760689/000121390021039093/ea144448ex4-4_microvast.htm" TargetMode="External"/><Relationship Id="rId209" Type="http://schemas.openxmlformats.org/officeDocument/2006/relationships/hyperlink" Target="http://www.sec.gov/Archives/edgar/data/1760689/000121390021039093/ea144448ex4-5_microvast.htm" TargetMode="External"/><Relationship Id="rId210" Type="http://schemas.openxmlformats.org/officeDocument/2006/relationships/hyperlink" Target="http://www.sec.gov/Archives/edgar/data/1760689/000121390019003155/fs12018a1ex4-4_tuscanhold.htm" TargetMode="External"/><Relationship Id="rId211" Type="http://schemas.openxmlformats.org/officeDocument/2006/relationships/hyperlink" Target="http://www.sec.gov/Archives/edgar/data/1760689/000121390021039093/ea144448ex4-1_microvast.htm" TargetMode="External"/><Relationship Id="rId212" Type="http://schemas.openxmlformats.org/officeDocument/2006/relationships/hyperlink" Target="http://www.sec.gov/Archives/edgar/data/1760689/000121390021039093/ea144448ex4-2_microvast.htm" TargetMode="External"/><Relationship Id="rId213" Type="http://schemas.openxmlformats.org/officeDocument/2006/relationships/hyperlink" Target="https://www.sec.gov/Archives/edgar/data/1760689/000176068924000021/wu_microvast-warrant.htm" TargetMode="External"/><Relationship Id="rId214" Type="http://schemas.openxmlformats.org/officeDocument/2006/relationships/hyperlink" Target="http://www.sec.gov/Archives/edgar/data/1760689/000121390021039093/ea144448ex10-1_microvast.htm" TargetMode="External"/><Relationship Id="rId215" Type="http://schemas.openxmlformats.org/officeDocument/2006/relationships/hyperlink" Target="http://www.sec.gov/Archives/edgar/data/1760689/000121390021039093/ea144448ex10-2_microvast.htm" TargetMode="External"/><Relationship Id="rId216" Type="http://schemas.openxmlformats.org/officeDocument/2006/relationships/hyperlink" Target="http://www.sec.gov/Archives/edgar/data/1760689/000121390021039093/ea144448ex10-4_microvast.htm" TargetMode="External"/><Relationship Id="rId217" Type="http://schemas.openxmlformats.org/officeDocument/2006/relationships/hyperlink" Target="https://www.sec.gov/Archives/edgar/data/1760689/000094787124000810/ss4006749_ex1001.htm" TargetMode="External"/><Relationship Id="rId218" Type="http://schemas.openxmlformats.org/officeDocument/2006/relationships/hyperlink" Target="http://www.sec.gov/Archives/edgar/data/1760689/000094787121001035/ss509645_ex9901.htm" TargetMode="External"/><Relationship Id="rId219" Type="http://schemas.openxmlformats.org/officeDocument/2006/relationships/hyperlink" Target="http://www.sec.gov/Archives/edgar/data/1760689/000121390019003155/fs12018a1ex10-6_tuscanhold.htm" TargetMode="External"/><Relationship Id="rId223" Type="http://schemas.openxmlformats.org/officeDocument/2006/relationships/hyperlink" Target="http://www.sec.gov/Archives/edgar/data/1760689/000121390021039093/ea144448ex10-13_microvast.htm" TargetMode="External"/><Relationship Id="rId224" Type="http://schemas.openxmlformats.org/officeDocument/2006/relationships/hyperlink" Target="http://www.sec.gov/Archives/edgar/data/1760689/000121390021045930/ea146734ex99-1_microvast.htm" TargetMode="External"/><Relationship Id="rId225" Type="http://schemas.openxmlformats.org/officeDocument/2006/relationships/hyperlink" Target="http://www.sec.gov/Archives/edgar/data/1760689/000121390021045930/ea146734ex99-2_microvast.htm" TargetMode="External"/><Relationship Id="rId226" Type="http://schemas.openxmlformats.org/officeDocument/2006/relationships/hyperlink" Target="http://www.sec.gov/Archives/edgar/data/1760689/000121390021045930/ea146734ex99-3_microvast.htm" TargetMode="External"/><Relationship Id="rId227" Type="http://schemas.openxmlformats.org/officeDocument/2006/relationships/hyperlink" Target="https://www.sec.gov/Archives/edgar/data/1760689/000121390022015871/f10k2021ex10-15_microvast.htm" TargetMode="External"/><Relationship Id="rId228" Type="http://schemas.openxmlformats.org/officeDocument/2006/relationships/hyperlink" Target="https://www.sec.gov/Archives/edgar/data/1760689/000176068924000021/wu_microvast-loanandsecuri.htm" TargetMode="External"/><Relationship Id="rId229" Type="http://schemas.openxmlformats.org/officeDocument/2006/relationships/hyperlink" Target="https://www.sec.gov/Archives/edgar/data/1760689/000094787124000372/ss3260888_ex1001.htm" TargetMode="External"/><Relationship Id="rId230" Type="http://schemas.openxmlformats.org/officeDocument/2006/relationships/hyperlink" Target="https://www.sec.gov/Archives/edgar/data/1760689/000176068924000021/wu_microvast-pledgeagreeme.htm" TargetMode="External"/><Relationship Id="rId231" Type="http://schemas.openxmlformats.org/officeDocument/2006/relationships/hyperlink" Target="https://www.sec.gov/Archives/edgar/data/1760689/000176068922000026/formofoptionawardagreement.htm" TargetMode="External"/><Relationship Id="rId232" Type="http://schemas.openxmlformats.org/officeDocument/2006/relationships/hyperlink" Target="https://www.sec.gov/Archives/edgar/data/1760689/000176068922000094/exhibit101-syndicatedloana.htm" TargetMode="External"/><Relationship Id="rId233" Type="http://schemas.openxmlformats.org/officeDocument/2006/relationships/hyperlink" Target="https://www.sec.gov/Archives/edgar/data/1760689/000094787124000594/ss3596815_ex1001.htm" TargetMode="External"/><Relationship Id="rId234" Type="http://schemas.openxmlformats.org/officeDocument/2006/relationships/hyperlink" Target="https://www.sec.gov/Archives/edgar/data/1760689/000094787123000839/ss2362436_ex1002.htm" TargetMode="External"/><Relationship Id="rId235" Type="http://schemas.openxmlformats.org/officeDocument/2006/relationships/hyperlink" Target="https://www.sec.gov/Archives/edgar/data/1760689/000176068924000021/wu_microvast-guarantyagree.htm" TargetMode="External"/><Relationship Id="rId236" Type="http://schemas.openxmlformats.org/officeDocument/2006/relationships/hyperlink" Target="https://www.sec.gov/Archives/edgar/data/1760689/000176068924000007/mvst-ar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2025-03-31T17:48:08Z</dcterms:created>
  <dcterms:modified xsi:type="dcterms:W3CDTF">2025-03-31T17:48:08Z</dcterms:modified>
</cp:coreProperties>
</file>