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Mattis Wenjuan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20" w:lineRule="auto"/>
        <w:rPr>
          <w:sz w:val="20"/>
          <w:szCs w:val="20"/>
          <w:color w:val="auto"/>
        </w:rPr>
      </w:pPr>
      <w:r>
        <w:rPr>
          <w:rFonts w:ascii="Times New Roman" w:cs="Times New Roman" w:eastAsia="Times New Roman" w:hAnsi="Times New Roman"/>
          <w:sz w:val="17"/>
          <w:szCs w:val="17"/>
          <w:color w:val="0000FF"/>
        </w:rPr>
        <w:t>12603 SOUTHWEST FREEWAY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Microvast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MVST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STAFFORD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77477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48,346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932,678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line represent shares of the Issuer's common stock sold by the Reporting Person to cover tax withholding obligations in connection with the settlement of restricted stock units and performance stock units granted pursuant to the Microvast Holdings, Inc. 2021 Equity Incentive Plan. The sales were to satisfy tax withholding obligations to be funded by a "sell to cover" transaction.</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Wenjuan Mattis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095" TargetMode="External"/><Relationship Id="rId14" Type="http://schemas.openxmlformats.org/officeDocument/2006/relationships/hyperlink" Target="http://www.sec.gov/cgi-bin/browse-edgar?action=getcompany&amp;CIK=0001760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2026-05-20T18:30:06Z</dcterms:created>
  <dcterms:modified xsi:type="dcterms:W3CDTF">2026-05-20T18:30:06Z</dcterms:modified>
</cp:coreProperties>
</file>