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ss6929102_def14a.htm"/>
      <w:bookmarkStart w:id="1" w:name="ksss6929102_def14a"/>
      <w:bookmarkStart w:id="2" w:name="ss6929102_def14a.htm"/>
      <w:bookmarkStart w:id="3" w:name="ksss6929102_def14a"/>
      <w:bookmarkEnd w:id="2"/>
      <w:bookmarkEnd w:id="3"/>
    </w:p>
    <w:tbl>
      <w:tblPr>
        <w:tblW w:w="10205" w:type="dxa"/>
        <w:jc w:val="left"/>
        <w:tblInd w:w="0" w:type="dxa"/>
        <w:tblLayout w:type="fixed"/>
        <w:tblCellMar>
          <w:top w:w="0" w:type="dxa"/>
          <w:left w:w="0" w:type="dxa"/>
          <w:bottom w:w="0" w:type="dxa"/>
          <w:right w:w="0" w:type="dxa"/>
        </w:tblCellMar>
      </w:tblPr>
      <w:tblGrid>
        <w:gridCol w:w="2427"/>
        <w:gridCol w:w="2523"/>
        <w:gridCol w:w="5118"/>
        <w:gridCol w:w="137"/>
      </w:tblGrid>
      <w:tr>
        <w:trPr/>
        <w:tc>
          <w:tcPr>
            <w:tcW w:w="10068" w:type="dxa"/>
            <w:gridSpan w:val="3"/>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tc>
        <w:tc>
          <w:tcPr>
            <w:tcW w:w="137" w:type="dxa"/>
            <w:tcBorders/>
            <w:vAlign w:val="center"/>
          </w:tcPr>
          <w:p>
            <w:pPr>
              <w:pStyle w:val="TableContents"/>
              <w:bidi w:val="0"/>
              <w:spacing w:before="0" w:after="283"/>
              <w:jc w:val="left"/>
              <w:rPr/>
            </w:pPr>
            <w:r>
              <w:rPr/>
              <w:t> </w:t>
            </w:r>
          </w:p>
        </w:tc>
      </w:tr>
      <w:tr>
        <w:trPr/>
        <w:tc>
          <w:tcPr>
            <w:tcW w:w="10068" w:type="dxa"/>
            <w:gridSpan w:val="3"/>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tc>
        <w:tc>
          <w:tcPr>
            <w:tcW w:w="137" w:type="dxa"/>
            <w:tcBorders/>
            <w:vAlign w:val="center"/>
          </w:tcPr>
          <w:p>
            <w:pPr>
              <w:pStyle w:val="TableContents"/>
              <w:bidi w:val="0"/>
              <w:spacing w:before="0" w:after="283"/>
              <w:jc w:val="left"/>
              <w:rPr/>
            </w:pPr>
            <w:r>
              <w:rPr/>
              <w:t> </w:t>
            </w:r>
          </w:p>
        </w:tc>
      </w:tr>
      <w:tr>
        <w:trPr/>
        <w:tc>
          <w:tcPr>
            <w:tcW w:w="10068" w:type="dxa"/>
            <w:gridSpan w:val="3"/>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tc>
        <w:tc>
          <w:tcPr>
            <w:tcW w:w="137" w:type="dxa"/>
            <w:tcBorders/>
            <w:vAlign w:val="center"/>
          </w:tcPr>
          <w:p>
            <w:pPr>
              <w:pStyle w:val="TableContents"/>
              <w:bidi w:val="0"/>
              <w:spacing w:before="0" w:after="283"/>
              <w:jc w:val="left"/>
              <w:rPr/>
            </w:pPr>
            <w:r>
              <w:rPr/>
              <w:t> </w:t>
            </w:r>
          </w:p>
        </w:tc>
      </w:tr>
      <w:tr>
        <w:trPr/>
        <w:tc>
          <w:tcPr>
            <w:tcW w:w="2427" w:type="dxa"/>
            <w:tcBorders/>
            <w:vAlign w:val="center"/>
          </w:tcPr>
          <w:p>
            <w:pPr>
              <w:pStyle w:val="TableContents"/>
              <w:bidi w:val="0"/>
              <w:spacing w:before="0" w:after="283"/>
              <w:jc w:val="left"/>
              <w:rPr>
                <w:caps w:val="false"/>
                <w:smallCaps w:val="false"/>
              </w:rPr>
            </w:pPr>
            <w:r>
              <w:rPr>
                <w:caps w:val="false"/>
                <w:smallCaps w:val="false"/>
              </w:rPr>
              <w:t> </w:t>
            </w:r>
          </w:p>
        </w:tc>
        <w:tc>
          <w:tcPr>
            <w:tcW w:w="2523" w:type="dxa"/>
            <w:tcBorders/>
            <w:vAlign w:val="center"/>
          </w:tcPr>
          <w:p>
            <w:pPr>
              <w:pStyle w:val="TableContents"/>
              <w:bidi w:val="0"/>
              <w:spacing w:before="0" w:after="283"/>
              <w:jc w:val="left"/>
              <w:rPr>
                <w:caps w:val="false"/>
                <w:smallCaps w:val="false"/>
              </w:rPr>
            </w:pPr>
            <w:r>
              <w:rPr>
                <w:caps w:val="false"/>
                <w:smallCaps w:val="false"/>
              </w:rPr>
              <w:t> </w:t>
            </w:r>
          </w:p>
        </w:tc>
        <w:tc>
          <w:tcPr>
            <w:tcW w:w="5118" w:type="dxa"/>
            <w:tcBorders/>
            <w:vAlign w:val="center"/>
          </w:tcPr>
          <w:p>
            <w:pPr>
              <w:pStyle w:val="TableContents"/>
              <w:bidi w:val="0"/>
              <w:spacing w:before="0" w:after="283"/>
              <w:jc w:val="center"/>
              <w:rPr>
                <w:caps w:val="false"/>
                <w:smallCaps w:val="false"/>
              </w:rPr>
            </w:pPr>
            <w:r>
              <w:rPr>
                <w:caps w:val="false"/>
                <w:smallCaps w:val="false"/>
              </w:rPr>
              <w:t> </w:t>
            </w:r>
          </w:p>
        </w:tc>
        <w:tc>
          <w:tcPr>
            <w:tcW w:w="137" w:type="dxa"/>
            <w:tcBorders/>
            <w:vAlign w:val="center"/>
          </w:tcPr>
          <w:p>
            <w:pPr>
              <w:pStyle w:val="TableContents"/>
              <w:bidi w:val="0"/>
              <w:spacing w:before="0" w:after="283"/>
              <w:jc w:val="left"/>
              <w:rPr/>
            </w:pPr>
            <w:r>
              <w:rPr/>
              <w:t> </w:t>
            </w:r>
          </w:p>
        </w:tc>
      </w:tr>
      <w:tr>
        <w:trPr/>
        <w:tc>
          <w:tcPr>
            <w:tcW w:w="10068" w:type="dxa"/>
            <w:gridSpan w:val="3"/>
            <w:vMerge w:val="restart"/>
            <w:tcBorders/>
            <w:vAlign w:val="center"/>
          </w:tcPr>
          <w:p>
            <w:pPr>
              <w:pStyle w:val="TableContents"/>
              <w:bidi w:val="0"/>
              <w:spacing w:lineRule="auto" w:line="333" w:before="53" w:after="53"/>
              <w:ind w:left="53" w:right="53"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w:t>
            </w:r>
          </w:p>
          <w:p>
            <w:pPr>
              <w:pStyle w:val="TableContents"/>
              <w:bidi w:val="0"/>
              <w:spacing w:lineRule="auto" w:line="333"/>
              <w:jc w:val="center"/>
              <w:rPr>
                <w:caps w:val="false"/>
                <w:smallCaps w:val="false"/>
              </w:rPr>
            </w:pPr>
            <w:r>
              <w:rPr>
                <w:caps w:val="false"/>
                <w:smallCaps w:val="false"/>
              </w:rPr>
              <w:t> </w:t>
            </w:r>
          </w:p>
          <w:p>
            <w:pPr>
              <w:pStyle w:val="TableContents"/>
              <w:bidi w:val="0"/>
              <w:spacing w:lineRule="auto" w:line="33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14A</w:t>
            </w:r>
          </w:p>
          <w:p>
            <w:pPr>
              <w:pStyle w:val="TableContents"/>
              <w:bidi w:val="0"/>
              <w:spacing w:lineRule="auto" w:line="333" w:before="0" w:after="3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w:t>
            </w:r>
          </w:p>
        </w:tc>
        <w:tc>
          <w:tcPr>
            <w:tcW w:w="137" w:type="dxa"/>
            <w:tcBorders/>
            <w:vAlign w:val="center"/>
          </w:tcPr>
          <w:p>
            <w:pPr>
              <w:pStyle w:val="TableContents"/>
              <w:bidi w:val="0"/>
              <w:spacing w:before="0" w:after="283"/>
              <w:jc w:val="left"/>
              <w:rPr/>
            </w:pPr>
            <w:r>
              <w:rPr/>
              <w:t> </w:t>
            </w:r>
          </w:p>
        </w:tc>
      </w:tr>
      <w:tr>
        <w:trPr/>
        <w:tc>
          <w:tcPr>
            <w:tcW w:w="10068" w:type="dxa"/>
            <w:gridSpan w:val="3"/>
            <w:vMerge w:val="continue"/>
            <w:tcBorders/>
            <w:vAlign w:val="center"/>
          </w:tcPr>
          <w:p>
            <w:pPr>
              <w:pStyle w:val="Normal"/>
              <w:bidi w:val="0"/>
              <w:jc w:val="left"/>
              <w:rPr/>
            </w:pPr>
            <w:r>
              <w:rPr/>
            </w:r>
          </w:p>
        </w:tc>
        <w:tc>
          <w:tcPr>
            <w:tcW w:w="137" w:type="dxa"/>
            <w:tcBorders/>
            <w:vAlign w:val="center"/>
          </w:tcPr>
          <w:p>
            <w:pPr>
              <w:pStyle w:val="TableContents"/>
              <w:bidi w:val="0"/>
              <w:spacing w:before="0" w:after="283"/>
              <w:jc w:val="left"/>
              <w:rPr/>
            </w:pPr>
            <w:r>
              <w:rPr/>
              <w:t> </w:t>
            </w:r>
          </w:p>
        </w:tc>
      </w:tr>
      <w:tr>
        <w:trPr/>
        <w:tc>
          <w:tcPr>
            <w:tcW w:w="10068" w:type="dxa"/>
            <w:gridSpan w:val="3"/>
            <w:vMerge w:val="continue"/>
            <w:tcBorders/>
            <w:vAlign w:val="center"/>
          </w:tcPr>
          <w:p>
            <w:pPr>
              <w:pStyle w:val="Normal"/>
              <w:bidi w:val="0"/>
              <w:jc w:val="left"/>
              <w:rPr/>
            </w:pPr>
            <w:r>
              <w:rPr/>
            </w:r>
          </w:p>
        </w:tc>
        <w:tc>
          <w:tcPr>
            <w:tcW w:w="137" w:type="dxa"/>
            <w:tcBorders/>
            <w:vAlign w:val="center"/>
          </w:tcPr>
          <w:p>
            <w:pPr>
              <w:pStyle w:val="TableContents"/>
              <w:bidi w:val="0"/>
              <w:spacing w:before="0" w:after="283"/>
              <w:jc w:val="left"/>
              <w:rPr/>
            </w:pPr>
            <w:r>
              <w:rPr/>
              <w:t> </w:t>
            </w:r>
          </w:p>
        </w:tc>
      </w:tr>
      <w:tr>
        <w:trPr/>
        <w:tc>
          <w:tcPr>
            <w:tcW w:w="2427" w:type="dxa"/>
            <w:tcBorders/>
            <w:vAlign w:val="center"/>
          </w:tcPr>
          <w:p>
            <w:pPr>
              <w:pStyle w:val="TableContents"/>
              <w:bidi w:val="0"/>
              <w:spacing w:before="0" w:after="283"/>
              <w:jc w:val="left"/>
              <w:rPr>
                <w:caps w:val="false"/>
                <w:smallCaps w:val="false"/>
              </w:rPr>
            </w:pPr>
            <w:r>
              <w:rPr>
                <w:caps w:val="false"/>
                <w:smallCaps w:val="false"/>
              </w:rPr>
              <w:t> </w:t>
            </w:r>
          </w:p>
        </w:tc>
        <w:tc>
          <w:tcPr>
            <w:tcW w:w="2523" w:type="dxa"/>
            <w:tcBorders/>
            <w:vAlign w:val="center"/>
          </w:tcPr>
          <w:p>
            <w:pPr>
              <w:pStyle w:val="TableContents"/>
              <w:bidi w:val="0"/>
              <w:spacing w:before="0" w:after="283"/>
              <w:jc w:val="left"/>
              <w:rPr>
                <w:caps w:val="false"/>
                <w:smallCaps w:val="false"/>
              </w:rPr>
            </w:pPr>
            <w:r>
              <w:rPr>
                <w:caps w:val="false"/>
                <w:smallCaps w:val="false"/>
              </w:rPr>
              <w:t> </w:t>
            </w:r>
          </w:p>
        </w:tc>
        <w:tc>
          <w:tcPr>
            <w:tcW w:w="5118" w:type="dxa"/>
            <w:tcBorders/>
            <w:vAlign w:val="center"/>
          </w:tcPr>
          <w:p>
            <w:pPr>
              <w:pStyle w:val="TableContents"/>
              <w:bidi w:val="0"/>
              <w:spacing w:before="0" w:after="283"/>
              <w:jc w:val="center"/>
              <w:rPr>
                <w:caps w:val="false"/>
                <w:smallCaps w:val="false"/>
              </w:rPr>
            </w:pPr>
            <w:r>
              <w:rPr>
                <w:caps w:val="false"/>
                <w:smallCaps w:val="false"/>
              </w:rPr>
              <w:t> </w:t>
            </w:r>
          </w:p>
        </w:tc>
        <w:tc>
          <w:tcPr>
            <w:tcW w:w="137" w:type="dxa"/>
            <w:tcBorders/>
            <w:vAlign w:val="center"/>
          </w:tcPr>
          <w:p>
            <w:pPr>
              <w:pStyle w:val="TableContents"/>
              <w:bidi w:val="0"/>
              <w:spacing w:before="0" w:after="283"/>
              <w:jc w:val="left"/>
              <w:rPr/>
            </w:pPr>
            <w:r>
              <w:rPr/>
              <w:t> </w:t>
            </w:r>
          </w:p>
        </w:tc>
      </w:tr>
      <w:tr>
        <w:trPr/>
        <w:tc>
          <w:tcPr>
            <w:tcW w:w="10068" w:type="dxa"/>
            <w:gridSpan w:val="3"/>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(Rule 14a-101)</w:t>
            </w:r>
          </w:p>
        </w:tc>
        <w:tc>
          <w:tcPr>
            <w:tcW w:w="137" w:type="dxa"/>
            <w:tcBorders/>
            <w:vAlign w:val="center"/>
          </w:tcPr>
          <w:p>
            <w:pPr>
              <w:pStyle w:val="TableContents"/>
              <w:bidi w:val="0"/>
              <w:spacing w:before="0" w:after="283"/>
              <w:jc w:val="left"/>
              <w:rPr/>
            </w:pPr>
            <w:r>
              <w:rPr/>
              <w:t> </w:t>
            </w:r>
          </w:p>
        </w:tc>
      </w:tr>
      <w:tr>
        <w:trPr/>
        <w:tc>
          <w:tcPr>
            <w:tcW w:w="2427" w:type="dxa"/>
            <w:tcBorders/>
            <w:vAlign w:val="center"/>
          </w:tcPr>
          <w:p>
            <w:pPr>
              <w:pStyle w:val="TableContents"/>
              <w:bidi w:val="0"/>
              <w:spacing w:before="0" w:after="283"/>
              <w:jc w:val="left"/>
              <w:rPr>
                <w:caps w:val="false"/>
                <w:smallCaps w:val="false"/>
              </w:rPr>
            </w:pPr>
            <w:r>
              <w:rPr>
                <w:caps w:val="false"/>
                <w:smallCaps w:val="false"/>
              </w:rPr>
              <w:t> </w:t>
            </w:r>
          </w:p>
        </w:tc>
        <w:tc>
          <w:tcPr>
            <w:tcW w:w="2523" w:type="dxa"/>
            <w:tcBorders/>
            <w:vAlign w:val="center"/>
          </w:tcPr>
          <w:p>
            <w:pPr>
              <w:pStyle w:val="TableContents"/>
              <w:bidi w:val="0"/>
              <w:spacing w:before="0" w:after="283"/>
              <w:jc w:val="left"/>
              <w:rPr>
                <w:caps w:val="false"/>
                <w:smallCaps w:val="false"/>
              </w:rPr>
            </w:pPr>
            <w:r>
              <w:rPr>
                <w:caps w:val="false"/>
                <w:smallCaps w:val="false"/>
              </w:rPr>
              <w:t> </w:t>
            </w:r>
          </w:p>
        </w:tc>
        <w:tc>
          <w:tcPr>
            <w:tcW w:w="5118" w:type="dxa"/>
            <w:tcBorders/>
            <w:vAlign w:val="center"/>
          </w:tcPr>
          <w:p>
            <w:pPr>
              <w:pStyle w:val="TableContents"/>
              <w:bidi w:val="0"/>
              <w:spacing w:before="0" w:after="283"/>
              <w:jc w:val="center"/>
              <w:rPr>
                <w:caps w:val="false"/>
                <w:smallCaps w:val="false"/>
              </w:rPr>
            </w:pPr>
            <w:r>
              <w:rPr>
                <w:caps w:val="false"/>
                <w:smallCaps w:val="false"/>
              </w:rPr>
              <w:t> </w:t>
            </w:r>
          </w:p>
        </w:tc>
        <w:tc>
          <w:tcPr>
            <w:tcW w:w="137" w:type="dxa"/>
            <w:tcBorders/>
            <w:vAlign w:val="center"/>
          </w:tcPr>
          <w:p>
            <w:pPr>
              <w:pStyle w:val="TableContents"/>
              <w:bidi w:val="0"/>
              <w:spacing w:before="0" w:after="283"/>
              <w:jc w:val="left"/>
              <w:rPr/>
            </w:pPr>
            <w:r>
              <w:rPr/>
              <w:t> </w:t>
            </w:r>
          </w:p>
        </w:tc>
      </w:tr>
      <w:tr>
        <w:trPr/>
        <w:tc>
          <w:tcPr>
            <w:tcW w:w="10068" w:type="dxa"/>
            <w:gridSpan w:val="3"/>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14A INFORMATION</w:t>
            </w:r>
          </w:p>
        </w:tc>
        <w:tc>
          <w:tcPr>
            <w:tcW w:w="137" w:type="dxa"/>
            <w:tcBorders/>
            <w:vAlign w:val="center"/>
          </w:tcPr>
          <w:p>
            <w:pPr>
              <w:pStyle w:val="TableContents"/>
              <w:bidi w:val="0"/>
              <w:spacing w:before="0" w:after="283"/>
              <w:jc w:val="left"/>
              <w:rPr/>
            </w:pPr>
            <w:r>
              <w:rPr/>
              <w:t> </w:t>
            </w:r>
          </w:p>
        </w:tc>
      </w:tr>
      <w:tr>
        <w:trPr/>
        <w:tc>
          <w:tcPr>
            <w:tcW w:w="2427" w:type="dxa"/>
            <w:tcBorders/>
            <w:vAlign w:val="center"/>
          </w:tcPr>
          <w:p>
            <w:pPr>
              <w:pStyle w:val="TableContents"/>
              <w:bidi w:val="0"/>
              <w:spacing w:before="0" w:after="283"/>
              <w:jc w:val="left"/>
              <w:rPr>
                <w:caps w:val="false"/>
                <w:smallCaps w:val="false"/>
              </w:rPr>
            </w:pPr>
            <w:r>
              <w:rPr>
                <w:caps w:val="false"/>
                <w:smallCaps w:val="false"/>
              </w:rPr>
              <w:t> </w:t>
            </w:r>
          </w:p>
        </w:tc>
        <w:tc>
          <w:tcPr>
            <w:tcW w:w="2523" w:type="dxa"/>
            <w:tcBorders/>
            <w:vAlign w:val="center"/>
          </w:tcPr>
          <w:p>
            <w:pPr>
              <w:pStyle w:val="TableContents"/>
              <w:bidi w:val="0"/>
              <w:spacing w:before="0" w:after="283"/>
              <w:jc w:val="left"/>
              <w:rPr>
                <w:caps w:val="false"/>
                <w:smallCaps w:val="false"/>
              </w:rPr>
            </w:pPr>
            <w:r>
              <w:rPr>
                <w:caps w:val="false"/>
                <w:smallCaps w:val="false"/>
              </w:rPr>
              <w:t> </w:t>
            </w:r>
          </w:p>
        </w:tc>
        <w:tc>
          <w:tcPr>
            <w:tcW w:w="5118" w:type="dxa"/>
            <w:tcBorders/>
            <w:vAlign w:val="center"/>
          </w:tcPr>
          <w:p>
            <w:pPr>
              <w:pStyle w:val="TableContents"/>
              <w:bidi w:val="0"/>
              <w:spacing w:before="0" w:after="283"/>
              <w:jc w:val="center"/>
              <w:rPr>
                <w:caps w:val="false"/>
                <w:smallCaps w:val="false"/>
              </w:rPr>
            </w:pPr>
            <w:r>
              <w:rPr>
                <w:caps w:val="false"/>
                <w:smallCaps w:val="false"/>
              </w:rPr>
              <w:t> </w:t>
            </w:r>
          </w:p>
        </w:tc>
        <w:tc>
          <w:tcPr>
            <w:tcW w:w="137" w:type="dxa"/>
            <w:tcBorders/>
            <w:vAlign w:val="center"/>
          </w:tcPr>
          <w:p>
            <w:pPr>
              <w:pStyle w:val="TableContents"/>
              <w:bidi w:val="0"/>
              <w:spacing w:before="0" w:after="283"/>
              <w:jc w:val="left"/>
              <w:rPr/>
            </w:pPr>
            <w:r>
              <w:rPr/>
              <w:t> </w:t>
            </w:r>
          </w:p>
        </w:tc>
      </w:tr>
      <w:tr>
        <w:trPr/>
        <w:tc>
          <w:tcPr>
            <w:tcW w:w="10068" w:type="dxa"/>
            <w:gridSpan w:val="3"/>
            <w:tcBorders/>
            <w:vAlign w:val="center"/>
          </w:tcPr>
          <w:p>
            <w:pPr>
              <w:pStyle w:val="TableContents"/>
              <w:bidi w:val="0"/>
              <w:spacing w:lineRule="auto" w:line="333" w:before="53" w:after="53"/>
              <w:ind w:left="53" w:right="53"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Proxy Statement Pursuant to Section 14(a) of</w:t>
            </w:r>
          </w:p>
          <w:p>
            <w:pPr>
              <w:pStyle w:val="TableContents"/>
              <w:bidi w:val="0"/>
              <w:spacing w:lineRule="auto" w:line="33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ableContents"/>
              <w:bidi w:val="0"/>
              <w:spacing w:lineRule="auto" w:line="333" w:before="0" w:after="3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 No.)</w:t>
            </w:r>
          </w:p>
        </w:tc>
        <w:tc>
          <w:tcPr>
            <w:tcW w:w="137" w:type="dxa"/>
            <w:tcBorders/>
            <w:vAlign w:val="center"/>
          </w:tcPr>
          <w:p>
            <w:pPr>
              <w:pStyle w:val="TableContents"/>
              <w:bidi w:val="0"/>
              <w:spacing w:before="0" w:after="283"/>
              <w:jc w:val="left"/>
              <w:rPr/>
            </w:pPr>
            <w:r>
              <w:rPr/>
              <w:t> </w:t>
            </w:r>
          </w:p>
        </w:tc>
      </w:tr>
      <w:tr>
        <w:trPr/>
        <w:tc>
          <w:tcPr>
            <w:tcW w:w="2427"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2523"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118"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7" w:type="dxa"/>
            <w:tcBorders/>
            <w:vAlign w:val="center"/>
          </w:tcPr>
          <w:p>
            <w:pPr>
              <w:pStyle w:val="TableContents"/>
              <w:bidi w:val="0"/>
              <w:spacing w:before="0" w:after="283"/>
              <w:jc w:val="left"/>
              <w:rPr/>
            </w:pPr>
            <w:r>
              <w:rPr/>
              <w:t> </w:t>
            </w:r>
          </w:p>
        </w:tc>
      </w:tr>
      <w:tr>
        <w:trPr/>
        <w:tc>
          <w:tcPr>
            <w:tcW w:w="2427" w:type="dxa"/>
            <w:tcBorders/>
            <w:vAlign w:val="center"/>
          </w:tcPr>
          <w:p>
            <w:pPr>
              <w:pStyle w:val="TableContents"/>
              <w:bidi w:val="0"/>
              <w:spacing w:before="0" w:after="283"/>
              <w:jc w:val="left"/>
              <w:rPr>
                <w:caps w:val="false"/>
                <w:smallCaps w:val="false"/>
              </w:rPr>
            </w:pPr>
            <w:r>
              <w:rPr>
                <w:caps w:val="false"/>
                <w:smallCaps w:val="false"/>
              </w:rPr>
              <w:t> </w:t>
            </w:r>
          </w:p>
        </w:tc>
        <w:tc>
          <w:tcPr>
            <w:tcW w:w="2523" w:type="dxa"/>
            <w:tcBorders/>
            <w:vAlign w:val="center"/>
          </w:tcPr>
          <w:p>
            <w:pPr>
              <w:pStyle w:val="TableContents"/>
              <w:bidi w:val="0"/>
              <w:spacing w:before="0" w:after="283"/>
              <w:jc w:val="left"/>
              <w:rPr>
                <w:caps w:val="false"/>
                <w:smallCaps w:val="false"/>
              </w:rPr>
            </w:pPr>
            <w:r>
              <w:rPr>
                <w:caps w:val="false"/>
                <w:smallCaps w:val="false"/>
              </w:rPr>
              <w:t> </w:t>
            </w:r>
          </w:p>
        </w:tc>
        <w:tc>
          <w:tcPr>
            <w:tcW w:w="5118" w:type="dxa"/>
            <w:tcBorders/>
            <w:vAlign w:val="center"/>
          </w:tcPr>
          <w:p>
            <w:pPr>
              <w:pStyle w:val="TableContents"/>
              <w:bidi w:val="0"/>
              <w:spacing w:before="0" w:after="283"/>
              <w:jc w:val="left"/>
              <w:rPr>
                <w:caps w:val="false"/>
                <w:smallCaps w:val="false"/>
              </w:rPr>
            </w:pPr>
            <w:r>
              <w:rPr>
                <w:caps w:val="false"/>
                <w:smallCaps w:val="false"/>
              </w:rPr>
              <w:t> </w:t>
            </w:r>
          </w:p>
        </w:tc>
        <w:tc>
          <w:tcPr>
            <w:tcW w:w="137" w:type="dxa"/>
            <w:tcBorders/>
            <w:vAlign w:val="center"/>
          </w:tcPr>
          <w:p>
            <w:pPr>
              <w:pStyle w:val="TableContents"/>
              <w:bidi w:val="0"/>
              <w:spacing w:before="0" w:after="283"/>
              <w:jc w:val="left"/>
              <w:rPr/>
            </w:pPr>
            <w:r>
              <w:rPr/>
              <w:t> </w:t>
            </w:r>
          </w:p>
        </w:tc>
      </w:tr>
      <w:tr>
        <w:trPr/>
        <w:tc>
          <w:tcPr>
            <w:tcW w:w="2427" w:type="dxa"/>
            <w:tcBorders/>
            <w:vAlign w:val="center"/>
          </w:tcPr>
          <w:p>
            <w:pPr>
              <w:pStyle w:val="TableContents"/>
              <w:bidi w:val="0"/>
              <w:spacing w:before="0" w:after="283"/>
              <w:jc w:val="left"/>
              <w:rPr>
                <w:caps w:val="false"/>
                <w:smallCaps w:val="false"/>
              </w:rPr>
            </w:pPr>
            <w:r>
              <w:rPr>
                <w:caps w:val="false"/>
                <w:smallCaps w:val="false"/>
              </w:rPr>
              <w:t> </w:t>
            </w:r>
          </w:p>
        </w:tc>
        <w:tc>
          <w:tcPr>
            <w:tcW w:w="2523" w:type="dxa"/>
            <w:tcBorders/>
            <w:vAlign w:val="center"/>
          </w:tcPr>
          <w:p>
            <w:pPr>
              <w:pStyle w:val="TableContents"/>
              <w:bidi w:val="0"/>
              <w:spacing w:before="0" w:after="283"/>
              <w:jc w:val="left"/>
              <w:rPr>
                <w:caps w:val="false"/>
                <w:smallCaps w:val="false"/>
              </w:rPr>
            </w:pPr>
            <w:r>
              <w:rPr>
                <w:caps w:val="false"/>
                <w:smallCaps w:val="false"/>
              </w:rPr>
              <w:t> </w:t>
            </w:r>
          </w:p>
        </w:tc>
        <w:tc>
          <w:tcPr>
            <w:tcW w:w="5118" w:type="dxa"/>
            <w:tcBorders/>
            <w:vAlign w:val="center"/>
          </w:tcPr>
          <w:p>
            <w:pPr>
              <w:pStyle w:val="TableContents"/>
              <w:bidi w:val="0"/>
              <w:spacing w:before="0" w:after="283"/>
              <w:jc w:val="left"/>
              <w:rPr>
                <w:caps w:val="false"/>
                <w:smallCaps w:val="false"/>
              </w:rPr>
            </w:pPr>
            <w:r>
              <w:rPr>
                <w:caps w:val="false"/>
                <w:smallCaps w:val="false"/>
              </w:rPr>
              <w:t> </w:t>
            </w:r>
          </w:p>
        </w:tc>
        <w:tc>
          <w:tcPr>
            <w:tcW w:w="137" w:type="dxa"/>
            <w:tcBorders/>
            <w:vAlign w:val="center"/>
          </w:tcPr>
          <w:p>
            <w:pPr>
              <w:pStyle w:val="TableContents"/>
              <w:bidi w:val="0"/>
              <w:spacing w:before="0" w:after="283"/>
              <w:jc w:val="left"/>
              <w:rPr/>
            </w:pPr>
            <w:r>
              <w:rPr/>
              <w:t> </w:t>
            </w:r>
          </w:p>
        </w:tc>
      </w:tr>
      <w:tr>
        <w:trPr/>
        <w:tc>
          <w:tcPr>
            <w:tcW w:w="495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the Registrant</w:t>
            </w:r>
          </w:p>
        </w:tc>
        <w:tc>
          <w:tcPr>
            <w:tcW w:w="5118" w:type="dxa"/>
            <w:tcBorders/>
            <w:vAlign w:val="center"/>
          </w:tcPr>
          <w:p>
            <w:pPr>
              <w:pStyle w:val="TableContents"/>
              <w:bidi w:val="0"/>
              <w:spacing w:before="0" w:after="283"/>
              <w:jc w:val="left"/>
              <w:rPr>
                <w:caps w:val="false"/>
                <w:smallCaps w:val="false"/>
              </w:rPr>
            </w:pPr>
            <w:r>
              <w:rPr>
                <w:caps w:val="false"/>
                <w:smallCaps w:val="false"/>
              </w:rPr>
              <w:t>☑</w:t>
            </w:r>
          </w:p>
        </w:tc>
        <w:tc>
          <w:tcPr>
            <w:tcW w:w="137" w:type="dxa"/>
            <w:tcBorders/>
            <w:vAlign w:val="center"/>
          </w:tcPr>
          <w:p>
            <w:pPr>
              <w:pStyle w:val="TableContents"/>
              <w:bidi w:val="0"/>
              <w:spacing w:before="0" w:after="283"/>
              <w:jc w:val="left"/>
              <w:rPr/>
            </w:pPr>
            <w:r>
              <w:rPr/>
              <w:t> </w:t>
            </w:r>
          </w:p>
        </w:tc>
      </w:tr>
      <w:tr>
        <w:trPr/>
        <w:tc>
          <w:tcPr>
            <w:tcW w:w="495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a Party Other than the Registrant</w:t>
            </w:r>
          </w:p>
        </w:tc>
        <w:tc>
          <w:tcPr>
            <w:tcW w:w="5118" w:type="dxa"/>
            <w:tcBorders/>
            <w:vAlign w:val="center"/>
          </w:tcPr>
          <w:p>
            <w:pPr>
              <w:pStyle w:val="TableContents"/>
              <w:bidi w:val="0"/>
              <w:spacing w:before="0" w:after="283"/>
              <w:jc w:val="left"/>
              <w:rPr>
                <w:caps w:val="false"/>
                <w:smallCaps w:val="false"/>
              </w:rPr>
            </w:pPr>
            <w:r>
              <w:rPr>
                <w:caps w:val="false"/>
                <w:smallCaps w:val="false"/>
              </w:rPr>
              <w:t>☐</w:t>
            </w:r>
          </w:p>
        </w:tc>
        <w:tc>
          <w:tcPr>
            <w:tcW w:w="137" w:type="dxa"/>
            <w:tcBorders/>
            <w:vAlign w:val="center"/>
          </w:tcPr>
          <w:p>
            <w:pPr>
              <w:pStyle w:val="TableContents"/>
              <w:bidi w:val="0"/>
              <w:spacing w:before="0" w:after="283"/>
              <w:jc w:val="left"/>
              <w:rPr/>
            </w:pPr>
            <w:r>
              <w:rPr/>
              <w:t> </w:t>
            </w:r>
          </w:p>
        </w:tc>
      </w:tr>
      <w:tr>
        <w:trPr/>
        <w:tc>
          <w:tcPr>
            <w:tcW w:w="2427" w:type="dxa"/>
            <w:tcBorders/>
            <w:vAlign w:val="center"/>
          </w:tcPr>
          <w:p>
            <w:pPr>
              <w:pStyle w:val="TableContents"/>
              <w:bidi w:val="0"/>
              <w:spacing w:before="0" w:after="283"/>
              <w:jc w:val="left"/>
              <w:rPr>
                <w:caps w:val="false"/>
                <w:smallCaps w:val="false"/>
              </w:rPr>
            </w:pPr>
            <w:r>
              <w:rPr>
                <w:caps w:val="false"/>
                <w:smallCaps w:val="false"/>
              </w:rPr>
              <w:t> </w:t>
            </w:r>
          </w:p>
        </w:tc>
        <w:tc>
          <w:tcPr>
            <w:tcW w:w="2523" w:type="dxa"/>
            <w:tcBorders/>
            <w:vAlign w:val="center"/>
          </w:tcPr>
          <w:p>
            <w:pPr>
              <w:pStyle w:val="TableContents"/>
              <w:bidi w:val="0"/>
              <w:spacing w:before="0" w:after="283"/>
              <w:jc w:val="left"/>
              <w:rPr>
                <w:caps w:val="false"/>
                <w:smallCaps w:val="false"/>
              </w:rPr>
            </w:pPr>
            <w:r>
              <w:rPr>
                <w:caps w:val="false"/>
                <w:smallCaps w:val="false"/>
              </w:rPr>
              <w:t> </w:t>
            </w:r>
          </w:p>
        </w:tc>
        <w:tc>
          <w:tcPr>
            <w:tcW w:w="5118" w:type="dxa"/>
            <w:tcBorders/>
            <w:vAlign w:val="center"/>
          </w:tcPr>
          <w:p>
            <w:pPr>
              <w:pStyle w:val="TableContents"/>
              <w:bidi w:val="0"/>
              <w:spacing w:before="0" w:after="283"/>
              <w:jc w:val="left"/>
              <w:rPr>
                <w:caps w:val="false"/>
                <w:smallCaps w:val="false"/>
              </w:rPr>
            </w:pPr>
            <w:r>
              <w:rPr>
                <w:caps w:val="false"/>
                <w:smallCaps w:val="false"/>
              </w:rPr>
              <w:t> </w:t>
            </w:r>
          </w:p>
        </w:tc>
        <w:tc>
          <w:tcPr>
            <w:tcW w:w="137" w:type="dxa"/>
            <w:tcBorders/>
            <w:vAlign w:val="center"/>
          </w:tcPr>
          <w:p>
            <w:pPr>
              <w:pStyle w:val="TableContents"/>
              <w:bidi w:val="0"/>
              <w:spacing w:before="0" w:after="283"/>
              <w:jc w:val="left"/>
              <w:rPr/>
            </w:pPr>
            <w:r>
              <w:rPr/>
              <w:t> </w:t>
            </w:r>
          </w:p>
        </w:tc>
      </w:tr>
      <w:tr>
        <w:trPr/>
        <w:tc>
          <w:tcPr>
            <w:tcW w:w="10068" w:type="dxa"/>
            <w:gridSpan w:val="3"/>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w:t>
            </w:r>
          </w:p>
        </w:tc>
        <w:tc>
          <w:tcPr>
            <w:tcW w:w="137" w:type="dxa"/>
            <w:tcBorders/>
            <w:vAlign w:val="center"/>
          </w:tcPr>
          <w:p>
            <w:pPr>
              <w:pStyle w:val="TableContents"/>
              <w:bidi w:val="0"/>
              <w:spacing w:before="0" w:after="283"/>
              <w:jc w:val="left"/>
              <w:rPr/>
            </w:pPr>
            <w:r>
              <w:rPr/>
              <w:t> </w:t>
            </w:r>
          </w:p>
        </w:tc>
      </w:tr>
      <w:tr>
        <w:trPr/>
        <w:tc>
          <w:tcPr>
            <w:tcW w:w="2427" w:type="dxa"/>
            <w:tcBorders/>
            <w:vAlign w:val="center"/>
          </w:tcPr>
          <w:p>
            <w:pPr>
              <w:pStyle w:val="TableContents"/>
              <w:bidi w:val="0"/>
              <w:spacing w:before="0" w:after="283"/>
              <w:jc w:val="left"/>
              <w:rPr>
                <w:caps w:val="false"/>
                <w:smallCaps w:val="false"/>
              </w:rPr>
            </w:pPr>
            <w:r>
              <w:rPr>
                <w:caps w:val="false"/>
                <w:smallCaps w:val="false"/>
              </w:rPr>
              <w:t>☐</w:t>
            </w:r>
          </w:p>
        </w:tc>
        <w:tc>
          <w:tcPr>
            <w:tcW w:w="7641"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Preliminary Proxy Statement</w:t>
            </w:r>
          </w:p>
        </w:tc>
        <w:tc>
          <w:tcPr>
            <w:tcW w:w="137" w:type="dxa"/>
            <w:tcBorders/>
            <w:vAlign w:val="center"/>
          </w:tcPr>
          <w:p>
            <w:pPr>
              <w:pStyle w:val="TableContents"/>
              <w:bidi w:val="0"/>
              <w:spacing w:before="0" w:after="283"/>
              <w:jc w:val="left"/>
              <w:rPr/>
            </w:pPr>
            <w:r>
              <w:rPr/>
              <w:t> </w:t>
            </w:r>
          </w:p>
        </w:tc>
      </w:tr>
      <w:tr>
        <w:trPr/>
        <w:tc>
          <w:tcPr>
            <w:tcW w:w="2427" w:type="dxa"/>
            <w:tcBorders/>
            <w:vAlign w:val="center"/>
          </w:tcPr>
          <w:p>
            <w:pPr>
              <w:pStyle w:val="TableContents"/>
              <w:bidi w:val="0"/>
              <w:spacing w:before="0" w:after="283"/>
              <w:jc w:val="left"/>
              <w:rPr>
                <w:caps w:val="false"/>
                <w:smallCaps w:val="false"/>
              </w:rPr>
            </w:pPr>
            <w:r>
              <w:rPr>
                <w:caps w:val="false"/>
                <w:smallCaps w:val="false"/>
              </w:rPr>
              <w:t>☐</w:t>
            </w:r>
          </w:p>
        </w:tc>
        <w:tc>
          <w:tcPr>
            <w:tcW w:w="7641"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Confidential, for Use of the Commission Only (as permitted by Rule 14a-6(e)(2))</w:t>
            </w:r>
          </w:p>
        </w:tc>
        <w:tc>
          <w:tcPr>
            <w:tcW w:w="137" w:type="dxa"/>
            <w:tcBorders/>
            <w:vAlign w:val="center"/>
          </w:tcPr>
          <w:p>
            <w:pPr>
              <w:pStyle w:val="TableContents"/>
              <w:bidi w:val="0"/>
              <w:spacing w:before="0" w:after="283"/>
              <w:jc w:val="left"/>
              <w:rPr/>
            </w:pPr>
            <w:r>
              <w:rPr/>
              <w:t> </w:t>
            </w:r>
          </w:p>
        </w:tc>
      </w:tr>
      <w:tr>
        <w:trPr/>
        <w:tc>
          <w:tcPr>
            <w:tcW w:w="2427" w:type="dxa"/>
            <w:tcBorders/>
            <w:vAlign w:val="center"/>
          </w:tcPr>
          <w:p>
            <w:pPr>
              <w:pStyle w:val="TableContents"/>
              <w:bidi w:val="0"/>
              <w:spacing w:before="0" w:after="283"/>
              <w:jc w:val="left"/>
              <w:rPr>
                <w:caps w:val="false"/>
                <w:smallCaps w:val="false"/>
              </w:rPr>
            </w:pPr>
            <w:r>
              <w:rPr>
                <w:caps w:val="false"/>
                <w:smallCaps w:val="false"/>
              </w:rPr>
              <w:t>☑</w:t>
            </w:r>
          </w:p>
        </w:tc>
        <w:tc>
          <w:tcPr>
            <w:tcW w:w="7641"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Definitive Proxy Statement</w:t>
            </w:r>
          </w:p>
        </w:tc>
        <w:tc>
          <w:tcPr>
            <w:tcW w:w="137" w:type="dxa"/>
            <w:tcBorders/>
            <w:vAlign w:val="center"/>
          </w:tcPr>
          <w:p>
            <w:pPr>
              <w:pStyle w:val="TableContents"/>
              <w:bidi w:val="0"/>
              <w:spacing w:before="0" w:after="283"/>
              <w:jc w:val="left"/>
              <w:rPr/>
            </w:pPr>
            <w:r>
              <w:rPr/>
              <w:t> </w:t>
            </w:r>
          </w:p>
        </w:tc>
      </w:tr>
      <w:tr>
        <w:trPr/>
        <w:tc>
          <w:tcPr>
            <w:tcW w:w="2427" w:type="dxa"/>
            <w:tcBorders/>
            <w:vAlign w:val="center"/>
          </w:tcPr>
          <w:p>
            <w:pPr>
              <w:pStyle w:val="TableContents"/>
              <w:bidi w:val="0"/>
              <w:spacing w:before="0" w:after="283"/>
              <w:jc w:val="left"/>
              <w:rPr>
                <w:caps w:val="false"/>
                <w:smallCaps w:val="false"/>
              </w:rPr>
            </w:pPr>
            <w:r>
              <w:rPr>
                <w:caps w:val="false"/>
                <w:smallCaps w:val="false"/>
              </w:rPr>
              <w:t>☐</w:t>
            </w:r>
          </w:p>
        </w:tc>
        <w:tc>
          <w:tcPr>
            <w:tcW w:w="7641"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Definitive Additional Materials</w:t>
            </w:r>
          </w:p>
        </w:tc>
        <w:tc>
          <w:tcPr>
            <w:tcW w:w="137" w:type="dxa"/>
            <w:tcBorders/>
            <w:vAlign w:val="center"/>
          </w:tcPr>
          <w:p>
            <w:pPr>
              <w:pStyle w:val="TableContents"/>
              <w:bidi w:val="0"/>
              <w:spacing w:before="0" w:after="283"/>
              <w:jc w:val="left"/>
              <w:rPr/>
            </w:pPr>
            <w:r>
              <w:rPr/>
              <w:t> </w:t>
            </w:r>
          </w:p>
        </w:tc>
      </w:tr>
      <w:tr>
        <w:trPr/>
        <w:tc>
          <w:tcPr>
            <w:tcW w:w="2427" w:type="dxa"/>
            <w:tcBorders/>
            <w:vAlign w:val="center"/>
          </w:tcPr>
          <w:p>
            <w:pPr>
              <w:pStyle w:val="TableContents"/>
              <w:bidi w:val="0"/>
              <w:spacing w:before="0" w:after="283"/>
              <w:jc w:val="left"/>
              <w:rPr>
                <w:caps w:val="false"/>
                <w:smallCaps w:val="false"/>
              </w:rPr>
            </w:pPr>
            <w:r>
              <w:rPr>
                <w:caps w:val="false"/>
                <w:smallCaps w:val="false"/>
              </w:rPr>
              <w:t>☐</w:t>
            </w:r>
          </w:p>
        </w:tc>
        <w:tc>
          <w:tcPr>
            <w:tcW w:w="7641"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under §240.14a-12</w:t>
            </w:r>
          </w:p>
        </w:tc>
        <w:tc>
          <w:tcPr>
            <w:tcW w:w="137" w:type="dxa"/>
            <w:tcBorders/>
            <w:vAlign w:val="center"/>
          </w:tcPr>
          <w:p>
            <w:pPr>
              <w:pStyle w:val="TableContents"/>
              <w:bidi w:val="0"/>
              <w:spacing w:before="0" w:after="283"/>
              <w:jc w:val="left"/>
              <w:rPr/>
            </w:pPr>
            <w:r>
              <w:rPr/>
              <w:t> </w:t>
            </w:r>
          </w:p>
        </w:tc>
      </w:tr>
      <w:tr>
        <w:trPr/>
        <w:tc>
          <w:tcPr>
            <w:tcW w:w="2427" w:type="dxa"/>
            <w:tcBorders/>
            <w:vAlign w:val="center"/>
          </w:tcPr>
          <w:p>
            <w:pPr>
              <w:pStyle w:val="TableContents"/>
              <w:bidi w:val="0"/>
              <w:spacing w:before="0" w:after="283"/>
              <w:jc w:val="left"/>
              <w:rPr>
                <w:caps w:val="false"/>
                <w:smallCaps w:val="false"/>
              </w:rPr>
            </w:pPr>
            <w:r>
              <w:rPr>
                <w:caps w:val="false"/>
                <w:smallCaps w:val="false"/>
              </w:rPr>
              <w:t> </w:t>
            </w:r>
          </w:p>
        </w:tc>
        <w:tc>
          <w:tcPr>
            <w:tcW w:w="2523" w:type="dxa"/>
            <w:tcBorders/>
            <w:vAlign w:val="center"/>
          </w:tcPr>
          <w:p>
            <w:pPr>
              <w:pStyle w:val="TableContents"/>
              <w:bidi w:val="0"/>
              <w:spacing w:before="0" w:after="283"/>
              <w:jc w:val="left"/>
              <w:rPr>
                <w:caps w:val="false"/>
                <w:smallCaps w:val="false"/>
              </w:rPr>
            </w:pPr>
            <w:r>
              <w:rPr>
                <w:caps w:val="false"/>
                <w:smallCaps w:val="false"/>
              </w:rPr>
              <w:t> </w:t>
            </w:r>
          </w:p>
        </w:tc>
        <w:tc>
          <w:tcPr>
            <w:tcW w:w="5118" w:type="dxa"/>
            <w:tcBorders/>
            <w:vAlign w:val="center"/>
          </w:tcPr>
          <w:p>
            <w:pPr>
              <w:pStyle w:val="TableContents"/>
              <w:bidi w:val="0"/>
              <w:spacing w:before="0" w:after="283"/>
              <w:jc w:val="left"/>
              <w:rPr>
                <w:caps w:val="false"/>
                <w:smallCaps w:val="false"/>
              </w:rPr>
            </w:pPr>
            <w:r>
              <w:rPr>
                <w:caps w:val="false"/>
                <w:smallCaps w:val="false"/>
              </w:rPr>
              <w:t> </w:t>
            </w:r>
          </w:p>
        </w:tc>
        <w:tc>
          <w:tcPr>
            <w:tcW w:w="137" w:type="dxa"/>
            <w:tcBorders/>
            <w:vAlign w:val="center"/>
          </w:tcPr>
          <w:p>
            <w:pPr>
              <w:pStyle w:val="TableContents"/>
              <w:bidi w:val="0"/>
              <w:spacing w:before="0" w:after="283"/>
              <w:jc w:val="left"/>
              <w:rPr/>
            </w:pPr>
            <w:r>
              <w:rPr/>
              <w:t> </w:t>
            </w:r>
          </w:p>
        </w:tc>
      </w:tr>
      <w:tr>
        <w:trPr/>
        <w:tc>
          <w:tcPr>
            <w:tcW w:w="2427" w:type="dxa"/>
            <w:tcBorders/>
            <w:vAlign w:val="center"/>
          </w:tcPr>
          <w:p>
            <w:pPr>
              <w:pStyle w:val="TableContents"/>
              <w:bidi w:val="0"/>
              <w:spacing w:before="0" w:after="283"/>
              <w:jc w:val="left"/>
              <w:rPr>
                <w:caps w:val="false"/>
                <w:smallCaps w:val="false"/>
              </w:rPr>
            </w:pPr>
            <w:r>
              <w:rPr>
                <w:caps w:val="false"/>
                <w:smallCaps w:val="false"/>
              </w:rPr>
              <w:t> </w:t>
            </w:r>
          </w:p>
        </w:tc>
        <w:tc>
          <w:tcPr>
            <w:tcW w:w="2523" w:type="dxa"/>
            <w:tcBorders/>
            <w:vAlign w:val="center"/>
          </w:tcPr>
          <w:p>
            <w:pPr>
              <w:pStyle w:val="TableContents"/>
              <w:bidi w:val="0"/>
              <w:spacing w:before="0" w:after="283"/>
              <w:jc w:val="left"/>
              <w:rPr>
                <w:caps w:val="false"/>
                <w:smallCaps w:val="false"/>
              </w:rPr>
            </w:pPr>
            <w:r>
              <w:rPr>
                <w:caps w:val="false"/>
                <w:smallCaps w:val="false"/>
              </w:rPr>
              <w:t> </w:t>
            </w:r>
          </w:p>
        </w:tc>
        <w:tc>
          <w:tcPr>
            <w:tcW w:w="5118" w:type="dxa"/>
            <w:tcBorders/>
            <w:vAlign w:val="center"/>
          </w:tcPr>
          <w:p>
            <w:pPr>
              <w:pStyle w:val="TableContents"/>
              <w:bidi w:val="0"/>
              <w:spacing w:before="0" w:after="283"/>
              <w:jc w:val="left"/>
              <w:rPr>
                <w:caps w:val="false"/>
                <w:smallCaps w:val="false"/>
              </w:rPr>
            </w:pPr>
            <w:r>
              <w:rPr>
                <w:caps w:val="false"/>
                <w:smallCaps w:val="false"/>
              </w:rPr>
              <w:t> </w:t>
            </w:r>
          </w:p>
        </w:tc>
        <w:tc>
          <w:tcPr>
            <w:tcW w:w="137" w:type="dxa"/>
            <w:tcBorders/>
            <w:vAlign w:val="center"/>
          </w:tcPr>
          <w:p>
            <w:pPr>
              <w:pStyle w:val="TableContents"/>
              <w:bidi w:val="0"/>
              <w:spacing w:before="0" w:after="283"/>
              <w:jc w:val="left"/>
              <w:rPr/>
            </w:pPr>
            <w:r>
              <w:rPr/>
              <w:t> </w:t>
            </w:r>
          </w:p>
        </w:tc>
      </w:tr>
      <w:tr>
        <w:trPr/>
        <w:tc>
          <w:tcPr>
            <w:tcW w:w="10068" w:type="dxa"/>
            <w:gridSpan w:val="3"/>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MICROVAST HOLDINGS, INC.</w:t>
            </w:r>
          </w:p>
        </w:tc>
        <w:tc>
          <w:tcPr>
            <w:tcW w:w="137" w:type="dxa"/>
            <w:tcBorders/>
            <w:vAlign w:val="center"/>
          </w:tcPr>
          <w:p>
            <w:pPr>
              <w:pStyle w:val="TableContents"/>
              <w:bidi w:val="0"/>
              <w:spacing w:before="0" w:after="283"/>
              <w:jc w:val="left"/>
              <w:rPr/>
            </w:pPr>
            <w:r>
              <w:rPr/>
              <w:t> </w:t>
            </w:r>
          </w:p>
        </w:tc>
      </w:tr>
      <w:tr>
        <w:trPr/>
        <w:tc>
          <w:tcPr>
            <w:tcW w:w="10068" w:type="dxa"/>
            <w:gridSpan w:val="3"/>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Registrant as Specified in its Charter)</w:t>
            </w:r>
          </w:p>
        </w:tc>
        <w:tc>
          <w:tcPr>
            <w:tcW w:w="137" w:type="dxa"/>
            <w:tcBorders/>
            <w:vAlign w:val="center"/>
          </w:tcPr>
          <w:p>
            <w:pPr>
              <w:pStyle w:val="TableContents"/>
              <w:bidi w:val="0"/>
              <w:spacing w:before="0" w:after="283"/>
              <w:jc w:val="left"/>
              <w:rPr/>
            </w:pPr>
            <w:r>
              <w:rPr/>
              <w:t> </w:t>
            </w:r>
          </w:p>
        </w:tc>
      </w:tr>
      <w:tr>
        <w:trPr/>
        <w:tc>
          <w:tcPr>
            <w:tcW w:w="2427" w:type="dxa"/>
            <w:tcBorders/>
            <w:vAlign w:val="center"/>
          </w:tcPr>
          <w:p>
            <w:pPr>
              <w:pStyle w:val="TableContents"/>
              <w:bidi w:val="0"/>
              <w:spacing w:before="0" w:after="283"/>
              <w:jc w:val="left"/>
              <w:rPr>
                <w:caps w:val="false"/>
                <w:smallCaps w:val="false"/>
              </w:rPr>
            </w:pPr>
            <w:r>
              <w:rPr>
                <w:caps w:val="false"/>
                <w:smallCaps w:val="false"/>
              </w:rPr>
              <w:t> </w:t>
            </w:r>
          </w:p>
        </w:tc>
        <w:tc>
          <w:tcPr>
            <w:tcW w:w="2523" w:type="dxa"/>
            <w:tcBorders/>
            <w:vAlign w:val="center"/>
          </w:tcPr>
          <w:p>
            <w:pPr>
              <w:pStyle w:val="TableContents"/>
              <w:bidi w:val="0"/>
              <w:spacing w:before="0" w:after="283"/>
              <w:jc w:val="left"/>
              <w:rPr>
                <w:caps w:val="false"/>
                <w:smallCaps w:val="false"/>
              </w:rPr>
            </w:pPr>
            <w:r>
              <w:rPr>
                <w:caps w:val="false"/>
                <w:smallCaps w:val="false"/>
              </w:rPr>
              <w:t> </w:t>
            </w:r>
          </w:p>
        </w:tc>
        <w:tc>
          <w:tcPr>
            <w:tcW w:w="5118" w:type="dxa"/>
            <w:tcBorders/>
            <w:vAlign w:val="center"/>
          </w:tcPr>
          <w:p>
            <w:pPr>
              <w:pStyle w:val="TableContents"/>
              <w:bidi w:val="0"/>
              <w:spacing w:before="0" w:after="283"/>
              <w:jc w:val="left"/>
              <w:rPr>
                <w:caps w:val="false"/>
                <w:smallCaps w:val="false"/>
              </w:rPr>
            </w:pPr>
            <w:r>
              <w:rPr>
                <w:caps w:val="false"/>
                <w:smallCaps w:val="false"/>
              </w:rPr>
              <w:t> </w:t>
            </w:r>
          </w:p>
        </w:tc>
        <w:tc>
          <w:tcPr>
            <w:tcW w:w="137" w:type="dxa"/>
            <w:tcBorders/>
            <w:vAlign w:val="center"/>
          </w:tcPr>
          <w:p>
            <w:pPr>
              <w:pStyle w:val="TableContents"/>
              <w:bidi w:val="0"/>
              <w:spacing w:before="0" w:after="283"/>
              <w:jc w:val="left"/>
              <w:rPr/>
            </w:pPr>
            <w:r>
              <w:rPr/>
              <w:t> </w:t>
            </w:r>
          </w:p>
        </w:tc>
      </w:tr>
      <w:tr>
        <w:trPr/>
        <w:tc>
          <w:tcPr>
            <w:tcW w:w="2427" w:type="dxa"/>
            <w:tcBorders/>
            <w:vAlign w:val="center"/>
          </w:tcPr>
          <w:p>
            <w:pPr>
              <w:pStyle w:val="TableContents"/>
              <w:bidi w:val="0"/>
              <w:spacing w:before="0" w:after="283"/>
              <w:jc w:val="left"/>
              <w:rPr>
                <w:caps w:val="false"/>
                <w:smallCaps w:val="false"/>
              </w:rPr>
            </w:pPr>
            <w:r>
              <w:rPr>
                <w:caps w:val="false"/>
                <w:smallCaps w:val="false"/>
              </w:rPr>
              <w:t> </w:t>
            </w:r>
          </w:p>
        </w:tc>
        <w:tc>
          <w:tcPr>
            <w:tcW w:w="2523" w:type="dxa"/>
            <w:tcBorders/>
            <w:vAlign w:val="center"/>
          </w:tcPr>
          <w:p>
            <w:pPr>
              <w:pStyle w:val="TableContents"/>
              <w:bidi w:val="0"/>
              <w:spacing w:before="0" w:after="283"/>
              <w:jc w:val="left"/>
              <w:rPr>
                <w:caps w:val="false"/>
                <w:smallCaps w:val="false"/>
              </w:rPr>
            </w:pPr>
            <w:r>
              <w:rPr>
                <w:caps w:val="false"/>
                <w:smallCaps w:val="false"/>
              </w:rPr>
              <w:t> </w:t>
            </w:r>
          </w:p>
        </w:tc>
        <w:tc>
          <w:tcPr>
            <w:tcW w:w="5118" w:type="dxa"/>
            <w:tcBorders/>
            <w:vAlign w:val="center"/>
          </w:tcPr>
          <w:p>
            <w:pPr>
              <w:pStyle w:val="TableContents"/>
              <w:bidi w:val="0"/>
              <w:spacing w:before="0" w:after="283"/>
              <w:jc w:val="left"/>
              <w:rPr>
                <w:caps w:val="false"/>
                <w:smallCaps w:val="false"/>
              </w:rPr>
            </w:pPr>
            <w:r>
              <w:rPr>
                <w:caps w:val="false"/>
                <w:smallCaps w:val="false"/>
              </w:rPr>
              <w:t> </w:t>
            </w:r>
          </w:p>
        </w:tc>
        <w:tc>
          <w:tcPr>
            <w:tcW w:w="137" w:type="dxa"/>
            <w:tcBorders/>
            <w:vAlign w:val="center"/>
          </w:tcPr>
          <w:p>
            <w:pPr>
              <w:pStyle w:val="TableContents"/>
              <w:bidi w:val="0"/>
              <w:spacing w:before="0" w:after="283"/>
              <w:jc w:val="left"/>
              <w:rPr/>
            </w:pPr>
            <w:r>
              <w:rPr/>
              <w:t> </w:t>
            </w:r>
          </w:p>
        </w:tc>
      </w:tr>
      <w:tr>
        <w:trPr/>
        <w:tc>
          <w:tcPr>
            <w:tcW w:w="10068" w:type="dxa"/>
            <w:gridSpan w:val="3"/>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7" w:type="dxa"/>
            <w:tcBorders/>
            <w:vAlign w:val="center"/>
          </w:tcPr>
          <w:p>
            <w:pPr>
              <w:pStyle w:val="TableContents"/>
              <w:bidi w:val="0"/>
              <w:spacing w:before="0" w:after="283"/>
              <w:jc w:val="left"/>
              <w:rPr/>
            </w:pPr>
            <w:r>
              <w:rPr/>
              <w:t> </w:t>
            </w:r>
          </w:p>
        </w:tc>
      </w:tr>
      <w:tr>
        <w:trPr/>
        <w:tc>
          <w:tcPr>
            <w:tcW w:w="10068" w:type="dxa"/>
            <w:gridSpan w:val="3"/>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Person(s) Filing Proxy Statement, if other than the Registrant)</w:t>
            </w:r>
          </w:p>
        </w:tc>
        <w:tc>
          <w:tcPr>
            <w:tcW w:w="137" w:type="dxa"/>
            <w:tcBorders/>
            <w:vAlign w:val="center"/>
          </w:tcPr>
          <w:p>
            <w:pPr>
              <w:pStyle w:val="TableContents"/>
              <w:bidi w:val="0"/>
              <w:spacing w:before="0" w:after="283"/>
              <w:jc w:val="left"/>
              <w:rPr/>
            </w:pPr>
            <w:r>
              <w:rPr/>
              <w:t> </w:t>
            </w:r>
          </w:p>
        </w:tc>
      </w:tr>
      <w:tr>
        <w:trPr/>
        <w:tc>
          <w:tcPr>
            <w:tcW w:w="2427" w:type="dxa"/>
            <w:tcBorders/>
            <w:vAlign w:val="center"/>
          </w:tcPr>
          <w:p>
            <w:pPr>
              <w:pStyle w:val="TableContents"/>
              <w:bidi w:val="0"/>
              <w:spacing w:before="0" w:after="283"/>
              <w:jc w:val="left"/>
              <w:rPr>
                <w:caps w:val="false"/>
                <w:smallCaps w:val="false"/>
              </w:rPr>
            </w:pPr>
            <w:r>
              <w:rPr>
                <w:caps w:val="false"/>
                <w:smallCaps w:val="false"/>
              </w:rPr>
              <w:t> </w:t>
            </w:r>
          </w:p>
        </w:tc>
        <w:tc>
          <w:tcPr>
            <w:tcW w:w="2523" w:type="dxa"/>
            <w:tcBorders/>
            <w:vAlign w:val="center"/>
          </w:tcPr>
          <w:p>
            <w:pPr>
              <w:pStyle w:val="TableContents"/>
              <w:bidi w:val="0"/>
              <w:spacing w:before="0" w:after="283"/>
              <w:jc w:val="left"/>
              <w:rPr>
                <w:caps w:val="false"/>
                <w:smallCaps w:val="false"/>
              </w:rPr>
            </w:pPr>
            <w:r>
              <w:rPr>
                <w:caps w:val="false"/>
                <w:smallCaps w:val="false"/>
              </w:rPr>
              <w:t> </w:t>
            </w:r>
          </w:p>
        </w:tc>
        <w:tc>
          <w:tcPr>
            <w:tcW w:w="5118" w:type="dxa"/>
            <w:tcBorders/>
            <w:vAlign w:val="center"/>
          </w:tcPr>
          <w:p>
            <w:pPr>
              <w:pStyle w:val="TableContents"/>
              <w:bidi w:val="0"/>
              <w:spacing w:before="0" w:after="283"/>
              <w:jc w:val="left"/>
              <w:rPr>
                <w:caps w:val="false"/>
                <w:smallCaps w:val="false"/>
              </w:rPr>
            </w:pPr>
            <w:r>
              <w:rPr>
                <w:caps w:val="false"/>
                <w:smallCaps w:val="false"/>
              </w:rPr>
              <w:t> </w:t>
            </w:r>
          </w:p>
        </w:tc>
        <w:tc>
          <w:tcPr>
            <w:tcW w:w="137" w:type="dxa"/>
            <w:tcBorders/>
            <w:vAlign w:val="center"/>
          </w:tcPr>
          <w:p>
            <w:pPr>
              <w:pStyle w:val="TableContents"/>
              <w:bidi w:val="0"/>
              <w:spacing w:before="0" w:after="283"/>
              <w:jc w:val="left"/>
              <w:rPr/>
            </w:pPr>
            <w:r>
              <w:rPr/>
              <w:t> </w:t>
            </w:r>
          </w:p>
        </w:tc>
      </w:tr>
      <w:tr>
        <w:trPr/>
        <w:tc>
          <w:tcPr>
            <w:tcW w:w="2427" w:type="dxa"/>
            <w:tcBorders/>
            <w:vAlign w:val="center"/>
          </w:tcPr>
          <w:p>
            <w:pPr>
              <w:pStyle w:val="TableContents"/>
              <w:bidi w:val="0"/>
              <w:spacing w:before="0" w:after="283"/>
              <w:jc w:val="left"/>
              <w:rPr>
                <w:caps w:val="false"/>
                <w:smallCaps w:val="false"/>
              </w:rPr>
            </w:pPr>
            <w:r>
              <w:rPr>
                <w:caps w:val="false"/>
                <w:smallCaps w:val="false"/>
              </w:rPr>
              <w:t> </w:t>
            </w:r>
          </w:p>
        </w:tc>
        <w:tc>
          <w:tcPr>
            <w:tcW w:w="2523" w:type="dxa"/>
            <w:tcBorders/>
            <w:vAlign w:val="center"/>
          </w:tcPr>
          <w:p>
            <w:pPr>
              <w:pStyle w:val="TableContents"/>
              <w:bidi w:val="0"/>
              <w:spacing w:before="0" w:after="283"/>
              <w:jc w:val="left"/>
              <w:rPr>
                <w:caps w:val="false"/>
                <w:smallCaps w:val="false"/>
              </w:rPr>
            </w:pPr>
            <w:r>
              <w:rPr>
                <w:caps w:val="false"/>
                <w:smallCaps w:val="false"/>
              </w:rPr>
              <w:t> </w:t>
            </w:r>
          </w:p>
        </w:tc>
        <w:tc>
          <w:tcPr>
            <w:tcW w:w="5118" w:type="dxa"/>
            <w:tcBorders/>
            <w:vAlign w:val="center"/>
          </w:tcPr>
          <w:p>
            <w:pPr>
              <w:pStyle w:val="TableContents"/>
              <w:bidi w:val="0"/>
              <w:spacing w:before="0" w:after="283"/>
              <w:jc w:val="left"/>
              <w:rPr>
                <w:caps w:val="false"/>
                <w:smallCaps w:val="false"/>
              </w:rPr>
            </w:pPr>
            <w:r>
              <w:rPr>
                <w:caps w:val="false"/>
                <w:smallCaps w:val="false"/>
              </w:rPr>
              <w:t> </w:t>
            </w:r>
          </w:p>
        </w:tc>
        <w:tc>
          <w:tcPr>
            <w:tcW w:w="137" w:type="dxa"/>
            <w:tcBorders/>
            <w:vAlign w:val="center"/>
          </w:tcPr>
          <w:p>
            <w:pPr>
              <w:pStyle w:val="TableContents"/>
              <w:bidi w:val="0"/>
              <w:spacing w:before="0" w:after="283"/>
              <w:jc w:val="left"/>
              <w:rPr/>
            </w:pPr>
            <w:r>
              <w:rPr/>
              <w:t> </w:t>
            </w:r>
          </w:p>
        </w:tc>
      </w:tr>
      <w:tr>
        <w:trPr/>
        <w:tc>
          <w:tcPr>
            <w:tcW w:w="10068" w:type="dxa"/>
            <w:gridSpan w:val="3"/>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Filing Fee (Check all boxes that apply):</w:t>
            </w:r>
          </w:p>
        </w:tc>
        <w:tc>
          <w:tcPr>
            <w:tcW w:w="137" w:type="dxa"/>
            <w:tcBorders/>
            <w:vAlign w:val="center"/>
          </w:tcPr>
          <w:p>
            <w:pPr>
              <w:pStyle w:val="TableContents"/>
              <w:bidi w:val="0"/>
              <w:spacing w:before="0" w:after="283"/>
              <w:jc w:val="left"/>
              <w:rPr/>
            </w:pPr>
            <w:r>
              <w:rPr/>
              <w:t> </w:t>
            </w:r>
          </w:p>
        </w:tc>
      </w:tr>
      <w:tr>
        <w:trPr/>
        <w:tc>
          <w:tcPr>
            <w:tcW w:w="2427" w:type="dxa"/>
            <w:tcBorders/>
            <w:vAlign w:val="center"/>
          </w:tcPr>
          <w:p>
            <w:pPr>
              <w:pStyle w:val="TableContents"/>
              <w:bidi w:val="0"/>
              <w:spacing w:before="0" w:after="283"/>
              <w:jc w:val="left"/>
              <w:rPr>
                <w:caps w:val="false"/>
                <w:smallCaps w:val="false"/>
              </w:rPr>
            </w:pPr>
            <w:r>
              <w:rPr>
                <w:caps w:val="false"/>
                <w:smallCaps w:val="false"/>
              </w:rPr>
              <w:t>☑</w:t>
            </w:r>
          </w:p>
        </w:tc>
        <w:tc>
          <w:tcPr>
            <w:tcW w:w="7641"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fee required</w:t>
            </w:r>
          </w:p>
        </w:tc>
        <w:tc>
          <w:tcPr>
            <w:tcW w:w="137" w:type="dxa"/>
            <w:tcBorders/>
            <w:vAlign w:val="center"/>
          </w:tcPr>
          <w:p>
            <w:pPr>
              <w:pStyle w:val="TableContents"/>
              <w:bidi w:val="0"/>
              <w:spacing w:before="0" w:after="283"/>
              <w:jc w:val="left"/>
              <w:rPr/>
            </w:pPr>
            <w:r>
              <w:rPr/>
              <w:t> </w:t>
            </w:r>
          </w:p>
        </w:tc>
      </w:tr>
      <w:tr>
        <w:trPr/>
        <w:tc>
          <w:tcPr>
            <w:tcW w:w="2427" w:type="dxa"/>
            <w:tcBorders/>
            <w:vAlign w:val="center"/>
          </w:tcPr>
          <w:p>
            <w:pPr>
              <w:pStyle w:val="TableContents"/>
              <w:bidi w:val="0"/>
              <w:spacing w:before="0" w:after="283"/>
              <w:jc w:val="left"/>
              <w:rPr>
                <w:caps w:val="false"/>
                <w:smallCaps w:val="false"/>
              </w:rPr>
            </w:pPr>
            <w:r>
              <w:rPr>
                <w:caps w:val="false"/>
                <w:smallCaps w:val="false"/>
              </w:rPr>
              <w:t>☐</w:t>
            </w:r>
          </w:p>
        </w:tc>
        <w:tc>
          <w:tcPr>
            <w:tcW w:w="7641"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Fee paid previously with preliminary materials</w:t>
            </w:r>
          </w:p>
        </w:tc>
        <w:tc>
          <w:tcPr>
            <w:tcW w:w="137" w:type="dxa"/>
            <w:tcBorders/>
            <w:vAlign w:val="center"/>
          </w:tcPr>
          <w:p>
            <w:pPr>
              <w:pStyle w:val="TableContents"/>
              <w:bidi w:val="0"/>
              <w:spacing w:before="0" w:after="283"/>
              <w:jc w:val="left"/>
              <w:rPr/>
            </w:pPr>
            <w:r>
              <w:rPr/>
              <w:t> </w:t>
            </w:r>
          </w:p>
        </w:tc>
      </w:tr>
      <w:tr>
        <w:trPr/>
        <w:tc>
          <w:tcPr>
            <w:tcW w:w="2427" w:type="dxa"/>
            <w:tcBorders/>
            <w:vAlign w:val="center"/>
          </w:tcPr>
          <w:p>
            <w:pPr>
              <w:pStyle w:val="TableContents"/>
              <w:bidi w:val="0"/>
              <w:spacing w:before="0" w:after="283"/>
              <w:jc w:val="left"/>
              <w:rPr>
                <w:caps w:val="false"/>
                <w:smallCaps w:val="false"/>
              </w:rPr>
            </w:pPr>
            <w:r>
              <w:rPr>
                <w:caps w:val="false"/>
                <w:smallCaps w:val="false"/>
              </w:rPr>
              <w:t>☐</w:t>
            </w:r>
          </w:p>
        </w:tc>
        <w:tc>
          <w:tcPr>
            <w:tcW w:w="7641"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Fee computed on table in exhibit required by Item 25(b) per Exchange Act Rules 14a-6(i)(1) and 0-11</w:t>
            </w:r>
          </w:p>
        </w:tc>
        <w:tc>
          <w:tcPr>
            <w:tcW w:w="137" w:type="dxa"/>
            <w:tcBorders/>
            <w:vAlign w:val="center"/>
          </w:tcPr>
          <w:p>
            <w:pPr>
              <w:pStyle w:val="TableContents"/>
              <w:bidi w:val="0"/>
              <w:spacing w:before="0" w:after="283"/>
              <w:jc w:val="left"/>
              <w:rPr/>
            </w:pPr>
            <w:r>
              <w:rPr/>
              <w:t> </w:t>
            </w:r>
          </w:p>
        </w:tc>
      </w:tr>
      <w:tr>
        <w:trPr/>
        <w:tc>
          <w:tcPr>
            <w:tcW w:w="2427" w:type="dxa"/>
            <w:tcBorders/>
            <w:vAlign w:val="center"/>
          </w:tcPr>
          <w:p>
            <w:pPr>
              <w:pStyle w:val="TableContents"/>
              <w:bidi w:val="0"/>
              <w:spacing w:before="0" w:after="283"/>
              <w:jc w:val="left"/>
              <w:rPr>
                <w:caps w:val="false"/>
                <w:smallCaps w:val="false"/>
              </w:rPr>
            </w:pPr>
            <w:r>
              <w:rPr>
                <w:caps w:val="false"/>
                <w:smallCaps w:val="false"/>
              </w:rPr>
              <w:t> </w:t>
            </w:r>
          </w:p>
        </w:tc>
        <w:tc>
          <w:tcPr>
            <w:tcW w:w="2523" w:type="dxa"/>
            <w:tcBorders/>
            <w:vAlign w:val="center"/>
          </w:tcPr>
          <w:p>
            <w:pPr>
              <w:pStyle w:val="TableContents"/>
              <w:bidi w:val="0"/>
              <w:spacing w:before="0" w:after="283"/>
              <w:jc w:val="left"/>
              <w:rPr>
                <w:caps w:val="false"/>
                <w:smallCaps w:val="false"/>
              </w:rPr>
            </w:pPr>
            <w:r>
              <w:rPr>
                <w:caps w:val="false"/>
                <w:smallCaps w:val="false"/>
              </w:rPr>
              <w:t> </w:t>
            </w:r>
          </w:p>
        </w:tc>
        <w:tc>
          <w:tcPr>
            <w:tcW w:w="5118" w:type="dxa"/>
            <w:tcBorders/>
            <w:vAlign w:val="center"/>
          </w:tcPr>
          <w:p>
            <w:pPr>
              <w:pStyle w:val="TableContents"/>
              <w:bidi w:val="0"/>
              <w:spacing w:before="0" w:after="283"/>
              <w:jc w:val="left"/>
              <w:rPr>
                <w:caps w:val="false"/>
                <w:smallCaps w:val="false"/>
              </w:rPr>
            </w:pPr>
            <w:r>
              <w:rPr>
                <w:caps w:val="false"/>
                <w:smallCaps w:val="false"/>
              </w:rPr>
              <w:t> </w:t>
            </w:r>
          </w:p>
        </w:tc>
        <w:tc>
          <w:tcPr>
            <w:tcW w:w="137" w:type="dxa"/>
            <w:tcBorders/>
            <w:vAlign w:val="center"/>
          </w:tcPr>
          <w:p>
            <w:pPr>
              <w:pStyle w:val="TableContents"/>
              <w:bidi w:val="0"/>
              <w:spacing w:before="0" w:after="283"/>
              <w:jc w:val="left"/>
              <w:rPr/>
            </w:pPr>
            <w:r>
              <w:rPr/>
              <w:t> </w:t>
            </w:r>
          </w:p>
        </w:tc>
      </w:tr>
      <w:tr>
        <w:trPr/>
        <w:tc>
          <w:tcPr>
            <w:tcW w:w="2427" w:type="dxa"/>
            <w:tcBorders/>
            <w:vAlign w:val="center"/>
          </w:tcPr>
          <w:p>
            <w:pPr>
              <w:pStyle w:val="TableContents"/>
              <w:bidi w:val="0"/>
              <w:spacing w:before="0" w:after="283"/>
              <w:jc w:val="left"/>
              <w:rPr>
                <w:caps w:val="false"/>
                <w:smallCaps w:val="false"/>
              </w:rPr>
            </w:pPr>
            <w:r>
              <w:rPr>
                <w:caps w:val="false"/>
                <w:smallCaps w:val="false"/>
              </w:rPr>
              <w:t> </w:t>
            </w:r>
          </w:p>
        </w:tc>
        <w:tc>
          <w:tcPr>
            <w:tcW w:w="2523" w:type="dxa"/>
            <w:tcBorders/>
            <w:vAlign w:val="center"/>
          </w:tcPr>
          <w:p>
            <w:pPr>
              <w:pStyle w:val="TableContents"/>
              <w:bidi w:val="0"/>
              <w:spacing w:before="0" w:after="283"/>
              <w:jc w:val="left"/>
              <w:rPr>
                <w:caps w:val="false"/>
                <w:smallCaps w:val="false"/>
              </w:rPr>
            </w:pPr>
            <w:r>
              <w:rPr>
                <w:caps w:val="false"/>
                <w:smallCaps w:val="false"/>
              </w:rPr>
              <w:t> </w:t>
            </w:r>
          </w:p>
        </w:tc>
        <w:tc>
          <w:tcPr>
            <w:tcW w:w="5118" w:type="dxa"/>
            <w:tcBorders/>
            <w:vAlign w:val="center"/>
          </w:tcPr>
          <w:p>
            <w:pPr>
              <w:pStyle w:val="TableContents"/>
              <w:bidi w:val="0"/>
              <w:spacing w:before="0" w:after="283"/>
              <w:jc w:val="left"/>
              <w:rPr>
                <w:caps w:val="false"/>
                <w:smallCaps w:val="false"/>
              </w:rPr>
            </w:pPr>
            <w:r>
              <w:rPr>
                <w:caps w:val="false"/>
                <w:smallCaps w:val="false"/>
              </w:rPr>
              <w:t> </w:t>
            </w:r>
          </w:p>
        </w:tc>
        <w:tc>
          <w:tcPr>
            <w:tcW w:w="137" w:type="dxa"/>
            <w:tcBorders/>
            <w:vAlign w:val="center"/>
          </w:tcPr>
          <w:p>
            <w:pPr>
              <w:pStyle w:val="TableContents"/>
              <w:bidi w:val="0"/>
              <w:spacing w:before="0" w:after="283"/>
              <w:jc w:val="left"/>
              <w:rPr/>
            </w:pPr>
            <w:r>
              <w:rPr/>
              <w:t> </w:t>
            </w:r>
          </w:p>
        </w:tc>
      </w:tr>
    </w:tbl>
    <w:p>
      <w:pPr>
        <w:pStyle w:val="TextBody"/>
        <w:bidi w:val="0"/>
        <w:spacing w:lineRule="auto" w:line="333"/>
        <w:jc w:val="center"/>
        <w:rPr>
          <w:caps w:val="false"/>
          <w:smallCaps w:val="false"/>
        </w:rPr>
      </w:pPr>
      <w:r>
        <w:rPr>
          <w:caps w:val="false"/>
          <w:smallCaps w:val="false"/>
        </w:rPr>
        <w:t> </w:t>
      </w:r>
    </w:p>
    <w:p>
      <w:pPr>
        <w:pStyle w:val="TextBody"/>
        <w:bidi w:val="0"/>
        <w:spacing w:lineRule="auto" w:line="333"/>
        <w:jc w:val="center"/>
        <w:rPr>
          <w:caps w:val="false"/>
          <w:smallCaps w:val="false"/>
        </w:rPr>
      </w:pPr>
      <w:r>
        <w:rPr>
          <w:caps w:val="false"/>
          <w:smallCaps w:val="false"/>
        </w:rPr>
        <w:t> </w:t>
      </w:r>
    </w:p>
    <w:tbl>
      <w:tblPr>
        <w:tblW w:w="150" w:type="dxa"/>
        <w:jc w:val="left"/>
        <w:tblInd w:w="0" w:type="dxa"/>
        <w:tblLayout w:type="fixed"/>
        <w:tblCellMar>
          <w:top w:w="0" w:type="dxa"/>
          <w:left w:w="0" w:type="dxa"/>
          <w:bottom w:w="0" w:type="dxa"/>
          <w:right w:w="0" w:type="dxa"/>
        </w:tblCellMar>
      </w:tblPr>
      <w:tblGrid>
        <w:gridCol w:w="150"/>
      </w:tblGrid>
      <w:tr>
        <w:trPr/>
        <w:tc>
          <w:tcPr>
            <w:tcW w:w="150" w:type="dxa"/>
            <w:tcBorders/>
            <w:vAlign w:val="center"/>
          </w:tcPr>
          <w:p>
            <w:pPr>
              <w:pStyle w:val="TableContents"/>
              <w:bidi w:val="0"/>
              <w:spacing w:before="0" w:after="283"/>
              <w:jc w:val="center"/>
              <w:rPr/>
            </w:pPr>
            <w:r>
              <w:rPr/>
              <w:t> </w:t>
            </w:r>
          </w:p>
        </w:tc>
      </w:tr>
    </w:tbl>
    <w:tbl>
      <w:tblPr>
        <w:tblW w:w="150" w:type="dxa"/>
        <w:jc w:val="left"/>
        <w:tblInd w:w="0" w:type="dxa"/>
        <w:tblLayout w:type="fixed"/>
        <w:tblCellMar>
          <w:top w:w="0" w:type="dxa"/>
          <w:left w:w="0" w:type="dxa"/>
          <w:bottom w:w="0" w:type="dxa"/>
          <w:right w:w="0" w:type="dxa"/>
        </w:tblCellMar>
      </w:tblPr>
      <w:tblGrid>
        <w:gridCol w:w="150"/>
      </w:tblGrid>
      <w:tr>
        <w:trPr/>
        <w:tc>
          <w:tcPr>
            <w:tcW w:w="150" w:type="dxa"/>
            <w:tcBorders/>
            <w:vAlign w:val="center"/>
          </w:tcPr>
          <w:p>
            <w:pPr>
              <w:pStyle w:val="TableContents"/>
              <w:bidi w:val="0"/>
              <w:spacing w:before="0" w:after="283"/>
              <w:jc w:val="center"/>
              <w:rPr/>
            </w:pPr>
            <w:r>
              <w:rPr/>
              <w:t> </w:t>
            </w:r>
          </w:p>
        </w:tc>
      </w:tr>
    </w:tbl>
    <w:p>
      <w:pPr>
        <w:pStyle w:val="TextBody"/>
        <w:bidi w:val="0"/>
        <w:spacing w:lineRule="auto" w:line="333"/>
        <w:jc w:val="center"/>
        <w:rPr>
          <w:caps w:val="false"/>
          <w:smallCaps w:val="false"/>
        </w:rPr>
      </w:pPr>
      <w:r>
        <w:rPr>
          <w:caps w:val="false"/>
          <w:smallCaps w:val="false"/>
        </w:rPr>
        <w:drawing>
          <wp:inline distT="0" distB="0" distL="0" distR="0">
            <wp:extent cx="2165350" cy="381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165350" cy="381000"/>
                    </a:xfrm>
                    <a:prstGeom prst="rect">
                      <a:avLst/>
                    </a:prstGeom>
                  </pic:spPr>
                </pic:pic>
              </a:graphicData>
            </a:graphic>
          </wp:inline>
        </w:drawing>
      </w:r>
    </w:p>
    <w:p>
      <w:pPr>
        <w:pStyle w:val="TextBody"/>
        <w:bidi w:val="0"/>
        <w:spacing w:lineRule="auto" w:line="333"/>
        <w:jc w:val="left"/>
        <w:rPr>
          <w:caps w:val="false"/>
          <w:smallCaps w:val="false"/>
        </w:rPr>
      </w:pPr>
      <w:r>
        <w:rPr>
          <w:caps w:val="false"/>
          <w:smallCaps w:val="false"/>
        </w:rPr>
        <w:t> </w:t>
      </w:r>
    </w:p>
    <w:p>
      <w:pPr>
        <w:pStyle w:val="TextBody"/>
        <w:bidi w:val="0"/>
        <w:spacing w:lineRule="auto" w:line="33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MICROVAST HOLDINGS, INC.</w:t>
      </w:r>
    </w:p>
    <w:p>
      <w:pPr>
        <w:pStyle w:val="TextBody"/>
        <w:bidi w:val="0"/>
        <w:spacing w:lineRule="auto" w:line="33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2929 Briarpark Drive, Suite 400</w:t>
      </w:r>
    </w:p>
    <w:p>
      <w:pPr>
        <w:pStyle w:val="TextBody"/>
        <w:bidi w:val="0"/>
        <w:spacing w:lineRule="auto" w:line="33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Houston, Texas 77042</w:t>
      </w:r>
    </w:p>
    <w:p>
      <w:pPr>
        <w:pStyle w:val="TextBody"/>
        <w:bidi w:val="0"/>
        <w:spacing w:lineRule="auto" w:line="333"/>
        <w:jc w:val="center"/>
        <w:rPr>
          <w:caps w:val="false"/>
          <w:smallCaps w:val="false"/>
        </w:rPr>
      </w:pPr>
      <w:r>
        <w:rPr>
          <w:caps w:val="false"/>
          <w:smallCaps w:val="false"/>
        </w:rPr>
        <w:t> </w:t>
      </w:r>
    </w:p>
    <w:p>
      <w:pPr>
        <w:pStyle w:val="TextBody"/>
        <w:bidi w:val="0"/>
        <w:spacing w:lineRule="auto" w:line="33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OF ANNUAL MEETING OF STOCKHOLDERS AND PROXY STATEMENT</w:t>
      </w:r>
    </w:p>
    <w:p>
      <w:pPr>
        <w:pStyle w:val="TextBody"/>
        <w:bidi w:val="0"/>
        <w:spacing w:lineRule="auto" w:line="33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Be Held: Monday, November 30, 2026</w:t>
      </w:r>
    </w:p>
    <w:p>
      <w:pPr>
        <w:pStyle w:val="TextBody"/>
        <w:bidi w:val="0"/>
        <w:spacing w:lineRule="auto" w:line="276"/>
        <w:jc w:val="center"/>
        <w:rPr>
          <w:caps w:val="false"/>
          <w:smallCaps w:val="false"/>
        </w:rPr>
      </w:pPr>
      <w:r>
        <w:rPr>
          <w:caps w:val="false"/>
          <w:smallCaps w:val="false"/>
        </w:rPr>
        <w:t> </w:t>
      </w:r>
    </w:p>
    <w:p>
      <w:pPr>
        <w:pStyle w:val="TextBody"/>
        <w:bidi w:val="0"/>
        <w:spacing w:lineRule="auto" w:line="27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Stockholders of Microvast Holdings, Inc.:</w:t>
      </w:r>
    </w:p>
    <w:p>
      <w:pPr>
        <w:pStyle w:val="TextBody"/>
        <w:bidi w:val="0"/>
        <w:spacing w:lineRule="auto" w:line="276"/>
        <w:jc w:val="left"/>
        <w:rPr>
          <w:caps w:val="false"/>
          <w:smallCaps w:val="false"/>
        </w:rPr>
      </w:pPr>
      <w:r>
        <w:rPr>
          <w:caps w:val="false"/>
          <w:smallCaps w:val="false"/>
        </w:rPr>
        <w:t> </w:t>
      </w:r>
    </w:p>
    <w:p>
      <w:pPr>
        <w:pStyle w:val="TextBody"/>
        <w:bidi w:val="0"/>
        <w:spacing w:lineRule="auto" w:line="276"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is hereby given that the 2026 Annual Meeting of Stockholders (the “2026 Annual Meeting”) of Microvast Holdings, Inc., a Delaware corporation (the “Company,” “Microvast,” “we” or “our”), will be held virtually on November 30, 2026, at 9:00 a.m. Central Time for the following purposes, as more fully described in the accompanying proxy statement (the “Proxy Statement”):</w:t>
      </w:r>
    </w:p>
    <w:tbl>
      <w:tblPr>
        <w:tblW w:w="10205" w:type="dxa"/>
        <w:jc w:val="left"/>
        <w:tblInd w:w="0" w:type="dxa"/>
        <w:tblLayout w:type="fixed"/>
        <w:tblCellMar>
          <w:top w:w="0" w:type="dxa"/>
          <w:left w:w="0" w:type="dxa"/>
          <w:bottom w:w="0" w:type="dxa"/>
          <w:right w:w="0" w:type="dxa"/>
        </w:tblCellMar>
      </w:tblPr>
      <w:tblGrid>
        <w:gridCol w:w="204"/>
        <w:gridCol w:w="90"/>
        <w:gridCol w:w="9911"/>
      </w:tblGrid>
      <w:tr>
        <w:trPr/>
        <w:tc>
          <w:tcPr>
            <w:tcW w:w="204" w:type="dxa"/>
            <w:tcBorders/>
            <w:vAlign w:val="center"/>
          </w:tcPr>
          <w:p>
            <w:pPr>
              <w:pStyle w:val="TableContents"/>
              <w:bidi w:val="0"/>
              <w:spacing w:lineRule="auto" w:line="276"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0" w:type="dxa"/>
            <w:tcBorders/>
            <w:vAlign w:val="center"/>
          </w:tcPr>
          <w:p>
            <w:pPr>
              <w:pStyle w:val="TableContents"/>
              <w:bidi w:val="0"/>
              <w:spacing w:lineRule="auto" w:line="276" w:before="0" w:after="283"/>
              <w:jc w:val="left"/>
              <w:rPr>
                <w:caps w:val="false"/>
                <w:smallCaps w:val="false"/>
              </w:rPr>
            </w:pPr>
            <w:r>
              <w:rPr>
                <w:caps w:val="false"/>
                <w:smallCaps w:val="false"/>
              </w:rPr>
              <w:t> </w:t>
            </w:r>
          </w:p>
        </w:tc>
        <w:tc>
          <w:tcPr>
            <w:tcW w:w="9911" w:type="dxa"/>
            <w:tcBorders/>
            <w:vAlign w:val="center"/>
          </w:tcPr>
          <w:p>
            <w:pPr>
              <w:pStyle w:val="TableContents"/>
              <w:bidi w:val="0"/>
              <w:spacing w:lineRule="auto" w:line="276"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elect one Class II director nominee to the Board of Directors to serve for a term of three years;</w:t>
            </w:r>
          </w:p>
        </w:tc>
      </w:tr>
      <w:tr>
        <w:trPr/>
        <w:tc>
          <w:tcPr>
            <w:tcW w:w="204" w:type="dxa"/>
            <w:tcBorders/>
            <w:vAlign w:val="center"/>
          </w:tcPr>
          <w:p>
            <w:pPr>
              <w:pStyle w:val="TableContents"/>
              <w:bidi w:val="0"/>
              <w:spacing w:lineRule="auto" w:line="276"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0" w:type="dxa"/>
            <w:tcBorders/>
            <w:vAlign w:val="center"/>
          </w:tcPr>
          <w:p>
            <w:pPr>
              <w:pStyle w:val="TableContents"/>
              <w:bidi w:val="0"/>
              <w:spacing w:lineRule="auto" w:line="276" w:before="0" w:after="283"/>
              <w:jc w:val="left"/>
              <w:rPr>
                <w:caps w:val="false"/>
                <w:smallCaps w:val="false"/>
              </w:rPr>
            </w:pPr>
            <w:r>
              <w:rPr>
                <w:caps w:val="false"/>
                <w:smallCaps w:val="false"/>
              </w:rPr>
              <w:t> </w:t>
            </w:r>
          </w:p>
        </w:tc>
        <w:tc>
          <w:tcPr>
            <w:tcW w:w="9911" w:type="dxa"/>
            <w:tcBorders/>
            <w:vAlign w:val="center"/>
          </w:tcPr>
          <w:p>
            <w:pPr>
              <w:pStyle w:val="TableContents"/>
              <w:bidi w:val="0"/>
              <w:spacing w:lineRule="auto" w:line="276" w:before="53" w:after="30"/>
              <w:ind w:left="53" w:right="53"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ratify the appointment of Deloitte Touche Tohmatsu Certified Public Accountants LLP as the Company’s independent registered public accounting firm for the fiscal year ending December 31, 2026;</w:t>
            </w:r>
          </w:p>
          <w:p>
            <w:pPr>
              <w:pStyle w:val="TableContents"/>
              <w:bidi w:val="0"/>
              <w:spacing w:lineRule="auto" w:line="276" w:before="53" w:after="30"/>
              <w:ind w:left="53" w:right="53"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tc>
      </w:tr>
      <w:tr>
        <w:trPr/>
        <w:tc>
          <w:tcPr>
            <w:tcW w:w="204" w:type="dxa"/>
            <w:tcBorders/>
            <w:vAlign w:val="center"/>
          </w:tcPr>
          <w:p>
            <w:pPr>
              <w:pStyle w:val="TableContents"/>
              <w:bidi w:val="0"/>
              <w:spacing w:lineRule="auto" w:line="276"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0" w:type="dxa"/>
            <w:tcBorders/>
            <w:vAlign w:val="center"/>
          </w:tcPr>
          <w:p>
            <w:pPr>
              <w:pStyle w:val="TableContents"/>
              <w:bidi w:val="0"/>
              <w:spacing w:lineRule="auto" w:line="276" w:before="0" w:after="283"/>
              <w:jc w:val="left"/>
              <w:rPr>
                <w:caps w:val="false"/>
                <w:smallCaps w:val="false"/>
              </w:rPr>
            </w:pPr>
            <w:r>
              <w:rPr>
                <w:caps w:val="false"/>
                <w:smallCaps w:val="false"/>
              </w:rPr>
              <w:t> </w:t>
            </w:r>
          </w:p>
        </w:tc>
        <w:tc>
          <w:tcPr>
            <w:tcW w:w="9911" w:type="dxa"/>
            <w:tcBorders/>
            <w:vAlign w:val="center"/>
          </w:tcPr>
          <w:p>
            <w:pPr>
              <w:pStyle w:val="TableContents"/>
              <w:bidi w:val="0"/>
              <w:spacing w:lineRule="auto" w:line="276"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approve, on an advisory basis, the Company’s executive compensation, or the “Say-on-Pay” vote (the “Say-on-Pay Proposal”);</w:t>
            </w:r>
          </w:p>
        </w:tc>
      </w:tr>
      <w:tr>
        <w:trPr/>
        <w:tc>
          <w:tcPr>
            <w:tcW w:w="204" w:type="dxa"/>
            <w:tcBorders/>
            <w:vAlign w:val="center"/>
          </w:tcPr>
          <w:p>
            <w:pPr>
              <w:pStyle w:val="TableContents"/>
              <w:bidi w:val="0"/>
              <w:spacing w:lineRule="auto" w:line="276"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0" w:type="dxa"/>
            <w:tcBorders/>
            <w:vAlign w:val="center"/>
          </w:tcPr>
          <w:p>
            <w:pPr>
              <w:pStyle w:val="TableContents"/>
              <w:bidi w:val="0"/>
              <w:spacing w:lineRule="auto" w:line="276" w:before="0" w:after="283"/>
              <w:jc w:val="left"/>
              <w:rPr>
                <w:caps w:val="false"/>
                <w:smallCaps w:val="false"/>
              </w:rPr>
            </w:pPr>
            <w:r>
              <w:rPr>
                <w:caps w:val="false"/>
                <w:smallCaps w:val="false"/>
              </w:rPr>
              <w:t> </w:t>
            </w:r>
          </w:p>
        </w:tc>
        <w:tc>
          <w:tcPr>
            <w:tcW w:w="9911" w:type="dxa"/>
            <w:tcBorders/>
            <w:vAlign w:val="center"/>
          </w:tcPr>
          <w:p>
            <w:pPr>
              <w:pStyle w:val="TableContents"/>
              <w:bidi w:val="0"/>
              <w:spacing w:lineRule="auto" w:line="276"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approve, on an advisory basis, the frequency of future advisory Say-on-Pay votes (the “Say-on-Pay Frequency Proposal”); and</w:t>
            </w:r>
          </w:p>
        </w:tc>
      </w:tr>
      <w:tr>
        <w:trPr/>
        <w:tc>
          <w:tcPr>
            <w:tcW w:w="204" w:type="dxa"/>
            <w:tcBorders/>
            <w:vAlign w:val="center"/>
          </w:tcPr>
          <w:p>
            <w:pPr>
              <w:pStyle w:val="TableContents"/>
              <w:bidi w:val="0"/>
              <w:spacing w:lineRule="auto" w:line="276"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0" w:type="dxa"/>
            <w:tcBorders/>
            <w:vAlign w:val="center"/>
          </w:tcPr>
          <w:p>
            <w:pPr>
              <w:pStyle w:val="TableContents"/>
              <w:bidi w:val="0"/>
              <w:spacing w:lineRule="auto" w:line="276" w:before="0" w:after="283"/>
              <w:jc w:val="left"/>
              <w:rPr>
                <w:caps w:val="false"/>
                <w:smallCaps w:val="false"/>
              </w:rPr>
            </w:pPr>
            <w:r>
              <w:rPr>
                <w:caps w:val="false"/>
                <w:smallCaps w:val="false"/>
              </w:rPr>
              <w:t> </w:t>
            </w:r>
          </w:p>
        </w:tc>
        <w:tc>
          <w:tcPr>
            <w:tcW w:w="9911" w:type="dxa"/>
            <w:tcBorders/>
            <w:vAlign w:val="center"/>
          </w:tcPr>
          <w:p>
            <w:pPr>
              <w:pStyle w:val="TableContents"/>
              <w:bidi w:val="0"/>
              <w:spacing w:lineRule="auto" w:line="276"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 transact such other business that may properly come before the 2026 Annual Meeting. </w:t>
            </w:r>
          </w:p>
        </w:tc>
      </w:tr>
    </w:tbl>
    <w:p>
      <w:pPr>
        <w:pStyle w:val="TextBody"/>
        <w:bidi w:val="0"/>
        <w:spacing w:lineRule="auto" w:line="276"/>
        <w:jc w:val="both"/>
        <w:rPr>
          <w:caps w:val="false"/>
          <w:smallCaps w:val="false"/>
        </w:rPr>
      </w:pPr>
      <w:r>
        <w:rPr>
          <w:caps w:val="false"/>
          <w:smallCaps w:val="false"/>
        </w:rPr>
        <w:t> </w:t>
      </w:r>
    </w:p>
    <w:p>
      <w:pPr>
        <w:pStyle w:val="TextBody"/>
        <w:bidi w:val="0"/>
        <w:spacing w:lineRule="auto" w:line="27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2026 Annual Meeting will be held virtually over the Internet at: </w:t>
      </w:r>
      <w:r>
        <w:rPr>
          <w:rFonts w:ascii="Times New Roman;Times;Serif" w:hAnsi="Times New Roman;Times;Serif"/>
          <w:b w:val="false"/>
          <w:i/>
          <w:caps w:val="false"/>
          <w:smallCaps w:val="false"/>
          <w:sz w:val="20"/>
        </w:rPr>
        <w:t>www.virtualshareholdermeeting.com/MVST2026</w:t>
      </w:r>
      <w:r>
        <w:rPr>
          <w:rFonts w:ascii="Times New Roman;Times;Serif" w:hAnsi="Times New Roman;Times;Serif"/>
          <w:b w:val="false"/>
          <w:i w:val="false"/>
          <w:caps w:val="false"/>
          <w:smallCaps w:val="false"/>
          <w:sz w:val="20"/>
        </w:rPr>
        <w:t>. You will not be able to attend the 2026 Annual Meeting in person.</w:t>
      </w:r>
    </w:p>
    <w:p>
      <w:pPr>
        <w:pStyle w:val="TextBody"/>
        <w:bidi w:val="0"/>
        <w:spacing w:lineRule="auto" w:line="276"/>
        <w:jc w:val="both"/>
        <w:rPr>
          <w:caps w:val="false"/>
          <w:smallCaps w:val="false"/>
        </w:rPr>
      </w:pPr>
      <w:r>
        <w:rPr>
          <w:caps w:val="false"/>
          <w:smallCaps w:val="false"/>
        </w:rPr>
        <w:t> </w:t>
      </w:r>
    </w:p>
    <w:p>
      <w:pPr>
        <w:pStyle w:val="TextBody"/>
        <w:bidi w:val="0"/>
        <w:spacing w:lineRule="auto" w:line="27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are pleased to utilize the United States Securities and Exchange Commission’s “notice and access” rules. Accordingly, we are providing stockholders access to our proxy materials over the Internet at: </w:t>
      </w:r>
      <w:r>
        <w:rPr>
          <w:rFonts w:ascii="Times New Roman;Times;Serif" w:hAnsi="Times New Roman;Times;Serif"/>
          <w:b w:val="false"/>
          <w:i/>
          <w:caps w:val="false"/>
          <w:smallCaps w:val="false"/>
          <w:sz w:val="20"/>
        </w:rPr>
        <w:t>www.proxyvote.com</w:t>
      </w:r>
      <w:r>
        <w:rPr>
          <w:rFonts w:ascii="Times New Roman;Times;Serif" w:hAnsi="Times New Roman;Times;Serif"/>
          <w:b w:val="false"/>
          <w:i w:val="false"/>
          <w:caps w:val="false"/>
          <w:smallCaps w:val="false"/>
          <w:sz w:val="20"/>
        </w:rPr>
        <w:t>.</w:t>
      </w:r>
    </w:p>
    <w:p>
      <w:pPr>
        <w:pStyle w:val="TextBody"/>
        <w:bidi w:val="0"/>
        <w:spacing w:lineRule="auto" w:line="276"/>
        <w:jc w:val="both"/>
        <w:rPr>
          <w:caps w:val="false"/>
          <w:smallCaps w:val="false"/>
        </w:rPr>
      </w:pPr>
      <w:r>
        <w:rPr>
          <w:caps w:val="false"/>
          <w:smallCaps w:val="false"/>
        </w:rPr>
        <w:t> </w:t>
      </w:r>
    </w:p>
    <w:p>
      <w:pPr>
        <w:pStyle w:val="TextBody"/>
        <w:bidi w:val="0"/>
        <w:spacing w:lineRule="auto" w:line="27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or about October 9, 2026, we will begin mailing a Notice of Internet Availability of Proxy Materials (the “Notice”) to all stockholders of record as of October 6, 2026 (the “Record Date”). Only holders of record of our common stock as of the close of business on the Record Date are entitled to receive notice of, attend and vote at the 2026 Annual Meeting and any continuation, postponement or adjournment thereof.</w:t>
      </w:r>
    </w:p>
    <w:p>
      <w:pPr>
        <w:pStyle w:val="TextBody"/>
        <w:bidi w:val="0"/>
        <w:spacing w:lineRule="auto" w:line="276"/>
        <w:jc w:val="both"/>
        <w:rPr>
          <w:caps w:val="false"/>
          <w:smallCaps w:val="false"/>
        </w:rPr>
      </w:pPr>
      <w:r>
        <w:rPr>
          <w:caps w:val="false"/>
          <w:smallCaps w:val="false"/>
        </w:rPr>
        <w:t> </w:t>
      </w:r>
    </w:p>
    <w:p>
      <w:pPr>
        <w:pStyle w:val="TextBody"/>
        <w:bidi w:val="0"/>
        <w:spacing w:lineRule="auto" w:line="27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 vote is important. Whether or not you plan to attend the 2026 Annual Meeting, we encourage you to read the Proxy Statement and submit your vote as soon as possible.</w:t>
      </w:r>
    </w:p>
    <w:p>
      <w:pPr>
        <w:pStyle w:val="TextBody"/>
        <w:bidi w:val="0"/>
        <w:spacing w:lineRule="auto" w:line="276"/>
        <w:jc w:val="left"/>
        <w:rPr>
          <w:caps w:val="false"/>
          <w:smallCaps w:val="false"/>
        </w:rPr>
      </w:pPr>
      <w:r>
        <w:rPr>
          <w:caps w:val="false"/>
          <w:smallCaps w:val="false"/>
        </w:rPr>
        <w:t> </w:t>
      </w:r>
    </w:p>
    <w:p>
      <w:pPr>
        <w:pStyle w:val="TextBody"/>
        <w:bidi w:val="0"/>
        <w:spacing w:lineRule="auto" w:line="27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Sincerely,</w:t>
      </w:r>
    </w:p>
    <w:p>
      <w:pPr>
        <w:pStyle w:val="TextBody"/>
        <w:bidi w:val="0"/>
        <w:spacing w:lineRule="auto" w:line="276"/>
        <w:jc w:val="left"/>
        <w:rPr>
          <w:caps w:val="false"/>
          <w:smallCaps w:val="false"/>
        </w:rPr>
      </w:pPr>
      <w:r>
        <w:rPr>
          <w:caps w:val="false"/>
          <w:smallCaps w:val="false"/>
        </w:rPr>
        <w:t> </w:t>
      </w:r>
    </w:p>
    <w:p>
      <w:pPr>
        <w:pStyle w:val="TextBody"/>
        <w:bidi w:val="0"/>
        <w:spacing w:lineRule="auto" w:line="276"/>
        <w:jc w:val="left"/>
        <w:rPr>
          <w:caps w:val="false"/>
          <w:smallCaps w:val="false"/>
        </w:rPr>
      </w:pPr>
      <w:r>
        <w:rPr>
          <w:caps w:val="false"/>
          <w:smallCaps w:val="false"/>
        </w:rPr>
        <w:drawing>
          <wp:inline distT="0" distB="0" distL="0" distR="0">
            <wp:extent cx="1193800" cy="279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193800" cy="279400"/>
                    </a:xfrm>
                    <a:prstGeom prst="rect">
                      <a:avLst/>
                    </a:prstGeom>
                  </pic:spPr>
                </pic:pic>
              </a:graphicData>
            </a:graphic>
          </wp:inline>
        </w:drawing>
      </w:r>
    </w:p>
    <w:p>
      <w:pPr>
        <w:pStyle w:val="TextBody"/>
        <w:bidi w:val="0"/>
        <w:spacing w:lineRule="auto" w:line="276"/>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Yang Wu</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Chairman and Chief Executive Officer</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9, 2026</w:t>
      </w:r>
    </w:p>
    <w:tbl>
      <w:tblPr>
        <w:tblW w:w="150" w:type="dxa"/>
        <w:jc w:val="left"/>
        <w:tblInd w:w="0" w:type="dxa"/>
        <w:tblLayout w:type="fixed"/>
        <w:tblCellMar>
          <w:top w:w="0" w:type="dxa"/>
          <w:left w:w="0" w:type="dxa"/>
          <w:bottom w:w="0" w:type="dxa"/>
          <w:right w:w="0" w:type="dxa"/>
        </w:tblCellMar>
      </w:tblPr>
      <w:tblGrid>
        <w:gridCol w:w="150"/>
      </w:tblGrid>
      <w:tr>
        <w:trPr/>
        <w:tc>
          <w:tcPr>
            <w:tcW w:w="150" w:type="dxa"/>
            <w:tcBorders/>
            <w:vAlign w:val="center"/>
          </w:tcPr>
          <w:p>
            <w:pPr>
              <w:pStyle w:val="TableContents"/>
              <w:bidi w:val="0"/>
              <w:spacing w:before="0" w:after="283"/>
              <w:jc w:val="center"/>
              <w:rPr/>
            </w:pPr>
            <w:r>
              <w:rPr/>
              <w:t> </w:t>
            </w:r>
          </w:p>
        </w:tc>
      </w:tr>
    </w:tbl>
    <w:tbl>
      <w:tblPr>
        <w:tblW w:w="150" w:type="dxa"/>
        <w:jc w:val="left"/>
        <w:tblInd w:w="0" w:type="dxa"/>
        <w:tblLayout w:type="fixed"/>
        <w:tblCellMar>
          <w:top w:w="0" w:type="dxa"/>
          <w:left w:w="0" w:type="dxa"/>
          <w:bottom w:w="0" w:type="dxa"/>
          <w:right w:w="0" w:type="dxa"/>
        </w:tblCellMar>
      </w:tblPr>
      <w:tblGrid>
        <w:gridCol w:w="150"/>
      </w:tblGrid>
      <w:tr>
        <w:trPr/>
        <w:tc>
          <w:tcPr>
            <w:tcW w:w="150" w:type="dxa"/>
            <w:tcBorders/>
            <w:vAlign w:val="center"/>
          </w:tcPr>
          <w:p>
            <w:pPr>
              <w:pStyle w:val="TableContents"/>
              <w:bidi w:val="0"/>
              <w:spacing w:before="0" w:after="283"/>
              <w:jc w:val="center"/>
              <w:rPr/>
            </w:pPr>
            <w:r>
              <w:rPr/>
              <w:t> </w:t>
            </w:r>
          </w:p>
        </w:tc>
      </w:tr>
    </w:tbl>
    <w:p>
      <w:pPr>
        <w:pStyle w:val="TextBody"/>
        <w:bidi w:val="0"/>
        <w:spacing w:lineRule="auto" w:line="33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YOUR VOTE IS IMPORTANT</w:t>
      </w:r>
    </w:p>
    <w:p>
      <w:pPr>
        <w:pStyle w:val="TextBody"/>
        <w:bidi w:val="0"/>
        <w:spacing w:lineRule="auto" w:line="316"/>
        <w:jc w:val="left"/>
        <w:rPr>
          <w:caps w:val="false"/>
          <w:smallCaps w:val="false"/>
        </w:rPr>
      </w:pPr>
      <w:r>
        <w:rPr>
          <w:caps w:val="false"/>
          <w:smallCaps w:val="false"/>
        </w:rPr>
        <w:t> </w:t>
      </w:r>
    </w:p>
    <w:p>
      <w:pPr>
        <w:pStyle w:val="TextBody"/>
        <w:bidi w:val="0"/>
        <w:spacing w:lineRule="auto" w:line="27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OR NOT YOU PLAN TO ATTEND THE 2026 ANNUAL MEETING, WE ENCOURAGE YOU TO READ THE PROXY STATEMENT AND SUBMIT YOUR PROXY OR VOTING INSTRUCTIONS AS SOON AS POSSIBLE SO THAT YOUR SHARES MAY BE VOTED IN ACCORDANCE WITH YOUR WISHES AND SO THAT THE PRESENCE OF A QUORUM MAY BE ASSURED. YOUR PROMPT ACTION WILL AID THE COMPANY IN REDUCING THE EXPENSE OF PROXY SOLICITATION.</w:t>
      </w:r>
    </w:p>
    <w:p>
      <w:pPr>
        <w:pStyle w:val="TextBody"/>
        <w:bidi w:val="0"/>
        <w:spacing w:lineRule="auto" w:line="316"/>
        <w:jc w:val="left"/>
        <w:rPr>
          <w:caps w:val="false"/>
          <w:smallCaps w:val="false"/>
        </w:rPr>
      </w:pPr>
      <w:r>
        <w:rPr>
          <w:caps w:val="false"/>
          <w:smallCaps w:val="false"/>
        </w:rPr>
        <w:t> </w:t>
      </w:r>
    </w:p>
    <w:tbl>
      <w:tblPr>
        <w:tblW w:w="10205" w:type="dxa"/>
        <w:jc w:val="left"/>
        <w:tblInd w:w="-10" w:type="dxa"/>
        <w:tblLayout w:type="fixed"/>
        <w:tblCellMar>
          <w:top w:w="33" w:type="dxa"/>
          <w:left w:w="28" w:type="dxa"/>
          <w:bottom w:w="0" w:type="dxa"/>
          <w:right w:w="28" w:type="dxa"/>
        </w:tblCellMar>
      </w:tblPr>
      <w:tblGrid>
        <w:gridCol w:w="10205"/>
      </w:tblGrid>
      <w:tr>
        <w:trPr/>
        <w:tc>
          <w:tcPr>
            <w:tcW w:w="10205"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Important Notice Regarding the Availability of Proxy Materials</w:t>
            </w:r>
          </w:p>
        </w:tc>
      </w:tr>
      <w:tr>
        <w:trPr/>
        <w:tc>
          <w:tcPr>
            <w:tcW w:w="10205" w:type="dxa"/>
            <w:tcBorders>
              <w:left w:val="single" w:sz="8" w:space="0" w:color="000000"/>
              <w:right w:val="single" w:sz="8" w:space="0" w:color="000000"/>
            </w:tcBorders>
            <w:tcMar>
              <w:top w:w="0" w:type="dxa"/>
            </w:tcMar>
            <w:vAlign w:val="center"/>
          </w:tcPr>
          <w:p>
            <w:pPr>
              <w:pStyle w:val="TableContents"/>
              <w:bidi w:val="0"/>
              <w:spacing w:lineRule="auto" w:line="333"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2026 Annual Meeting of Stockholders of Microvast Holdings, Inc.</w:t>
            </w:r>
          </w:p>
        </w:tc>
      </w:tr>
      <w:tr>
        <w:trPr/>
        <w:tc>
          <w:tcPr>
            <w:tcW w:w="10205" w:type="dxa"/>
            <w:tcBorders>
              <w:left w:val="single" w:sz="8" w:space="0" w:color="000000"/>
              <w:right w:val="single" w:sz="8" w:space="0" w:color="000000"/>
            </w:tcBorders>
            <w:tcMar>
              <w:top w:w="0" w:type="dxa"/>
            </w:tcMar>
            <w:vAlign w:val="center"/>
          </w:tcPr>
          <w:p>
            <w:pPr>
              <w:pStyle w:val="TableContents"/>
              <w:bidi w:val="0"/>
              <w:spacing w:lineRule="auto" w:line="333"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be Held on Monday, November 30, 2026 at 9:00 a.m. Central Time:</w:t>
            </w:r>
          </w:p>
        </w:tc>
      </w:tr>
      <w:tr>
        <w:trPr/>
        <w:tc>
          <w:tcPr>
            <w:tcW w:w="10205" w:type="dxa"/>
            <w:tcBorders>
              <w:left w:val="single" w:sz="8" w:space="0" w:color="000000"/>
              <w:right w:val="single" w:sz="8" w:space="0" w:color="000000"/>
            </w:tcBorders>
            <w:tcMar>
              <w:top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0205" w:type="dxa"/>
            <w:tcBorders>
              <w:left w:val="single" w:sz="8" w:space="0" w:color="000000"/>
              <w:right w:val="single" w:sz="8" w:space="0" w:color="000000"/>
            </w:tcBorders>
            <w:tcMar>
              <w:top w:w="0" w:type="dxa"/>
            </w:tcMar>
            <w:vAlign w:val="center"/>
          </w:tcPr>
          <w:p>
            <w:pPr>
              <w:pStyle w:val="TableContents"/>
              <w:bidi w:val="0"/>
              <w:spacing w:lineRule="auto" w:line="333"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permitted by rules adopted by the Securities and Exchange Commission, rather than mailing a full paper set of these proxy materials, we are mailing to many of our stockholders only a notice of Internet availability of proxy materials containing instructions on how to access these proxy materials and submit proxy votes online.</w:t>
            </w:r>
          </w:p>
        </w:tc>
      </w:tr>
      <w:tr>
        <w:trPr/>
        <w:tc>
          <w:tcPr>
            <w:tcW w:w="10205" w:type="dxa"/>
            <w:tcBorders>
              <w:left w:val="single" w:sz="8" w:space="0" w:color="000000"/>
              <w:right w:val="single" w:sz="8" w:space="0" w:color="000000"/>
            </w:tcBorders>
            <w:tcMar>
              <w:top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0205" w:type="dxa"/>
            <w:tcBorders>
              <w:left w:val="single" w:sz="8" w:space="0" w:color="000000"/>
              <w:bottom w:val="single" w:sz="8" w:space="0" w:color="000000"/>
              <w:right w:val="single" w:sz="8" w:space="0" w:color="000000"/>
            </w:tcBorders>
            <w:tcMar>
              <w:top w:w="0" w:type="dxa"/>
              <w:left w:w="53" w:type="dxa"/>
              <w:bottom w:w="28" w:type="dxa"/>
              <w:right w:w="53" w:type="dxa"/>
            </w:tcMar>
            <w:vAlign w:val="center"/>
          </w:tcPr>
          <w:p>
            <w:pPr>
              <w:pStyle w:val="TableContents"/>
              <w:bidi w:val="0"/>
              <w:spacing w:lineRule="auto" w:line="333" w:before="53" w:after="30"/>
              <w:ind w:left="53" w:right="53"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The Notice, Proxy Statement and Annual Report are available at: </w:t>
            </w:r>
          </w:p>
          <w:p>
            <w:pPr>
              <w:pStyle w:val="TableContents"/>
              <w:bidi w:val="0"/>
              <w:spacing w:lineRule="auto" w:line="333" w:before="53" w:after="30"/>
              <w:ind w:left="53" w:right="53"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www.virtualshareholdermeeting.com/MVST2026.</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150" w:type="dxa"/>
        <w:jc w:val="left"/>
        <w:tblInd w:w="0" w:type="dxa"/>
        <w:tblLayout w:type="fixed"/>
        <w:tblCellMar>
          <w:top w:w="0" w:type="dxa"/>
          <w:left w:w="0" w:type="dxa"/>
          <w:bottom w:w="0" w:type="dxa"/>
          <w:right w:w="0" w:type="dxa"/>
        </w:tblCellMar>
      </w:tblPr>
      <w:tblGrid>
        <w:gridCol w:w="150"/>
      </w:tblGrid>
      <w:tr>
        <w:trPr/>
        <w:tc>
          <w:tcPr>
            <w:tcW w:w="150" w:type="dxa"/>
            <w:tcBorders/>
            <w:vAlign w:val="center"/>
          </w:tcPr>
          <w:p>
            <w:pPr>
              <w:pStyle w:val="TableContents"/>
              <w:bidi w:val="0"/>
              <w:spacing w:before="0" w:after="283"/>
              <w:jc w:val="center"/>
              <w:rPr/>
            </w:pPr>
            <w:r>
              <w:rPr/>
              <w:t> </w:t>
            </w:r>
          </w:p>
        </w:tc>
      </w:tr>
    </w:tbl>
    <w:tbl>
      <w:tblPr>
        <w:tblW w:w="150" w:type="dxa"/>
        <w:jc w:val="left"/>
        <w:tblInd w:w="0" w:type="dxa"/>
        <w:tblLayout w:type="fixed"/>
        <w:tblCellMar>
          <w:top w:w="0" w:type="dxa"/>
          <w:left w:w="0" w:type="dxa"/>
          <w:bottom w:w="0" w:type="dxa"/>
          <w:right w:w="0" w:type="dxa"/>
        </w:tblCellMar>
      </w:tblPr>
      <w:tblGrid>
        <w:gridCol w:w="150"/>
      </w:tblGrid>
      <w:tr>
        <w:trPr/>
        <w:tc>
          <w:tcPr>
            <w:tcW w:w="150" w:type="dxa"/>
            <w:tcBorders/>
            <w:vAlign w:val="center"/>
          </w:tcPr>
          <w:p>
            <w:pPr>
              <w:pStyle w:val="TableContents"/>
              <w:bidi w:val="0"/>
              <w:spacing w:before="0" w:after="283"/>
              <w:jc w:val="center"/>
              <w:rPr/>
            </w:pPr>
            <w:r>
              <w:rPr/>
              <w:t> </w:t>
            </w:r>
          </w:p>
        </w:tc>
      </w:tr>
    </w:tbl>
    <w:p>
      <w:pPr>
        <w:pStyle w:val="TextBody"/>
        <w:bidi w:val="0"/>
        <w:spacing w:lineRule="auto" w:line="33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lineRule="auto" w:line="333" w:before="240" w:after="240"/>
        <w:ind w:left="240" w:right="24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758"/>
        <w:gridCol w:w="90"/>
        <w:gridCol w:w="357"/>
      </w:tblGrid>
      <w:tr>
        <w:trPr/>
        <w:tc>
          <w:tcPr>
            <w:tcW w:w="9758" w:type="dxa"/>
            <w:tcBorders/>
            <w:shd w:fill="CCEEFF" w:val="clear"/>
            <w:vAlign w:val="center"/>
          </w:tcPr>
          <w:p>
            <w:pPr>
              <w:pStyle w:val="TableContents"/>
              <w:bidi w:val="0"/>
              <w:spacing w:lineRule="auto" w:line="333" w:before="0" w:after="283"/>
              <w:jc w:val="left"/>
              <w:rPr/>
            </w:pPr>
            <w:hyperlink w:anchor="generalinfo">
              <w:r>
                <w:rPr>
                  <w:rStyle w:val="InternetLink"/>
                  <w:color w:val="0000FF"/>
                  <w:sz w:val="20"/>
                </w:rPr>
                <w:t>GENERAL INFORMATION</w:t>
              </w:r>
            </w:hyperlink>
            <w:r>
              <w:rPr/>
              <w:t xml:space="preserve"> </w:t>
            </w:r>
          </w:p>
        </w:tc>
        <w:tc>
          <w:tcPr>
            <w:tcW w:w="90" w:type="dxa"/>
            <w:tcBorders/>
            <w:shd w:fill="CCEEFF" w:val="clear"/>
            <w:vAlign w:val="center"/>
          </w:tcPr>
          <w:p>
            <w:pPr>
              <w:pStyle w:val="TableContents"/>
              <w:bidi w:val="0"/>
              <w:spacing w:before="0" w:after="283"/>
              <w:jc w:val="left"/>
              <w:rPr/>
            </w:pPr>
            <w:r>
              <w:rPr/>
              <w:t> </w:t>
            </w:r>
          </w:p>
        </w:tc>
        <w:tc>
          <w:tcPr>
            <w:tcW w:w="357" w:type="dxa"/>
            <w:tcBorders/>
            <w:shd w:fill="CCEEFF" w:val="clear"/>
            <w:vAlign w:val="center"/>
          </w:tcPr>
          <w:p>
            <w:pPr>
              <w:pStyle w:val="TableContents"/>
              <w:bidi w:val="0"/>
              <w:spacing w:lineRule="auto" w:line="333" w:before="0" w:after="283"/>
              <w:jc w:val="center"/>
              <w:rPr/>
            </w:pPr>
            <w:hyperlink w:anchor="generalinfo">
              <w:r>
                <w:rPr>
                  <w:rStyle w:val="InternetLink"/>
                  <w:color w:val="0000FF"/>
                  <w:sz w:val="20"/>
                </w:rPr>
                <w:t>1</w:t>
              </w:r>
            </w:hyperlink>
            <w:r>
              <w:rPr/>
              <w:t xml:space="preserve"> </w:t>
            </w:r>
          </w:p>
        </w:tc>
      </w:tr>
      <w:tr>
        <w:trPr/>
        <w:tc>
          <w:tcPr>
            <w:tcW w:w="9758" w:type="dxa"/>
            <w:tcBorders/>
            <w:shd w:fill="FFFFFF" w:val="clear"/>
            <w:vAlign w:val="center"/>
          </w:tcPr>
          <w:p>
            <w:pPr>
              <w:pStyle w:val="TableContents"/>
              <w:bidi w:val="0"/>
              <w:spacing w:lineRule="auto" w:line="333" w:before="0" w:after="283"/>
              <w:jc w:val="left"/>
              <w:rPr/>
            </w:pPr>
            <w:hyperlink w:anchor="proposals">
              <w:r>
                <w:rPr>
                  <w:rStyle w:val="InternetLink"/>
                  <w:color w:val="0000FF"/>
                  <w:sz w:val="20"/>
                </w:rPr>
                <w:t>PROPOSALS</w:t>
              </w:r>
            </w:hyperlink>
            <w:r>
              <w:rPr/>
              <w:t xml:space="preserve"> </w:t>
            </w:r>
          </w:p>
        </w:tc>
        <w:tc>
          <w:tcPr>
            <w:tcW w:w="90" w:type="dxa"/>
            <w:tcBorders/>
            <w:shd w:fill="FFFFFF" w:val="clear"/>
            <w:vAlign w:val="center"/>
          </w:tcPr>
          <w:p>
            <w:pPr>
              <w:pStyle w:val="TableContents"/>
              <w:bidi w:val="0"/>
              <w:spacing w:before="0" w:after="283"/>
              <w:jc w:val="left"/>
              <w:rPr/>
            </w:pPr>
            <w:r>
              <w:rPr/>
              <w:t> </w:t>
            </w:r>
          </w:p>
        </w:tc>
        <w:tc>
          <w:tcPr>
            <w:tcW w:w="357" w:type="dxa"/>
            <w:tcBorders/>
            <w:shd w:fill="FFFFFF" w:val="clear"/>
            <w:vAlign w:val="center"/>
          </w:tcPr>
          <w:p>
            <w:pPr>
              <w:pStyle w:val="TableContents"/>
              <w:bidi w:val="0"/>
              <w:spacing w:lineRule="auto" w:line="333" w:before="0" w:after="283"/>
              <w:jc w:val="center"/>
              <w:rPr/>
            </w:pPr>
            <w:hyperlink w:anchor="proposals">
              <w:r>
                <w:rPr>
                  <w:rStyle w:val="InternetLink"/>
                  <w:color w:val="0000FF"/>
                  <w:sz w:val="20"/>
                </w:rPr>
                <w:t>7</w:t>
              </w:r>
            </w:hyperlink>
            <w:r>
              <w:rPr/>
              <w:t xml:space="preserve"> </w:t>
            </w:r>
          </w:p>
        </w:tc>
      </w:tr>
      <w:tr>
        <w:trPr/>
        <w:tc>
          <w:tcPr>
            <w:tcW w:w="9758" w:type="dxa"/>
            <w:tcBorders/>
            <w:shd w:fill="CCEEFF" w:val="clear"/>
            <w:vAlign w:val="center"/>
          </w:tcPr>
          <w:p>
            <w:pPr>
              <w:pStyle w:val="TableContents"/>
              <w:bidi w:val="0"/>
              <w:spacing w:lineRule="auto" w:line="333" w:before="0" w:after="283"/>
              <w:jc w:val="left"/>
              <w:rPr/>
            </w:pPr>
            <w:hyperlink w:anchor="principal">
              <w:r>
                <w:rPr>
                  <w:rStyle w:val="InternetLink"/>
                  <w:color w:val="0000FF"/>
                  <w:sz w:val="20"/>
                </w:rPr>
                <w:t>PRINCIPAL ACCOUNTANT FEES AND SERVICES</w:t>
              </w:r>
            </w:hyperlink>
            <w:r>
              <w:rPr/>
              <w:t xml:space="preserve"> </w:t>
            </w:r>
          </w:p>
        </w:tc>
        <w:tc>
          <w:tcPr>
            <w:tcW w:w="90" w:type="dxa"/>
            <w:tcBorders/>
            <w:shd w:fill="CCEEFF" w:val="clear"/>
            <w:vAlign w:val="center"/>
          </w:tcPr>
          <w:p>
            <w:pPr>
              <w:pStyle w:val="TableContents"/>
              <w:bidi w:val="0"/>
              <w:spacing w:before="0" w:after="283"/>
              <w:jc w:val="left"/>
              <w:rPr/>
            </w:pPr>
            <w:r>
              <w:rPr/>
              <w:t> </w:t>
            </w:r>
          </w:p>
        </w:tc>
        <w:tc>
          <w:tcPr>
            <w:tcW w:w="357" w:type="dxa"/>
            <w:tcBorders/>
            <w:shd w:fill="CCEEFF" w:val="clear"/>
            <w:vAlign w:val="center"/>
          </w:tcPr>
          <w:p>
            <w:pPr>
              <w:pStyle w:val="TableContents"/>
              <w:bidi w:val="0"/>
              <w:spacing w:lineRule="auto" w:line="333" w:before="0" w:after="283"/>
              <w:jc w:val="center"/>
              <w:rPr/>
            </w:pPr>
            <w:hyperlink w:anchor="principal">
              <w:r>
                <w:rPr>
                  <w:rStyle w:val="InternetLink"/>
                  <w:color w:val="0000FF"/>
                  <w:sz w:val="20"/>
                </w:rPr>
                <w:t>11</w:t>
              </w:r>
            </w:hyperlink>
            <w:r>
              <w:rPr/>
              <w:t xml:space="preserve"> </w:t>
            </w:r>
          </w:p>
        </w:tc>
      </w:tr>
      <w:tr>
        <w:trPr/>
        <w:tc>
          <w:tcPr>
            <w:tcW w:w="9758" w:type="dxa"/>
            <w:tcBorders/>
            <w:vAlign w:val="center"/>
          </w:tcPr>
          <w:p>
            <w:pPr>
              <w:pStyle w:val="TableContents"/>
              <w:bidi w:val="0"/>
              <w:spacing w:lineRule="auto" w:line="333" w:before="0" w:after="283"/>
              <w:jc w:val="left"/>
              <w:rPr/>
            </w:pPr>
            <w:hyperlink w:anchor="ourboard">
              <w:r>
                <w:rPr>
                  <w:rStyle w:val="InternetLink"/>
                  <w:color w:val="0000FF"/>
                  <w:sz w:val="20"/>
                </w:rPr>
                <w:t>OUR BOARD OF DIRECTORS</w:t>
              </w:r>
            </w:hyperlink>
            <w:r>
              <w:rPr/>
              <w:t xml:space="preserve"> </w:t>
            </w:r>
          </w:p>
        </w:tc>
        <w:tc>
          <w:tcPr>
            <w:tcW w:w="90" w:type="dxa"/>
            <w:tcBorders/>
            <w:vAlign w:val="center"/>
          </w:tcPr>
          <w:p>
            <w:pPr>
              <w:pStyle w:val="TableContents"/>
              <w:bidi w:val="0"/>
              <w:spacing w:before="0" w:after="283"/>
              <w:jc w:val="left"/>
              <w:rPr/>
            </w:pPr>
            <w:r>
              <w:rPr/>
              <w:t> </w:t>
            </w:r>
          </w:p>
        </w:tc>
        <w:tc>
          <w:tcPr>
            <w:tcW w:w="357" w:type="dxa"/>
            <w:tcBorders/>
            <w:vAlign w:val="center"/>
          </w:tcPr>
          <w:p>
            <w:pPr>
              <w:pStyle w:val="TableContents"/>
              <w:bidi w:val="0"/>
              <w:spacing w:lineRule="auto" w:line="333" w:before="0" w:after="283"/>
              <w:jc w:val="center"/>
              <w:rPr/>
            </w:pPr>
            <w:hyperlink w:anchor="ourboard">
              <w:r>
                <w:rPr>
                  <w:rStyle w:val="InternetLink"/>
                  <w:color w:val="0000FF"/>
                  <w:sz w:val="20"/>
                </w:rPr>
                <w:t>12</w:t>
              </w:r>
            </w:hyperlink>
          </w:p>
        </w:tc>
      </w:tr>
      <w:tr>
        <w:trPr/>
        <w:tc>
          <w:tcPr>
            <w:tcW w:w="9758" w:type="dxa"/>
            <w:tcBorders/>
            <w:shd w:fill="CCEEFF" w:val="clear"/>
            <w:vAlign w:val="center"/>
          </w:tcPr>
          <w:p>
            <w:pPr>
              <w:pStyle w:val="TableContents"/>
              <w:bidi w:val="0"/>
              <w:spacing w:lineRule="auto" w:line="333" w:before="0" w:after="283"/>
              <w:jc w:val="left"/>
              <w:rPr/>
            </w:pPr>
            <w:hyperlink w:anchor="ourexec">
              <w:r>
                <w:rPr>
                  <w:rStyle w:val="InternetLink"/>
                  <w:color w:val="0000FF"/>
                  <w:sz w:val="20"/>
                </w:rPr>
                <w:t>OUR EXECUTIVE OFFICERS</w:t>
              </w:r>
            </w:hyperlink>
            <w:r>
              <w:rPr/>
              <w:t xml:space="preserve"> </w:t>
            </w:r>
          </w:p>
        </w:tc>
        <w:tc>
          <w:tcPr>
            <w:tcW w:w="90" w:type="dxa"/>
            <w:tcBorders/>
            <w:shd w:fill="CCEEFF" w:val="clear"/>
            <w:vAlign w:val="center"/>
          </w:tcPr>
          <w:p>
            <w:pPr>
              <w:pStyle w:val="TableContents"/>
              <w:bidi w:val="0"/>
              <w:spacing w:before="0" w:after="283"/>
              <w:jc w:val="left"/>
              <w:rPr/>
            </w:pPr>
            <w:r>
              <w:rPr/>
              <w:t> </w:t>
            </w:r>
          </w:p>
        </w:tc>
        <w:tc>
          <w:tcPr>
            <w:tcW w:w="357" w:type="dxa"/>
            <w:tcBorders/>
            <w:shd w:fill="CCEEFF" w:val="clear"/>
            <w:vAlign w:val="center"/>
          </w:tcPr>
          <w:p>
            <w:pPr>
              <w:pStyle w:val="TableContents"/>
              <w:bidi w:val="0"/>
              <w:spacing w:lineRule="auto" w:line="333" w:before="0" w:after="283"/>
              <w:jc w:val="center"/>
              <w:rPr/>
            </w:pPr>
            <w:hyperlink w:anchor="ourexec">
              <w:r>
                <w:rPr>
                  <w:rStyle w:val="InternetLink"/>
                  <w:color w:val="0000FF"/>
                  <w:sz w:val="20"/>
                </w:rPr>
                <w:t>18</w:t>
              </w:r>
            </w:hyperlink>
            <w:r>
              <w:rPr/>
              <w:t xml:space="preserve"> </w:t>
            </w:r>
          </w:p>
        </w:tc>
      </w:tr>
      <w:tr>
        <w:trPr/>
        <w:tc>
          <w:tcPr>
            <w:tcW w:w="9758" w:type="dxa"/>
            <w:tcBorders/>
            <w:shd w:fill="FFFFFF" w:val="clear"/>
            <w:vAlign w:val="center"/>
          </w:tcPr>
          <w:p>
            <w:pPr>
              <w:pStyle w:val="TableContents"/>
              <w:bidi w:val="0"/>
              <w:spacing w:lineRule="auto" w:line="333" w:before="0" w:after="283"/>
              <w:jc w:val="left"/>
              <w:rPr/>
            </w:pPr>
            <w:hyperlink w:anchor="corporate">
              <w:r>
                <w:rPr>
                  <w:rStyle w:val="InternetLink"/>
                  <w:color w:val="0000FF"/>
                  <w:sz w:val="20"/>
                </w:rPr>
                <w:t>CORPORATE GOVERNANCE</w:t>
              </w:r>
            </w:hyperlink>
            <w:r>
              <w:rPr/>
              <w:t xml:space="preserve"> </w:t>
            </w:r>
          </w:p>
        </w:tc>
        <w:tc>
          <w:tcPr>
            <w:tcW w:w="90" w:type="dxa"/>
            <w:tcBorders/>
            <w:shd w:fill="FFFFFF" w:val="clear"/>
            <w:vAlign w:val="center"/>
          </w:tcPr>
          <w:p>
            <w:pPr>
              <w:pStyle w:val="TableContents"/>
              <w:bidi w:val="0"/>
              <w:spacing w:before="0" w:after="283"/>
              <w:jc w:val="left"/>
              <w:rPr/>
            </w:pPr>
            <w:r>
              <w:rPr/>
              <w:t> </w:t>
            </w:r>
          </w:p>
        </w:tc>
        <w:tc>
          <w:tcPr>
            <w:tcW w:w="357" w:type="dxa"/>
            <w:tcBorders/>
            <w:shd w:fill="FFFFFF" w:val="clear"/>
            <w:vAlign w:val="center"/>
          </w:tcPr>
          <w:p>
            <w:pPr>
              <w:pStyle w:val="TableContents"/>
              <w:bidi w:val="0"/>
              <w:spacing w:lineRule="auto" w:line="333" w:before="0" w:after="283"/>
              <w:jc w:val="center"/>
              <w:rPr/>
            </w:pPr>
            <w:hyperlink w:anchor="corporate">
              <w:r>
                <w:rPr>
                  <w:rStyle w:val="InternetLink"/>
                  <w:color w:val="0000FF"/>
                  <w:sz w:val="20"/>
                </w:rPr>
                <w:t>20</w:t>
              </w:r>
            </w:hyperlink>
            <w:r>
              <w:rPr/>
              <w:t xml:space="preserve"> </w:t>
            </w:r>
          </w:p>
        </w:tc>
      </w:tr>
      <w:tr>
        <w:trPr/>
        <w:tc>
          <w:tcPr>
            <w:tcW w:w="9758" w:type="dxa"/>
            <w:tcBorders/>
            <w:shd w:fill="CCEEFF" w:val="clear"/>
            <w:vAlign w:val="center"/>
          </w:tcPr>
          <w:p>
            <w:pPr>
              <w:pStyle w:val="TableContents"/>
              <w:bidi w:val="0"/>
              <w:spacing w:lineRule="auto" w:line="333" w:before="0" w:after="283"/>
              <w:jc w:val="left"/>
              <w:rPr/>
            </w:pPr>
            <w:hyperlink w:anchor="exec">
              <w:r>
                <w:rPr>
                  <w:rStyle w:val="InternetLink"/>
                  <w:color w:val="0000FF"/>
                  <w:sz w:val="20"/>
                </w:rPr>
                <w:t>EXECUTIVE COMPENSATION</w:t>
              </w:r>
            </w:hyperlink>
            <w:r>
              <w:rPr/>
              <w:t xml:space="preserve"> </w:t>
            </w:r>
          </w:p>
        </w:tc>
        <w:tc>
          <w:tcPr>
            <w:tcW w:w="90" w:type="dxa"/>
            <w:tcBorders/>
            <w:shd w:fill="CCEEFF" w:val="clear"/>
            <w:vAlign w:val="center"/>
          </w:tcPr>
          <w:p>
            <w:pPr>
              <w:pStyle w:val="TableContents"/>
              <w:bidi w:val="0"/>
              <w:spacing w:before="0" w:after="283"/>
              <w:jc w:val="left"/>
              <w:rPr/>
            </w:pPr>
            <w:r>
              <w:rPr/>
              <w:t> </w:t>
            </w:r>
          </w:p>
        </w:tc>
        <w:tc>
          <w:tcPr>
            <w:tcW w:w="357" w:type="dxa"/>
            <w:tcBorders/>
            <w:shd w:fill="CCEEFF" w:val="clear"/>
            <w:vAlign w:val="center"/>
          </w:tcPr>
          <w:p>
            <w:pPr>
              <w:pStyle w:val="TableContents"/>
              <w:bidi w:val="0"/>
              <w:spacing w:lineRule="auto" w:line="333" w:before="0" w:after="283"/>
              <w:jc w:val="center"/>
              <w:rPr/>
            </w:pPr>
            <w:hyperlink w:anchor="exec">
              <w:r>
                <w:rPr>
                  <w:rStyle w:val="InternetLink"/>
                  <w:color w:val="0000FF"/>
                  <w:sz w:val="20"/>
                </w:rPr>
                <w:t>23</w:t>
              </w:r>
            </w:hyperlink>
            <w:r>
              <w:rPr/>
              <w:t xml:space="preserve"> </w:t>
            </w:r>
          </w:p>
        </w:tc>
      </w:tr>
      <w:tr>
        <w:trPr/>
        <w:tc>
          <w:tcPr>
            <w:tcW w:w="9758" w:type="dxa"/>
            <w:tcBorders/>
            <w:vAlign w:val="center"/>
          </w:tcPr>
          <w:p>
            <w:pPr>
              <w:pStyle w:val="TableContents"/>
              <w:bidi w:val="0"/>
              <w:spacing w:lineRule="auto" w:line="333" w:before="0" w:after="283"/>
              <w:jc w:val="left"/>
              <w:rPr/>
            </w:pPr>
            <w:hyperlink w:anchor="director">
              <w:r>
                <w:rPr>
                  <w:rStyle w:val="InternetLink"/>
                  <w:color w:val="0000FF"/>
                  <w:sz w:val="20"/>
                </w:rPr>
                <w:t>DIRECTOR COMPENSATION</w:t>
              </w:r>
            </w:hyperlink>
            <w:r>
              <w:rPr/>
              <w:t xml:space="preserve"> </w:t>
            </w:r>
          </w:p>
        </w:tc>
        <w:tc>
          <w:tcPr>
            <w:tcW w:w="90" w:type="dxa"/>
            <w:tcBorders/>
            <w:vAlign w:val="center"/>
          </w:tcPr>
          <w:p>
            <w:pPr>
              <w:pStyle w:val="TableContents"/>
              <w:bidi w:val="0"/>
              <w:spacing w:before="0" w:after="283"/>
              <w:jc w:val="left"/>
              <w:rPr/>
            </w:pPr>
            <w:r>
              <w:rPr/>
              <w:t> </w:t>
            </w:r>
          </w:p>
        </w:tc>
        <w:tc>
          <w:tcPr>
            <w:tcW w:w="357" w:type="dxa"/>
            <w:tcBorders/>
            <w:vAlign w:val="center"/>
          </w:tcPr>
          <w:p>
            <w:pPr>
              <w:pStyle w:val="TableContents"/>
              <w:bidi w:val="0"/>
              <w:spacing w:lineRule="auto" w:line="333" w:before="0" w:after="283"/>
              <w:jc w:val="center"/>
              <w:rPr/>
            </w:pPr>
            <w:hyperlink w:anchor="director">
              <w:r>
                <w:rPr>
                  <w:rStyle w:val="InternetLink"/>
                  <w:color w:val="0000FF"/>
                  <w:sz w:val="20"/>
                </w:rPr>
                <w:t>42</w:t>
              </w:r>
            </w:hyperlink>
            <w:r>
              <w:rPr/>
              <w:t xml:space="preserve"> </w:t>
            </w:r>
          </w:p>
        </w:tc>
      </w:tr>
      <w:tr>
        <w:trPr/>
        <w:tc>
          <w:tcPr>
            <w:tcW w:w="9758" w:type="dxa"/>
            <w:tcBorders/>
            <w:shd w:fill="CCEEFF" w:val="clear"/>
            <w:vAlign w:val="center"/>
          </w:tcPr>
          <w:p>
            <w:pPr>
              <w:pStyle w:val="TableContents"/>
              <w:bidi w:val="0"/>
              <w:spacing w:lineRule="auto" w:line="333" w:before="0" w:after="283"/>
              <w:jc w:val="left"/>
              <w:rPr/>
            </w:pPr>
            <w:hyperlink w:anchor="certainRelationships">
              <w:r>
                <w:rPr>
                  <w:rStyle w:val="InternetLink"/>
                  <w:color w:val="0000FF"/>
                  <w:sz w:val="20"/>
                </w:rPr>
                <w:t>CERTAIN RELATIONSHIPS AND RELATED PARTY TRANSACTIONS</w:t>
              </w:r>
            </w:hyperlink>
            <w:r>
              <w:rPr/>
              <w:t xml:space="preserve"> </w:t>
            </w:r>
          </w:p>
        </w:tc>
        <w:tc>
          <w:tcPr>
            <w:tcW w:w="90" w:type="dxa"/>
            <w:tcBorders/>
            <w:shd w:fill="CCEEFF" w:val="clear"/>
            <w:vAlign w:val="center"/>
          </w:tcPr>
          <w:p>
            <w:pPr>
              <w:pStyle w:val="TableContents"/>
              <w:bidi w:val="0"/>
              <w:spacing w:before="0" w:after="283"/>
              <w:jc w:val="left"/>
              <w:rPr/>
            </w:pPr>
            <w:r>
              <w:rPr/>
              <w:t> </w:t>
            </w:r>
          </w:p>
        </w:tc>
        <w:tc>
          <w:tcPr>
            <w:tcW w:w="357" w:type="dxa"/>
            <w:tcBorders/>
            <w:shd w:fill="CCEEFF" w:val="clear"/>
            <w:vAlign w:val="center"/>
          </w:tcPr>
          <w:p>
            <w:pPr>
              <w:pStyle w:val="TableContents"/>
              <w:bidi w:val="0"/>
              <w:spacing w:lineRule="auto" w:line="333" w:before="0" w:after="283"/>
              <w:jc w:val="center"/>
              <w:rPr/>
            </w:pPr>
            <w:hyperlink w:anchor="certainRelationships">
              <w:r>
                <w:rPr>
                  <w:rStyle w:val="InternetLink"/>
                  <w:color w:val="0000FF"/>
                  <w:sz w:val="20"/>
                </w:rPr>
                <w:t>43</w:t>
              </w:r>
            </w:hyperlink>
            <w:r>
              <w:rPr/>
              <w:t xml:space="preserve"> </w:t>
            </w:r>
          </w:p>
        </w:tc>
      </w:tr>
      <w:tr>
        <w:trPr/>
        <w:tc>
          <w:tcPr>
            <w:tcW w:w="9758" w:type="dxa"/>
            <w:tcBorders/>
            <w:vAlign w:val="center"/>
          </w:tcPr>
          <w:p>
            <w:pPr>
              <w:pStyle w:val="TableContents"/>
              <w:bidi w:val="0"/>
              <w:spacing w:lineRule="auto" w:line="333" w:before="0" w:after="283"/>
              <w:jc w:val="left"/>
              <w:rPr/>
            </w:pPr>
            <w:hyperlink w:anchor="security">
              <w:r>
                <w:rPr>
                  <w:rStyle w:val="InternetLink"/>
                  <w:color w:val="0000FF"/>
                  <w:sz w:val="20"/>
                </w:rPr>
                <w:t>SECURITY OWNERSHIP OF CERTAIN BENEFICIAL OWNERS AND MANAGEMENT AND RELATED STOCKHOLDER MATTERS</w:t>
              </w:r>
            </w:hyperlink>
            <w:r>
              <w:rPr/>
              <w:t xml:space="preserve"> </w:t>
            </w:r>
          </w:p>
        </w:tc>
        <w:tc>
          <w:tcPr>
            <w:tcW w:w="90" w:type="dxa"/>
            <w:tcBorders/>
            <w:vAlign w:val="center"/>
          </w:tcPr>
          <w:p>
            <w:pPr>
              <w:pStyle w:val="TableContents"/>
              <w:bidi w:val="0"/>
              <w:spacing w:before="0" w:after="283"/>
              <w:jc w:val="left"/>
              <w:rPr/>
            </w:pPr>
            <w:r>
              <w:rPr/>
              <w:t> </w:t>
            </w:r>
          </w:p>
        </w:tc>
        <w:tc>
          <w:tcPr>
            <w:tcW w:w="357" w:type="dxa"/>
            <w:tcBorders/>
            <w:vAlign w:val="center"/>
          </w:tcPr>
          <w:p>
            <w:pPr>
              <w:pStyle w:val="TableContents"/>
              <w:bidi w:val="0"/>
              <w:spacing w:lineRule="auto" w:line="333" w:before="0" w:after="283"/>
              <w:jc w:val="center"/>
              <w:rPr/>
            </w:pPr>
            <w:hyperlink w:anchor="security">
              <w:r>
                <w:rPr>
                  <w:rStyle w:val="InternetLink"/>
                  <w:color w:val="0000FF"/>
                  <w:sz w:val="20"/>
                </w:rPr>
                <w:t>44</w:t>
              </w:r>
            </w:hyperlink>
          </w:p>
        </w:tc>
      </w:tr>
      <w:tr>
        <w:trPr/>
        <w:tc>
          <w:tcPr>
            <w:tcW w:w="9758" w:type="dxa"/>
            <w:tcBorders/>
            <w:shd w:fill="CCEEFF" w:val="clear"/>
            <w:vAlign w:val="center"/>
          </w:tcPr>
          <w:p>
            <w:pPr>
              <w:pStyle w:val="TableContents"/>
              <w:bidi w:val="0"/>
              <w:spacing w:lineRule="auto" w:line="333" w:before="0" w:after="283"/>
              <w:jc w:val="left"/>
              <w:rPr/>
            </w:pPr>
            <w:hyperlink w:anchor="audit">
              <w:r>
                <w:rPr>
                  <w:rStyle w:val="InternetLink"/>
                  <w:color w:val="0000FF"/>
                  <w:sz w:val="20"/>
                </w:rPr>
                <w:t>AUDIT COMMITTEE REPORT</w:t>
              </w:r>
            </w:hyperlink>
            <w:r>
              <w:rPr/>
              <w:t xml:space="preserve"> </w:t>
            </w:r>
          </w:p>
        </w:tc>
        <w:tc>
          <w:tcPr>
            <w:tcW w:w="90" w:type="dxa"/>
            <w:tcBorders/>
            <w:shd w:fill="CCEEFF" w:val="clear"/>
            <w:vAlign w:val="center"/>
          </w:tcPr>
          <w:p>
            <w:pPr>
              <w:pStyle w:val="TableContents"/>
              <w:bidi w:val="0"/>
              <w:spacing w:before="0" w:after="283"/>
              <w:jc w:val="left"/>
              <w:rPr/>
            </w:pPr>
            <w:r>
              <w:rPr/>
              <w:t> </w:t>
            </w:r>
          </w:p>
        </w:tc>
        <w:tc>
          <w:tcPr>
            <w:tcW w:w="357" w:type="dxa"/>
            <w:tcBorders/>
            <w:shd w:fill="CCEEFF" w:val="clear"/>
            <w:vAlign w:val="center"/>
          </w:tcPr>
          <w:p>
            <w:pPr>
              <w:pStyle w:val="TableContents"/>
              <w:bidi w:val="0"/>
              <w:spacing w:lineRule="auto" w:line="333" w:before="0" w:after="283"/>
              <w:jc w:val="center"/>
              <w:rPr/>
            </w:pPr>
            <w:hyperlink w:anchor="audit">
              <w:r>
                <w:rPr>
                  <w:rStyle w:val="InternetLink"/>
                  <w:color w:val="0000FF"/>
                  <w:sz w:val="20"/>
                </w:rPr>
                <w:t>46</w:t>
              </w:r>
            </w:hyperlink>
            <w:r>
              <w:rPr/>
              <w:t xml:space="preserve"> </w:t>
            </w:r>
          </w:p>
        </w:tc>
      </w:tr>
      <w:tr>
        <w:trPr/>
        <w:tc>
          <w:tcPr>
            <w:tcW w:w="9758" w:type="dxa"/>
            <w:tcBorders/>
            <w:vAlign w:val="center"/>
          </w:tcPr>
          <w:p>
            <w:pPr>
              <w:pStyle w:val="TableContents"/>
              <w:bidi w:val="0"/>
              <w:spacing w:lineRule="auto" w:line="333" w:before="0" w:after="283"/>
              <w:jc w:val="left"/>
              <w:rPr/>
            </w:pPr>
            <w:hyperlink w:anchor="othermatters">
              <w:r>
                <w:rPr>
                  <w:rStyle w:val="InternetLink"/>
                  <w:color w:val="0000FF"/>
                  <w:sz w:val="20"/>
                </w:rPr>
                <w:t>OTHER MATTERS</w:t>
              </w:r>
            </w:hyperlink>
            <w:r>
              <w:rPr/>
              <w:t xml:space="preserve"> </w:t>
            </w:r>
          </w:p>
        </w:tc>
        <w:tc>
          <w:tcPr>
            <w:tcW w:w="90" w:type="dxa"/>
            <w:tcBorders/>
            <w:vAlign w:val="center"/>
          </w:tcPr>
          <w:p>
            <w:pPr>
              <w:pStyle w:val="TableContents"/>
              <w:bidi w:val="0"/>
              <w:spacing w:before="0" w:after="283"/>
              <w:jc w:val="left"/>
              <w:rPr/>
            </w:pPr>
            <w:r>
              <w:rPr/>
              <w:t> </w:t>
            </w:r>
          </w:p>
        </w:tc>
        <w:tc>
          <w:tcPr>
            <w:tcW w:w="357" w:type="dxa"/>
            <w:tcBorders/>
            <w:vAlign w:val="center"/>
          </w:tcPr>
          <w:p>
            <w:pPr>
              <w:pStyle w:val="TableContents"/>
              <w:bidi w:val="0"/>
              <w:spacing w:lineRule="auto" w:line="333" w:before="0" w:after="283"/>
              <w:jc w:val="center"/>
              <w:rPr/>
            </w:pPr>
            <w:hyperlink w:anchor="othermatters">
              <w:r>
                <w:rPr>
                  <w:rStyle w:val="InternetLink"/>
                  <w:color w:val="0000FF"/>
                  <w:sz w:val="20"/>
                </w:rPr>
                <w:t>47</w:t>
              </w:r>
            </w:hyperlink>
            <w:r>
              <w:rPr/>
              <w:t xml:space="preserve"> </w:t>
            </w:r>
          </w:p>
        </w:tc>
      </w:tr>
      <w:tr>
        <w:trPr/>
        <w:tc>
          <w:tcPr>
            <w:tcW w:w="9758" w:type="dxa"/>
            <w:tcBorders/>
            <w:shd w:fill="CCEEFF" w:val="clear"/>
            <w:vAlign w:val="center"/>
          </w:tcPr>
          <w:p>
            <w:pPr>
              <w:pStyle w:val="TableContents"/>
              <w:bidi w:val="0"/>
              <w:spacing w:lineRule="auto" w:line="333" w:before="0" w:after="283"/>
              <w:jc w:val="left"/>
              <w:rPr/>
            </w:pPr>
            <w:hyperlink w:anchor="require">
              <w:r>
                <w:rPr>
                  <w:rStyle w:val="InternetLink"/>
                  <w:color w:val="0000FF"/>
                  <w:sz w:val="20"/>
                </w:rPr>
                <w:t>REQUIREMENTS FOR SUBMISSION OF STOCKHOLDER PROPOSALS FOR THE 2027 ANNUAL MEETING</w:t>
              </w:r>
            </w:hyperlink>
            <w:r>
              <w:rPr/>
              <w:t xml:space="preserve"> </w:t>
            </w:r>
          </w:p>
        </w:tc>
        <w:tc>
          <w:tcPr>
            <w:tcW w:w="90" w:type="dxa"/>
            <w:tcBorders/>
            <w:shd w:fill="CCEEFF" w:val="clear"/>
            <w:vAlign w:val="center"/>
          </w:tcPr>
          <w:p>
            <w:pPr>
              <w:pStyle w:val="TableContents"/>
              <w:bidi w:val="0"/>
              <w:spacing w:before="0" w:after="283"/>
              <w:jc w:val="left"/>
              <w:rPr/>
            </w:pPr>
            <w:r>
              <w:rPr/>
              <w:t> </w:t>
            </w:r>
          </w:p>
        </w:tc>
        <w:tc>
          <w:tcPr>
            <w:tcW w:w="357" w:type="dxa"/>
            <w:tcBorders/>
            <w:shd w:fill="CCEEFF" w:val="clear"/>
            <w:vAlign w:val="center"/>
          </w:tcPr>
          <w:p>
            <w:pPr>
              <w:pStyle w:val="TableContents"/>
              <w:bidi w:val="0"/>
              <w:spacing w:lineRule="auto" w:line="333" w:before="0" w:after="283"/>
              <w:jc w:val="center"/>
              <w:rPr/>
            </w:pPr>
            <w:hyperlink w:anchor="require">
              <w:r>
                <w:rPr>
                  <w:rStyle w:val="InternetLink"/>
                  <w:color w:val="0000FF"/>
                  <w:sz w:val="20"/>
                </w:rPr>
                <w:t>48</w:t>
              </w:r>
            </w:hyperlink>
          </w:p>
        </w:tc>
      </w:tr>
    </w:tbl>
    <w:p>
      <w:pPr>
        <w:pStyle w:val="TextBody"/>
        <w:bidi w:val="0"/>
        <w:spacing w:lineRule="auto" w:line="333" w:before="240" w:after="240"/>
        <w:ind w:left="240" w:right="240" w:hanging="0"/>
        <w:jc w:val="left"/>
        <w:rPr>
          <w:caps w:val="false"/>
          <w:smallCaps w:val="false"/>
        </w:rPr>
      </w:pPr>
      <w:r>
        <w:rPr>
          <w:caps w:val="false"/>
          <w:smallCaps w:val="false"/>
        </w:rPr>
        <w:t> </w:t>
      </w:r>
    </w:p>
    <w:p>
      <w:pPr>
        <w:pStyle w:val="TextBody"/>
        <w:bidi w:val="0"/>
        <w:spacing w:lineRule="auto" w:line="316"/>
        <w:jc w:val="left"/>
        <w:rPr>
          <w:caps w:val="false"/>
          <w:smallCaps w:val="false"/>
        </w:rPr>
      </w:pPr>
      <w:r>
        <w:rPr>
          <w:caps w:val="false"/>
          <w:smallCaps w:val="false"/>
        </w:rPr>
        <w:t> </w:t>
      </w:r>
    </w:p>
    <w:p>
      <w:pPr>
        <w:pStyle w:val="TextBody"/>
        <w:bidi w:val="0"/>
        <w:spacing w:lineRule="auto" w:line="316"/>
        <w:jc w:val="left"/>
        <w:rPr>
          <w:caps w:val="false"/>
          <w:smallCaps w:val="false"/>
        </w:rPr>
      </w:pPr>
      <w:r>
        <w:rPr>
          <w:caps w:val="false"/>
          <w:smallCaps w:val="false"/>
        </w:rPr>
        <w:t> </w:t>
      </w:r>
    </w:p>
    <w:p>
      <w:pPr>
        <w:pStyle w:val="TextBody"/>
        <w:bidi w:val="0"/>
        <w:spacing w:lineRule="auto" w:line="316"/>
        <w:jc w:val="left"/>
        <w:rPr>
          <w:caps w:val="false"/>
          <w:smallCaps w:val="false"/>
        </w:rPr>
      </w:pPr>
      <w:r>
        <w:rPr>
          <w:caps w:val="false"/>
          <w:smallCaps w:val="false"/>
        </w:rPr>
        <w:t> </w:t>
      </w:r>
    </w:p>
    <w:p>
      <w:pPr>
        <w:pStyle w:val="TextBody"/>
        <w:bidi w:val="0"/>
        <w:spacing w:lineRule="auto" w:line="316"/>
        <w:jc w:val="left"/>
        <w:rPr>
          <w:caps w:val="false"/>
          <w:smallCaps w:val="false"/>
        </w:rPr>
      </w:pPr>
      <w:r>
        <w:rPr>
          <w:caps w:val="false"/>
          <w:smallCaps w:val="false"/>
        </w:rPr>
        <w:t> </w:t>
      </w:r>
    </w:p>
    <w:p>
      <w:pPr>
        <w:pStyle w:val="TextBody"/>
        <w:bidi w:val="0"/>
        <w:spacing w:lineRule="auto" w:line="316"/>
        <w:jc w:val="left"/>
        <w:rPr>
          <w:caps w:val="false"/>
          <w:smallCaps w:val="false"/>
        </w:rPr>
      </w:pPr>
      <w:r>
        <w:rPr>
          <w:caps w:val="false"/>
          <w:smallCaps w:val="false"/>
        </w:rPr>
        <w:t> </w:t>
      </w:r>
    </w:p>
    <w:p>
      <w:pPr>
        <w:pStyle w:val="TextBody"/>
        <w:bidi w:val="0"/>
        <w:spacing w:lineRule="auto" w:line="316"/>
        <w:jc w:val="left"/>
        <w:rPr>
          <w:caps w:val="false"/>
          <w:smallCaps w:val="false"/>
        </w:rPr>
      </w:pPr>
      <w:r>
        <w:rPr>
          <w:caps w:val="false"/>
          <w:smallCaps w:val="false"/>
        </w:rPr>
        <w:t> </w:t>
      </w:r>
    </w:p>
    <w:p>
      <w:pPr>
        <w:pStyle w:val="TextBody"/>
        <w:bidi w:val="0"/>
        <w:spacing w:lineRule="auto" w:line="316"/>
        <w:jc w:val="left"/>
        <w:rPr>
          <w:caps w:val="false"/>
          <w:smallCaps w:val="false"/>
        </w:rPr>
      </w:pPr>
      <w:r>
        <w:rPr>
          <w:caps w:val="false"/>
          <w:smallCaps w:val="false"/>
        </w:rPr>
        <w:t> </w:t>
      </w:r>
    </w:p>
    <w:p>
      <w:pPr>
        <w:pStyle w:val="TextBody"/>
        <w:bidi w:val="0"/>
        <w:spacing w:lineRule="auto" w:line="316"/>
        <w:jc w:val="left"/>
        <w:rPr>
          <w:caps w:val="false"/>
          <w:smallCaps w:val="false"/>
        </w:rPr>
      </w:pPr>
      <w:r>
        <w:rPr>
          <w:caps w:val="false"/>
          <w:smallCaps w:val="false"/>
        </w:rPr>
        <w:t> </w:t>
      </w:r>
    </w:p>
    <w:p>
      <w:pPr>
        <w:pStyle w:val="TextBody"/>
        <w:bidi w:val="0"/>
        <w:spacing w:lineRule="auto" w:line="316"/>
        <w:jc w:val="left"/>
        <w:rPr>
          <w:caps w:val="false"/>
          <w:smallCaps w:val="false"/>
        </w:rPr>
      </w:pPr>
      <w:r>
        <w:rPr>
          <w:caps w:val="false"/>
          <w:smallCaps w:val="false"/>
        </w:rPr>
        <w:t> </w:t>
      </w:r>
    </w:p>
    <w:p>
      <w:pPr>
        <w:pStyle w:val="TextBody"/>
        <w:bidi w:val="0"/>
        <w:spacing w:lineRule="auto" w:line="316"/>
        <w:jc w:val="left"/>
        <w:rPr>
          <w:caps w:val="false"/>
          <w:smallCaps w:val="false"/>
        </w:rPr>
      </w:pPr>
      <w:r>
        <w:rPr>
          <w:caps w:val="false"/>
          <w:smallCaps w:val="false"/>
        </w:rPr>
        <w:t> </w:t>
      </w:r>
    </w:p>
    <w:p>
      <w:pPr>
        <w:pStyle w:val="TextBody"/>
        <w:bidi w:val="0"/>
        <w:spacing w:lineRule="auto" w:line="316"/>
        <w:jc w:val="left"/>
        <w:rPr>
          <w:caps w:val="false"/>
          <w:smallCaps w:val="false"/>
        </w:rPr>
      </w:pPr>
      <w:r>
        <w:rPr>
          <w:caps w:val="false"/>
          <w:smallCaps w:val="false"/>
        </w:rPr>
        <w:t> </w:t>
      </w:r>
    </w:p>
    <w:p>
      <w:pPr>
        <w:pStyle w:val="TextBody"/>
        <w:bidi w:val="0"/>
        <w:spacing w:lineRule="auto" w:line="316"/>
        <w:jc w:val="left"/>
        <w:rPr>
          <w:caps w:val="false"/>
          <w:smallCaps w:val="false"/>
        </w:rPr>
      </w:pPr>
      <w:r>
        <w:rPr>
          <w:caps w:val="false"/>
          <w:smallCaps w:val="false"/>
        </w:rPr>
        <w:t> </w:t>
      </w:r>
    </w:p>
    <w:p>
      <w:pPr>
        <w:pStyle w:val="TextBody"/>
        <w:bidi w:val="0"/>
        <w:spacing w:lineRule="auto" w:line="316"/>
        <w:jc w:val="left"/>
        <w:rPr>
          <w:caps w:val="false"/>
          <w:smallCaps w:val="false"/>
        </w:rPr>
      </w:pPr>
      <w:r>
        <w:rPr>
          <w:caps w:val="false"/>
          <w:smallCaps w:val="false"/>
        </w:rPr>
        <w:t> </w:t>
      </w:r>
    </w:p>
    <w:p>
      <w:pPr>
        <w:pStyle w:val="TextBody"/>
        <w:bidi w:val="0"/>
        <w:spacing w:lineRule="auto" w:line="316"/>
        <w:jc w:val="left"/>
        <w:rPr>
          <w:caps w:val="false"/>
          <w:smallCaps w:val="false"/>
        </w:rPr>
      </w:pPr>
      <w:r>
        <w:rPr>
          <w:caps w:val="false"/>
          <w:smallCaps w:val="false"/>
        </w:rPr>
        <w:t> </w:t>
      </w:r>
    </w:p>
    <w:p>
      <w:pPr>
        <w:pStyle w:val="TextBody"/>
        <w:bidi w:val="0"/>
        <w:spacing w:lineRule="auto" w:line="316"/>
        <w:jc w:val="left"/>
        <w:rPr>
          <w:caps w:val="false"/>
          <w:smallCaps w:val="false"/>
        </w:rPr>
      </w:pPr>
      <w:r>
        <w:rPr>
          <w:caps w:val="false"/>
          <w:smallCaps w:val="false"/>
        </w:rPr>
        <w:t> </w:t>
      </w:r>
    </w:p>
    <w:p>
      <w:pPr>
        <w:pStyle w:val="TextBody"/>
        <w:bidi w:val="0"/>
        <w:spacing w:lineRule="auto" w:line="316"/>
        <w:jc w:val="left"/>
        <w:rPr>
          <w:caps w:val="false"/>
          <w:smallCaps w:val="false"/>
        </w:rPr>
      </w:pPr>
      <w:r>
        <w:rPr>
          <w:caps w:val="false"/>
          <w:smallCaps w:val="false"/>
        </w:rPr>
        <w:t> </w:t>
      </w:r>
    </w:p>
    <w:p>
      <w:pPr>
        <w:pStyle w:val="TextBody"/>
        <w:bidi w:val="0"/>
        <w:spacing w:lineRule="auto" w:line="316"/>
        <w:jc w:val="both"/>
        <w:rPr>
          <w:caps w:val="false"/>
          <w:smallCaps w:val="false"/>
        </w:rPr>
      </w:pPr>
      <w:r>
        <w:rPr>
          <w:caps w:val="false"/>
          <w:smallCaps w:val="false"/>
        </w:rPr>
        <w:t> </w:t>
      </w:r>
    </w:p>
    <w:tbl>
      <w:tblPr>
        <w:tblW w:w="150" w:type="dxa"/>
        <w:jc w:val="left"/>
        <w:tblInd w:w="0" w:type="dxa"/>
        <w:tblLayout w:type="fixed"/>
        <w:tblCellMar>
          <w:top w:w="0" w:type="dxa"/>
          <w:left w:w="0" w:type="dxa"/>
          <w:bottom w:w="0" w:type="dxa"/>
          <w:right w:w="0" w:type="dxa"/>
        </w:tblCellMar>
      </w:tblPr>
      <w:tblGrid>
        <w:gridCol w:w="150"/>
      </w:tblGrid>
      <w:tr>
        <w:trPr/>
        <w:tc>
          <w:tcPr>
            <w:tcW w:w="150" w:type="dxa"/>
            <w:tcBorders/>
            <w:vAlign w:val="center"/>
          </w:tcPr>
          <w:p>
            <w:pPr>
              <w:pStyle w:val="TableContents"/>
              <w:bidi w:val="0"/>
              <w:spacing w:before="0" w:after="283"/>
              <w:jc w:val="center"/>
              <w:rPr/>
            </w:pPr>
            <w:r>
              <w:rPr/>
              <w:t> </w:t>
            </w:r>
          </w:p>
        </w:tc>
      </w:tr>
    </w:tbl>
    <w:tbl>
      <w:tblPr>
        <w:tblW w:w="150" w:type="dxa"/>
        <w:jc w:val="left"/>
        <w:tblInd w:w="0" w:type="dxa"/>
        <w:tblLayout w:type="fixed"/>
        <w:tblCellMar>
          <w:top w:w="0" w:type="dxa"/>
          <w:left w:w="0" w:type="dxa"/>
          <w:bottom w:w="0" w:type="dxa"/>
          <w:right w:w="0" w:type="dxa"/>
        </w:tblCellMar>
      </w:tblPr>
      <w:tblGrid>
        <w:gridCol w:w="150"/>
      </w:tblGrid>
      <w:tr>
        <w:trPr/>
        <w:tc>
          <w:tcPr>
            <w:tcW w:w="150" w:type="dxa"/>
            <w:tcBorders/>
            <w:vAlign w:val="center"/>
          </w:tcPr>
          <w:p>
            <w:pPr>
              <w:pStyle w:val="TableContents"/>
              <w:bidi w:val="0"/>
              <w:spacing w:before="0" w:after="283"/>
              <w:jc w:val="center"/>
              <w:rPr/>
            </w:pPr>
            <w:r>
              <w:rPr/>
              <w:t> </w:t>
            </w:r>
          </w:p>
        </w:tc>
      </w:tr>
    </w:tbl>
    <w:p>
      <w:pPr>
        <w:pStyle w:val="TextBody"/>
        <w:bidi w:val="0"/>
        <w:spacing w:lineRule="auto" w:line="333"/>
        <w:jc w:val="center"/>
        <w:rPr>
          <w:caps w:val="false"/>
          <w:smallCaps w:val="false"/>
        </w:rPr>
      </w:pPr>
      <w:r>
        <w:rPr>
          <w:caps w:val="false"/>
          <w:smallCaps w:val="false"/>
        </w:rPr>
        <w:drawing>
          <wp:inline distT="0" distB="0" distL="0" distR="0">
            <wp:extent cx="2165350" cy="3810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165350" cy="381000"/>
                    </a:xfrm>
                    <a:prstGeom prst="rect">
                      <a:avLst/>
                    </a:prstGeom>
                  </pic:spPr>
                </pic:pic>
              </a:graphicData>
            </a:graphic>
          </wp:inline>
        </w:drawing>
      </w:r>
    </w:p>
    <w:p>
      <w:pPr>
        <w:pStyle w:val="TextBody"/>
        <w:bidi w:val="0"/>
        <w:spacing w:lineRule="auto" w:line="333"/>
        <w:jc w:val="center"/>
        <w:rPr>
          <w:caps w:val="false"/>
          <w:smallCaps w:val="false"/>
        </w:rPr>
      </w:pPr>
      <w:r>
        <w:rPr>
          <w:caps w:val="false"/>
          <w:smallCaps w:val="false"/>
        </w:rPr>
        <w:t> </w:t>
      </w:r>
    </w:p>
    <w:p>
      <w:pPr>
        <w:pStyle w:val="TextBody"/>
        <w:bidi w:val="0"/>
        <w:spacing w:lineRule="auto" w:line="33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Microvast Holdings, Inc.</w:t>
      </w:r>
    </w:p>
    <w:p>
      <w:pPr>
        <w:pStyle w:val="TextBody"/>
        <w:bidi w:val="0"/>
        <w:spacing w:lineRule="auto" w:line="33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2929 Briarpark Drive, Suite 400</w:t>
      </w:r>
    </w:p>
    <w:p>
      <w:pPr>
        <w:pStyle w:val="TextBody"/>
        <w:bidi w:val="0"/>
        <w:spacing w:lineRule="auto" w:line="33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Houston, Texas 77042</w:t>
      </w:r>
    </w:p>
    <w:p>
      <w:pPr>
        <w:pStyle w:val="TextBody"/>
        <w:bidi w:val="0"/>
        <w:spacing w:lineRule="auto" w:line="333"/>
        <w:jc w:val="center"/>
        <w:rPr>
          <w:caps w:val="false"/>
          <w:smallCaps w:val="false"/>
        </w:rPr>
      </w:pPr>
      <w:r>
        <w:rPr>
          <w:caps w:val="false"/>
          <w:smallCaps w:val="false"/>
        </w:rPr>
        <w:t> </w:t>
      </w:r>
    </w:p>
    <w:p>
      <w:pPr>
        <w:pStyle w:val="TextBody"/>
        <w:bidi w:val="0"/>
        <w:spacing w:lineRule="auto" w:line="33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PROXY STATEMENT</w:t>
      </w:r>
    </w:p>
    <w:p>
      <w:pPr>
        <w:pStyle w:val="TextBody"/>
        <w:bidi w:val="0"/>
        <w:spacing w:lineRule="auto" w:line="33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ANNUAL MEETING OF STOCKHOLDERS</w:t>
      </w:r>
    </w:p>
    <w:p>
      <w:pPr>
        <w:pStyle w:val="TextBody"/>
        <w:bidi w:val="0"/>
        <w:spacing w:lineRule="auto" w:line="33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BE HELD ON NOVEMBER 30, 2026</w:t>
      </w:r>
    </w:p>
    <w:p>
      <w:pPr>
        <w:pStyle w:val="TextBody"/>
        <w:bidi w:val="0"/>
        <w:spacing w:lineRule="auto" w:line="333"/>
        <w:jc w:val="center"/>
        <w:rPr>
          <w:caps w:val="false"/>
          <w:smallCaps w:val="false"/>
        </w:rPr>
      </w:pPr>
      <w:r>
        <w:rPr>
          <w:caps w:val="false"/>
          <w:smallCaps w:val="false"/>
        </w:rPr>
        <w:t> </w:t>
      </w:r>
    </w:p>
    <w:p>
      <w:pPr>
        <w:pStyle w:val="TextBody"/>
        <w:bidi w:val="0"/>
        <w:spacing w:lineRule="auto" w:line="276"/>
        <w:jc w:val="left"/>
        <w:rPr>
          <w:rFonts w:ascii="Times New Roman;Times;Serif" w:hAnsi="Times New Roman;Times;Serif"/>
          <w:b/>
          <w:i w:val="false"/>
          <w:caps w:val="false"/>
          <w:smallCaps w:val="false"/>
          <w:sz w:val="32"/>
        </w:rPr>
      </w:pPr>
      <w:bookmarkStart w:id="4" w:name="generalinfo"/>
      <w:bookmarkEnd w:id="4"/>
      <w:r>
        <w:rPr>
          <w:rFonts w:ascii="Times New Roman;Times;Serif" w:hAnsi="Times New Roman;Times;Serif"/>
          <w:b/>
          <w:i w:val="false"/>
          <w:caps w:val="false"/>
          <w:smallCaps w:val="false"/>
          <w:sz w:val="32"/>
        </w:rPr>
        <w:t>GENERAL INFORMATION</w:t>
      </w:r>
    </w:p>
    <w:p>
      <w:pPr>
        <w:pStyle w:val="TextBody"/>
        <w:bidi w:val="0"/>
        <w:spacing w:lineRule="auto" w:line="276"/>
        <w:jc w:val="left"/>
        <w:rPr>
          <w:caps w:val="false"/>
          <w:smallCaps w:val="false"/>
        </w:rPr>
      </w:pPr>
      <w:r>
        <w:rPr>
          <w:caps w:val="false"/>
          <w:smallCaps w:val="false"/>
        </w:rPr>
        <w:t> </w:t>
      </w:r>
    </w:p>
    <w:p>
      <w:pPr>
        <w:pStyle w:val="TextBody"/>
        <w:bidi w:val="0"/>
        <w:spacing w:lineRule="auto" w:line="27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proxy statement (“Proxy Statement”) is being furnished in connection with the solicitation of proxies by the board of directors (the “Board”) of Microvast Holdings, Inc. (the “Company,” “Microvast,” “we,” “our,” “us” and similar terms) on the Company’s behalf for use at the 2026 Annual Meeting of Stockholders to be held virtually on Monday, November 30, 2026 at 9:00 a.m. Central Time, and any continuation, postponement or adjournment thereof (the “2026 Annual Meeting”). We encourage you to access the meeting prior to the start time.</w:t>
      </w:r>
    </w:p>
    <w:p>
      <w:pPr>
        <w:pStyle w:val="TextBody"/>
        <w:bidi w:val="0"/>
        <w:spacing w:lineRule="auto" w:line="276"/>
        <w:jc w:val="both"/>
        <w:rPr>
          <w:caps w:val="false"/>
          <w:smallCaps w:val="false"/>
        </w:rPr>
      </w:pPr>
      <w:r>
        <w:rPr>
          <w:caps w:val="false"/>
          <w:smallCaps w:val="false"/>
        </w:rPr>
        <w:t> </w:t>
      </w:r>
    </w:p>
    <w:p>
      <w:pPr>
        <w:pStyle w:val="TextBody"/>
        <w:bidi w:val="0"/>
        <w:spacing w:lineRule="auto" w:line="27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provisions of our Amended and Restated Bylaws (the “Bylaws”) and by action of the Board, the close of business on October 6, 2026 was established as the record date (the “Record Date”) for determining the stockholders entitled to receive notice of, attend and vote at the 2026 Annual Meeting.</w:t>
      </w:r>
    </w:p>
    <w:p>
      <w:pPr>
        <w:pStyle w:val="TextBody"/>
        <w:bidi w:val="0"/>
        <w:spacing w:lineRule="auto" w:line="276"/>
        <w:jc w:val="both"/>
        <w:rPr>
          <w:caps w:val="false"/>
          <w:smallCaps w:val="false"/>
        </w:rPr>
      </w:pPr>
      <w:r>
        <w:rPr>
          <w:caps w:val="false"/>
          <w:smallCaps w:val="false"/>
        </w:rPr>
        <w:t> </w:t>
      </w:r>
    </w:p>
    <w:p>
      <w:pPr>
        <w:pStyle w:val="TextBody"/>
        <w:bidi w:val="0"/>
        <w:spacing w:lineRule="auto" w:line="27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permitted by the rules adopted by the United States Securities and Exchange Commission (the “SEC”), we have elected to provide access to our proxy materials primarily via the Internet. Accordingly, we are sending a Notice of Internet Availability of Proxy Materials (the “Notice”) to our stockholders of record as of the Record Date who are entitled to vote at the 2026 Annual Meeting. Instructions on how to access and review these proxy materials electronically, request hard copies of these materials and submit proxy votes online are stated in the Notice.</w:t>
      </w:r>
    </w:p>
    <w:p>
      <w:pPr>
        <w:pStyle w:val="TextBody"/>
        <w:bidi w:val="0"/>
        <w:spacing w:lineRule="auto" w:line="276"/>
        <w:jc w:val="both"/>
        <w:rPr>
          <w:caps w:val="false"/>
          <w:smallCaps w:val="false"/>
        </w:rPr>
      </w:pPr>
      <w:r>
        <w:rPr>
          <w:caps w:val="false"/>
          <w:smallCaps w:val="false"/>
        </w:rPr>
        <w:t> </w:t>
      </w:r>
    </w:p>
    <w:p>
      <w:pPr>
        <w:pStyle w:val="TextBody"/>
        <w:bidi w:val="0"/>
        <w:spacing w:lineRule="auto" w:line="27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will begin mailing the Notice to stockholders of record on or about October 9, 2026. We expect to first make this Proxy Statement available to our stockholders at </w:t>
      </w:r>
      <w:r>
        <w:rPr>
          <w:rFonts w:ascii="Times New Roman;Times;Serif" w:hAnsi="Times New Roman;Times;Serif"/>
          <w:b w:val="false"/>
          <w:i/>
          <w:caps w:val="false"/>
          <w:smallCaps w:val="false"/>
          <w:color w:val="0000FF"/>
          <w:sz w:val="20"/>
          <w:u w:val="single"/>
        </w:rPr>
        <w:t>www.proxyvote.com</w:t>
      </w:r>
      <w:r>
        <w:rPr>
          <w:rFonts w:ascii="Times New Roman;Times;Serif" w:hAnsi="Times New Roman;Times;Serif"/>
          <w:b w:val="false"/>
          <w:i w:val="false"/>
          <w:caps w:val="false"/>
          <w:smallCaps w:val="false"/>
          <w:sz w:val="20"/>
        </w:rPr>
        <w:t xml:space="preserve"> on or about October 9, 2026, along with our Annual Report on Form 10-K for the fiscal year ended December 31, 2025, as filed with the SEC on March 16, 2026 (the “Annual Report”). We encourage you to read the Annual Report. It includes our audited financial statements and provides information about our business.</w:t>
      </w:r>
    </w:p>
    <w:p>
      <w:pPr>
        <w:pStyle w:val="TextBody"/>
        <w:bidi w:val="0"/>
        <w:spacing w:lineRule="auto" w:line="276"/>
        <w:jc w:val="left"/>
        <w:rPr>
          <w:caps w:val="false"/>
          <w:smallCaps w:val="false"/>
        </w:rPr>
      </w:pPr>
      <w:r>
        <w:rPr>
          <w:caps w:val="false"/>
          <w:smallCaps w:val="false"/>
        </w:rPr>
        <w:t> </w:t>
      </w:r>
    </w:p>
    <w:p>
      <w:pPr>
        <w:pStyle w:val="TextBody"/>
        <w:bidi w:val="0"/>
        <w:spacing w:lineRule="auto" w:line="276"/>
        <w:jc w:val="left"/>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Frequently Asked Questions</w:t>
      </w:r>
    </w:p>
    <w:p>
      <w:pPr>
        <w:pStyle w:val="TextBody"/>
        <w:bidi w:val="0"/>
        <w:spacing w:lineRule="auto" w:line="276"/>
        <w:jc w:val="left"/>
        <w:rPr>
          <w:caps w:val="false"/>
          <w:smallCaps w:val="false"/>
        </w:rPr>
      </w:pPr>
      <w:r>
        <w:rPr>
          <w:caps w:val="false"/>
          <w:smallCaps w:val="false"/>
        </w:rPr>
        <w:t> </w:t>
      </w:r>
    </w:p>
    <w:p>
      <w:pPr>
        <w:pStyle w:val="TextBody"/>
        <w:bidi w:val="0"/>
        <w:spacing w:lineRule="auto" w:line="27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questions and answers below highlight only selected information from this Proxy Statement and only briefly address some commonly asked questions about the proposals to be presented at the 2026 Annual Meeting. The following questions and answers do not include all the information that is important to our stockholders. We urge stockholders to read carefully this entire Proxy Statement, the Annual Report and our other filings with the SEC.</w:t>
      </w:r>
    </w:p>
    <w:p>
      <w:pPr>
        <w:pStyle w:val="TextBody"/>
        <w:bidi w:val="0"/>
        <w:spacing w:lineRule="auto" w:line="276"/>
        <w:jc w:val="left"/>
        <w:rPr>
          <w:caps w:val="false"/>
          <w:smallCaps w:val="false"/>
        </w:rPr>
      </w:pPr>
      <w:r>
        <w:rPr>
          <w:caps w:val="false"/>
          <w:smallCaps w:val="false"/>
        </w:rPr>
        <w:t> </w:t>
      </w:r>
    </w:p>
    <w:p>
      <w:pPr>
        <w:pStyle w:val="TextBody"/>
        <w:bidi w:val="0"/>
        <w:spacing w:lineRule="auto" w:line="276"/>
        <w:jc w:val="left"/>
        <w:rPr>
          <w:rFonts w:ascii="Times New Roman;Times;Serif" w:hAnsi="Times New Roman;Times;Serif"/>
          <w:b/>
          <w:i/>
          <w:caps w:val="false"/>
          <w:smallCaps w:val="false"/>
          <w:sz w:val="24"/>
        </w:rPr>
      </w:pPr>
      <w:r>
        <w:rPr>
          <w:rFonts w:ascii="Times New Roman;Times;Serif" w:hAnsi="Times New Roman;Times;Serif"/>
          <w:b/>
          <w:i/>
          <w:caps w:val="false"/>
          <w:smallCaps w:val="false"/>
          <w:sz w:val="24"/>
        </w:rPr>
        <w:t>On which stock exchange does the Company’s common stock trade?</w:t>
      </w:r>
    </w:p>
    <w:p>
      <w:pPr>
        <w:pStyle w:val="TextBody"/>
        <w:bidi w:val="0"/>
        <w:spacing w:lineRule="auto" w:line="276"/>
        <w:jc w:val="left"/>
        <w:rPr>
          <w:caps w:val="false"/>
          <w:smallCaps w:val="false"/>
        </w:rPr>
      </w:pPr>
      <w:r>
        <w:rPr>
          <w:caps w:val="false"/>
          <w:smallCaps w:val="false"/>
        </w:rPr>
        <w:t> </w:t>
      </w:r>
    </w:p>
    <w:p>
      <w:pPr>
        <w:pStyle w:val="TextBody"/>
        <w:bidi w:val="0"/>
        <w:spacing w:lineRule="auto" w:line="27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common stock currently trades on the Nasdaq Capital Market (“Nasdaq”) under the ticker symbol “MVST”.</w:t>
      </w:r>
    </w:p>
    <w:p>
      <w:pPr>
        <w:pStyle w:val="TextBody"/>
        <w:bidi w:val="0"/>
        <w:spacing w:lineRule="auto" w:line="276"/>
        <w:jc w:val="both"/>
        <w:rPr>
          <w:caps w:val="false"/>
          <w:smallCaps w:val="false"/>
        </w:rPr>
      </w:pPr>
      <w:r>
        <w:rPr>
          <w:caps w:val="false"/>
          <w:smallCaps w:val="false"/>
        </w:rPr>
        <w:t> </w:t>
      </w:r>
    </w:p>
    <w:p>
      <w:pPr>
        <w:pStyle w:val="TextBody"/>
        <w:bidi w:val="0"/>
        <w:spacing w:lineRule="auto" w:line="276"/>
        <w:jc w:val="both"/>
        <w:rPr>
          <w:caps w:val="false"/>
          <w:smallCaps w:val="false"/>
        </w:rPr>
      </w:pPr>
      <w:r>
        <w:rPr>
          <w:caps w:val="false"/>
          <w:smallCaps w:val="false"/>
        </w:rPr>
        <w:t> </w:t>
      </w:r>
    </w:p>
    <w:p>
      <w:pPr>
        <w:pStyle w:val="TextBody"/>
        <w:bidi w:val="0"/>
        <w:spacing w:lineRule="auto" w:line="276"/>
        <w:jc w:val="both"/>
        <w:rPr>
          <w:caps w:val="false"/>
          <w:smallCaps w:val="false"/>
        </w:rPr>
      </w:pPr>
      <w:r>
        <w:rPr>
          <w:caps w:val="false"/>
          <w:smallCaps w:val="false"/>
        </w:rPr>
        <w:t> </w:t>
      </w:r>
    </w:p>
    <w:tbl>
      <w:tblPr>
        <w:tblW w:w="470" w:type="dxa"/>
        <w:jc w:val="left"/>
        <w:tblInd w:w="0" w:type="dxa"/>
        <w:tblLayout w:type="fixed"/>
        <w:tblCellMar>
          <w:top w:w="0" w:type="dxa"/>
          <w:left w:w="0" w:type="dxa"/>
          <w:bottom w:w="0" w:type="dxa"/>
          <w:right w:w="0" w:type="dxa"/>
        </w:tblCellMar>
      </w:tblPr>
      <w:tblGrid>
        <w:gridCol w:w="105"/>
        <w:gridCol w:w="230"/>
        <w:gridCol w:w="135"/>
      </w:tblGrid>
      <w:tr>
        <w:trPr/>
        <w:tc>
          <w:tcPr>
            <w:tcW w:w="10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center"/>
              <w:rPr/>
            </w:pPr>
            <w:r>
              <w:rPr/>
              <w:t> </w:t>
            </w:r>
            <w:r>
              <w:rPr/>
              <w:t>1</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lineRule="auto" w:line="276"/>
        <w:jc w:val="left"/>
        <w:rPr>
          <w:rFonts w:ascii="Times New Roman;Times;Serif" w:hAnsi="Times New Roman;Times;Serif"/>
          <w:b/>
          <w:i/>
          <w:caps w:val="false"/>
          <w:smallCaps w:val="false"/>
          <w:sz w:val="24"/>
        </w:rPr>
      </w:pPr>
      <w:r>
        <w:rPr>
          <w:rFonts w:ascii="Times New Roman;Times;Serif" w:hAnsi="Times New Roman;Times;Serif"/>
          <w:b/>
          <w:i/>
          <w:caps w:val="false"/>
          <w:smallCaps w:val="false"/>
          <w:sz w:val="24"/>
        </w:rPr>
        <w:t>What is the Company’s fiscal year?</w:t>
      </w:r>
    </w:p>
    <w:p>
      <w:pPr>
        <w:pStyle w:val="TextBody"/>
        <w:bidi w:val="0"/>
        <w:spacing w:lineRule="auto" w:line="276"/>
        <w:jc w:val="left"/>
        <w:rPr>
          <w:caps w:val="false"/>
          <w:smallCaps w:val="false"/>
        </w:rPr>
      </w:pPr>
      <w:r>
        <w:rPr>
          <w:caps w:val="false"/>
          <w:smallCaps w:val="false"/>
        </w:rPr>
        <w:t> </w:t>
      </w:r>
    </w:p>
    <w:p>
      <w:pPr>
        <w:pStyle w:val="TextBody"/>
        <w:bidi w:val="0"/>
        <w:spacing w:lineRule="auto" w:line="27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fiscal year ends on December 31 of each calendar year. In this Proxy Statement, we refer to the fiscal years ended December 31, 2023, December 31, 2024, December 31, 2025 and December 31, 2026 as “Fiscal 2023,” “Fiscal 2024,” “Fiscal 2025” and “Fiscal 2026”, respectively. Unless otherwise stated, all financial information presented in this Proxy Statement is based on the Company’s fiscal calendar.</w:t>
      </w:r>
    </w:p>
    <w:p>
      <w:pPr>
        <w:pStyle w:val="TextBody"/>
        <w:bidi w:val="0"/>
        <w:spacing w:lineRule="auto" w:line="276"/>
        <w:jc w:val="both"/>
        <w:rPr>
          <w:caps w:val="false"/>
          <w:smallCaps w:val="false"/>
        </w:rPr>
      </w:pPr>
      <w:r>
        <w:rPr>
          <w:caps w:val="false"/>
          <w:smallCaps w:val="false"/>
        </w:rPr>
        <w:t> </w:t>
      </w:r>
    </w:p>
    <w:p>
      <w:pPr>
        <w:pStyle w:val="TextBody"/>
        <w:bidi w:val="0"/>
        <w:spacing w:lineRule="auto" w:line="27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refer to the annual meeting of stockholders held or to be held during each of the calendar years ended December 31, 2026, December 31, 2027, December 31, 2028 and December 31, 2029 as the “2026 Annual Meeting,” the “2027 Annual Meeting,” the “2028 Annual Meeting” and the “2029 Annual Meeting,” respectively.</w:t>
      </w:r>
    </w:p>
    <w:p>
      <w:pPr>
        <w:pStyle w:val="TextBody"/>
        <w:bidi w:val="0"/>
        <w:spacing w:lineRule="auto" w:line="276"/>
        <w:jc w:val="left"/>
        <w:rPr>
          <w:caps w:val="false"/>
          <w:smallCaps w:val="false"/>
        </w:rPr>
      </w:pPr>
      <w:r>
        <w:rPr>
          <w:caps w:val="false"/>
          <w:smallCaps w:val="false"/>
        </w:rPr>
        <w:t> </w:t>
      </w:r>
    </w:p>
    <w:p>
      <w:pPr>
        <w:pStyle w:val="TextBody"/>
        <w:bidi w:val="0"/>
        <w:spacing w:lineRule="auto" w:line="276"/>
        <w:jc w:val="left"/>
        <w:rPr>
          <w:rFonts w:ascii="Times New Roman;Times;Serif" w:hAnsi="Times New Roman;Times;Serif"/>
          <w:b/>
          <w:i/>
          <w:caps w:val="false"/>
          <w:smallCaps w:val="false"/>
          <w:sz w:val="24"/>
        </w:rPr>
      </w:pPr>
      <w:r>
        <w:rPr>
          <w:rFonts w:ascii="Times New Roman;Times;Serif" w:hAnsi="Times New Roman;Times;Serif"/>
          <w:b/>
          <w:i/>
          <w:caps w:val="false"/>
          <w:smallCaps w:val="false"/>
          <w:sz w:val="24"/>
        </w:rPr>
        <w:t>What items will be voted on at the 2026 Annual Meeting?</w:t>
      </w:r>
    </w:p>
    <w:p>
      <w:pPr>
        <w:pStyle w:val="TextBody"/>
        <w:bidi w:val="0"/>
        <w:spacing w:lineRule="auto" w:line="276"/>
        <w:jc w:val="left"/>
        <w:rPr>
          <w:caps w:val="false"/>
          <w:smallCaps w:val="false"/>
        </w:rPr>
      </w:pPr>
      <w:r>
        <w:rPr>
          <w:caps w:val="false"/>
          <w:smallCaps w:val="false"/>
        </w:rPr>
        <w:t> </w:t>
      </w:r>
    </w:p>
    <w:p>
      <w:pPr>
        <w:pStyle w:val="TextBody"/>
        <w:bidi w:val="0"/>
        <w:spacing w:lineRule="auto" w:line="27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may vote on the following proposals at the 2026 Annual Meeting:</w:t>
      </w:r>
    </w:p>
    <w:p>
      <w:pPr>
        <w:pStyle w:val="TextBody"/>
        <w:bidi w:val="0"/>
        <w:spacing w:lineRule="auto" w:line="276"/>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7"/>
        <w:gridCol w:w="278"/>
        <w:gridCol w:w="9850"/>
      </w:tblGrid>
      <w:tr>
        <w:trPr/>
        <w:tc>
          <w:tcPr>
            <w:tcW w:w="77"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pPr>
            <w:r>
              <w:rPr/>
              <w:t>1)</w:t>
            </w:r>
          </w:p>
        </w:tc>
        <w:tc>
          <w:tcPr>
            <w:tcW w:w="9850" w:type="dxa"/>
            <w:tcBorders/>
            <w:vAlign w:val="center"/>
          </w:tcPr>
          <w:p>
            <w:pPr>
              <w:pStyle w:val="TableContents"/>
              <w:bidi w:val="0"/>
              <w:spacing w:before="0" w:after="283"/>
              <w:jc w:val="both"/>
              <w:rPr/>
            </w:pPr>
            <w:r>
              <w:rPr/>
              <w:t>the election of one Class II director nominee to the Board to serve for a term of three years;</w:t>
            </w:r>
          </w:p>
        </w:tc>
      </w:tr>
    </w:tbl>
    <w:tbl>
      <w:tblPr>
        <w:tblW w:w="5000" w:type="pct"/>
        <w:jc w:val="left"/>
        <w:tblInd w:w="0" w:type="dxa"/>
        <w:tblLayout w:type="fixed"/>
        <w:tblCellMar>
          <w:top w:w="0" w:type="dxa"/>
          <w:left w:w="0" w:type="dxa"/>
          <w:bottom w:w="0" w:type="dxa"/>
          <w:right w:w="0" w:type="dxa"/>
        </w:tblCellMar>
      </w:tblPr>
      <w:tblGrid>
        <w:gridCol w:w="67"/>
        <w:gridCol w:w="208"/>
        <w:gridCol w:w="9930"/>
      </w:tblGrid>
      <w:tr>
        <w:trPr/>
        <w:tc>
          <w:tcPr>
            <w:tcW w:w="67"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pPr>
            <w:r>
              <w:rPr/>
              <w:t>2)</w:t>
            </w:r>
          </w:p>
        </w:tc>
        <w:tc>
          <w:tcPr>
            <w:tcW w:w="9930" w:type="dxa"/>
            <w:tcBorders/>
            <w:vAlign w:val="center"/>
          </w:tcPr>
          <w:p>
            <w:pPr>
              <w:pStyle w:val="TableContents"/>
              <w:bidi w:val="0"/>
              <w:spacing w:before="0" w:after="283"/>
              <w:jc w:val="both"/>
              <w:rPr/>
            </w:pPr>
            <w:r>
              <w:rPr/>
              <w:t>the ratification of the appointment of Deloitte Touche Tohmatsu Certified Public Accountants LLP (“Deloitte”) as the Company’s independent registered public accounting firm for Fiscal 2026;</w:t>
            </w:r>
          </w:p>
        </w:tc>
      </w:tr>
    </w:tbl>
    <w:tbl>
      <w:tblPr>
        <w:tblW w:w="5000" w:type="pct"/>
        <w:jc w:val="left"/>
        <w:tblInd w:w="0" w:type="dxa"/>
        <w:tblLayout w:type="fixed"/>
        <w:tblCellMar>
          <w:top w:w="0" w:type="dxa"/>
          <w:left w:w="0" w:type="dxa"/>
          <w:bottom w:w="0" w:type="dxa"/>
          <w:right w:w="0" w:type="dxa"/>
        </w:tblCellMar>
      </w:tblPr>
      <w:tblGrid>
        <w:gridCol w:w="67"/>
        <w:gridCol w:w="228"/>
        <w:gridCol w:w="9910"/>
      </w:tblGrid>
      <w:tr>
        <w:trPr/>
        <w:tc>
          <w:tcPr>
            <w:tcW w:w="6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pPr>
            <w:r>
              <w:rPr/>
              <w:t>3)</w:t>
            </w:r>
          </w:p>
        </w:tc>
        <w:tc>
          <w:tcPr>
            <w:tcW w:w="9910" w:type="dxa"/>
            <w:tcBorders/>
            <w:vAlign w:val="center"/>
          </w:tcPr>
          <w:p>
            <w:pPr>
              <w:pStyle w:val="TableContents"/>
              <w:bidi w:val="0"/>
              <w:spacing w:before="0" w:after="283"/>
              <w:jc w:val="both"/>
              <w:rPr/>
            </w:pPr>
            <w:r>
              <w:rPr/>
              <w:t>an advisory vote to approve the Company’s executive compensation, or the “Say-on-Pay” vote (the “Say-on-Pay Proposal”); and</w:t>
            </w:r>
          </w:p>
        </w:tc>
      </w:tr>
    </w:tbl>
    <w:tbl>
      <w:tblPr>
        <w:tblW w:w="5000" w:type="pct"/>
        <w:jc w:val="left"/>
        <w:tblInd w:w="0" w:type="dxa"/>
        <w:tblLayout w:type="fixed"/>
        <w:tblCellMar>
          <w:top w:w="0" w:type="dxa"/>
          <w:left w:w="0" w:type="dxa"/>
          <w:bottom w:w="0" w:type="dxa"/>
          <w:right w:w="0" w:type="dxa"/>
        </w:tblCellMar>
      </w:tblPr>
      <w:tblGrid>
        <w:gridCol w:w="67"/>
        <w:gridCol w:w="238"/>
        <w:gridCol w:w="9900"/>
      </w:tblGrid>
      <w:tr>
        <w:trPr/>
        <w:tc>
          <w:tcPr>
            <w:tcW w:w="6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pPr>
            <w:r>
              <w:rPr/>
              <w:t>4)</w:t>
            </w:r>
          </w:p>
        </w:tc>
        <w:tc>
          <w:tcPr>
            <w:tcW w:w="9900" w:type="dxa"/>
            <w:tcBorders/>
            <w:vAlign w:val="center"/>
          </w:tcPr>
          <w:p>
            <w:pPr>
              <w:pStyle w:val="TableContents"/>
              <w:bidi w:val="0"/>
              <w:spacing w:before="0" w:after="283"/>
              <w:jc w:val="both"/>
              <w:rPr/>
            </w:pPr>
            <w:r>
              <w:rPr/>
              <w:t>an advisory vote on the frequency of future advisory Say-on-Pay votes (the “Say-on-Pay Frequency Proposal”).</w:t>
            </w:r>
          </w:p>
        </w:tc>
      </w:tr>
    </w:tbl>
    <w:p>
      <w:pPr>
        <w:pStyle w:val="TextBody"/>
        <w:bidi w:val="0"/>
        <w:spacing w:lineRule="auto" w:line="27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not aware of any other business to be presented for a vote of the stockholders at the 2026 Annual Meeting. If any other matters are properly presented, the people named as proxies will have discretionary authority, to the extent permitted by law, to vote on such matters according to their best judgment. The chairman of the 2026 Annual Meeting may refuse to allow presentation of a proposal or nominee for election to the Board if the proposal or nominee was not properly submitted.</w:t>
      </w:r>
    </w:p>
    <w:p>
      <w:pPr>
        <w:pStyle w:val="TextBody"/>
        <w:bidi w:val="0"/>
        <w:spacing w:lineRule="auto" w:line="276"/>
        <w:jc w:val="left"/>
        <w:rPr>
          <w:caps w:val="false"/>
          <w:smallCaps w:val="false"/>
        </w:rPr>
      </w:pPr>
      <w:r>
        <w:rPr>
          <w:caps w:val="false"/>
          <w:smallCaps w:val="false"/>
        </w:rPr>
        <w:t> </w:t>
      </w:r>
    </w:p>
    <w:p>
      <w:pPr>
        <w:pStyle w:val="TextBody"/>
        <w:bidi w:val="0"/>
        <w:spacing w:lineRule="auto" w:line="276"/>
        <w:jc w:val="left"/>
        <w:rPr>
          <w:rFonts w:ascii="Times New Roman;Times;Serif" w:hAnsi="Times New Roman;Times;Serif"/>
          <w:b/>
          <w:i/>
          <w:caps w:val="false"/>
          <w:smallCaps w:val="false"/>
          <w:sz w:val="24"/>
        </w:rPr>
      </w:pPr>
      <w:r>
        <w:rPr>
          <w:rFonts w:ascii="Times New Roman;Times;Serif" w:hAnsi="Times New Roman;Times;Serif"/>
          <w:b/>
          <w:i/>
          <w:caps w:val="false"/>
          <w:smallCaps w:val="false"/>
          <w:sz w:val="24"/>
        </w:rPr>
        <w:t>What are the Board’s voting recommendations?</w:t>
      </w:r>
    </w:p>
    <w:p>
      <w:pPr>
        <w:pStyle w:val="TextBody"/>
        <w:bidi w:val="0"/>
        <w:spacing w:lineRule="auto" w:line="276"/>
        <w:jc w:val="left"/>
        <w:rPr>
          <w:caps w:val="false"/>
          <w:smallCaps w:val="false"/>
        </w:rPr>
      </w:pPr>
      <w:r>
        <w:rPr>
          <w:caps w:val="false"/>
          <w:smallCaps w:val="false"/>
        </w:rPr>
        <w:t> </w:t>
      </w:r>
    </w:p>
    <w:p>
      <w:pPr>
        <w:pStyle w:val="TextBody"/>
        <w:bidi w:val="0"/>
        <w:spacing w:lineRule="auto" w:line="27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recommends that you vote your shares:</w:t>
      </w:r>
    </w:p>
    <w:p>
      <w:pPr>
        <w:pStyle w:val="TextBody"/>
        <w:bidi w:val="0"/>
        <w:spacing w:lineRule="auto" w:line="276"/>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1"/>
        <w:gridCol w:w="259"/>
        <w:gridCol w:w="9875"/>
      </w:tblGrid>
      <w:tr>
        <w:trPr/>
        <w:tc>
          <w:tcPr>
            <w:tcW w:w="71"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pPr>
            <w:r>
              <w:rPr/>
              <w:t>1)</w:t>
            </w:r>
          </w:p>
        </w:tc>
        <w:tc>
          <w:tcPr>
            <w:tcW w:w="9875" w:type="dxa"/>
            <w:tcBorders/>
            <w:vAlign w:val="center"/>
          </w:tcPr>
          <w:p>
            <w:pPr>
              <w:pStyle w:val="TableContents"/>
              <w:bidi w:val="0"/>
              <w:spacing w:before="0" w:after="283"/>
              <w:jc w:val="both"/>
              <w:rPr/>
            </w:pPr>
            <w:r>
              <w:rPr/>
              <w:t>“</w:t>
            </w:r>
            <w:r>
              <w:rPr/>
              <w:t>FOR” the election of the Class II director nominee to the Board to serve for a term of three years;</w:t>
            </w:r>
          </w:p>
        </w:tc>
      </w:tr>
    </w:tbl>
    <w:tbl>
      <w:tblPr>
        <w:tblW w:w="5000" w:type="pct"/>
        <w:jc w:val="left"/>
        <w:tblInd w:w="0" w:type="dxa"/>
        <w:tblLayout w:type="fixed"/>
        <w:tblCellMar>
          <w:top w:w="0" w:type="dxa"/>
          <w:left w:w="0" w:type="dxa"/>
          <w:bottom w:w="0" w:type="dxa"/>
          <w:right w:w="0" w:type="dxa"/>
        </w:tblCellMar>
      </w:tblPr>
      <w:tblGrid>
        <w:gridCol w:w="67"/>
        <w:gridCol w:w="226"/>
        <w:gridCol w:w="9912"/>
      </w:tblGrid>
      <w:tr>
        <w:trPr/>
        <w:tc>
          <w:tcPr>
            <w:tcW w:w="6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pPr>
            <w:r>
              <w:rPr/>
              <w:t>2)</w:t>
            </w:r>
          </w:p>
        </w:tc>
        <w:tc>
          <w:tcPr>
            <w:tcW w:w="9912" w:type="dxa"/>
            <w:tcBorders/>
            <w:vAlign w:val="center"/>
          </w:tcPr>
          <w:p>
            <w:pPr>
              <w:pStyle w:val="TableContents"/>
              <w:bidi w:val="0"/>
              <w:spacing w:before="0" w:after="283"/>
              <w:jc w:val="both"/>
              <w:rPr/>
            </w:pPr>
            <w:r>
              <w:rPr/>
              <w:t>“</w:t>
            </w:r>
            <w:r>
              <w:rPr/>
              <w:t>FOR” the ratification of the appointment of Deloitte as the Company’s independent registered public accounting firm for Fiscal 2026;</w:t>
            </w:r>
          </w:p>
        </w:tc>
      </w:tr>
    </w:tbl>
    <w:tbl>
      <w:tblPr>
        <w:tblW w:w="5000" w:type="pct"/>
        <w:jc w:val="left"/>
        <w:tblInd w:w="0" w:type="dxa"/>
        <w:tblLayout w:type="fixed"/>
        <w:tblCellMar>
          <w:top w:w="0" w:type="dxa"/>
          <w:left w:w="0" w:type="dxa"/>
          <w:bottom w:w="0" w:type="dxa"/>
          <w:right w:w="0" w:type="dxa"/>
        </w:tblCellMar>
      </w:tblPr>
      <w:tblGrid>
        <w:gridCol w:w="175"/>
        <w:gridCol w:w="630"/>
        <w:gridCol w:w="9400"/>
      </w:tblGrid>
      <w:tr>
        <w:trPr/>
        <w:tc>
          <w:tcPr>
            <w:tcW w:w="175"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pPr>
            <w:r>
              <w:rPr/>
              <w:t>3)</w:t>
            </w:r>
          </w:p>
        </w:tc>
        <w:tc>
          <w:tcPr>
            <w:tcW w:w="9400" w:type="dxa"/>
            <w:tcBorders/>
            <w:vAlign w:val="center"/>
          </w:tcPr>
          <w:p>
            <w:pPr>
              <w:pStyle w:val="TableContents"/>
              <w:bidi w:val="0"/>
              <w:spacing w:before="0" w:after="283"/>
              <w:jc w:val="both"/>
              <w:rPr/>
            </w:pPr>
            <w:r>
              <w:rPr/>
              <w:t>“</w:t>
            </w:r>
            <w:r>
              <w:rPr/>
              <w:t>FOR” the Say-on-Pay Proposal; and</w:t>
            </w:r>
          </w:p>
        </w:tc>
      </w:tr>
    </w:tbl>
    <w:tbl>
      <w:tblPr>
        <w:tblW w:w="5000" w:type="pct"/>
        <w:jc w:val="left"/>
        <w:tblInd w:w="0" w:type="dxa"/>
        <w:tblLayout w:type="fixed"/>
        <w:tblCellMar>
          <w:top w:w="0" w:type="dxa"/>
          <w:left w:w="0" w:type="dxa"/>
          <w:bottom w:w="0" w:type="dxa"/>
          <w:right w:w="0" w:type="dxa"/>
        </w:tblCellMar>
      </w:tblPr>
      <w:tblGrid>
        <w:gridCol w:w="130"/>
        <w:gridCol w:w="469"/>
        <w:gridCol w:w="9606"/>
      </w:tblGrid>
      <w:tr>
        <w:trPr/>
        <w:tc>
          <w:tcPr>
            <w:tcW w:w="130"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pPr>
            <w:r>
              <w:rPr/>
              <w:t>4)</w:t>
            </w:r>
          </w:p>
        </w:tc>
        <w:tc>
          <w:tcPr>
            <w:tcW w:w="9606" w:type="dxa"/>
            <w:tcBorders/>
            <w:vAlign w:val="center"/>
          </w:tcPr>
          <w:p>
            <w:pPr>
              <w:pStyle w:val="TableContents"/>
              <w:bidi w:val="0"/>
              <w:spacing w:before="0" w:after="283"/>
              <w:jc w:val="both"/>
              <w:rPr/>
            </w:pPr>
            <w:r>
              <w:rPr/>
              <w:t>“</w:t>
            </w:r>
            <w:r>
              <w:rPr/>
              <w:t>1 YEAR” for the Say-on-Pay Frequency Proposal.</w:t>
            </w:r>
          </w:p>
        </w:tc>
      </w:tr>
    </w:tbl>
    <w:p>
      <w:pPr>
        <w:pStyle w:val="TextBody"/>
        <w:bidi w:val="0"/>
        <w:spacing w:lineRule="auto" w:line="276"/>
        <w:jc w:val="left"/>
        <w:rPr>
          <w:rFonts w:ascii="Times New Roman;Times;Serif" w:hAnsi="Times New Roman;Times;Serif"/>
          <w:b/>
          <w:i/>
          <w:caps w:val="false"/>
          <w:smallCaps w:val="false"/>
          <w:sz w:val="24"/>
        </w:rPr>
      </w:pPr>
      <w:r>
        <w:rPr>
          <w:rFonts w:ascii="Times New Roman;Times;Serif" w:hAnsi="Times New Roman;Times;Serif"/>
          <w:b/>
          <w:i/>
          <w:caps w:val="false"/>
          <w:smallCaps w:val="false"/>
          <w:sz w:val="24"/>
        </w:rPr>
        <w:t>Who may vote at the 2026 Annual Meeting?</w:t>
      </w:r>
    </w:p>
    <w:p>
      <w:pPr>
        <w:pStyle w:val="TextBody"/>
        <w:bidi w:val="0"/>
        <w:spacing w:lineRule="auto" w:line="276"/>
        <w:jc w:val="left"/>
        <w:rPr>
          <w:caps w:val="false"/>
          <w:smallCaps w:val="false"/>
        </w:rPr>
      </w:pPr>
      <w:r>
        <w:rPr>
          <w:caps w:val="false"/>
          <w:smallCaps w:val="false"/>
        </w:rPr>
        <w:t> </w:t>
      </w:r>
    </w:p>
    <w:p>
      <w:pPr>
        <w:pStyle w:val="TextBody"/>
        <w:bidi w:val="0"/>
        <w:spacing w:lineRule="auto" w:line="27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our common stock on the Record Date are entitled to one vote for each share of the Company’s common stock held on the Record Date. As of the Record Date, there were 385,921,813 shares of the Company’s common stock issued and outstanding and approximately 86 stockholders of record.</w:t>
      </w:r>
    </w:p>
    <w:p>
      <w:pPr>
        <w:pStyle w:val="TextBody"/>
        <w:bidi w:val="0"/>
        <w:spacing w:lineRule="auto" w:line="276"/>
        <w:jc w:val="left"/>
        <w:rPr>
          <w:caps w:val="false"/>
          <w:smallCaps w:val="false"/>
        </w:rPr>
      </w:pPr>
      <w:r>
        <w:rPr>
          <w:caps w:val="false"/>
          <w:smallCaps w:val="false"/>
        </w:rPr>
        <w:t> </w:t>
      </w:r>
    </w:p>
    <w:p>
      <w:pPr>
        <w:pStyle w:val="TextBody"/>
        <w:bidi w:val="0"/>
        <w:spacing w:lineRule="auto" w:line="276"/>
        <w:jc w:val="left"/>
        <w:rPr>
          <w:rFonts w:ascii="Times New Roman;Times;Serif" w:hAnsi="Times New Roman;Times;Serif"/>
          <w:b/>
          <w:i/>
          <w:caps w:val="false"/>
          <w:smallCaps w:val="false"/>
          <w:sz w:val="24"/>
        </w:rPr>
      </w:pPr>
      <w:r>
        <w:rPr>
          <w:rFonts w:ascii="Times New Roman;Times;Serif" w:hAnsi="Times New Roman;Times;Serif"/>
          <w:b/>
          <w:i/>
          <w:caps w:val="false"/>
          <w:smallCaps w:val="false"/>
          <w:sz w:val="24"/>
        </w:rPr>
        <w:t>Who is the Company’s transfer agent?</w:t>
      </w:r>
    </w:p>
    <w:p>
      <w:pPr>
        <w:pStyle w:val="TextBody"/>
        <w:bidi w:val="0"/>
        <w:spacing w:lineRule="auto" w:line="276"/>
        <w:jc w:val="left"/>
        <w:rPr>
          <w:caps w:val="false"/>
          <w:smallCaps w:val="false"/>
        </w:rPr>
      </w:pPr>
      <w:r>
        <w:rPr>
          <w:caps w:val="false"/>
          <w:smallCaps w:val="false"/>
        </w:rPr>
        <w:t> </w:t>
      </w:r>
    </w:p>
    <w:tbl>
      <w:tblPr>
        <w:tblW w:w="470" w:type="dxa"/>
        <w:jc w:val="left"/>
        <w:tblInd w:w="0" w:type="dxa"/>
        <w:tblLayout w:type="fixed"/>
        <w:tblCellMar>
          <w:top w:w="0" w:type="dxa"/>
          <w:left w:w="0" w:type="dxa"/>
          <w:bottom w:w="0" w:type="dxa"/>
          <w:right w:w="0" w:type="dxa"/>
        </w:tblCellMar>
      </w:tblPr>
      <w:tblGrid>
        <w:gridCol w:w="105"/>
        <w:gridCol w:w="230"/>
        <w:gridCol w:w="135"/>
      </w:tblGrid>
      <w:tr>
        <w:trPr/>
        <w:tc>
          <w:tcPr>
            <w:tcW w:w="10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center"/>
              <w:rPr/>
            </w:pPr>
            <w:r>
              <w:rPr/>
              <w:t> </w:t>
            </w:r>
            <w:r>
              <w:rPr/>
              <w:t>2</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lineRule="auto" w:line="276"/>
        <w:jc w:val="left"/>
        <w:rPr>
          <w:caps w:val="false"/>
          <w:smallCaps w:val="false"/>
        </w:rPr>
      </w:pPr>
      <w:r>
        <w:rPr>
          <w:caps w:val="false"/>
          <w:smallCaps w:val="false"/>
        </w:rPr>
        <w:t> </w:t>
      </w:r>
    </w:p>
    <w:p>
      <w:pPr>
        <w:pStyle w:val="TextBody"/>
        <w:bidi w:val="0"/>
        <w:spacing w:lineRule="auto" w:line="27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transfer agent is Continental Stock Transfer &amp; Trust Company (“Continental”).</w:t>
      </w:r>
    </w:p>
    <w:p>
      <w:pPr>
        <w:pStyle w:val="TextBody"/>
        <w:bidi w:val="0"/>
        <w:spacing w:lineRule="auto" w:line="276"/>
        <w:jc w:val="left"/>
        <w:rPr>
          <w:caps w:val="false"/>
          <w:smallCaps w:val="false"/>
        </w:rPr>
      </w:pPr>
      <w:r>
        <w:rPr>
          <w:caps w:val="false"/>
          <w:smallCaps w:val="false"/>
        </w:rPr>
        <w:t> </w:t>
      </w:r>
    </w:p>
    <w:p>
      <w:pPr>
        <w:pStyle w:val="TextBody"/>
        <w:bidi w:val="0"/>
        <w:spacing w:lineRule="auto" w:line="276"/>
        <w:jc w:val="left"/>
        <w:rPr>
          <w:rFonts w:ascii="Times New Roman;Times;Serif" w:hAnsi="Times New Roman;Times;Serif"/>
          <w:b/>
          <w:i/>
          <w:caps w:val="false"/>
          <w:smallCaps w:val="false"/>
          <w:sz w:val="24"/>
        </w:rPr>
      </w:pPr>
      <w:r>
        <w:rPr>
          <w:rFonts w:ascii="Times New Roman;Times;Serif" w:hAnsi="Times New Roman;Times;Serif"/>
          <w:b/>
          <w:i/>
          <w:caps w:val="false"/>
          <w:smallCaps w:val="false"/>
          <w:sz w:val="24"/>
        </w:rPr>
        <w:t>What is the quorum requirement for the 2026 Annual Meeting?</w:t>
      </w:r>
    </w:p>
    <w:p>
      <w:pPr>
        <w:pStyle w:val="TextBody"/>
        <w:bidi w:val="0"/>
        <w:spacing w:lineRule="auto" w:line="276"/>
        <w:jc w:val="left"/>
        <w:rPr>
          <w:caps w:val="false"/>
          <w:smallCaps w:val="false"/>
        </w:rPr>
      </w:pPr>
      <w:r>
        <w:rPr>
          <w:caps w:val="false"/>
          <w:smallCaps w:val="false"/>
        </w:rPr>
        <w:t> </w:t>
      </w:r>
    </w:p>
    <w:p>
      <w:pPr>
        <w:pStyle w:val="TextBody"/>
        <w:bidi w:val="0"/>
        <w:spacing w:lineRule="auto" w:line="27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a majority in voting power of the shares of capital stock outstanding and entitled to vote thereat, present in person or represented by proxy, shall constitute a quorum at the 2026 Annual Meeting for the transaction of business. If you: (i) are present and vote electronically during the 2026 Annual Meeting; (ii) have voted, pursuant to the instructions on the proxy card, on the Internet prior to the 2026 Annual Meeting; or (iii) properly submitted a proxy card or voting instruction form by mail prior to the 2026 Annual Meeting, your shares will be counted for purposes of determining if there is a quorum, whether representing votes for, against or abstained. Broker non-votes, as described below, will also be counted for purposes of determining whether a quorum is present. If a quorum is not present, the 2026 Annual Meeting will be adjourned until a quorum is obtained.</w:t>
      </w:r>
    </w:p>
    <w:p>
      <w:pPr>
        <w:pStyle w:val="TextBody"/>
        <w:bidi w:val="0"/>
        <w:spacing w:lineRule="auto" w:line="276"/>
        <w:jc w:val="left"/>
        <w:rPr>
          <w:caps w:val="false"/>
          <w:smallCaps w:val="false"/>
        </w:rPr>
      </w:pPr>
      <w:r>
        <w:rPr>
          <w:caps w:val="false"/>
          <w:smallCaps w:val="false"/>
        </w:rPr>
        <w:t> </w:t>
      </w:r>
    </w:p>
    <w:p>
      <w:pPr>
        <w:pStyle w:val="TextBody"/>
        <w:bidi w:val="0"/>
        <w:spacing w:lineRule="auto" w:line="276"/>
        <w:jc w:val="left"/>
        <w:rPr>
          <w:rFonts w:ascii="Times New Roman;Times;Serif" w:hAnsi="Times New Roman;Times;Serif"/>
          <w:b/>
          <w:i/>
          <w:caps w:val="false"/>
          <w:smallCaps w:val="false"/>
          <w:sz w:val="24"/>
        </w:rPr>
      </w:pPr>
      <w:r>
        <w:rPr>
          <w:rFonts w:ascii="Times New Roman;Times;Serif" w:hAnsi="Times New Roman;Times;Serif"/>
          <w:b/>
          <w:i/>
          <w:caps w:val="false"/>
          <w:smallCaps w:val="false"/>
          <w:sz w:val="24"/>
        </w:rPr>
        <w:t>What is the difference between a stockholder of record and a beneficial owner of shares held in street name?</w:t>
      </w:r>
    </w:p>
    <w:p>
      <w:pPr>
        <w:pStyle w:val="TextBody"/>
        <w:bidi w:val="0"/>
        <w:spacing w:lineRule="auto" w:line="276"/>
        <w:jc w:val="left"/>
        <w:rPr>
          <w:caps w:val="false"/>
          <w:smallCaps w:val="false"/>
        </w:rPr>
      </w:pPr>
      <w:r>
        <w:rPr>
          <w:caps w:val="false"/>
          <w:smallCaps w:val="false"/>
        </w:rPr>
        <w:t> </w:t>
      </w:r>
    </w:p>
    <w:p>
      <w:pPr>
        <w:pStyle w:val="TextBody"/>
        <w:bidi w:val="0"/>
        <w:spacing w:lineRule="auto" w:line="276"/>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Stockholder of Record.</w:t>
      </w:r>
      <w:r>
        <w:rPr>
          <w:rFonts w:ascii="Times New Roman;Times;Serif" w:hAnsi="Times New Roman;Times;Serif"/>
          <w:b w:val="false"/>
          <w:i w:val="false"/>
          <w:caps w:val="false"/>
          <w:smallCaps w:val="false"/>
          <w:sz w:val="20"/>
        </w:rPr>
        <w:t xml:space="preserve"> If, on the Record Date, your shares were registered directly in your name with Continental, the Company’s transfer agent, you are considered the stockholder of record with respect to those shares, and the Notice was sent directly to you by Continental at the Company’s request. If you request printed copies of the proxy materials by mail, you will receive a proxy card to vote your shares. Your signed proxy card must be received before the 2026 Annual Meeting for your vote to be counted at the 2026 Annual Meeting.</w:t>
      </w:r>
    </w:p>
    <w:p>
      <w:pPr>
        <w:pStyle w:val="TextBody"/>
        <w:bidi w:val="0"/>
        <w:spacing w:lineRule="auto" w:line="276"/>
        <w:jc w:val="both"/>
        <w:rPr>
          <w:caps w:val="false"/>
          <w:smallCaps w:val="false"/>
        </w:rPr>
      </w:pPr>
      <w:r>
        <w:rPr>
          <w:caps w:val="false"/>
          <w:smallCaps w:val="false"/>
        </w:rPr>
        <w:t> </w:t>
      </w:r>
    </w:p>
    <w:p>
      <w:pPr>
        <w:pStyle w:val="TextBody"/>
        <w:bidi w:val="0"/>
        <w:spacing w:lineRule="auto" w:line="276"/>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Beneficial Owner of Shares Held in Street Name. </w:t>
      </w:r>
      <w:r>
        <w:rPr>
          <w:rFonts w:ascii="Times New Roman;Times;Serif" w:hAnsi="Times New Roman;Times;Serif"/>
          <w:b w:val="false"/>
          <w:i w:val="false"/>
          <w:caps w:val="false"/>
          <w:smallCaps w:val="false"/>
          <w:sz w:val="20"/>
        </w:rPr>
        <w:t xml:space="preserve">If, on the Record Date, your shares were held in an account at a brokerage firm, bank, broker-dealer or other similar organization, then you are the beneficial owner of shares held in “street name,” and the Notice was sent to you by that organization. The organization holding your account is considered the stockholder of record for purposes of voting at the 2026 Annual Meeting. As a beneficial owner, you have the right to instruct that organization on how to vote the shares held in your account. Those instructions are contained in a “voting instruction form” which will be provided by the organization that holds your shares. The organization holding your account will not be able to vote in the election of directors unless they have your voting instructions, so it is very important that you indicate your voting instructions to the institution holding your shares. </w:t>
      </w:r>
      <w:r>
        <w:rPr>
          <w:rFonts w:ascii="Times New Roman;Times;Serif" w:hAnsi="Times New Roman;Times;Serif"/>
          <w:b/>
          <w:i w:val="false"/>
          <w:caps w:val="false"/>
          <w:smallCaps w:val="false"/>
          <w:sz w:val="20"/>
        </w:rPr>
        <w:t>As a beneficial owner of shares, you are also invited to attend the 2026 Annual Meeting virtually. However, since you are not the stockholder of record, you may not vote or otherwise participate during the 2026 Annual Meeting unless you obtain a valid control number from your broker, bank or other agent.</w:t>
      </w:r>
    </w:p>
    <w:p>
      <w:pPr>
        <w:pStyle w:val="TextBody"/>
        <w:bidi w:val="0"/>
        <w:spacing w:lineRule="auto" w:line="276"/>
        <w:jc w:val="left"/>
        <w:rPr>
          <w:caps w:val="false"/>
          <w:smallCaps w:val="false"/>
        </w:rPr>
      </w:pPr>
      <w:r>
        <w:rPr>
          <w:caps w:val="false"/>
          <w:smallCaps w:val="false"/>
        </w:rPr>
        <w:t> </w:t>
      </w:r>
    </w:p>
    <w:p>
      <w:pPr>
        <w:pStyle w:val="TextBody"/>
        <w:bidi w:val="0"/>
        <w:spacing w:lineRule="auto" w:line="276"/>
        <w:jc w:val="left"/>
        <w:rPr>
          <w:rFonts w:ascii="Times New Roman;Times;Serif" w:hAnsi="Times New Roman;Times;Serif"/>
          <w:b/>
          <w:i/>
          <w:caps w:val="false"/>
          <w:smallCaps w:val="false"/>
          <w:sz w:val="24"/>
        </w:rPr>
      </w:pPr>
      <w:r>
        <w:rPr>
          <w:rFonts w:ascii="Times New Roman;Times;Serif" w:hAnsi="Times New Roman;Times;Serif"/>
          <w:b/>
          <w:i/>
          <w:caps w:val="false"/>
          <w:smallCaps w:val="false"/>
          <w:sz w:val="24"/>
        </w:rPr>
        <w:t>How can I attend the 2026 Annual Meeting?</w:t>
      </w:r>
    </w:p>
    <w:p>
      <w:pPr>
        <w:pStyle w:val="TextBody"/>
        <w:bidi w:val="0"/>
        <w:spacing w:lineRule="auto" w:line="276"/>
        <w:jc w:val="left"/>
        <w:rPr>
          <w:caps w:val="false"/>
          <w:smallCaps w:val="false"/>
        </w:rPr>
      </w:pPr>
      <w:r>
        <w:rPr>
          <w:caps w:val="false"/>
          <w:smallCaps w:val="false"/>
        </w:rPr>
        <w:t> </w:t>
      </w:r>
    </w:p>
    <w:p>
      <w:pPr>
        <w:pStyle w:val="TextBody"/>
        <w:bidi w:val="0"/>
        <w:spacing w:lineRule="auto" w:line="27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Only stockholders as of the Record Date are entitled to vote and otherwise participate during the 2026 Annual Meeting, which will be held on Monday, November 30, 2026 and will begin promptly at 9:00 a.m. Central Time. Guests are permitted to attend the 2026 Annual Meeting but will not be permitted to vote or otherwise participate during the 2026 Annual Meeting.</w:t>
      </w:r>
    </w:p>
    <w:p>
      <w:pPr>
        <w:pStyle w:val="TextBody"/>
        <w:bidi w:val="0"/>
        <w:spacing w:lineRule="auto" w:line="276"/>
        <w:jc w:val="both"/>
        <w:rPr>
          <w:caps w:val="false"/>
          <w:smallCaps w:val="false"/>
        </w:rPr>
      </w:pPr>
      <w:r>
        <w:rPr>
          <w:caps w:val="false"/>
          <w:smallCaps w:val="false"/>
        </w:rPr>
        <w:t> </w:t>
      </w:r>
    </w:p>
    <w:p>
      <w:pPr>
        <w:pStyle w:val="TextBody"/>
        <w:bidi w:val="0"/>
        <w:spacing w:lineRule="auto" w:line="27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Advance registration is recommended for stockholders wishing to vote or otherwise participate during the 2026 Annual Meeting. The registration process differs depending on how you hold your shares.</w:t>
      </w:r>
    </w:p>
    <w:p>
      <w:pPr>
        <w:pStyle w:val="TextBody"/>
        <w:bidi w:val="0"/>
        <w:spacing w:lineRule="auto" w:line="276"/>
        <w:jc w:val="both"/>
        <w:rPr>
          <w:caps w:val="false"/>
          <w:smallCaps w:val="false"/>
        </w:rPr>
      </w:pPr>
      <w:r>
        <w:rPr>
          <w:caps w:val="false"/>
          <w:smallCaps w:val="false"/>
        </w:rPr>
        <w:t> </w:t>
      </w:r>
    </w:p>
    <w:p>
      <w:pPr>
        <w:pStyle w:val="TextBody"/>
        <w:bidi w:val="0"/>
        <w:spacing w:lineRule="auto" w:line="27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are a stockholder of record, you received a proxy card from Broadridge Financial Solutions (“Broadridge”) which contains instructions on how to attend the virtual meeting, along with your control number. Immediately prior to the start of the 2026 Annual Meeting, you will need to log into the meeting site using your control number. You are encouraged to register at least 15 minutes prior to the start of the meeting.</w:t>
      </w:r>
    </w:p>
    <w:p>
      <w:pPr>
        <w:pStyle w:val="TextBody"/>
        <w:bidi w:val="0"/>
        <w:spacing w:lineRule="auto" w:line="276"/>
        <w:jc w:val="left"/>
        <w:rPr>
          <w:caps w:val="false"/>
          <w:smallCaps w:val="false"/>
        </w:rPr>
      </w:pPr>
      <w:r>
        <w:rPr>
          <w:caps w:val="false"/>
          <w:smallCaps w:val="false"/>
        </w:rPr>
        <w:t> </w:t>
      </w:r>
    </w:p>
    <w:p>
      <w:pPr>
        <w:pStyle w:val="TextBody"/>
        <w:bidi w:val="0"/>
        <w:spacing w:lineRule="auto" w:line="27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are a beneficial owner of shares held in street name, you must obtain a control number from the stockholder of record. Stockholders should contact their bank, broker or other nominee for instructions regarding obtaining their control number.</w:t>
      </w:r>
    </w:p>
    <w:p>
      <w:pPr>
        <w:pStyle w:val="TextBody"/>
        <w:bidi w:val="0"/>
        <w:spacing w:lineRule="auto" w:line="276"/>
        <w:jc w:val="both"/>
        <w:rPr>
          <w:caps w:val="false"/>
          <w:smallCaps w:val="false"/>
        </w:rPr>
      </w:pPr>
      <w:r>
        <w:rPr>
          <w:caps w:val="false"/>
          <w:smallCaps w:val="false"/>
        </w:rPr>
        <w:t> </w:t>
      </w:r>
    </w:p>
    <w:p>
      <w:pPr>
        <w:pStyle w:val="TextBody"/>
        <w:bidi w:val="0"/>
        <w:spacing w:lineRule="auto" w:line="276"/>
        <w:jc w:val="both"/>
        <w:rPr>
          <w:caps w:val="false"/>
          <w:smallCaps w:val="false"/>
        </w:rPr>
      </w:pPr>
      <w:r>
        <w:rPr>
          <w:caps w:val="false"/>
          <w:smallCaps w:val="false"/>
        </w:rPr>
        <w:t> </w:t>
      </w:r>
    </w:p>
    <w:p>
      <w:pPr>
        <w:pStyle w:val="TextBody"/>
        <w:bidi w:val="0"/>
        <w:spacing w:lineRule="auto" w:line="276"/>
        <w:jc w:val="both"/>
        <w:rPr>
          <w:caps w:val="false"/>
          <w:smallCaps w:val="false"/>
        </w:rPr>
      </w:pPr>
      <w:r>
        <w:rPr>
          <w:caps w:val="false"/>
          <w:smallCaps w:val="false"/>
        </w:rPr>
        <w:t> </w:t>
      </w:r>
    </w:p>
    <w:tbl>
      <w:tblPr>
        <w:tblW w:w="470" w:type="dxa"/>
        <w:jc w:val="left"/>
        <w:tblInd w:w="0" w:type="dxa"/>
        <w:tblLayout w:type="fixed"/>
        <w:tblCellMar>
          <w:top w:w="0" w:type="dxa"/>
          <w:left w:w="0" w:type="dxa"/>
          <w:bottom w:w="0" w:type="dxa"/>
          <w:right w:w="0" w:type="dxa"/>
        </w:tblCellMar>
      </w:tblPr>
      <w:tblGrid>
        <w:gridCol w:w="105"/>
        <w:gridCol w:w="230"/>
        <w:gridCol w:w="135"/>
      </w:tblGrid>
      <w:tr>
        <w:trPr/>
        <w:tc>
          <w:tcPr>
            <w:tcW w:w="10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center"/>
              <w:rPr/>
            </w:pPr>
            <w:r>
              <w:rPr/>
              <w:t> </w:t>
            </w:r>
            <w:r>
              <w:rPr/>
              <w:t>3</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lineRule="auto" w:line="276"/>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You will not be able to vote or otherwise participate during the 2026 Annual Meeting unless you obtain a control number to the 2026 Annual Meeting.</w:t>
      </w:r>
    </w:p>
    <w:p>
      <w:pPr>
        <w:pStyle w:val="TextBody"/>
        <w:bidi w:val="0"/>
        <w:spacing w:lineRule="auto" w:line="276"/>
        <w:jc w:val="both"/>
        <w:rPr>
          <w:caps w:val="false"/>
          <w:smallCaps w:val="false"/>
        </w:rPr>
      </w:pPr>
      <w:r>
        <w:rPr>
          <w:caps w:val="false"/>
          <w:smallCaps w:val="false"/>
        </w:rPr>
        <w:t> </w:t>
      </w:r>
    </w:p>
    <w:p>
      <w:pPr>
        <w:pStyle w:val="TextBody"/>
        <w:bidi w:val="0"/>
        <w:spacing w:lineRule="auto" w:line="276"/>
        <w:jc w:val="left"/>
        <w:rPr>
          <w:rFonts w:ascii="Times New Roman;Times;Serif" w:hAnsi="Times New Roman;Times;Serif"/>
          <w:b/>
          <w:i/>
          <w:caps w:val="false"/>
          <w:smallCaps w:val="false"/>
          <w:sz w:val="24"/>
        </w:rPr>
      </w:pPr>
      <w:r>
        <w:rPr>
          <w:rFonts w:ascii="Times New Roman;Times;Serif" w:hAnsi="Times New Roman;Times;Serif"/>
          <w:b/>
          <w:i/>
          <w:caps w:val="false"/>
          <w:smallCaps w:val="false"/>
          <w:sz w:val="24"/>
        </w:rPr>
        <w:t>How do I vote my shares?</w:t>
      </w:r>
    </w:p>
    <w:p>
      <w:pPr>
        <w:pStyle w:val="TextBody"/>
        <w:bidi w:val="0"/>
        <w:spacing w:lineRule="auto" w:line="276"/>
        <w:jc w:val="left"/>
        <w:rPr>
          <w:caps w:val="false"/>
          <w:smallCaps w:val="false"/>
        </w:rPr>
      </w:pPr>
      <w:r>
        <w:rPr>
          <w:caps w:val="false"/>
          <w:smallCaps w:val="false"/>
        </w:rPr>
        <w:t> </w:t>
      </w:r>
    </w:p>
    <w:p>
      <w:pPr>
        <w:pStyle w:val="TextBody"/>
        <w:bidi w:val="0"/>
        <w:spacing w:lineRule="auto" w:line="27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Proposal No. 1, you may vote “For,” “Against” or “Abstain” with respect to the Class II director nominee for election to the Board. For Proposal Nos. 2 and 3, you may vote “For,” “Against” or “Abstain.” For Proposal No. 4, you may vote for “1 Year,” “2 Years,” “3 Years” or “Abstain.” The procedures for voting are outlined below.</w:t>
      </w:r>
    </w:p>
    <w:p>
      <w:pPr>
        <w:pStyle w:val="TextBody"/>
        <w:bidi w:val="0"/>
        <w:spacing w:lineRule="auto" w:line="276"/>
        <w:jc w:val="both"/>
        <w:rPr>
          <w:caps w:val="false"/>
          <w:smallCaps w:val="false"/>
        </w:rPr>
      </w:pPr>
      <w:r>
        <w:rPr>
          <w:caps w:val="false"/>
          <w:smallCaps w:val="false"/>
        </w:rPr>
        <w:t> </w:t>
      </w:r>
    </w:p>
    <w:p>
      <w:pPr>
        <w:pStyle w:val="TextBody"/>
        <w:bidi w:val="0"/>
        <w:spacing w:lineRule="auto" w:line="27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are a stockholder of record, there are three ways to vote:</w:t>
      </w:r>
    </w:p>
    <w:p>
      <w:pPr>
        <w:pStyle w:val="TextBody"/>
        <w:bidi w:val="0"/>
        <w:spacing w:lineRule="auto" w:line="276"/>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140"/>
        <w:gridCol w:w="9998"/>
      </w:tblGrid>
      <w:tr>
        <w:trPr/>
        <w:tc>
          <w:tcPr>
            <w:tcW w:w="6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sz w:val="20"/>
              </w:rPr>
            </w:pPr>
            <w:r>
              <w:rPr>
                <w:sz w:val="20"/>
              </w:rPr>
              <w:t>Via the Internet, in advance of the 2026 Annual Meeting. You may vote by proxy via the Internet by following the instructions provided in the Notice you receive from Broadridge.</w:t>
            </w:r>
          </w:p>
        </w:tc>
      </w:tr>
    </w:tbl>
    <w:p>
      <w:pPr>
        <w:pStyle w:val="TextBody"/>
        <w:bidi w:val="0"/>
        <w:spacing w:lineRule="auto" w:line="276"/>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140"/>
        <w:gridCol w:w="9998"/>
      </w:tblGrid>
      <w:tr>
        <w:trPr/>
        <w:tc>
          <w:tcPr>
            <w:tcW w:w="6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sz w:val="20"/>
              </w:rPr>
            </w:pPr>
            <w:r>
              <w:rPr>
                <w:sz w:val="20"/>
              </w:rPr>
              <w:t>By mail, in advance of the 2026 Annual Meeting. If you request printed copies of the proxy materials by mail, you may vote by proxy by completing, signing, dating and returning the proxy card in the envelope provided. Your signed proxy card must be received before the 2026 Annual Meeting for your vote to be counted at the 2026 Annual Meeting.</w:t>
            </w:r>
          </w:p>
        </w:tc>
      </w:tr>
    </w:tbl>
    <w:p>
      <w:pPr>
        <w:pStyle w:val="TextBody"/>
        <w:bidi w:val="0"/>
        <w:spacing w:lineRule="auto" w:line="276"/>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140"/>
        <w:gridCol w:w="9998"/>
      </w:tblGrid>
      <w:tr>
        <w:trPr/>
        <w:tc>
          <w:tcPr>
            <w:tcW w:w="6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sz w:val="20"/>
              </w:rPr>
            </w:pPr>
            <w:r>
              <w:rPr>
                <w:sz w:val="20"/>
              </w:rPr>
              <w:t>Virtually, during the 2026 Annual Meeting. You may vote during the 2026 Annual Meeting by attending virtually and submitting a ballot during the live webcast per the instructions on the Notice you receive from Broadridge.</w:t>
            </w:r>
          </w:p>
        </w:tc>
      </w:tr>
    </w:tbl>
    <w:p>
      <w:pPr>
        <w:pStyle w:val="TextBody"/>
        <w:bidi w:val="0"/>
        <w:spacing w:lineRule="auto" w:line="276"/>
        <w:jc w:val="both"/>
        <w:rPr>
          <w:caps w:val="false"/>
          <w:smallCaps w:val="false"/>
        </w:rPr>
      </w:pPr>
      <w:r>
        <w:rPr>
          <w:caps w:val="false"/>
          <w:smallCaps w:val="false"/>
        </w:rPr>
        <w:t> </w:t>
      </w:r>
    </w:p>
    <w:p>
      <w:pPr>
        <w:pStyle w:val="TextBody"/>
        <w:bidi w:val="0"/>
        <w:spacing w:lineRule="auto" w:line="27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are a beneficial owner of shares held in street name, there are three ways to vote:</w:t>
      </w:r>
    </w:p>
    <w:p>
      <w:pPr>
        <w:pStyle w:val="TextBody"/>
        <w:bidi w:val="0"/>
        <w:spacing w:lineRule="auto" w:line="276"/>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140"/>
        <w:gridCol w:w="9998"/>
      </w:tblGrid>
      <w:tr>
        <w:trPr/>
        <w:tc>
          <w:tcPr>
            <w:tcW w:w="6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sz w:val="20"/>
              </w:rPr>
            </w:pPr>
            <w:r>
              <w:rPr>
                <w:sz w:val="20"/>
              </w:rPr>
              <w:t>Via the Internet, in advance of the 2026 Annual Meeting. You may vote by proxy via the Internet by following the instructions provided in the voting instruction form provided by the organization that holds your shares. The availability of Internet voting may depend on the voting process of the organization that holds your shares.</w:t>
            </w:r>
          </w:p>
        </w:tc>
      </w:tr>
    </w:tbl>
    <w:p>
      <w:pPr>
        <w:pStyle w:val="TextBody"/>
        <w:bidi w:val="0"/>
        <w:spacing w:lineRule="auto" w:line="276"/>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140"/>
        <w:gridCol w:w="9998"/>
      </w:tblGrid>
      <w:tr>
        <w:trPr/>
        <w:tc>
          <w:tcPr>
            <w:tcW w:w="6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sz w:val="20"/>
              </w:rPr>
            </w:pPr>
            <w:r>
              <w:rPr>
                <w:sz w:val="20"/>
              </w:rPr>
              <w:t>By mail, in advance of the 2026 Annual Meeting. If you request printed copies of the proxy materials by mail, you may vote by proxy by filling out the voting instruction form and sending it back in the envelope provided. Your signed proxy card must be received before the 2026 Annual Meeting for your vote to be counted at the 2026 Annual Meeting.</w:t>
            </w:r>
          </w:p>
        </w:tc>
      </w:tr>
    </w:tbl>
    <w:p>
      <w:pPr>
        <w:pStyle w:val="TextBody"/>
        <w:bidi w:val="0"/>
        <w:spacing w:lineRule="auto" w:line="276"/>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140"/>
        <w:gridCol w:w="9998"/>
      </w:tblGrid>
      <w:tr>
        <w:trPr/>
        <w:tc>
          <w:tcPr>
            <w:tcW w:w="6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sz w:val="20"/>
              </w:rPr>
            </w:pPr>
            <w:r>
              <w:rPr>
                <w:sz w:val="20"/>
              </w:rPr>
              <w:t>Virtually, during the 2026 Annual Meeting. If you wish to vote during the 2026 Annual Meeting, you must obtain a control number from the organization that holds your shares. Please contact the organization that holds your shares for instructions regarding obtaining your control number. You will not be able to vote or otherwise participate during the 2026 Annual Meeting unless you obtain a control number to the 2026 Annual Meeting.</w:t>
            </w:r>
          </w:p>
        </w:tc>
      </w:tr>
    </w:tbl>
    <w:p>
      <w:pPr>
        <w:pStyle w:val="TextBody"/>
        <w:bidi w:val="0"/>
        <w:spacing w:lineRule="auto" w:line="276"/>
        <w:jc w:val="both"/>
        <w:rPr>
          <w:caps w:val="false"/>
          <w:smallCaps w:val="false"/>
        </w:rPr>
      </w:pPr>
      <w:r>
        <w:rPr>
          <w:caps w:val="false"/>
          <w:smallCaps w:val="false"/>
        </w:rPr>
        <w:t> </w:t>
      </w:r>
    </w:p>
    <w:p>
      <w:pPr>
        <w:pStyle w:val="TextBody"/>
        <w:bidi w:val="0"/>
        <w:spacing w:lineRule="auto" w:line="276"/>
        <w:jc w:val="left"/>
        <w:rPr>
          <w:rFonts w:ascii="Times New Roman;Times;Serif" w:hAnsi="Times New Roman;Times;Serif"/>
          <w:b/>
          <w:i/>
          <w:caps w:val="false"/>
          <w:smallCaps w:val="false"/>
          <w:sz w:val="24"/>
        </w:rPr>
      </w:pPr>
      <w:r>
        <w:rPr>
          <w:rFonts w:ascii="Times New Roman;Times;Serif" w:hAnsi="Times New Roman;Times;Serif"/>
          <w:b/>
          <w:i/>
          <w:caps w:val="false"/>
          <w:smallCaps w:val="false"/>
          <w:sz w:val="24"/>
        </w:rPr>
        <w:t>Can I change my vote?</w:t>
      </w:r>
    </w:p>
    <w:p>
      <w:pPr>
        <w:pStyle w:val="TextBody"/>
        <w:bidi w:val="0"/>
        <w:spacing w:lineRule="auto" w:line="276"/>
        <w:jc w:val="left"/>
        <w:rPr>
          <w:caps w:val="false"/>
          <w:smallCaps w:val="false"/>
        </w:rPr>
      </w:pPr>
      <w:r>
        <w:rPr>
          <w:caps w:val="false"/>
          <w:smallCaps w:val="false"/>
        </w:rPr>
        <w:t> </w:t>
      </w:r>
    </w:p>
    <w:p>
      <w:pPr>
        <w:pStyle w:val="TextBody"/>
        <w:bidi w:val="0"/>
        <w:spacing w:lineRule="auto" w:line="27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revoke your proxy and change your vote at any time prior to the vote at the 2026 Annual Meeting. Prior to the cutoff time, you may enter a new vote by using the Internet or by mailing a new proxy card or new voting instruction form bearing a later date (which will automatically revoke your earlier voting instructions). Your signed proxy card must be received before the 2026 Annual Meeting for your vote to be counted at the 2026 Annual Meeting. If you are a stockholder of record, you may accomplish this by granting a new proxy or by voting during the 2026 Annual Meeting. If you are a beneficial owner of shares held in street name, you may change your vote by submitting new voting instructions to your broker or nominee.</w:t>
      </w:r>
    </w:p>
    <w:p>
      <w:pPr>
        <w:pStyle w:val="TextBody"/>
        <w:bidi w:val="0"/>
        <w:spacing w:lineRule="auto" w:line="276"/>
        <w:jc w:val="left"/>
        <w:rPr>
          <w:caps w:val="false"/>
          <w:smallCaps w:val="false"/>
        </w:rPr>
      </w:pPr>
      <w:r>
        <w:rPr>
          <w:caps w:val="false"/>
          <w:smallCaps w:val="false"/>
        </w:rPr>
        <w:t> </w:t>
      </w:r>
    </w:p>
    <w:p>
      <w:pPr>
        <w:pStyle w:val="TextBody"/>
        <w:bidi w:val="0"/>
        <w:spacing w:lineRule="auto" w:line="276"/>
        <w:jc w:val="left"/>
        <w:rPr>
          <w:rFonts w:ascii="Times New Roman;Times;Serif" w:hAnsi="Times New Roman;Times;Serif"/>
          <w:b/>
          <w:i/>
          <w:caps w:val="false"/>
          <w:smallCaps w:val="false"/>
          <w:sz w:val="24"/>
        </w:rPr>
      </w:pPr>
      <w:r>
        <w:rPr>
          <w:rFonts w:ascii="Times New Roman;Times;Serif" w:hAnsi="Times New Roman;Times;Serif"/>
          <w:b/>
          <w:i/>
          <w:caps w:val="false"/>
          <w:smallCaps w:val="false"/>
          <w:sz w:val="24"/>
        </w:rPr>
        <w:t>How are proxies voted? What happens if I do not give specific voting instructions?</w:t>
      </w:r>
    </w:p>
    <w:p>
      <w:pPr>
        <w:pStyle w:val="TextBody"/>
        <w:bidi w:val="0"/>
        <w:spacing w:lineRule="auto" w:line="276"/>
        <w:jc w:val="left"/>
        <w:rPr>
          <w:caps w:val="false"/>
          <w:smallCaps w:val="false"/>
        </w:rPr>
      </w:pPr>
      <w:r>
        <w:rPr>
          <w:caps w:val="false"/>
          <w:smallCaps w:val="false"/>
        </w:rPr>
        <w:t> </w:t>
      </w:r>
    </w:p>
    <w:p>
      <w:pPr>
        <w:pStyle w:val="TextBody"/>
        <w:bidi w:val="0"/>
        <w:spacing w:lineRule="auto" w:line="27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shares represented by valid proxies received before 11:59 p.m. Eastern Time the day before the 2026 Annual Meeting will be voted, and where a stockholder specifies by means of the proxy a choice with respect to any matter to be acted upon,</w:t>
      </w:r>
    </w:p>
    <w:p>
      <w:pPr>
        <w:pStyle w:val="TextBody"/>
        <w:bidi w:val="0"/>
        <w:spacing w:lineRule="auto" w:line="276"/>
        <w:jc w:val="both"/>
        <w:rPr>
          <w:caps w:val="false"/>
          <w:smallCaps w:val="false"/>
        </w:rPr>
      </w:pPr>
      <w:r>
        <w:rPr>
          <w:caps w:val="false"/>
          <w:smallCaps w:val="false"/>
        </w:rPr>
        <w:t> </w:t>
      </w:r>
    </w:p>
    <w:tbl>
      <w:tblPr>
        <w:tblW w:w="470" w:type="dxa"/>
        <w:jc w:val="left"/>
        <w:tblInd w:w="0" w:type="dxa"/>
        <w:tblLayout w:type="fixed"/>
        <w:tblCellMar>
          <w:top w:w="0" w:type="dxa"/>
          <w:left w:w="0" w:type="dxa"/>
          <w:bottom w:w="0" w:type="dxa"/>
          <w:right w:w="0" w:type="dxa"/>
        </w:tblCellMar>
      </w:tblPr>
      <w:tblGrid>
        <w:gridCol w:w="105"/>
        <w:gridCol w:w="230"/>
        <w:gridCol w:w="135"/>
      </w:tblGrid>
      <w:tr>
        <w:trPr/>
        <w:tc>
          <w:tcPr>
            <w:tcW w:w="10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center"/>
              <w:rPr/>
            </w:pPr>
            <w:r>
              <w:rPr/>
              <w:t> </w:t>
            </w:r>
            <w:r>
              <w:rPr/>
              <w:t>4</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lineRule="auto" w:line="27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will be voted in accordance with the stockholder’s instructions. If you return your proxy without giving specific voting instructions, then the proxy holders will vote your shares in the manner recommended by the Board on all matters presented in this Proxy Statement.</w:t>
      </w:r>
    </w:p>
    <w:p>
      <w:pPr>
        <w:pStyle w:val="TextBody"/>
        <w:bidi w:val="0"/>
        <w:spacing w:lineRule="auto" w:line="276"/>
        <w:jc w:val="both"/>
        <w:rPr>
          <w:caps w:val="false"/>
          <w:smallCaps w:val="false"/>
        </w:rPr>
      </w:pPr>
      <w:r>
        <w:rPr>
          <w:caps w:val="false"/>
          <w:smallCaps w:val="false"/>
        </w:rPr>
        <w:t> </w:t>
      </w:r>
    </w:p>
    <w:p>
      <w:pPr>
        <w:pStyle w:val="TextBody"/>
        <w:bidi w:val="0"/>
        <w:spacing w:lineRule="auto" w:line="27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these proxy materials were mailed, we are not aware of any other matters to be presented at the 2026 Annual Meeting other than the proposals described herein. If any other matters are properly presented for a vote at the 2026 Annual Meeting and you grant a proxy, the persons named as proxy holders will vote your shares on any additional matters properly presented for a vote at the meeting as recommended by the Board or, if no recommendation is given, in their own discretion.</w:t>
      </w:r>
    </w:p>
    <w:p>
      <w:pPr>
        <w:pStyle w:val="TextBody"/>
        <w:bidi w:val="0"/>
        <w:spacing w:lineRule="auto" w:line="276"/>
        <w:jc w:val="left"/>
        <w:rPr>
          <w:caps w:val="false"/>
          <w:smallCaps w:val="false"/>
        </w:rPr>
      </w:pPr>
      <w:r>
        <w:rPr>
          <w:caps w:val="false"/>
          <w:smallCaps w:val="false"/>
        </w:rPr>
        <w:t> </w:t>
      </w:r>
    </w:p>
    <w:p>
      <w:pPr>
        <w:pStyle w:val="TextBody"/>
        <w:bidi w:val="0"/>
        <w:spacing w:lineRule="auto" w:line="276"/>
        <w:jc w:val="left"/>
        <w:rPr>
          <w:rFonts w:ascii="Times New Roman;Times;Serif" w:hAnsi="Times New Roman;Times;Serif"/>
          <w:b/>
          <w:i/>
          <w:caps w:val="false"/>
          <w:smallCaps w:val="false"/>
          <w:sz w:val="24"/>
        </w:rPr>
      </w:pPr>
      <w:r>
        <w:rPr>
          <w:rFonts w:ascii="Times New Roman;Times;Serif" w:hAnsi="Times New Roman;Times;Serif"/>
          <w:b/>
          <w:i/>
          <w:caps w:val="false"/>
          <w:smallCaps w:val="false"/>
          <w:sz w:val="24"/>
        </w:rPr>
        <w:t>What is the vote required for each proposal and how are abstentions and broker non-votes treated?</w:t>
      </w:r>
    </w:p>
    <w:p>
      <w:pPr>
        <w:pStyle w:val="TextBody"/>
        <w:bidi w:val="0"/>
        <w:spacing w:lineRule="auto" w:line="276"/>
        <w:jc w:val="left"/>
        <w:rPr>
          <w:caps w:val="false"/>
          <w:smallCaps w:val="false"/>
        </w:rPr>
      </w:pPr>
      <w:r>
        <w:rPr>
          <w:caps w:val="false"/>
          <w:smallCaps w:val="false"/>
        </w:rPr>
        <w:t> </w:t>
      </w:r>
    </w:p>
    <w:p>
      <w:pPr>
        <w:pStyle w:val="TextBody"/>
        <w:bidi w:val="0"/>
        <w:spacing w:lineRule="auto" w:line="276"/>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Proposal No. 1 </w:t>
      </w: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to elect one Class II director nominee to the Board to serve for a term of three years</w:t>
      </w:r>
      <w:r>
        <w:rPr>
          <w:rFonts w:ascii="Times New Roman;Times;Serif" w:hAnsi="Times New Roman;Times;Serif"/>
          <w:b w:val="false"/>
          <w:i w:val="false"/>
          <w:caps w:val="false"/>
          <w:smallCaps w:val="false"/>
          <w:sz w:val="20"/>
        </w:rPr>
        <w:t>): The director will be elected by a plurality of the votes cast by the holders of shares present in person or represented by proxy at the meeting and entitled to vote on the election of such directors at the 2026 Annual Meeting. The nominee receiving the affirmative vote of the holders of a plurality of the votes cast by the holders of shares present in person or represented by proxy at the meeting and entitled to vote will be elected as a director to serve until the 2029 Annual Meeting or until his successor has been appointed or elected and qualified or until his earlier death, resignation or removal. Abstentions and broker non-votes will have no effect on Proposal No. 1.</w:t>
      </w:r>
    </w:p>
    <w:p>
      <w:pPr>
        <w:pStyle w:val="TextBody"/>
        <w:bidi w:val="0"/>
        <w:spacing w:lineRule="auto" w:line="276"/>
        <w:jc w:val="both"/>
        <w:rPr>
          <w:caps w:val="false"/>
          <w:smallCaps w:val="false"/>
        </w:rPr>
      </w:pPr>
      <w:r>
        <w:rPr>
          <w:caps w:val="false"/>
          <w:smallCaps w:val="false"/>
        </w:rPr>
        <w:t> </w:t>
      </w:r>
    </w:p>
    <w:p>
      <w:pPr>
        <w:pStyle w:val="TextBody"/>
        <w:bidi w:val="0"/>
        <w:spacing w:lineRule="auto" w:line="276"/>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Proposal No. 2 </w:t>
      </w: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to ratify the appointment of Deloitte as the Company’s independent registered public accounting firm for Fiscal 2026</w:t>
      </w:r>
      <w:r>
        <w:rPr>
          <w:rFonts w:ascii="Times New Roman;Times;Serif" w:hAnsi="Times New Roman;Times;Serif"/>
          <w:b w:val="false"/>
          <w:i w:val="false"/>
          <w:caps w:val="false"/>
          <w:smallCaps w:val="false"/>
          <w:sz w:val="20"/>
        </w:rPr>
        <w:t>): Approval of Proposal No. 2 will require the affirmative vote of the holders of a majority of the votes cast in person or by proxy at the 2026 Annual Meeting. Abstentions and broker non-votes will have no effect on the proposal. Proposal No. 2 is considered a routine matter; therefore, no broker non-votes are expected in connection with Proposal No. 2.</w:t>
      </w:r>
    </w:p>
    <w:p>
      <w:pPr>
        <w:pStyle w:val="TextBody"/>
        <w:bidi w:val="0"/>
        <w:jc w:val="both"/>
        <w:rPr>
          <w:caps w:val="false"/>
          <w:smallCaps w:val="false"/>
        </w:rPr>
      </w:pPr>
      <w:r>
        <w:rPr>
          <w:caps w:val="false"/>
          <w:smallCaps w:val="false"/>
        </w:rPr>
        <w:t> </w:t>
      </w:r>
    </w:p>
    <w:p>
      <w:pPr>
        <w:pStyle w:val="TextBody"/>
        <w:bidi w:val="0"/>
        <w:spacing w:lineRule="auto" w:line="276"/>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Proposal No. 3 </w:t>
      </w: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Say-on-Pay Proposal</w:t>
      </w:r>
      <w:r>
        <w:rPr>
          <w:rFonts w:ascii="Times New Roman;Times;Serif" w:hAnsi="Times New Roman;Times;Serif"/>
          <w:b w:val="false"/>
          <w:i w:val="false"/>
          <w:caps w:val="false"/>
          <w:smallCaps w:val="false"/>
          <w:sz w:val="20"/>
        </w:rPr>
        <w:t>): The affirmative vote of the holders of a majority of the votes cast in person or by proxy at the 2026 Annual Meeting is required to approve, on an advisory basis, the compensation of our named executive officers (“NEOs”), as described in this Proxy Statement. Abstentions and broker non-votes will have no effect on the proposal. Although the advisory vote is non-binding, the Compensation Committee and our Board will review the voting results and take them into consideration when making future decisions regarding executive compensation.</w:t>
      </w:r>
    </w:p>
    <w:p>
      <w:pPr>
        <w:pStyle w:val="TextBody"/>
        <w:bidi w:val="0"/>
        <w:spacing w:lineRule="auto" w:line="276"/>
        <w:jc w:val="both"/>
        <w:rPr>
          <w:caps w:val="false"/>
          <w:smallCaps w:val="false"/>
        </w:rPr>
      </w:pPr>
      <w:r>
        <w:rPr>
          <w:caps w:val="false"/>
          <w:smallCaps w:val="false"/>
        </w:rPr>
        <w:t> </w:t>
      </w:r>
    </w:p>
    <w:p>
      <w:pPr>
        <w:pStyle w:val="TextBody"/>
        <w:bidi w:val="0"/>
        <w:spacing w:lineRule="auto" w:line="276"/>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Proposal No. 4 </w:t>
      </w: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Say-on-Pay Frequency Proposal</w:t>
      </w:r>
      <w:r>
        <w:rPr>
          <w:rFonts w:ascii="Times New Roman;Times;Serif" w:hAnsi="Times New Roman;Times;Serif"/>
          <w:b w:val="false"/>
          <w:i w:val="false"/>
          <w:caps w:val="false"/>
          <w:smallCaps w:val="false"/>
          <w:sz w:val="20"/>
        </w:rPr>
        <w:t>): The affirmative vote of the holders of a majority of the votes cast in person or by proxy at the 2026 Annual Meeting is required to approve, on an advisory basis, the frequency of future Say-on-Pay votes, as described in this Proxy Statement. However, if none of the frequency options—every year, every two years or every three years—receives the required majority vote, the option receiving the greatest number of votes will be considered the frequency preferred by the stockholders. Abstentions and broker non-votes will have no effect on the proposal. Although the advisory vote is non-binding, the Compensation Committee and our Board will review the voting results and take them into consideration as to how frequently we should conduct an advisory Say-on-Pay vote on the compensation of our NEOs.</w:t>
      </w:r>
    </w:p>
    <w:p>
      <w:pPr>
        <w:pStyle w:val="TextBody"/>
        <w:bidi w:val="0"/>
        <w:spacing w:lineRule="auto" w:line="276"/>
        <w:jc w:val="left"/>
        <w:rPr>
          <w:caps w:val="false"/>
          <w:smallCaps w:val="false"/>
        </w:rPr>
      </w:pPr>
      <w:r>
        <w:rPr>
          <w:caps w:val="false"/>
          <w:smallCaps w:val="false"/>
        </w:rPr>
        <w:t> </w:t>
      </w:r>
    </w:p>
    <w:p>
      <w:pPr>
        <w:pStyle w:val="TextBody"/>
        <w:bidi w:val="0"/>
        <w:spacing w:lineRule="auto" w:line="276"/>
        <w:jc w:val="left"/>
        <w:rPr>
          <w:rFonts w:ascii="Times New Roman;Times;Serif" w:hAnsi="Times New Roman;Times;Serif"/>
          <w:b/>
          <w:i/>
          <w:caps w:val="false"/>
          <w:smallCaps w:val="false"/>
          <w:sz w:val="24"/>
        </w:rPr>
      </w:pPr>
      <w:r>
        <w:rPr>
          <w:rFonts w:ascii="Times New Roman;Times;Serif" w:hAnsi="Times New Roman;Times;Serif"/>
          <w:b/>
          <w:i/>
          <w:caps w:val="false"/>
          <w:smallCaps w:val="false"/>
          <w:sz w:val="24"/>
        </w:rPr>
        <w:t>Who will serve as the inspector of election?</w:t>
      </w:r>
    </w:p>
    <w:p>
      <w:pPr>
        <w:pStyle w:val="TextBody"/>
        <w:bidi w:val="0"/>
        <w:spacing w:lineRule="auto" w:line="276"/>
        <w:jc w:val="left"/>
        <w:rPr>
          <w:caps w:val="false"/>
          <w:smallCaps w:val="false"/>
        </w:rPr>
      </w:pPr>
      <w:r>
        <w:rPr>
          <w:caps w:val="false"/>
          <w:smallCaps w:val="false"/>
        </w:rPr>
        <w:t> </w:t>
      </w:r>
    </w:p>
    <w:p>
      <w:pPr>
        <w:pStyle w:val="TextBody"/>
        <w:bidi w:val="0"/>
        <w:spacing w:lineRule="auto" w:line="27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representative from Broadridge will serve as the inspector of election.</w:t>
      </w:r>
    </w:p>
    <w:p>
      <w:pPr>
        <w:pStyle w:val="TextBody"/>
        <w:bidi w:val="0"/>
        <w:spacing w:lineRule="auto" w:line="276"/>
        <w:jc w:val="left"/>
        <w:rPr>
          <w:caps w:val="false"/>
          <w:smallCaps w:val="false"/>
        </w:rPr>
      </w:pPr>
      <w:r>
        <w:rPr>
          <w:caps w:val="false"/>
          <w:smallCaps w:val="false"/>
        </w:rPr>
        <w:t> </w:t>
      </w:r>
    </w:p>
    <w:p>
      <w:pPr>
        <w:pStyle w:val="TextBody"/>
        <w:bidi w:val="0"/>
        <w:spacing w:lineRule="auto" w:line="276"/>
        <w:jc w:val="left"/>
        <w:rPr>
          <w:rFonts w:ascii="Times New Roman;Times;Serif" w:hAnsi="Times New Roman;Times;Serif"/>
          <w:b/>
          <w:i/>
          <w:caps w:val="false"/>
          <w:smallCaps w:val="false"/>
          <w:sz w:val="24"/>
        </w:rPr>
      </w:pPr>
      <w:r>
        <w:rPr>
          <w:rFonts w:ascii="Times New Roman;Times;Serif" w:hAnsi="Times New Roman;Times;Serif"/>
          <w:b/>
          <w:i/>
          <w:caps w:val="false"/>
          <w:smallCaps w:val="false"/>
          <w:sz w:val="24"/>
        </w:rPr>
        <w:t>Where can I find the voting results of the 2026 Annual Meeting?</w:t>
      </w:r>
    </w:p>
    <w:p>
      <w:pPr>
        <w:pStyle w:val="TextBody"/>
        <w:bidi w:val="0"/>
        <w:spacing w:lineRule="auto" w:line="276"/>
        <w:jc w:val="left"/>
        <w:rPr>
          <w:caps w:val="false"/>
          <w:smallCaps w:val="false"/>
        </w:rPr>
      </w:pPr>
      <w:r>
        <w:rPr>
          <w:caps w:val="false"/>
          <w:smallCaps w:val="false"/>
        </w:rPr>
        <w:t> </w:t>
      </w:r>
    </w:p>
    <w:p>
      <w:pPr>
        <w:pStyle w:val="TextBody"/>
        <w:bidi w:val="0"/>
        <w:spacing w:lineRule="auto" w:line="27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preliminary voting results will be announced at the 2026 Annual Meeting. The final voting results will be tallied by the inspector of election and published in a Current Report on Form 8-K, which the Company is required to file with the SEC within four business days following the 2026 Annual Meeting.</w:t>
      </w:r>
    </w:p>
    <w:p>
      <w:pPr>
        <w:pStyle w:val="TextBody"/>
        <w:bidi w:val="0"/>
        <w:spacing w:lineRule="auto" w:line="276"/>
        <w:jc w:val="left"/>
        <w:rPr>
          <w:caps w:val="false"/>
          <w:smallCaps w:val="false"/>
        </w:rPr>
      </w:pPr>
      <w:r>
        <w:rPr>
          <w:caps w:val="false"/>
          <w:smallCaps w:val="false"/>
        </w:rPr>
        <w:t> </w:t>
      </w:r>
    </w:p>
    <w:p>
      <w:pPr>
        <w:pStyle w:val="TextBody"/>
        <w:bidi w:val="0"/>
        <w:spacing w:lineRule="auto" w:line="276"/>
        <w:jc w:val="left"/>
        <w:rPr>
          <w:rFonts w:ascii="Times New Roman;Times;Serif" w:hAnsi="Times New Roman;Times;Serif"/>
          <w:b/>
          <w:i/>
          <w:caps w:val="false"/>
          <w:smallCaps w:val="false"/>
          <w:sz w:val="24"/>
        </w:rPr>
      </w:pPr>
      <w:r>
        <w:rPr>
          <w:rFonts w:ascii="Times New Roman;Times;Serif" w:hAnsi="Times New Roman;Times;Serif"/>
          <w:b/>
          <w:i/>
          <w:caps w:val="false"/>
          <w:smallCaps w:val="false"/>
          <w:sz w:val="24"/>
        </w:rPr>
        <w:t>Who is paying for the cost of this proxy solicitation?</w:t>
      </w:r>
    </w:p>
    <w:p>
      <w:pPr>
        <w:pStyle w:val="TextBody"/>
        <w:bidi w:val="0"/>
        <w:spacing w:lineRule="auto" w:line="276"/>
        <w:jc w:val="left"/>
        <w:rPr>
          <w:caps w:val="false"/>
          <w:smallCaps w:val="false"/>
        </w:rPr>
      </w:pPr>
      <w:r>
        <w:rPr>
          <w:caps w:val="false"/>
          <w:smallCaps w:val="false"/>
        </w:rPr>
        <w:t> </w:t>
      </w:r>
    </w:p>
    <w:p>
      <w:pPr>
        <w:pStyle w:val="TextBody"/>
        <w:bidi w:val="0"/>
        <w:spacing w:lineRule="auto" w:line="276"/>
        <w:jc w:val="left"/>
        <w:rPr>
          <w:caps w:val="false"/>
          <w:smallCaps w:val="false"/>
        </w:rPr>
      </w:pPr>
      <w:r>
        <w:rPr>
          <w:caps w:val="false"/>
          <w:smallCaps w:val="false"/>
        </w:rPr>
        <w:t> </w:t>
      </w:r>
    </w:p>
    <w:tbl>
      <w:tblPr>
        <w:tblW w:w="470" w:type="dxa"/>
        <w:jc w:val="left"/>
        <w:tblInd w:w="0" w:type="dxa"/>
        <w:tblLayout w:type="fixed"/>
        <w:tblCellMar>
          <w:top w:w="0" w:type="dxa"/>
          <w:left w:w="0" w:type="dxa"/>
          <w:bottom w:w="0" w:type="dxa"/>
          <w:right w:w="0" w:type="dxa"/>
        </w:tblCellMar>
      </w:tblPr>
      <w:tblGrid>
        <w:gridCol w:w="105"/>
        <w:gridCol w:w="230"/>
        <w:gridCol w:w="135"/>
      </w:tblGrid>
      <w:tr>
        <w:trPr/>
        <w:tc>
          <w:tcPr>
            <w:tcW w:w="10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center"/>
              <w:rPr/>
            </w:pPr>
            <w:r>
              <w:rPr/>
              <w:t> </w:t>
            </w:r>
            <w:r>
              <w:rPr/>
              <w:t>5</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lineRule="auto" w:line="27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paying the costs of the solicitation of proxies. In addition to solicitation by mail, proxies may be solicited personally or by telephone, facsimile, email or other means by our directors, officers or regular employees on the Company’s behalf. These parties will not be paid any additional compensation for soliciting proxies. Upon request, we will also reimburse brokerage firms, banks, broker-dealers or other similar organizations and other custodians, nominees and fiduciaries for their reasonable out-of-pocket expenses for sending proxy and solicitation materials to beneficial owners of shares of our common stock.</w:t>
      </w:r>
    </w:p>
    <w:p>
      <w:pPr>
        <w:pStyle w:val="TextBody"/>
        <w:bidi w:val="0"/>
        <w:spacing w:lineRule="auto" w:line="276"/>
        <w:jc w:val="left"/>
        <w:rPr>
          <w:caps w:val="false"/>
          <w:smallCaps w:val="false"/>
        </w:rPr>
      </w:pPr>
      <w:r>
        <w:rPr>
          <w:caps w:val="false"/>
          <w:smallCaps w:val="false"/>
        </w:rPr>
        <w:t> </w:t>
      </w:r>
    </w:p>
    <w:p>
      <w:pPr>
        <w:pStyle w:val="TextBody"/>
        <w:bidi w:val="0"/>
        <w:spacing w:lineRule="auto" w:line="276"/>
        <w:jc w:val="left"/>
        <w:rPr>
          <w:rFonts w:ascii="Times New Roman;Times;Serif" w:hAnsi="Times New Roman;Times;Serif"/>
          <w:b/>
          <w:i/>
          <w:caps w:val="false"/>
          <w:smallCaps w:val="false"/>
          <w:sz w:val="24"/>
        </w:rPr>
      </w:pPr>
      <w:r>
        <w:rPr>
          <w:rFonts w:ascii="Times New Roman;Times;Serif" w:hAnsi="Times New Roman;Times;Serif"/>
          <w:b/>
          <w:i/>
          <w:caps w:val="false"/>
          <w:smallCaps w:val="false"/>
          <w:sz w:val="24"/>
        </w:rPr>
        <w:t>What is householding?</w:t>
      </w:r>
    </w:p>
    <w:p>
      <w:pPr>
        <w:pStyle w:val="TextBody"/>
        <w:bidi w:val="0"/>
        <w:spacing w:lineRule="auto" w:line="276"/>
        <w:jc w:val="left"/>
        <w:rPr>
          <w:caps w:val="false"/>
          <w:smallCaps w:val="false"/>
        </w:rPr>
      </w:pPr>
      <w:r>
        <w:rPr>
          <w:caps w:val="false"/>
          <w:smallCaps w:val="false"/>
        </w:rPr>
        <w:t> </w:t>
      </w:r>
    </w:p>
    <w:p>
      <w:pPr>
        <w:pStyle w:val="TextBody"/>
        <w:bidi w:val="0"/>
        <w:spacing w:lineRule="auto" w:line="27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 rules allow us to deliver a single Notice to one physical address shared by two or more of our stockholders. This delivery method is referred to as “householding” and can result in significant cost savings. To take advantage of this opportunity, we will deliver only one Notice to multiple stockholders who share an address, unless we have received different instructions from the affected stockholders prior to the mailing date. We agree to deliver promptly, upon written or oral request, a separate Notice, as requested, to any stockholder at the shared address to which a single copy was delivered. If you prefer to receive a separate copy of the Notice, contact: Microvast Holdings, Inc., 2929 Briarpark Drive, Suite 400, Houston, Texas 77042, Attention: General Counsel, Telephone: (281) 491-9505.</w:t>
      </w:r>
    </w:p>
    <w:p>
      <w:pPr>
        <w:pStyle w:val="TextBody"/>
        <w:bidi w:val="0"/>
        <w:spacing w:lineRule="auto" w:line="276"/>
        <w:jc w:val="left"/>
        <w:rPr>
          <w:caps w:val="false"/>
          <w:smallCaps w:val="false"/>
        </w:rPr>
      </w:pPr>
      <w:r>
        <w:rPr>
          <w:caps w:val="false"/>
          <w:smallCaps w:val="false"/>
        </w:rPr>
        <w:t> </w:t>
      </w:r>
    </w:p>
    <w:p>
      <w:pPr>
        <w:pStyle w:val="TextBody"/>
        <w:bidi w:val="0"/>
        <w:spacing w:lineRule="auto" w:line="276"/>
        <w:jc w:val="left"/>
        <w:rPr>
          <w:rFonts w:ascii="Times New Roman;Times;Serif" w:hAnsi="Times New Roman;Times;Serif"/>
          <w:b/>
          <w:i/>
          <w:caps w:val="false"/>
          <w:smallCaps w:val="false"/>
          <w:sz w:val="24"/>
        </w:rPr>
      </w:pPr>
      <w:r>
        <w:rPr>
          <w:rFonts w:ascii="Times New Roman;Times;Serif" w:hAnsi="Times New Roman;Times;Serif"/>
          <w:b/>
          <w:i/>
          <w:caps w:val="false"/>
          <w:smallCaps w:val="false"/>
          <w:sz w:val="24"/>
        </w:rPr>
        <w:t>Whom should I call with other questions?</w:t>
      </w:r>
    </w:p>
    <w:p>
      <w:pPr>
        <w:pStyle w:val="TextBody"/>
        <w:bidi w:val="0"/>
        <w:spacing w:lineRule="auto" w:line="276"/>
        <w:jc w:val="left"/>
        <w:rPr>
          <w:caps w:val="false"/>
          <w:smallCaps w:val="false"/>
        </w:rPr>
      </w:pPr>
      <w:r>
        <w:rPr>
          <w:caps w:val="false"/>
          <w:smallCaps w:val="false"/>
        </w:rPr>
        <w:t> </w:t>
      </w:r>
    </w:p>
    <w:p>
      <w:pPr>
        <w:pStyle w:val="TextBody"/>
        <w:bidi w:val="0"/>
        <w:spacing w:lineRule="auto" w:line="27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have additional questions about these proxy materials or the 2026 Annual Meeting, please contact: Microvast Holdings, Inc., 2929 Briarpark Drive, Suite 400, Houston, Texas 77042, Attention: General Counsel, Telephone: (281) 491-9505.</w:t>
      </w:r>
    </w:p>
    <w:p>
      <w:pPr>
        <w:pStyle w:val="TextBody"/>
        <w:bidi w:val="0"/>
        <w:spacing w:lineRule="auto" w:line="276"/>
        <w:jc w:val="both"/>
        <w:rPr>
          <w:caps w:val="false"/>
          <w:smallCaps w:val="false"/>
        </w:rPr>
      </w:pPr>
      <w:r>
        <w:rPr>
          <w:caps w:val="false"/>
          <w:smallCaps w:val="false"/>
        </w:rPr>
        <w:t> </w:t>
      </w:r>
    </w:p>
    <w:p>
      <w:pPr>
        <w:pStyle w:val="TextBody"/>
        <w:bidi w:val="0"/>
        <w:spacing w:lineRule="auto" w:line="276"/>
        <w:jc w:val="both"/>
        <w:rPr>
          <w:caps w:val="false"/>
          <w:smallCaps w:val="false"/>
        </w:rPr>
      </w:pPr>
      <w:r>
        <w:rPr>
          <w:caps w:val="false"/>
          <w:smallCaps w:val="false"/>
        </w:rPr>
        <w:t> </w:t>
      </w:r>
    </w:p>
    <w:p>
      <w:pPr>
        <w:pStyle w:val="TextBody"/>
        <w:bidi w:val="0"/>
        <w:spacing w:lineRule="auto" w:line="276"/>
        <w:jc w:val="both"/>
        <w:rPr>
          <w:caps w:val="false"/>
          <w:smallCaps w:val="false"/>
        </w:rPr>
      </w:pPr>
      <w:r>
        <w:rPr>
          <w:caps w:val="false"/>
          <w:smallCaps w:val="false"/>
        </w:rPr>
        <w:t> </w:t>
      </w:r>
    </w:p>
    <w:p>
      <w:pPr>
        <w:pStyle w:val="TextBody"/>
        <w:bidi w:val="0"/>
        <w:spacing w:lineRule="auto" w:line="276"/>
        <w:jc w:val="both"/>
        <w:rPr>
          <w:caps w:val="false"/>
          <w:smallCaps w:val="false"/>
        </w:rPr>
      </w:pPr>
      <w:r>
        <w:rPr>
          <w:caps w:val="false"/>
          <w:smallCaps w:val="false"/>
        </w:rPr>
        <w:t> </w:t>
      </w:r>
    </w:p>
    <w:p>
      <w:pPr>
        <w:pStyle w:val="TextBody"/>
        <w:bidi w:val="0"/>
        <w:spacing w:lineRule="auto" w:line="276"/>
        <w:jc w:val="both"/>
        <w:rPr>
          <w:caps w:val="false"/>
          <w:smallCaps w:val="false"/>
        </w:rPr>
      </w:pPr>
      <w:r>
        <w:rPr>
          <w:caps w:val="false"/>
          <w:smallCaps w:val="false"/>
        </w:rPr>
        <w:t> </w:t>
      </w:r>
    </w:p>
    <w:p>
      <w:pPr>
        <w:pStyle w:val="TextBody"/>
        <w:bidi w:val="0"/>
        <w:spacing w:lineRule="auto" w:line="276"/>
        <w:jc w:val="both"/>
        <w:rPr>
          <w:caps w:val="false"/>
          <w:smallCaps w:val="false"/>
        </w:rPr>
      </w:pPr>
      <w:r>
        <w:rPr>
          <w:caps w:val="false"/>
          <w:smallCaps w:val="false"/>
        </w:rPr>
        <w:t> </w:t>
      </w:r>
    </w:p>
    <w:p>
      <w:pPr>
        <w:pStyle w:val="TextBody"/>
        <w:bidi w:val="0"/>
        <w:spacing w:lineRule="auto" w:line="276"/>
        <w:jc w:val="both"/>
        <w:rPr>
          <w:caps w:val="false"/>
          <w:smallCaps w:val="false"/>
        </w:rPr>
      </w:pPr>
      <w:r>
        <w:rPr>
          <w:caps w:val="false"/>
          <w:smallCaps w:val="false"/>
        </w:rPr>
        <w:t> </w:t>
      </w:r>
    </w:p>
    <w:p>
      <w:pPr>
        <w:pStyle w:val="TextBody"/>
        <w:bidi w:val="0"/>
        <w:spacing w:lineRule="auto" w:line="276"/>
        <w:jc w:val="both"/>
        <w:rPr>
          <w:caps w:val="false"/>
          <w:smallCaps w:val="false"/>
        </w:rPr>
      </w:pPr>
      <w:r>
        <w:rPr>
          <w:caps w:val="false"/>
          <w:smallCaps w:val="false"/>
        </w:rPr>
        <w:t> </w:t>
      </w:r>
    </w:p>
    <w:p>
      <w:pPr>
        <w:pStyle w:val="TextBody"/>
        <w:bidi w:val="0"/>
        <w:spacing w:lineRule="auto" w:line="276"/>
        <w:jc w:val="both"/>
        <w:rPr>
          <w:caps w:val="false"/>
          <w:smallCaps w:val="false"/>
        </w:rPr>
      </w:pPr>
      <w:r>
        <w:rPr>
          <w:caps w:val="false"/>
          <w:smallCaps w:val="false"/>
        </w:rPr>
        <w:t> </w:t>
      </w:r>
    </w:p>
    <w:p>
      <w:pPr>
        <w:pStyle w:val="TextBody"/>
        <w:bidi w:val="0"/>
        <w:spacing w:lineRule="auto" w:line="276"/>
        <w:jc w:val="both"/>
        <w:rPr>
          <w:caps w:val="false"/>
          <w:smallCaps w:val="false"/>
        </w:rPr>
      </w:pPr>
      <w:r>
        <w:rPr>
          <w:caps w:val="false"/>
          <w:smallCaps w:val="false"/>
        </w:rPr>
        <w:t> </w:t>
      </w:r>
    </w:p>
    <w:p>
      <w:pPr>
        <w:pStyle w:val="TextBody"/>
        <w:bidi w:val="0"/>
        <w:spacing w:lineRule="auto" w:line="276"/>
        <w:jc w:val="both"/>
        <w:rPr>
          <w:caps w:val="false"/>
          <w:smallCaps w:val="false"/>
        </w:rPr>
      </w:pPr>
      <w:r>
        <w:rPr>
          <w:caps w:val="false"/>
          <w:smallCaps w:val="false"/>
        </w:rPr>
        <w:t> </w:t>
      </w:r>
    </w:p>
    <w:p>
      <w:pPr>
        <w:pStyle w:val="TextBody"/>
        <w:bidi w:val="0"/>
        <w:spacing w:lineRule="auto" w:line="276"/>
        <w:jc w:val="both"/>
        <w:rPr>
          <w:caps w:val="false"/>
          <w:smallCaps w:val="false"/>
        </w:rPr>
      </w:pPr>
      <w:r>
        <w:rPr>
          <w:caps w:val="false"/>
          <w:smallCaps w:val="false"/>
        </w:rPr>
        <w:t> </w:t>
      </w:r>
    </w:p>
    <w:p>
      <w:pPr>
        <w:pStyle w:val="TextBody"/>
        <w:bidi w:val="0"/>
        <w:spacing w:lineRule="auto" w:line="276"/>
        <w:jc w:val="both"/>
        <w:rPr>
          <w:caps w:val="false"/>
          <w:smallCaps w:val="false"/>
        </w:rPr>
      </w:pPr>
      <w:r>
        <w:rPr>
          <w:caps w:val="false"/>
          <w:smallCaps w:val="false"/>
        </w:rPr>
        <w:t> </w:t>
      </w:r>
    </w:p>
    <w:p>
      <w:pPr>
        <w:pStyle w:val="TextBody"/>
        <w:bidi w:val="0"/>
        <w:spacing w:lineRule="auto" w:line="276"/>
        <w:jc w:val="both"/>
        <w:rPr>
          <w:caps w:val="false"/>
          <w:smallCaps w:val="false"/>
        </w:rPr>
      </w:pPr>
      <w:r>
        <w:rPr>
          <w:caps w:val="false"/>
          <w:smallCaps w:val="false"/>
        </w:rPr>
        <w:t> </w:t>
      </w:r>
    </w:p>
    <w:p>
      <w:pPr>
        <w:pStyle w:val="TextBody"/>
        <w:bidi w:val="0"/>
        <w:spacing w:lineRule="auto" w:line="276"/>
        <w:jc w:val="both"/>
        <w:rPr>
          <w:caps w:val="false"/>
          <w:smallCaps w:val="false"/>
        </w:rPr>
      </w:pPr>
      <w:r>
        <w:rPr>
          <w:caps w:val="false"/>
          <w:smallCaps w:val="false"/>
        </w:rPr>
        <w:t> </w:t>
      </w:r>
    </w:p>
    <w:p>
      <w:pPr>
        <w:pStyle w:val="TextBody"/>
        <w:bidi w:val="0"/>
        <w:spacing w:lineRule="auto" w:line="276"/>
        <w:jc w:val="both"/>
        <w:rPr>
          <w:caps w:val="false"/>
          <w:smallCaps w:val="false"/>
        </w:rPr>
      </w:pPr>
      <w:r>
        <w:rPr>
          <w:caps w:val="false"/>
          <w:smallCaps w:val="false"/>
        </w:rPr>
        <w:t> </w:t>
      </w:r>
    </w:p>
    <w:p>
      <w:pPr>
        <w:pStyle w:val="TextBody"/>
        <w:bidi w:val="0"/>
        <w:spacing w:lineRule="auto" w:line="276"/>
        <w:jc w:val="both"/>
        <w:rPr>
          <w:caps w:val="false"/>
          <w:smallCaps w:val="false"/>
        </w:rPr>
      </w:pPr>
      <w:r>
        <w:rPr>
          <w:caps w:val="false"/>
          <w:smallCaps w:val="false"/>
        </w:rPr>
        <w:t> </w:t>
      </w:r>
    </w:p>
    <w:p>
      <w:pPr>
        <w:pStyle w:val="TextBody"/>
        <w:bidi w:val="0"/>
        <w:spacing w:lineRule="auto" w:line="276"/>
        <w:jc w:val="both"/>
        <w:rPr>
          <w:caps w:val="false"/>
          <w:smallCaps w:val="false"/>
        </w:rPr>
      </w:pPr>
      <w:r>
        <w:rPr>
          <w:caps w:val="false"/>
          <w:smallCaps w:val="false"/>
        </w:rPr>
        <w:t> </w:t>
      </w:r>
    </w:p>
    <w:p>
      <w:pPr>
        <w:pStyle w:val="TextBody"/>
        <w:bidi w:val="0"/>
        <w:spacing w:lineRule="auto" w:line="276"/>
        <w:jc w:val="both"/>
        <w:rPr>
          <w:caps w:val="false"/>
          <w:smallCaps w:val="false"/>
        </w:rPr>
      </w:pPr>
      <w:r>
        <w:rPr>
          <w:caps w:val="false"/>
          <w:smallCaps w:val="false"/>
        </w:rPr>
        <w:t> </w:t>
      </w:r>
    </w:p>
    <w:p>
      <w:pPr>
        <w:pStyle w:val="TextBody"/>
        <w:bidi w:val="0"/>
        <w:spacing w:lineRule="auto" w:line="276"/>
        <w:jc w:val="both"/>
        <w:rPr>
          <w:caps w:val="false"/>
          <w:smallCaps w:val="false"/>
        </w:rPr>
      </w:pPr>
      <w:r>
        <w:rPr>
          <w:caps w:val="false"/>
          <w:smallCaps w:val="false"/>
        </w:rPr>
        <w:t> </w:t>
      </w:r>
    </w:p>
    <w:tbl>
      <w:tblPr>
        <w:tblW w:w="470" w:type="dxa"/>
        <w:jc w:val="left"/>
        <w:tblInd w:w="0" w:type="dxa"/>
        <w:tblLayout w:type="fixed"/>
        <w:tblCellMar>
          <w:top w:w="0" w:type="dxa"/>
          <w:left w:w="0" w:type="dxa"/>
          <w:bottom w:w="0" w:type="dxa"/>
          <w:right w:w="0" w:type="dxa"/>
        </w:tblCellMar>
      </w:tblPr>
      <w:tblGrid>
        <w:gridCol w:w="105"/>
        <w:gridCol w:w="230"/>
        <w:gridCol w:w="135"/>
      </w:tblGrid>
      <w:tr>
        <w:trPr/>
        <w:tc>
          <w:tcPr>
            <w:tcW w:w="10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center"/>
              <w:rPr/>
            </w:pPr>
            <w:r>
              <w:rPr/>
              <w:t> </w:t>
            </w:r>
            <w:r>
              <w:rPr/>
              <w:t>6</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lineRule="auto" w:line="333"/>
        <w:jc w:val="left"/>
        <w:rPr>
          <w:rFonts w:ascii="Times New Roman;Times;Serif" w:hAnsi="Times New Roman;Times;Serif"/>
          <w:b/>
          <w:i w:val="false"/>
          <w:caps w:val="false"/>
          <w:smallCaps w:val="false"/>
          <w:sz w:val="32"/>
        </w:rPr>
      </w:pPr>
      <w:bookmarkStart w:id="5" w:name="proposals"/>
      <w:bookmarkEnd w:id="5"/>
      <w:r>
        <w:rPr>
          <w:rFonts w:ascii="Times New Roman;Times;Serif" w:hAnsi="Times New Roman;Times;Serif"/>
          <w:b/>
          <w:i w:val="false"/>
          <w:caps w:val="false"/>
          <w:smallCaps w:val="false"/>
          <w:sz w:val="32"/>
        </w:rPr>
        <w:t>PROPOSALS</w:t>
      </w:r>
    </w:p>
    <w:p>
      <w:pPr>
        <w:pStyle w:val="TextBody"/>
        <w:bidi w:val="0"/>
        <w:spacing w:lineRule="auto" w:line="316"/>
        <w:jc w:val="left"/>
        <w:rPr>
          <w:caps w:val="false"/>
          <w:smallCaps w:val="false"/>
        </w:rPr>
      </w:pPr>
      <w:r>
        <w:rPr>
          <w:caps w:val="false"/>
          <w:smallCaps w:val="false"/>
        </w:rPr>
        <w:t> </w:t>
      </w:r>
    </w:p>
    <w:p>
      <w:pPr>
        <w:pStyle w:val="TextBody"/>
        <w:bidi w:val="0"/>
        <w:spacing w:lineRule="auto" w:line="276"/>
        <w:jc w:val="left"/>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Proposal No. 1: Election of Directors</w:t>
      </w:r>
    </w:p>
    <w:p>
      <w:pPr>
        <w:pStyle w:val="TextBody"/>
        <w:bidi w:val="0"/>
        <w:spacing w:lineRule="auto" w:line="276"/>
        <w:jc w:val="left"/>
        <w:rPr>
          <w:caps w:val="false"/>
          <w:smallCaps w:val="false"/>
        </w:rPr>
      </w:pPr>
      <w:r>
        <w:rPr>
          <w:caps w:val="false"/>
          <w:smallCaps w:val="false"/>
        </w:rPr>
        <w:t> </w:t>
      </w:r>
    </w:p>
    <w:p>
      <w:pPr>
        <w:pStyle w:val="TextBody"/>
        <w:bidi w:val="0"/>
        <w:spacing w:lineRule="auto" w:line="276"/>
        <w:jc w:val="left"/>
        <w:rPr>
          <w:rFonts w:ascii="Times New Roman;Times;Serif" w:hAnsi="Times New Roman;Times;Serif"/>
          <w:b/>
          <w:i/>
          <w:caps w:val="false"/>
          <w:smallCaps w:val="false"/>
          <w:sz w:val="24"/>
        </w:rPr>
      </w:pPr>
      <w:r>
        <w:rPr>
          <w:rFonts w:ascii="Times New Roman;Times;Serif" w:hAnsi="Times New Roman;Times;Serif"/>
          <w:b/>
          <w:i/>
          <w:caps w:val="false"/>
          <w:smallCaps w:val="false"/>
          <w:sz w:val="24"/>
        </w:rPr>
        <w:t>General</w:t>
      </w:r>
    </w:p>
    <w:p>
      <w:pPr>
        <w:pStyle w:val="TextBody"/>
        <w:bidi w:val="0"/>
        <w:spacing w:lineRule="auto" w:line="276"/>
        <w:jc w:val="left"/>
        <w:rPr>
          <w:caps w:val="false"/>
          <w:smallCaps w:val="false"/>
        </w:rPr>
      </w:pPr>
      <w:r>
        <w:rPr>
          <w:caps w:val="false"/>
          <w:smallCaps w:val="false"/>
        </w:rPr>
        <w:t> </w:t>
      </w:r>
    </w:p>
    <w:p>
      <w:pPr>
        <w:pStyle w:val="TextBody"/>
        <w:bidi w:val="0"/>
        <w:spacing w:lineRule="auto" w:line="27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currently consists of five directors divided into three classes designated as Class I, Class II and Class III with staggered three-year terms, as set forth in the table below.</w:t>
      </w:r>
    </w:p>
    <w:p>
      <w:pPr>
        <w:pStyle w:val="TextBody"/>
        <w:bidi w:val="0"/>
        <w:spacing w:lineRule="auto" w:line="316"/>
        <w:jc w:val="both"/>
        <w:rPr>
          <w:caps w:val="false"/>
          <w:smallCaps w:val="false"/>
        </w:rPr>
      </w:pPr>
      <w:r>
        <w:rPr>
          <w:caps w:val="false"/>
          <w:smallCaps w:val="false"/>
        </w:rPr>
        <w:t> </w:t>
      </w:r>
    </w:p>
    <w:p>
      <w:pPr>
        <w:pStyle w:val="TextBody"/>
        <w:bidi w:val="0"/>
        <w:spacing w:lineRule="auto" w:line="316"/>
        <w:jc w:val="both"/>
        <w:rPr>
          <w:caps w:val="false"/>
          <w:smallCaps w:val="false"/>
        </w:rPr>
      </w:pPr>
      <w:r>
        <w:rPr>
          <w:caps w:val="false"/>
          <w:smallCaps w:val="false"/>
        </w:rPr>
        <w:t> </w:t>
      </w:r>
    </w:p>
    <w:tbl>
      <w:tblPr>
        <w:tblW w:w="6673" w:type="dxa"/>
        <w:jc w:val="left"/>
        <w:tblInd w:w="0" w:type="dxa"/>
        <w:tblLayout w:type="fixed"/>
        <w:tblCellMar>
          <w:top w:w="0" w:type="dxa"/>
          <w:left w:w="0" w:type="dxa"/>
          <w:bottom w:w="28" w:type="dxa"/>
          <w:right w:w="0" w:type="dxa"/>
        </w:tblCellMar>
      </w:tblPr>
      <w:tblGrid>
        <w:gridCol w:w="725"/>
        <w:gridCol w:w="90"/>
        <w:gridCol w:w="1850"/>
        <w:gridCol w:w="90"/>
        <w:gridCol w:w="1048"/>
        <w:gridCol w:w="90"/>
        <w:gridCol w:w="2780"/>
      </w:tblGrid>
      <w:tr>
        <w:trPr/>
        <w:tc>
          <w:tcPr>
            <w:tcW w:w="725" w:type="dxa"/>
            <w:tcBorders>
              <w:bottom w:val="single" w:sz="8" w:space="0" w:color="000000"/>
            </w:tcBorders>
            <w:vAlign w:val="center"/>
          </w:tcPr>
          <w:p>
            <w:pPr>
              <w:pStyle w:val="TableContents"/>
              <w:bidi w:val="0"/>
              <w:spacing w:before="0" w:after="283"/>
              <w:jc w:val="left"/>
              <w:rPr>
                <w:b/>
                <w:sz w:val="20"/>
              </w:rPr>
            </w:pPr>
            <w:r>
              <w:rPr>
                <w:b/>
                <w:sz w:val="20"/>
              </w:rPr>
              <w:t>Class</w:t>
            </w:r>
          </w:p>
        </w:tc>
        <w:tc>
          <w:tcPr>
            <w:tcW w:w="90" w:type="dxa"/>
            <w:tcBorders/>
            <w:tcMar>
              <w:bottom w:w="0" w:type="dxa"/>
            </w:tcMar>
            <w:vAlign w:val="center"/>
          </w:tcPr>
          <w:p>
            <w:pPr>
              <w:pStyle w:val="TableContents"/>
              <w:bidi w:val="0"/>
              <w:spacing w:before="0" w:after="283"/>
              <w:jc w:val="left"/>
              <w:rPr/>
            </w:pPr>
            <w:r>
              <w:rPr/>
              <w:t> </w:t>
            </w:r>
          </w:p>
        </w:tc>
        <w:tc>
          <w:tcPr>
            <w:tcW w:w="1850" w:type="dxa"/>
            <w:tcBorders>
              <w:bottom w:val="single" w:sz="8" w:space="0" w:color="000000"/>
            </w:tcBorders>
            <w:vAlign w:val="center"/>
          </w:tcPr>
          <w:p>
            <w:pPr>
              <w:pStyle w:val="TableContents"/>
              <w:bidi w:val="0"/>
              <w:spacing w:lineRule="auto" w:line="333" w:before="53" w:after="53"/>
              <w:ind w:left="53" w:right="53"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Term</w:t>
            </w:r>
          </w:p>
          <w:p>
            <w:pPr>
              <w:pStyle w:val="TableContents"/>
              <w:bidi w:val="0"/>
              <w:spacing w:lineRule="auto" w:line="333" w:before="0" w:after="3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Expiring</w:t>
            </w:r>
          </w:p>
        </w:tc>
        <w:tc>
          <w:tcPr>
            <w:tcW w:w="90" w:type="dxa"/>
            <w:tcBorders/>
            <w:tcMar>
              <w:bottom w:w="0" w:type="dxa"/>
            </w:tcMar>
            <w:vAlign w:val="center"/>
          </w:tcPr>
          <w:p>
            <w:pPr>
              <w:pStyle w:val="TableContents"/>
              <w:bidi w:val="0"/>
              <w:spacing w:before="0" w:after="283"/>
              <w:jc w:val="left"/>
              <w:rPr/>
            </w:pPr>
            <w:r>
              <w:rPr/>
              <w:t> </w:t>
            </w:r>
          </w:p>
        </w:tc>
        <w:tc>
          <w:tcPr>
            <w:tcW w:w="1048" w:type="dxa"/>
            <w:tcBorders>
              <w:bottom w:val="single" w:sz="8" w:space="0" w:color="000000"/>
            </w:tcBorders>
            <w:vAlign w:val="center"/>
          </w:tcPr>
          <w:p>
            <w:pPr>
              <w:pStyle w:val="TableContents"/>
              <w:bidi w:val="0"/>
              <w:spacing w:lineRule="auto" w:line="333" w:before="53" w:after="53"/>
              <w:ind w:left="53" w:right="53"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Directors</w:t>
            </w:r>
          </w:p>
          <w:p>
            <w:pPr>
              <w:pStyle w:val="TableContents"/>
              <w:bidi w:val="0"/>
              <w:spacing w:lineRule="auto" w:line="333" w:before="0" w:after="3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Class</w:t>
            </w:r>
          </w:p>
        </w:tc>
        <w:tc>
          <w:tcPr>
            <w:tcW w:w="90" w:type="dxa"/>
            <w:tcBorders/>
            <w:tcMar>
              <w:bottom w:w="0" w:type="dxa"/>
            </w:tcMar>
            <w:vAlign w:val="center"/>
          </w:tcPr>
          <w:p>
            <w:pPr>
              <w:pStyle w:val="TableContents"/>
              <w:bidi w:val="0"/>
              <w:spacing w:before="0" w:after="283"/>
              <w:jc w:val="left"/>
              <w:rPr/>
            </w:pPr>
            <w:r>
              <w:rPr/>
              <w:t> </w:t>
            </w:r>
          </w:p>
        </w:tc>
        <w:tc>
          <w:tcPr>
            <w:tcW w:w="2780" w:type="dxa"/>
            <w:tcBorders>
              <w:bottom w:val="single" w:sz="8" w:space="0" w:color="000000"/>
            </w:tcBorders>
            <w:vAlign w:val="center"/>
          </w:tcPr>
          <w:p>
            <w:pPr>
              <w:pStyle w:val="TableContents"/>
              <w:bidi w:val="0"/>
              <w:spacing w:before="0" w:after="283"/>
              <w:jc w:val="left"/>
              <w:rPr>
                <w:b/>
                <w:sz w:val="20"/>
              </w:rPr>
            </w:pPr>
            <w:r>
              <w:rPr>
                <w:b/>
                <w:sz w:val="20"/>
              </w:rPr>
              <w:t>Director(s)</w:t>
            </w:r>
          </w:p>
        </w:tc>
      </w:tr>
      <w:tr>
        <w:trPr/>
        <w:tc>
          <w:tcPr>
            <w:tcW w:w="725" w:type="dxa"/>
            <w:tcBorders/>
            <w:shd w:fill="CCEEFF" w:val="clear"/>
            <w:tcMar>
              <w:bottom w:w="0" w:type="dxa"/>
            </w:tcMar>
            <w:vAlign w:val="center"/>
          </w:tcPr>
          <w:p>
            <w:pPr>
              <w:pStyle w:val="TableContents"/>
              <w:bidi w:val="0"/>
              <w:spacing w:before="0" w:after="283"/>
              <w:jc w:val="left"/>
              <w:rPr>
                <w:sz w:val="20"/>
              </w:rPr>
            </w:pPr>
            <w:r>
              <w:rPr>
                <w:sz w:val="20"/>
              </w:rPr>
              <w:t>Class I</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50" w:type="dxa"/>
            <w:tcBorders/>
            <w:shd w:fill="CCEEFF" w:val="clear"/>
            <w:tcMar>
              <w:bottom w:w="0" w:type="dxa"/>
            </w:tcMar>
            <w:vAlign w:val="center"/>
          </w:tcPr>
          <w:p>
            <w:pPr>
              <w:pStyle w:val="TableContents"/>
              <w:bidi w:val="0"/>
              <w:spacing w:before="0" w:after="283"/>
              <w:jc w:val="center"/>
              <w:rPr>
                <w:sz w:val="20"/>
              </w:rPr>
            </w:pPr>
            <w:r>
              <w:rPr>
                <w:sz w:val="20"/>
              </w:rPr>
              <w:t>2028 Annual Meeting</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48" w:type="dxa"/>
            <w:tcBorders/>
            <w:shd w:fill="CCEEFF" w:val="clear"/>
            <w:tcMar>
              <w:bottom w:w="0" w:type="dxa"/>
            </w:tcMar>
            <w:vAlign w:val="center"/>
          </w:tcPr>
          <w:p>
            <w:pPr>
              <w:pStyle w:val="TableContents"/>
              <w:bidi w:val="0"/>
              <w:spacing w:before="0" w:after="283"/>
              <w:jc w:val="center"/>
              <w:rPr>
                <w:sz w:val="20"/>
              </w:rPr>
            </w:pPr>
            <w:r>
              <w:rPr>
                <w:sz w:val="20"/>
              </w:rPr>
              <w:t>one</w:t>
            </w:r>
          </w:p>
        </w:tc>
        <w:tc>
          <w:tcPr>
            <w:tcW w:w="90" w:type="dxa"/>
            <w:tcBorders/>
            <w:shd w:fill="CCEEFF" w:val="clear"/>
            <w:tcMar>
              <w:bottom w:w="0" w:type="dxa"/>
            </w:tcMar>
            <w:vAlign w:val="center"/>
          </w:tcPr>
          <w:p>
            <w:pPr>
              <w:pStyle w:val="TableContents"/>
              <w:bidi w:val="0"/>
              <w:spacing w:before="0" w:after="283"/>
              <w:jc w:val="left"/>
              <w:rPr/>
            </w:pPr>
            <w:r>
              <w:rPr/>
              <w:t> </w:t>
            </w:r>
          </w:p>
        </w:tc>
        <w:tc>
          <w:tcPr>
            <w:tcW w:w="2780" w:type="dxa"/>
            <w:tcBorders/>
            <w:shd w:fill="CCEEFF" w:val="clear"/>
            <w:tcMar>
              <w:bottom w:w="0" w:type="dxa"/>
            </w:tcMar>
            <w:vAlign w:val="center"/>
          </w:tcPr>
          <w:p>
            <w:pPr>
              <w:pStyle w:val="TableContents"/>
              <w:bidi w:val="0"/>
              <w:spacing w:before="0" w:after="283"/>
              <w:jc w:val="left"/>
              <w:rPr>
                <w:sz w:val="20"/>
              </w:rPr>
            </w:pPr>
            <w:r>
              <w:rPr>
                <w:sz w:val="20"/>
              </w:rPr>
              <w:t>Wei Ying</w:t>
            </w:r>
          </w:p>
        </w:tc>
      </w:tr>
      <w:tr>
        <w:trPr/>
        <w:tc>
          <w:tcPr>
            <w:tcW w:w="725" w:type="dxa"/>
            <w:tcBorders/>
            <w:shd w:fill="FFFFFF" w:val="clear"/>
            <w:tcMar>
              <w:bottom w:w="0" w:type="dxa"/>
            </w:tcMar>
            <w:vAlign w:val="center"/>
          </w:tcPr>
          <w:p>
            <w:pPr>
              <w:pStyle w:val="TableContents"/>
              <w:bidi w:val="0"/>
              <w:spacing w:before="0" w:after="283"/>
              <w:jc w:val="left"/>
              <w:rPr>
                <w:sz w:val="20"/>
              </w:rPr>
            </w:pPr>
            <w:r>
              <w:rPr>
                <w:sz w:val="20"/>
              </w:rPr>
              <w:t>Class II</w:t>
            </w:r>
          </w:p>
        </w:tc>
        <w:tc>
          <w:tcPr>
            <w:tcW w:w="90" w:type="dxa"/>
            <w:tcBorders/>
            <w:shd w:fill="FFFFFF" w:val="clear"/>
            <w:tcMar>
              <w:bottom w:w="0" w:type="dxa"/>
            </w:tcMar>
            <w:vAlign w:val="center"/>
          </w:tcPr>
          <w:p>
            <w:pPr>
              <w:pStyle w:val="TableContents"/>
              <w:bidi w:val="0"/>
              <w:spacing w:before="0" w:after="283"/>
              <w:jc w:val="left"/>
              <w:rPr/>
            </w:pPr>
            <w:r>
              <w:rPr/>
              <w:t> </w:t>
            </w:r>
          </w:p>
        </w:tc>
        <w:tc>
          <w:tcPr>
            <w:tcW w:w="1850" w:type="dxa"/>
            <w:tcBorders/>
            <w:shd w:fill="FFFFFF" w:val="clear"/>
            <w:tcMar>
              <w:bottom w:w="0" w:type="dxa"/>
            </w:tcMar>
            <w:vAlign w:val="center"/>
          </w:tcPr>
          <w:p>
            <w:pPr>
              <w:pStyle w:val="TableContents"/>
              <w:bidi w:val="0"/>
              <w:spacing w:before="0" w:after="283"/>
              <w:jc w:val="center"/>
              <w:rPr>
                <w:sz w:val="20"/>
              </w:rPr>
            </w:pPr>
            <w:r>
              <w:rPr>
                <w:sz w:val="20"/>
              </w:rPr>
              <w:t>2026 Annual Meeting</w:t>
            </w:r>
          </w:p>
        </w:tc>
        <w:tc>
          <w:tcPr>
            <w:tcW w:w="90" w:type="dxa"/>
            <w:tcBorders/>
            <w:shd w:fill="FFFFFF" w:val="clear"/>
            <w:tcMar>
              <w:bottom w:w="0" w:type="dxa"/>
            </w:tcMar>
            <w:vAlign w:val="center"/>
          </w:tcPr>
          <w:p>
            <w:pPr>
              <w:pStyle w:val="TableContents"/>
              <w:bidi w:val="0"/>
              <w:spacing w:before="0" w:after="283"/>
              <w:jc w:val="left"/>
              <w:rPr/>
            </w:pPr>
            <w:r>
              <w:rPr/>
              <w:t> </w:t>
            </w:r>
          </w:p>
        </w:tc>
        <w:tc>
          <w:tcPr>
            <w:tcW w:w="1048" w:type="dxa"/>
            <w:tcBorders/>
            <w:shd w:fill="FFFFFF" w:val="clear"/>
            <w:tcMar>
              <w:bottom w:w="0" w:type="dxa"/>
            </w:tcMar>
            <w:vAlign w:val="center"/>
          </w:tcPr>
          <w:p>
            <w:pPr>
              <w:pStyle w:val="TableContents"/>
              <w:bidi w:val="0"/>
              <w:spacing w:before="0" w:after="283"/>
              <w:jc w:val="center"/>
              <w:rPr>
                <w:sz w:val="20"/>
              </w:rPr>
            </w:pPr>
            <w:r>
              <w:rPr>
                <w:sz w:val="20"/>
              </w:rPr>
              <w:t>one</w:t>
            </w:r>
          </w:p>
        </w:tc>
        <w:tc>
          <w:tcPr>
            <w:tcW w:w="90" w:type="dxa"/>
            <w:tcBorders/>
            <w:shd w:fill="FFFFFF" w:val="clear"/>
            <w:tcMar>
              <w:bottom w:w="0" w:type="dxa"/>
            </w:tcMar>
            <w:vAlign w:val="center"/>
          </w:tcPr>
          <w:p>
            <w:pPr>
              <w:pStyle w:val="TableContents"/>
              <w:bidi w:val="0"/>
              <w:spacing w:before="0" w:after="283"/>
              <w:jc w:val="left"/>
              <w:rPr/>
            </w:pPr>
            <w:r>
              <w:rPr/>
              <w:t> </w:t>
            </w:r>
          </w:p>
        </w:tc>
        <w:tc>
          <w:tcPr>
            <w:tcW w:w="2780" w:type="dxa"/>
            <w:tcBorders/>
            <w:shd w:fill="FFFFFF" w:val="clear"/>
            <w:tcMar>
              <w:bottom w:w="0" w:type="dxa"/>
            </w:tcMar>
            <w:vAlign w:val="center"/>
          </w:tcPr>
          <w:p>
            <w:pPr>
              <w:pStyle w:val="TableContents"/>
              <w:bidi w:val="0"/>
              <w:spacing w:before="0" w:after="283"/>
              <w:jc w:val="left"/>
              <w:rPr>
                <w:sz w:val="20"/>
              </w:rPr>
            </w:pPr>
            <w:r>
              <w:rPr>
                <w:sz w:val="20"/>
              </w:rPr>
              <w:t>Arthur Wong</w:t>
            </w:r>
          </w:p>
        </w:tc>
      </w:tr>
      <w:tr>
        <w:trPr/>
        <w:tc>
          <w:tcPr>
            <w:tcW w:w="725" w:type="dxa"/>
            <w:tcBorders/>
            <w:shd w:fill="CCEEFF" w:val="clear"/>
            <w:tcMar>
              <w:bottom w:w="0" w:type="dxa"/>
            </w:tcMar>
            <w:vAlign w:val="center"/>
          </w:tcPr>
          <w:p>
            <w:pPr>
              <w:pStyle w:val="TableContents"/>
              <w:bidi w:val="0"/>
              <w:spacing w:before="0" w:after="283"/>
              <w:jc w:val="left"/>
              <w:rPr>
                <w:sz w:val="20"/>
              </w:rPr>
            </w:pPr>
            <w:r>
              <w:rPr>
                <w:sz w:val="20"/>
              </w:rPr>
              <w:t>Class III</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50" w:type="dxa"/>
            <w:tcBorders/>
            <w:shd w:fill="CCEEFF" w:val="clear"/>
            <w:tcMar>
              <w:bottom w:w="0" w:type="dxa"/>
            </w:tcMar>
            <w:vAlign w:val="center"/>
          </w:tcPr>
          <w:p>
            <w:pPr>
              <w:pStyle w:val="TableContents"/>
              <w:bidi w:val="0"/>
              <w:spacing w:before="0" w:after="283"/>
              <w:jc w:val="center"/>
              <w:rPr>
                <w:sz w:val="20"/>
              </w:rPr>
            </w:pPr>
            <w:r>
              <w:rPr>
                <w:sz w:val="20"/>
              </w:rPr>
              <w:t>2027 Annual Meeting</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48" w:type="dxa"/>
            <w:tcBorders/>
            <w:shd w:fill="CCEEFF" w:val="clear"/>
            <w:tcMar>
              <w:bottom w:w="0" w:type="dxa"/>
            </w:tcMar>
            <w:vAlign w:val="center"/>
          </w:tcPr>
          <w:p>
            <w:pPr>
              <w:pStyle w:val="TableContents"/>
              <w:bidi w:val="0"/>
              <w:spacing w:before="0" w:after="283"/>
              <w:jc w:val="center"/>
              <w:rPr>
                <w:sz w:val="20"/>
              </w:rPr>
            </w:pPr>
            <w:r>
              <w:rPr>
                <w:sz w:val="20"/>
              </w:rPr>
              <w:t>three</w:t>
            </w:r>
          </w:p>
        </w:tc>
        <w:tc>
          <w:tcPr>
            <w:tcW w:w="90" w:type="dxa"/>
            <w:tcBorders/>
            <w:shd w:fill="CCEEFF" w:val="clear"/>
            <w:tcMar>
              <w:bottom w:w="0" w:type="dxa"/>
            </w:tcMar>
            <w:vAlign w:val="center"/>
          </w:tcPr>
          <w:p>
            <w:pPr>
              <w:pStyle w:val="TableContents"/>
              <w:bidi w:val="0"/>
              <w:spacing w:before="0" w:after="283"/>
              <w:jc w:val="left"/>
              <w:rPr/>
            </w:pPr>
            <w:r>
              <w:rPr/>
              <w:t> </w:t>
            </w:r>
          </w:p>
        </w:tc>
        <w:tc>
          <w:tcPr>
            <w:tcW w:w="2780" w:type="dxa"/>
            <w:tcBorders/>
            <w:shd w:fill="CCEEFF" w:val="clear"/>
            <w:tcMar>
              <w:bottom w:w="0" w:type="dxa"/>
            </w:tcMar>
            <w:vAlign w:val="center"/>
          </w:tcPr>
          <w:p>
            <w:pPr>
              <w:pStyle w:val="TableContents"/>
              <w:bidi w:val="0"/>
              <w:spacing w:before="0" w:after="283"/>
              <w:jc w:val="left"/>
              <w:rPr>
                <w:sz w:val="20"/>
              </w:rPr>
            </w:pPr>
            <w:r>
              <w:rPr>
                <w:sz w:val="20"/>
              </w:rPr>
              <w:t>Yang Wu, Isida Tushe, Yixin Pan</w:t>
            </w:r>
          </w:p>
        </w:tc>
      </w:tr>
    </w:tbl>
    <w:p>
      <w:pPr>
        <w:pStyle w:val="TextBody"/>
        <w:bidi w:val="0"/>
        <w:spacing w:lineRule="auto" w:line="316"/>
        <w:jc w:val="left"/>
        <w:rPr>
          <w:caps w:val="false"/>
          <w:smallCaps w:val="false"/>
        </w:rPr>
      </w:pPr>
      <w:r>
        <w:rPr>
          <w:caps w:val="false"/>
          <w:smallCaps w:val="false"/>
        </w:rPr>
        <w:t> </w:t>
      </w:r>
    </w:p>
    <w:p>
      <w:pPr>
        <w:pStyle w:val="TextBody"/>
        <w:bidi w:val="0"/>
        <w:spacing w:lineRule="auto" w:line="276"/>
        <w:jc w:val="left"/>
        <w:rPr>
          <w:rFonts w:ascii="Times New Roman;Times;Serif" w:hAnsi="Times New Roman;Times;Serif"/>
          <w:b/>
          <w:i/>
          <w:caps w:val="false"/>
          <w:smallCaps w:val="false"/>
          <w:sz w:val="24"/>
        </w:rPr>
      </w:pPr>
      <w:r>
        <w:rPr>
          <w:rFonts w:ascii="Times New Roman;Times;Serif" w:hAnsi="Times New Roman;Times;Serif"/>
          <w:b/>
          <w:i/>
          <w:caps w:val="false"/>
          <w:smallCaps w:val="false"/>
          <w:sz w:val="24"/>
        </w:rPr>
        <w:t>Nominee for Class II Director</w:t>
      </w:r>
    </w:p>
    <w:p>
      <w:pPr>
        <w:pStyle w:val="TextBody"/>
        <w:bidi w:val="0"/>
        <w:spacing w:lineRule="auto" w:line="276"/>
        <w:jc w:val="left"/>
        <w:rPr>
          <w:caps w:val="false"/>
          <w:smallCaps w:val="false"/>
        </w:rPr>
      </w:pPr>
      <w:r>
        <w:rPr>
          <w:caps w:val="false"/>
          <w:smallCaps w:val="false"/>
        </w:rPr>
        <w:t> </w:t>
      </w:r>
    </w:p>
    <w:p>
      <w:pPr>
        <w:pStyle w:val="TextBody"/>
        <w:bidi w:val="0"/>
        <w:spacing w:lineRule="auto" w:line="27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of the current Class II director expires at the 2026 Annual Meeting. Upon the recommendation of the Nominating and Corporate Governance Committee, the Board has nominated Arthur Wong for re-election at the 2026 Annual Meeting. If elected as a Class II director, Mr. Wong will serve a three-year term expiring at the 2029 Annual Meeting.</w:t>
      </w:r>
    </w:p>
    <w:p>
      <w:pPr>
        <w:pStyle w:val="TextBody"/>
        <w:bidi w:val="0"/>
        <w:spacing w:lineRule="auto" w:line="276"/>
        <w:jc w:val="both"/>
        <w:rPr>
          <w:caps w:val="false"/>
          <w:smallCaps w:val="false"/>
        </w:rPr>
      </w:pPr>
      <w:r>
        <w:rPr>
          <w:caps w:val="false"/>
          <w:smallCaps w:val="false"/>
        </w:rPr>
        <w:t> </w:t>
      </w:r>
    </w:p>
    <w:p>
      <w:pPr>
        <w:pStyle w:val="TextBody"/>
        <w:bidi w:val="0"/>
        <w:spacing w:lineRule="auto" w:line="27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biography for Mr. Wong can be found in the section entitled “Our Board of Directors”.</w:t>
      </w:r>
    </w:p>
    <w:p>
      <w:pPr>
        <w:pStyle w:val="TextBody"/>
        <w:bidi w:val="0"/>
        <w:spacing w:lineRule="auto" w:line="276"/>
        <w:jc w:val="both"/>
        <w:rPr>
          <w:caps w:val="false"/>
          <w:smallCaps w:val="false"/>
        </w:rPr>
      </w:pPr>
      <w:r>
        <w:rPr>
          <w:caps w:val="false"/>
          <w:smallCaps w:val="false"/>
        </w:rPr>
        <w:t> </w:t>
      </w:r>
    </w:p>
    <w:p>
      <w:pPr>
        <w:pStyle w:val="TextBody"/>
        <w:bidi w:val="0"/>
        <w:spacing w:lineRule="auto" w:line="27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Wong has indicated his willingness to serve, if elected, and has consented to being named in this Proxy Statement. If Mr. Wong should become unable or unwilling to serve before the 2026 Annual Meeting, the Board may either reduce its size or designate or not designate a substitute nominee. If the Board designates a substitute nominee, the proxy holders may cast your vote for such substitute nominee.</w:t>
      </w:r>
    </w:p>
    <w:p>
      <w:pPr>
        <w:pStyle w:val="TextBody"/>
        <w:bidi w:val="0"/>
        <w:spacing w:lineRule="auto" w:line="276"/>
        <w:jc w:val="left"/>
        <w:rPr>
          <w:caps w:val="false"/>
          <w:smallCaps w:val="false"/>
        </w:rPr>
      </w:pPr>
      <w:r>
        <w:rPr>
          <w:caps w:val="false"/>
          <w:smallCaps w:val="false"/>
        </w:rPr>
        <w:t> </w:t>
      </w:r>
    </w:p>
    <w:p>
      <w:pPr>
        <w:pStyle w:val="TextBody"/>
        <w:bidi w:val="0"/>
        <w:spacing w:lineRule="auto" w:line="276"/>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Board unanimously recommends that stockholders vote “FOR” the election of Arthur Wong.</w:t>
      </w:r>
    </w:p>
    <w:p>
      <w:pPr>
        <w:pStyle w:val="TextBody"/>
        <w:bidi w:val="0"/>
        <w:spacing w:lineRule="auto" w:line="276"/>
        <w:jc w:val="both"/>
        <w:rPr>
          <w:caps w:val="false"/>
          <w:smallCaps w:val="false"/>
        </w:rPr>
      </w:pPr>
      <w:r>
        <w:rPr>
          <w:caps w:val="false"/>
          <w:smallCaps w:val="false"/>
        </w:rPr>
        <w:t> </w:t>
      </w:r>
    </w:p>
    <w:p>
      <w:pPr>
        <w:pStyle w:val="TextBody"/>
        <w:bidi w:val="0"/>
        <w:spacing w:lineRule="auto" w:line="276"/>
        <w:jc w:val="both"/>
        <w:rPr>
          <w:caps w:val="false"/>
          <w:smallCaps w:val="false"/>
        </w:rPr>
      </w:pPr>
      <w:r>
        <w:rPr>
          <w:caps w:val="false"/>
          <w:smallCaps w:val="false"/>
        </w:rPr>
        <w:t> </w:t>
      </w:r>
    </w:p>
    <w:p>
      <w:pPr>
        <w:pStyle w:val="TextBody"/>
        <w:bidi w:val="0"/>
        <w:spacing w:lineRule="auto" w:line="276"/>
        <w:jc w:val="both"/>
        <w:rPr>
          <w:caps w:val="false"/>
          <w:smallCaps w:val="false"/>
        </w:rPr>
      </w:pPr>
      <w:r>
        <w:rPr>
          <w:caps w:val="false"/>
          <w:smallCaps w:val="false"/>
        </w:rPr>
        <w:t> </w:t>
      </w:r>
    </w:p>
    <w:p>
      <w:pPr>
        <w:pStyle w:val="TextBody"/>
        <w:bidi w:val="0"/>
        <w:spacing w:lineRule="auto" w:line="276"/>
        <w:jc w:val="both"/>
        <w:rPr>
          <w:caps w:val="false"/>
          <w:smallCaps w:val="false"/>
        </w:rPr>
      </w:pPr>
      <w:r>
        <w:rPr>
          <w:caps w:val="false"/>
          <w:smallCaps w:val="false"/>
        </w:rPr>
        <w:t> </w:t>
      </w:r>
    </w:p>
    <w:p>
      <w:pPr>
        <w:pStyle w:val="TextBody"/>
        <w:bidi w:val="0"/>
        <w:spacing w:lineRule="auto" w:line="276"/>
        <w:jc w:val="both"/>
        <w:rPr>
          <w:caps w:val="false"/>
          <w:smallCaps w:val="false"/>
        </w:rPr>
      </w:pPr>
      <w:r>
        <w:rPr>
          <w:caps w:val="false"/>
          <w:smallCaps w:val="false"/>
        </w:rPr>
        <w:t> </w:t>
      </w:r>
    </w:p>
    <w:p>
      <w:pPr>
        <w:pStyle w:val="TextBody"/>
        <w:bidi w:val="0"/>
        <w:spacing w:lineRule="auto" w:line="276"/>
        <w:jc w:val="both"/>
        <w:rPr>
          <w:caps w:val="false"/>
          <w:smallCaps w:val="false"/>
        </w:rPr>
      </w:pPr>
      <w:r>
        <w:rPr>
          <w:caps w:val="false"/>
          <w:smallCaps w:val="false"/>
        </w:rPr>
        <w:t> </w:t>
      </w:r>
    </w:p>
    <w:p>
      <w:pPr>
        <w:pStyle w:val="TextBody"/>
        <w:bidi w:val="0"/>
        <w:spacing w:lineRule="auto" w:line="276"/>
        <w:jc w:val="both"/>
        <w:rPr>
          <w:caps w:val="false"/>
          <w:smallCaps w:val="false"/>
        </w:rPr>
      </w:pPr>
      <w:r>
        <w:rPr>
          <w:caps w:val="false"/>
          <w:smallCaps w:val="false"/>
        </w:rPr>
        <w:t> </w:t>
      </w:r>
    </w:p>
    <w:p>
      <w:pPr>
        <w:pStyle w:val="TextBody"/>
        <w:bidi w:val="0"/>
        <w:spacing w:lineRule="auto" w:line="276"/>
        <w:jc w:val="both"/>
        <w:rPr>
          <w:caps w:val="false"/>
          <w:smallCaps w:val="false"/>
        </w:rPr>
      </w:pPr>
      <w:r>
        <w:rPr>
          <w:caps w:val="false"/>
          <w:smallCaps w:val="false"/>
        </w:rPr>
        <w:t> </w:t>
      </w:r>
    </w:p>
    <w:p>
      <w:pPr>
        <w:pStyle w:val="TextBody"/>
        <w:bidi w:val="0"/>
        <w:spacing w:lineRule="auto" w:line="276"/>
        <w:jc w:val="both"/>
        <w:rPr>
          <w:caps w:val="false"/>
          <w:smallCaps w:val="false"/>
        </w:rPr>
      </w:pPr>
      <w:r>
        <w:rPr>
          <w:caps w:val="false"/>
          <w:smallCaps w:val="false"/>
        </w:rPr>
        <w:t> </w:t>
      </w:r>
    </w:p>
    <w:p>
      <w:pPr>
        <w:pStyle w:val="TextBody"/>
        <w:bidi w:val="0"/>
        <w:spacing w:lineRule="auto" w:line="276"/>
        <w:jc w:val="both"/>
        <w:rPr>
          <w:caps w:val="false"/>
          <w:smallCaps w:val="false"/>
        </w:rPr>
      </w:pPr>
      <w:r>
        <w:rPr>
          <w:caps w:val="false"/>
          <w:smallCaps w:val="false"/>
        </w:rPr>
        <w:t> </w:t>
      </w:r>
    </w:p>
    <w:p>
      <w:pPr>
        <w:pStyle w:val="TextBody"/>
        <w:bidi w:val="0"/>
        <w:spacing w:lineRule="auto" w:line="276"/>
        <w:jc w:val="both"/>
        <w:rPr>
          <w:caps w:val="false"/>
          <w:smallCaps w:val="false"/>
        </w:rPr>
      </w:pPr>
      <w:r>
        <w:rPr>
          <w:caps w:val="false"/>
          <w:smallCaps w:val="false"/>
        </w:rPr>
        <w:t> </w:t>
      </w:r>
    </w:p>
    <w:p>
      <w:pPr>
        <w:pStyle w:val="TextBody"/>
        <w:bidi w:val="0"/>
        <w:spacing w:lineRule="auto" w:line="276"/>
        <w:jc w:val="both"/>
        <w:rPr>
          <w:caps w:val="false"/>
          <w:smallCaps w:val="false"/>
        </w:rPr>
      </w:pPr>
      <w:r>
        <w:rPr>
          <w:caps w:val="false"/>
          <w:smallCaps w:val="false"/>
        </w:rPr>
        <w:t> </w:t>
      </w:r>
    </w:p>
    <w:p>
      <w:pPr>
        <w:pStyle w:val="TextBody"/>
        <w:bidi w:val="0"/>
        <w:spacing w:lineRule="auto" w:line="276"/>
        <w:jc w:val="both"/>
        <w:rPr>
          <w:caps w:val="false"/>
          <w:smallCaps w:val="false"/>
        </w:rPr>
      </w:pPr>
      <w:r>
        <w:rPr>
          <w:caps w:val="false"/>
          <w:smallCaps w:val="false"/>
        </w:rPr>
        <w:t> </w:t>
      </w:r>
    </w:p>
    <w:p>
      <w:pPr>
        <w:pStyle w:val="TextBody"/>
        <w:bidi w:val="0"/>
        <w:spacing w:lineRule="auto" w:line="276"/>
        <w:jc w:val="both"/>
        <w:rPr>
          <w:caps w:val="false"/>
          <w:smallCaps w:val="false"/>
        </w:rPr>
      </w:pPr>
      <w:r>
        <w:rPr>
          <w:caps w:val="false"/>
          <w:smallCaps w:val="false"/>
        </w:rPr>
        <w:t> </w:t>
      </w:r>
    </w:p>
    <w:p>
      <w:pPr>
        <w:pStyle w:val="TextBody"/>
        <w:bidi w:val="0"/>
        <w:spacing w:lineRule="auto" w:line="276"/>
        <w:jc w:val="both"/>
        <w:rPr>
          <w:caps w:val="false"/>
          <w:smallCaps w:val="false"/>
        </w:rPr>
      </w:pPr>
      <w:r>
        <w:rPr>
          <w:caps w:val="false"/>
          <w:smallCaps w:val="false"/>
        </w:rPr>
        <w:t> </w:t>
      </w:r>
    </w:p>
    <w:p>
      <w:pPr>
        <w:pStyle w:val="TextBody"/>
        <w:bidi w:val="0"/>
        <w:spacing w:lineRule="auto" w:line="276"/>
        <w:jc w:val="both"/>
        <w:rPr/>
      </w:pPr>
      <w:r>
        <w:rPr/>
      </w:r>
    </w:p>
    <w:tbl>
      <w:tblPr>
        <w:tblW w:w="470" w:type="dxa"/>
        <w:jc w:val="left"/>
        <w:tblInd w:w="0" w:type="dxa"/>
        <w:tblLayout w:type="fixed"/>
        <w:tblCellMar>
          <w:top w:w="0" w:type="dxa"/>
          <w:left w:w="0" w:type="dxa"/>
          <w:bottom w:w="0" w:type="dxa"/>
          <w:right w:w="0" w:type="dxa"/>
        </w:tblCellMar>
      </w:tblPr>
      <w:tblGrid>
        <w:gridCol w:w="105"/>
        <w:gridCol w:w="230"/>
        <w:gridCol w:w="135"/>
      </w:tblGrid>
      <w:tr>
        <w:trPr/>
        <w:tc>
          <w:tcPr>
            <w:tcW w:w="10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center"/>
              <w:rPr/>
            </w:pPr>
            <w:r>
              <w:rPr/>
              <w:t> </w:t>
            </w:r>
            <w:r>
              <w:rPr/>
              <w:t>7</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lineRule="auto" w:line="276"/>
        <w:jc w:val="left"/>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Proposal No. 2: Ratification of Appointment of Independent Registered Public Accounting Firm</w:t>
      </w:r>
    </w:p>
    <w:p>
      <w:pPr>
        <w:pStyle w:val="TextBody"/>
        <w:bidi w:val="0"/>
        <w:spacing w:lineRule="auto" w:line="276"/>
        <w:jc w:val="left"/>
        <w:rPr>
          <w:caps w:val="false"/>
          <w:smallCaps w:val="false"/>
        </w:rPr>
      </w:pPr>
      <w:r>
        <w:rPr>
          <w:caps w:val="false"/>
          <w:smallCaps w:val="false"/>
        </w:rPr>
        <w:t> </w:t>
      </w:r>
    </w:p>
    <w:p>
      <w:pPr>
        <w:pStyle w:val="TextBody"/>
        <w:bidi w:val="0"/>
        <w:spacing w:lineRule="auto" w:line="27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in accordance with its charter and authority delegated to it by the Board, appointed Deloitte, located in Beijing, People’s Republic of China (“China”), to serve as the Company’s independent registered public accounting firm. Our Board has directed that Deloitte’s appointment be submitted to our stockholders for ratification at the 2026 Annual Meeting and recommends that stockholders approve the ratification of the Audit Committee’s appointment of Deloitte for Fiscal 2026.</w:t>
      </w:r>
    </w:p>
    <w:p>
      <w:pPr>
        <w:pStyle w:val="TextBody"/>
        <w:bidi w:val="0"/>
        <w:spacing w:lineRule="auto" w:line="276"/>
        <w:jc w:val="both"/>
        <w:rPr>
          <w:caps w:val="false"/>
          <w:smallCaps w:val="false"/>
        </w:rPr>
      </w:pPr>
      <w:r>
        <w:rPr>
          <w:caps w:val="false"/>
          <w:smallCaps w:val="false"/>
        </w:rPr>
        <w:t> </w:t>
      </w:r>
    </w:p>
    <w:p>
      <w:pPr>
        <w:pStyle w:val="TextBody"/>
        <w:bidi w:val="0"/>
        <w:spacing w:lineRule="auto" w:line="27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stockholders do not ratify the selection of Deloitte, the Audit Committee may reconsider the appointment. Even if the appointment is ratified, the Audit Committee may, in its discretion, select a different independent registered public accounting firm at any time if it determines that such a change would be in the best interests of the Company and its stockholders.</w:t>
      </w:r>
    </w:p>
    <w:p>
      <w:pPr>
        <w:pStyle w:val="TextBody"/>
        <w:bidi w:val="0"/>
        <w:spacing w:lineRule="auto" w:line="276"/>
        <w:jc w:val="both"/>
        <w:rPr>
          <w:caps w:val="false"/>
          <w:smallCaps w:val="false"/>
        </w:rPr>
      </w:pPr>
      <w:r>
        <w:rPr>
          <w:caps w:val="false"/>
          <w:smallCaps w:val="false"/>
        </w:rPr>
        <w:t> </w:t>
      </w:r>
    </w:p>
    <w:p>
      <w:pPr>
        <w:pStyle w:val="TextBody"/>
        <w:bidi w:val="0"/>
        <w:spacing w:lineRule="auto" w:line="27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time of the mailing of this Proxy Statement, the Company does not anticipate that any representative of Deloitte will be present at the 2026 Annual Meeting. Should a representative of Deloitte be available and desire to make a statement at the 2026 Annual Meeting, they will have the opportunity to do so.</w:t>
      </w:r>
    </w:p>
    <w:p>
      <w:pPr>
        <w:pStyle w:val="TextBody"/>
        <w:bidi w:val="0"/>
        <w:spacing w:lineRule="auto" w:line="276"/>
        <w:jc w:val="left"/>
        <w:rPr>
          <w:caps w:val="false"/>
          <w:smallCaps w:val="false"/>
        </w:rPr>
      </w:pPr>
      <w:r>
        <w:rPr>
          <w:caps w:val="false"/>
          <w:smallCaps w:val="false"/>
        </w:rPr>
        <w:t> </w:t>
      </w:r>
    </w:p>
    <w:p>
      <w:pPr>
        <w:pStyle w:val="TextBody"/>
        <w:bidi w:val="0"/>
        <w:spacing w:lineRule="auto" w:line="276"/>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Board unanimously recommends that stockholders vote “FOR” the ratification of the Audit Committee’s appointment of Deloitte as the Company’s independent registered public accounting firm for Fiscal 2026.</w:t>
      </w:r>
    </w:p>
    <w:p>
      <w:pPr>
        <w:pStyle w:val="TextBody"/>
        <w:bidi w:val="0"/>
        <w:spacing w:lineRule="auto" w:line="276"/>
        <w:jc w:val="both"/>
        <w:rPr>
          <w:caps w:val="false"/>
          <w:smallCaps w:val="false"/>
        </w:rPr>
      </w:pPr>
      <w:r>
        <w:rPr>
          <w:caps w:val="false"/>
          <w:smallCaps w:val="false"/>
        </w:rPr>
        <w:t> </w:t>
      </w:r>
    </w:p>
    <w:p>
      <w:pPr>
        <w:pStyle w:val="TextBody"/>
        <w:bidi w:val="0"/>
        <w:spacing w:lineRule="auto" w:line="276"/>
        <w:jc w:val="both"/>
        <w:rPr>
          <w:caps w:val="false"/>
          <w:smallCaps w:val="false"/>
        </w:rPr>
      </w:pPr>
      <w:r>
        <w:rPr>
          <w:caps w:val="false"/>
          <w:smallCaps w:val="false"/>
        </w:rPr>
        <w:t> </w:t>
      </w:r>
    </w:p>
    <w:p>
      <w:pPr>
        <w:pStyle w:val="TextBody"/>
        <w:bidi w:val="0"/>
        <w:spacing w:lineRule="auto" w:line="276"/>
        <w:jc w:val="both"/>
        <w:rPr>
          <w:caps w:val="false"/>
          <w:smallCaps w:val="false"/>
        </w:rPr>
      </w:pPr>
      <w:r>
        <w:rPr>
          <w:caps w:val="false"/>
          <w:smallCaps w:val="false"/>
        </w:rPr>
        <w:t> </w:t>
      </w:r>
    </w:p>
    <w:p>
      <w:pPr>
        <w:pStyle w:val="TextBody"/>
        <w:bidi w:val="0"/>
        <w:spacing w:lineRule="auto" w:line="276"/>
        <w:jc w:val="both"/>
        <w:rPr>
          <w:caps w:val="false"/>
          <w:smallCaps w:val="false"/>
        </w:rPr>
      </w:pPr>
      <w:r>
        <w:rPr>
          <w:caps w:val="false"/>
          <w:smallCaps w:val="false"/>
        </w:rPr>
        <w:t> </w:t>
      </w:r>
    </w:p>
    <w:p>
      <w:pPr>
        <w:pStyle w:val="TextBody"/>
        <w:bidi w:val="0"/>
        <w:spacing w:lineRule="auto" w:line="276"/>
        <w:jc w:val="both"/>
        <w:rPr>
          <w:caps w:val="false"/>
          <w:smallCaps w:val="false"/>
        </w:rPr>
      </w:pPr>
      <w:r>
        <w:rPr>
          <w:caps w:val="false"/>
          <w:smallCaps w:val="false"/>
        </w:rPr>
        <w:t> </w:t>
      </w:r>
    </w:p>
    <w:p>
      <w:pPr>
        <w:pStyle w:val="TextBody"/>
        <w:bidi w:val="0"/>
        <w:spacing w:lineRule="auto" w:line="276"/>
        <w:jc w:val="both"/>
        <w:rPr>
          <w:caps w:val="false"/>
          <w:smallCaps w:val="false"/>
        </w:rPr>
      </w:pPr>
      <w:r>
        <w:rPr>
          <w:caps w:val="false"/>
          <w:smallCaps w:val="false"/>
        </w:rPr>
        <w:t> </w:t>
      </w:r>
    </w:p>
    <w:p>
      <w:pPr>
        <w:pStyle w:val="TextBody"/>
        <w:bidi w:val="0"/>
        <w:spacing w:lineRule="auto" w:line="276"/>
        <w:jc w:val="both"/>
        <w:rPr>
          <w:caps w:val="false"/>
          <w:smallCaps w:val="false"/>
        </w:rPr>
      </w:pPr>
      <w:r>
        <w:rPr>
          <w:caps w:val="false"/>
          <w:smallCaps w:val="false"/>
        </w:rPr>
        <w:t> </w:t>
      </w:r>
    </w:p>
    <w:p>
      <w:pPr>
        <w:pStyle w:val="TextBody"/>
        <w:bidi w:val="0"/>
        <w:spacing w:lineRule="auto" w:line="276"/>
        <w:jc w:val="both"/>
        <w:rPr>
          <w:caps w:val="false"/>
          <w:smallCaps w:val="false"/>
        </w:rPr>
      </w:pPr>
      <w:r>
        <w:rPr>
          <w:caps w:val="false"/>
          <w:smallCaps w:val="false"/>
        </w:rPr>
        <w:t> </w:t>
      </w:r>
    </w:p>
    <w:p>
      <w:pPr>
        <w:pStyle w:val="TextBody"/>
        <w:bidi w:val="0"/>
        <w:spacing w:lineRule="auto" w:line="276"/>
        <w:jc w:val="both"/>
        <w:rPr>
          <w:caps w:val="false"/>
          <w:smallCaps w:val="false"/>
        </w:rPr>
      </w:pPr>
      <w:r>
        <w:rPr>
          <w:caps w:val="false"/>
          <w:smallCaps w:val="false"/>
        </w:rPr>
        <w:t> </w:t>
      </w:r>
    </w:p>
    <w:p>
      <w:pPr>
        <w:pStyle w:val="TextBody"/>
        <w:bidi w:val="0"/>
        <w:spacing w:lineRule="auto" w:line="276"/>
        <w:jc w:val="both"/>
        <w:rPr>
          <w:caps w:val="false"/>
          <w:smallCaps w:val="false"/>
        </w:rPr>
      </w:pPr>
      <w:r>
        <w:rPr>
          <w:caps w:val="false"/>
          <w:smallCaps w:val="false"/>
        </w:rPr>
        <w:t> </w:t>
      </w:r>
    </w:p>
    <w:p>
      <w:pPr>
        <w:pStyle w:val="TextBody"/>
        <w:bidi w:val="0"/>
        <w:spacing w:lineRule="auto" w:line="276"/>
        <w:jc w:val="both"/>
        <w:rPr>
          <w:caps w:val="false"/>
          <w:smallCaps w:val="false"/>
        </w:rPr>
      </w:pPr>
      <w:r>
        <w:rPr>
          <w:caps w:val="false"/>
          <w:smallCaps w:val="false"/>
        </w:rPr>
        <w:t> </w:t>
      </w:r>
    </w:p>
    <w:p>
      <w:pPr>
        <w:pStyle w:val="TextBody"/>
        <w:bidi w:val="0"/>
        <w:spacing w:lineRule="auto" w:line="276"/>
        <w:jc w:val="both"/>
        <w:rPr>
          <w:caps w:val="false"/>
          <w:smallCaps w:val="false"/>
        </w:rPr>
      </w:pPr>
      <w:r>
        <w:rPr>
          <w:caps w:val="false"/>
          <w:smallCaps w:val="false"/>
        </w:rPr>
        <w:t> </w:t>
      </w:r>
    </w:p>
    <w:p>
      <w:pPr>
        <w:pStyle w:val="TextBody"/>
        <w:bidi w:val="0"/>
        <w:spacing w:lineRule="auto" w:line="276"/>
        <w:jc w:val="both"/>
        <w:rPr>
          <w:caps w:val="false"/>
          <w:smallCaps w:val="false"/>
        </w:rPr>
      </w:pPr>
      <w:r>
        <w:rPr>
          <w:caps w:val="false"/>
          <w:smallCaps w:val="false"/>
        </w:rPr>
        <w:t> </w:t>
      </w:r>
    </w:p>
    <w:p>
      <w:pPr>
        <w:pStyle w:val="TextBody"/>
        <w:bidi w:val="0"/>
        <w:spacing w:lineRule="auto" w:line="276"/>
        <w:jc w:val="both"/>
        <w:rPr>
          <w:caps w:val="false"/>
          <w:smallCaps w:val="false"/>
        </w:rPr>
      </w:pPr>
      <w:r>
        <w:rPr>
          <w:caps w:val="false"/>
          <w:smallCaps w:val="false"/>
        </w:rPr>
        <w:t> </w:t>
      </w:r>
    </w:p>
    <w:p>
      <w:pPr>
        <w:pStyle w:val="TextBody"/>
        <w:bidi w:val="0"/>
        <w:spacing w:lineRule="auto" w:line="276"/>
        <w:jc w:val="both"/>
        <w:rPr>
          <w:caps w:val="false"/>
          <w:smallCaps w:val="false"/>
        </w:rPr>
      </w:pPr>
      <w:r>
        <w:rPr>
          <w:caps w:val="false"/>
          <w:smallCaps w:val="false"/>
        </w:rPr>
        <w:t> </w:t>
      </w:r>
    </w:p>
    <w:p>
      <w:pPr>
        <w:pStyle w:val="TextBody"/>
        <w:bidi w:val="0"/>
        <w:spacing w:lineRule="auto" w:line="276"/>
        <w:jc w:val="both"/>
        <w:rPr>
          <w:caps w:val="false"/>
          <w:smallCaps w:val="false"/>
        </w:rPr>
      </w:pPr>
      <w:r>
        <w:rPr>
          <w:caps w:val="false"/>
          <w:smallCaps w:val="false"/>
        </w:rPr>
        <w:t> </w:t>
      </w:r>
    </w:p>
    <w:p>
      <w:pPr>
        <w:pStyle w:val="TextBody"/>
        <w:bidi w:val="0"/>
        <w:spacing w:lineRule="auto" w:line="276"/>
        <w:jc w:val="both"/>
        <w:rPr>
          <w:caps w:val="false"/>
          <w:smallCaps w:val="false"/>
        </w:rPr>
      </w:pPr>
      <w:r>
        <w:rPr>
          <w:caps w:val="false"/>
          <w:smallCaps w:val="false"/>
        </w:rPr>
        <w:t> </w:t>
      </w:r>
    </w:p>
    <w:p>
      <w:pPr>
        <w:pStyle w:val="TextBody"/>
        <w:bidi w:val="0"/>
        <w:spacing w:lineRule="auto" w:line="276"/>
        <w:jc w:val="both"/>
        <w:rPr>
          <w:caps w:val="false"/>
          <w:smallCaps w:val="false"/>
        </w:rPr>
      </w:pPr>
      <w:r>
        <w:rPr>
          <w:caps w:val="false"/>
          <w:smallCaps w:val="false"/>
        </w:rPr>
        <w:t> </w:t>
      </w:r>
    </w:p>
    <w:p>
      <w:pPr>
        <w:pStyle w:val="TextBody"/>
        <w:bidi w:val="0"/>
        <w:spacing w:lineRule="auto" w:line="276"/>
        <w:jc w:val="both"/>
        <w:rPr>
          <w:caps w:val="false"/>
          <w:smallCaps w:val="false"/>
        </w:rPr>
      </w:pPr>
      <w:r>
        <w:rPr>
          <w:caps w:val="false"/>
          <w:smallCaps w:val="false"/>
        </w:rPr>
        <w:t> </w:t>
      </w:r>
    </w:p>
    <w:p>
      <w:pPr>
        <w:pStyle w:val="TextBody"/>
        <w:bidi w:val="0"/>
        <w:spacing w:lineRule="auto" w:line="276"/>
        <w:jc w:val="both"/>
        <w:rPr>
          <w:caps w:val="false"/>
          <w:smallCaps w:val="false"/>
        </w:rPr>
      </w:pPr>
      <w:r>
        <w:rPr>
          <w:caps w:val="false"/>
          <w:smallCaps w:val="false"/>
        </w:rPr>
        <w:t> </w:t>
      </w:r>
    </w:p>
    <w:p>
      <w:pPr>
        <w:pStyle w:val="TextBody"/>
        <w:bidi w:val="0"/>
        <w:spacing w:lineRule="auto" w:line="276"/>
        <w:jc w:val="both"/>
        <w:rPr/>
      </w:pPr>
      <w:r>
        <w:rPr/>
      </w:r>
    </w:p>
    <w:tbl>
      <w:tblPr>
        <w:tblW w:w="470" w:type="dxa"/>
        <w:jc w:val="left"/>
        <w:tblInd w:w="0" w:type="dxa"/>
        <w:tblLayout w:type="fixed"/>
        <w:tblCellMar>
          <w:top w:w="0" w:type="dxa"/>
          <w:left w:w="0" w:type="dxa"/>
          <w:bottom w:w="0" w:type="dxa"/>
          <w:right w:w="0" w:type="dxa"/>
        </w:tblCellMar>
      </w:tblPr>
      <w:tblGrid>
        <w:gridCol w:w="105"/>
        <w:gridCol w:w="230"/>
        <w:gridCol w:w="135"/>
      </w:tblGrid>
      <w:tr>
        <w:trPr/>
        <w:tc>
          <w:tcPr>
            <w:tcW w:w="10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center"/>
              <w:rPr/>
            </w:pPr>
            <w:r>
              <w:rPr/>
              <w:t> </w:t>
            </w:r>
            <w:r>
              <w:rPr/>
              <w:t>8</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lineRule="auto" w:line="276"/>
        <w:jc w:val="left"/>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Proposal No. 3: Advisory Vote to Approve Executive Compensation</w:t>
      </w:r>
    </w:p>
    <w:p>
      <w:pPr>
        <w:pStyle w:val="TextBody"/>
        <w:bidi w:val="0"/>
        <w:spacing w:lineRule="auto" w:line="276"/>
        <w:jc w:val="both"/>
        <w:rPr>
          <w:caps w:val="false"/>
          <w:smallCaps w:val="false"/>
        </w:rPr>
      </w:pPr>
      <w:r>
        <w:rPr>
          <w:caps w:val="false"/>
          <w:smallCaps w:val="false"/>
        </w:rPr>
        <w:t> </w:t>
      </w:r>
    </w:p>
    <w:p>
      <w:pPr>
        <w:pStyle w:val="TextBody"/>
        <w:bidi w:val="0"/>
        <w:spacing w:lineRule="auto" w:line="27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is providing stockholders the opportunity to cast an advisory vote on the compensation of our NEOs pursuant to Section 14A of the Securities Exchange Act of 1934, as amended (the “Exchange Act”). This proposal, commonly known as a “Say-on-Pay” proposal, gives our stockholders the opportunity to endorse or not endorse our executive compensation programs and policies and the compensation paid to our NEOs.</w:t>
      </w:r>
    </w:p>
    <w:p>
      <w:pPr>
        <w:pStyle w:val="TextBody"/>
        <w:bidi w:val="0"/>
        <w:spacing w:lineRule="auto" w:line="276"/>
        <w:jc w:val="both"/>
        <w:rPr>
          <w:caps w:val="false"/>
          <w:smallCaps w:val="false"/>
        </w:rPr>
      </w:pPr>
      <w:r>
        <w:rPr>
          <w:caps w:val="false"/>
          <w:smallCaps w:val="false"/>
        </w:rPr>
        <w:t> </w:t>
      </w:r>
    </w:p>
    <w:p>
      <w:pPr>
        <w:pStyle w:val="TextBody"/>
        <w:bidi w:val="0"/>
        <w:spacing w:lineRule="auto" w:line="27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values the opinions of the Company’s stockholders as expressed through their votes and other communications. This Say-on-Pay vote is advisory, meaning that it is not binding on the Compensation Committee or the Board. This vote will not affect any compensation already paid or awarded to any NEO, nor will it change any decisions the Board has made. Nonetheless, the Compensation Committee and the Board will review and carefully consider the outcome of this advisory vote when making future decisions regarding our executive compensation programs and policies.</w:t>
      </w:r>
    </w:p>
    <w:p>
      <w:pPr>
        <w:pStyle w:val="TextBody"/>
        <w:bidi w:val="0"/>
        <w:spacing w:lineRule="auto" w:line="276"/>
        <w:jc w:val="both"/>
        <w:rPr>
          <w:caps w:val="false"/>
          <w:smallCaps w:val="false"/>
        </w:rPr>
      </w:pPr>
      <w:r>
        <w:rPr>
          <w:caps w:val="false"/>
          <w:smallCaps w:val="false"/>
        </w:rPr>
        <w:t> </w:t>
      </w:r>
    </w:p>
    <w:p>
      <w:pPr>
        <w:pStyle w:val="TextBody"/>
        <w:bidi w:val="0"/>
        <w:spacing w:lineRule="auto" w:line="27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design our executive compensation programs to implement our core objectives of attracting and retaining key leaders, rewarding current performance, driving future performance, and aligning the long-term interests of our executives with those of our stockholders. Stockholders are encouraged to read the Compensation Discussion &amp; Analysis (“CD&amp;A”) section of this Proxy Statement, including the “Executive Summary.” In the CD&amp;A, we describe our compensation programs, including the underlying philosophy and strategy, the individual elements of compensation, and how our compensation plans are administered. We also describe how the Compensation Committee continues to evolve our executive compensation program based on stockholder feedback. The Board believes the Company’s executive compensation programs use appropriate structures and sound pay practices promoting our core objectives.</w:t>
      </w:r>
    </w:p>
    <w:p>
      <w:pPr>
        <w:pStyle w:val="TextBody"/>
        <w:bidi w:val="0"/>
        <w:spacing w:lineRule="auto" w:line="276"/>
        <w:jc w:val="both"/>
        <w:rPr>
          <w:caps w:val="false"/>
          <w:smallCaps w:val="false"/>
        </w:rPr>
      </w:pPr>
      <w:r>
        <w:rPr>
          <w:caps w:val="false"/>
          <w:smallCaps w:val="false"/>
        </w:rPr>
        <w:t> </w:t>
      </w:r>
    </w:p>
    <w:p>
      <w:pPr>
        <w:pStyle w:val="TextBody"/>
        <w:bidi w:val="0"/>
        <w:spacing w:lineRule="auto" w:line="276"/>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The Board unanimously recommends an advisory vote “FOR” the following resolution: </w:t>
      </w:r>
    </w:p>
    <w:p>
      <w:pPr>
        <w:pStyle w:val="TextBody"/>
        <w:bidi w:val="0"/>
        <w:spacing w:lineRule="auto" w:line="276"/>
        <w:jc w:val="both"/>
        <w:rPr>
          <w:caps w:val="false"/>
          <w:smallCaps w:val="false"/>
        </w:rPr>
      </w:pPr>
      <w:r>
        <w:rPr>
          <w:caps w:val="false"/>
          <w:smallCaps w:val="false"/>
        </w:rPr>
        <w:t> </w:t>
      </w:r>
    </w:p>
    <w:p>
      <w:pPr>
        <w:pStyle w:val="TextBody"/>
        <w:bidi w:val="0"/>
        <w:spacing w:lineRule="auto" w:line="27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RESOLVED: That stockholders approve the compensation of the NEOs as disclosed pursuant to Item 402 of SEC Regulation S-K, including the Compensation Discussion and Analysis, compensation tables, accompanying narrative, and additional compensation disclosures included in this Proxy Statement.</w:t>
      </w:r>
    </w:p>
    <w:p>
      <w:pPr>
        <w:pStyle w:val="TextBody"/>
        <w:bidi w:val="0"/>
        <w:spacing w:lineRule="auto" w:line="276"/>
        <w:jc w:val="both"/>
        <w:rPr>
          <w:caps w:val="false"/>
          <w:smallCaps w:val="false"/>
        </w:rPr>
      </w:pPr>
      <w:r>
        <w:rPr>
          <w:caps w:val="false"/>
          <w:smallCaps w:val="false"/>
        </w:rPr>
        <w:t> </w:t>
      </w:r>
    </w:p>
    <w:p>
      <w:pPr>
        <w:pStyle w:val="TextBody"/>
        <w:bidi w:val="0"/>
        <w:spacing w:lineRule="auto" w:line="276"/>
        <w:jc w:val="both"/>
        <w:rPr>
          <w:caps w:val="false"/>
          <w:smallCaps w:val="false"/>
        </w:rPr>
      </w:pPr>
      <w:r>
        <w:rPr>
          <w:caps w:val="false"/>
          <w:smallCaps w:val="false"/>
        </w:rPr>
        <w:t> </w:t>
      </w:r>
    </w:p>
    <w:p>
      <w:pPr>
        <w:pStyle w:val="TextBody"/>
        <w:bidi w:val="0"/>
        <w:spacing w:lineRule="auto" w:line="276"/>
        <w:jc w:val="both"/>
        <w:rPr>
          <w:caps w:val="false"/>
          <w:smallCaps w:val="false"/>
        </w:rPr>
      </w:pPr>
      <w:r>
        <w:rPr>
          <w:caps w:val="false"/>
          <w:smallCaps w:val="false"/>
        </w:rPr>
        <w:t> </w:t>
      </w:r>
    </w:p>
    <w:p>
      <w:pPr>
        <w:pStyle w:val="TextBody"/>
        <w:bidi w:val="0"/>
        <w:spacing w:lineRule="auto" w:line="276"/>
        <w:jc w:val="both"/>
        <w:rPr>
          <w:caps w:val="false"/>
          <w:smallCaps w:val="false"/>
        </w:rPr>
      </w:pPr>
      <w:r>
        <w:rPr>
          <w:caps w:val="false"/>
          <w:smallCaps w:val="false"/>
        </w:rPr>
        <w:t> </w:t>
      </w:r>
    </w:p>
    <w:p>
      <w:pPr>
        <w:pStyle w:val="TextBody"/>
        <w:bidi w:val="0"/>
        <w:spacing w:lineRule="auto" w:line="276"/>
        <w:jc w:val="both"/>
        <w:rPr>
          <w:caps w:val="false"/>
          <w:smallCaps w:val="false"/>
        </w:rPr>
      </w:pPr>
      <w:r>
        <w:rPr>
          <w:caps w:val="false"/>
          <w:smallCaps w:val="false"/>
        </w:rPr>
        <w:t> </w:t>
      </w:r>
    </w:p>
    <w:p>
      <w:pPr>
        <w:pStyle w:val="TextBody"/>
        <w:bidi w:val="0"/>
        <w:spacing w:lineRule="auto" w:line="276"/>
        <w:jc w:val="both"/>
        <w:rPr>
          <w:caps w:val="false"/>
          <w:smallCaps w:val="false"/>
        </w:rPr>
      </w:pPr>
      <w:r>
        <w:rPr>
          <w:caps w:val="false"/>
          <w:smallCaps w:val="false"/>
        </w:rPr>
        <w:t> </w:t>
      </w:r>
    </w:p>
    <w:p>
      <w:pPr>
        <w:pStyle w:val="TextBody"/>
        <w:bidi w:val="0"/>
        <w:spacing w:lineRule="auto" w:line="276"/>
        <w:jc w:val="both"/>
        <w:rPr>
          <w:caps w:val="false"/>
          <w:smallCaps w:val="false"/>
        </w:rPr>
      </w:pPr>
      <w:r>
        <w:rPr>
          <w:caps w:val="false"/>
          <w:smallCaps w:val="false"/>
        </w:rPr>
        <w:t> </w:t>
      </w:r>
    </w:p>
    <w:p>
      <w:pPr>
        <w:pStyle w:val="TextBody"/>
        <w:bidi w:val="0"/>
        <w:spacing w:lineRule="auto" w:line="276"/>
        <w:jc w:val="both"/>
        <w:rPr>
          <w:caps w:val="false"/>
          <w:smallCaps w:val="false"/>
        </w:rPr>
      </w:pPr>
      <w:r>
        <w:rPr>
          <w:caps w:val="false"/>
          <w:smallCaps w:val="false"/>
        </w:rPr>
        <w:t> </w:t>
      </w:r>
    </w:p>
    <w:p>
      <w:pPr>
        <w:pStyle w:val="TextBody"/>
        <w:bidi w:val="0"/>
        <w:spacing w:lineRule="auto" w:line="276"/>
        <w:jc w:val="both"/>
        <w:rPr>
          <w:caps w:val="false"/>
          <w:smallCaps w:val="false"/>
        </w:rPr>
      </w:pPr>
      <w:r>
        <w:rPr>
          <w:caps w:val="false"/>
          <w:smallCaps w:val="false"/>
        </w:rPr>
        <w:t> </w:t>
      </w:r>
    </w:p>
    <w:p>
      <w:pPr>
        <w:pStyle w:val="TextBody"/>
        <w:bidi w:val="0"/>
        <w:spacing w:lineRule="auto" w:line="276"/>
        <w:jc w:val="both"/>
        <w:rPr>
          <w:caps w:val="false"/>
          <w:smallCaps w:val="false"/>
        </w:rPr>
      </w:pPr>
      <w:r>
        <w:rPr>
          <w:caps w:val="false"/>
          <w:smallCaps w:val="false"/>
        </w:rPr>
        <w:t> </w:t>
      </w:r>
    </w:p>
    <w:p>
      <w:pPr>
        <w:pStyle w:val="TextBody"/>
        <w:bidi w:val="0"/>
        <w:spacing w:lineRule="auto" w:line="276"/>
        <w:jc w:val="both"/>
        <w:rPr>
          <w:caps w:val="false"/>
          <w:smallCaps w:val="false"/>
        </w:rPr>
      </w:pPr>
      <w:r>
        <w:rPr>
          <w:caps w:val="false"/>
          <w:smallCaps w:val="false"/>
        </w:rPr>
        <w:t> </w:t>
      </w:r>
    </w:p>
    <w:p>
      <w:pPr>
        <w:pStyle w:val="TextBody"/>
        <w:bidi w:val="0"/>
        <w:spacing w:lineRule="auto" w:line="276"/>
        <w:jc w:val="both"/>
        <w:rPr>
          <w:caps w:val="false"/>
          <w:smallCaps w:val="false"/>
        </w:rPr>
      </w:pPr>
      <w:r>
        <w:rPr>
          <w:caps w:val="false"/>
          <w:smallCaps w:val="false"/>
        </w:rPr>
        <w:t> </w:t>
      </w:r>
    </w:p>
    <w:p>
      <w:pPr>
        <w:pStyle w:val="TextBody"/>
        <w:bidi w:val="0"/>
        <w:spacing w:lineRule="auto" w:line="276"/>
        <w:jc w:val="both"/>
        <w:rPr>
          <w:caps w:val="false"/>
          <w:smallCaps w:val="false"/>
        </w:rPr>
      </w:pPr>
      <w:r>
        <w:rPr>
          <w:caps w:val="false"/>
          <w:smallCaps w:val="false"/>
        </w:rPr>
        <w:t> </w:t>
      </w:r>
    </w:p>
    <w:p>
      <w:pPr>
        <w:pStyle w:val="TextBody"/>
        <w:bidi w:val="0"/>
        <w:spacing w:lineRule="auto" w:line="276"/>
        <w:jc w:val="both"/>
        <w:rPr>
          <w:caps w:val="false"/>
          <w:smallCaps w:val="false"/>
        </w:rPr>
      </w:pPr>
      <w:r>
        <w:rPr>
          <w:caps w:val="false"/>
          <w:smallCaps w:val="false"/>
        </w:rPr>
        <w:t> </w:t>
      </w:r>
    </w:p>
    <w:p>
      <w:pPr>
        <w:pStyle w:val="TextBody"/>
        <w:bidi w:val="0"/>
        <w:spacing w:lineRule="auto" w:line="276"/>
        <w:jc w:val="both"/>
        <w:rPr>
          <w:caps w:val="false"/>
          <w:smallCaps w:val="false"/>
        </w:rPr>
      </w:pPr>
      <w:r>
        <w:rPr>
          <w:caps w:val="false"/>
          <w:smallCaps w:val="false"/>
        </w:rPr>
        <w:t> </w:t>
      </w:r>
    </w:p>
    <w:p>
      <w:pPr>
        <w:pStyle w:val="TextBody"/>
        <w:bidi w:val="0"/>
        <w:spacing w:lineRule="auto" w:line="276"/>
        <w:jc w:val="both"/>
        <w:rPr>
          <w:caps w:val="false"/>
          <w:smallCaps w:val="false"/>
        </w:rPr>
      </w:pPr>
      <w:r>
        <w:rPr>
          <w:caps w:val="false"/>
          <w:smallCaps w:val="false"/>
        </w:rPr>
        <w:t> </w:t>
      </w:r>
    </w:p>
    <w:p>
      <w:pPr>
        <w:pStyle w:val="TextBody"/>
        <w:bidi w:val="0"/>
        <w:spacing w:lineRule="auto" w:line="276"/>
        <w:jc w:val="both"/>
        <w:rPr>
          <w:caps w:val="false"/>
          <w:smallCaps w:val="false"/>
        </w:rPr>
      </w:pPr>
      <w:r>
        <w:rPr>
          <w:caps w:val="false"/>
          <w:smallCaps w:val="false"/>
        </w:rPr>
        <w:t> </w:t>
      </w:r>
    </w:p>
    <w:p>
      <w:pPr>
        <w:pStyle w:val="TextBody"/>
        <w:bidi w:val="0"/>
        <w:spacing w:lineRule="auto" w:line="276"/>
        <w:jc w:val="both"/>
        <w:rPr>
          <w:caps w:val="false"/>
          <w:smallCaps w:val="false"/>
        </w:rPr>
      </w:pPr>
      <w:r>
        <w:rPr>
          <w:caps w:val="false"/>
          <w:smallCaps w:val="false"/>
        </w:rPr>
        <w:t> </w:t>
      </w:r>
    </w:p>
    <w:p>
      <w:pPr>
        <w:pStyle w:val="TextBody"/>
        <w:bidi w:val="0"/>
        <w:spacing w:lineRule="auto" w:line="276"/>
        <w:jc w:val="both"/>
        <w:rPr>
          <w:caps w:val="false"/>
          <w:smallCaps w:val="false"/>
        </w:rPr>
      </w:pPr>
      <w:r>
        <w:rPr>
          <w:caps w:val="false"/>
          <w:smallCaps w:val="false"/>
        </w:rPr>
        <w:t> </w:t>
      </w:r>
    </w:p>
    <w:p>
      <w:pPr>
        <w:pStyle w:val="TextBody"/>
        <w:bidi w:val="0"/>
        <w:spacing w:lineRule="auto" w:line="276"/>
        <w:jc w:val="both"/>
        <w:rPr>
          <w:caps w:val="false"/>
          <w:smallCaps w:val="false"/>
        </w:rPr>
      </w:pPr>
      <w:r>
        <w:rPr>
          <w:caps w:val="false"/>
          <w:smallCaps w:val="false"/>
        </w:rPr>
        <w:t> </w:t>
      </w:r>
    </w:p>
    <w:tbl>
      <w:tblPr>
        <w:tblW w:w="470" w:type="dxa"/>
        <w:jc w:val="left"/>
        <w:tblInd w:w="0" w:type="dxa"/>
        <w:tblLayout w:type="fixed"/>
        <w:tblCellMar>
          <w:top w:w="0" w:type="dxa"/>
          <w:left w:w="0" w:type="dxa"/>
          <w:bottom w:w="0" w:type="dxa"/>
          <w:right w:w="0" w:type="dxa"/>
        </w:tblCellMar>
      </w:tblPr>
      <w:tblGrid>
        <w:gridCol w:w="105"/>
        <w:gridCol w:w="230"/>
        <w:gridCol w:w="135"/>
      </w:tblGrid>
      <w:tr>
        <w:trPr/>
        <w:tc>
          <w:tcPr>
            <w:tcW w:w="10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center"/>
              <w:rPr/>
            </w:pPr>
            <w:r>
              <w:rPr/>
              <w:t> </w:t>
            </w:r>
            <w:r>
              <w:rPr/>
              <w:t>9</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lineRule="auto" w:line="276"/>
        <w:jc w:val="both"/>
        <w:rPr>
          <w:caps w:val="false"/>
          <w:smallCaps w:val="false"/>
        </w:rPr>
      </w:pPr>
      <w:r>
        <w:rPr>
          <w:caps w:val="false"/>
          <w:smallCaps w:val="false"/>
        </w:rPr>
        <w:t> </w:t>
      </w:r>
    </w:p>
    <w:p>
      <w:pPr>
        <w:pStyle w:val="TextBody"/>
        <w:bidi w:val="0"/>
        <w:spacing w:lineRule="auto" w:line="276"/>
        <w:jc w:val="left"/>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Proposal No. 4: Advisory Vote on the Frequency of Future Advisory Votes on Executive Compensation</w:t>
      </w:r>
    </w:p>
    <w:p>
      <w:pPr>
        <w:pStyle w:val="TextBody"/>
        <w:bidi w:val="0"/>
        <w:spacing w:lineRule="auto" w:line="276"/>
        <w:jc w:val="both"/>
        <w:rPr>
          <w:caps w:val="false"/>
          <w:smallCaps w:val="false"/>
        </w:rPr>
      </w:pPr>
      <w:r>
        <w:rPr>
          <w:caps w:val="false"/>
          <w:smallCaps w:val="false"/>
        </w:rPr>
        <w:t> </w:t>
      </w:r>
    </w:p>
    <w:p>
      <w:pPr>
        <w:pStyle w:val="TextBody"/>
        <w:bidi w:val="0"/>
        <w:spacing w:lineRule="auto" w:line="27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Proposal No. 4 gives our stockholders the opportunity to advise our Board as to how often we should conduct the advisory Say-on-Pay vote discussed in Proposal No. 3. This frequency vote must take place at least once every six years and is being submitted to stockholders this year as required by Section 14A of the Exchange Act. Accordingly, we are requesting your advisory vote to determine whether a Say-on-Pay vote will occur every one, two or three years.</w:t>
      </w:r>
    </w:p>
    <w:p>
      <w:pPr>
        <w:pStyle w:val="TextBody"/>
        <w:bidi w:val="0"/>
        <w:spacing w:lineRule="auto" w:line="276"/>
        <w:jc w:val="both"/>
        <w:rPr>
          <w:caps w:val="false"/>
          <w:smallCaps w:val="false"/>
        </w:rPr>
      </w:pPr>
      <w:r>
        <w:rPr>
          <w:caps w:val="false"/>
          <w:smallCaps w:val="false"/>
        </w:rPr>
        <w:t> </w:t>
      </w:r>
    </w:p>
    <w:p>
      <w:pPr>
        <w:pStyle w:val="TextBody"/>
        <w:bidi w:val="0"/>
        <w:spacing w:lineRule="auto" w:line="27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values the opinions of the Company’s stockholders as expressed through their votes and other communications. The frequency of the Say-on-Pay vote is advisory, meaning that it is not binding on the Compensation Committee or Board. Nonetheless, the Compensation Committee and the Board will review and carefully consider the outcome of this advisory vote when considering how frequently we should conduct an advisory Say-on-Pay vote on the compensation of our NEOs.</w:t>
      </w:r>
    </w:p>
    <w:p>
      <w:pPr>
        <w:pStyle w:val="TextBody"/>
        <w:bidi w:val="0"/>
        <w:spacing w:lineRule="auto" w:line="276"/>
        <w:jc w:val="both"/>
        <w:rPr>
          <w:caps w:val="false"/>
          <w:smallCaps w:val="false"/>
        </w:rPr>
      </w:pPr>
      <w:r>
        <w:rPr>
          <w:caps w:val="false"/>
          <w:smallCaps w:val="false"/>
        </w:rPr>
        <w:t> </w:t>
      </w:r>
    </w:p>
    <w:p>
      <w:pPr>
        <w:pStyle w:val="TextBody"/>
        <w:bidi w:val="0"/>
        <w:spacing w:lineRule="auto" w:line="27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careful consideration of the various arguments supporting each frequency level, the Board currently believes that submitting the advisory vote on executive compensation to stockholders on an annual basis is appropriate for the Company and its stockholders. An annual vote allows our stockholders to provide us with regular and timely feedback on important issues such as our executive compensation programs and policies as disclosed in the Company’s proxy statement each year.</w:t>
      </w:r>
    </w:p>
    <w:p>
      <w:pPr>
        <w:pStyle w:val="TextBody"/>
        <w:bidi w:val="0"/>
        <w:spacing w:lineRule="auto" w:line="276"/>
        <w:jc w:val="both"/>
        <w:rPr>
          <w:caps w:val="false"/>
          <w:smallCaps w:val="false"/>
        </w:rPr>
      </w:pPr>
      <w:r>
        <w:rPr>
          <w:caps w:val="false"/>
          <w:smallCaps w:val="false"/>
        </w:rPr>
        <w:t> </w:t>
      </w:r>
    </w:p>
    <w:p>
      <w:pPr>
        <w:pStyle w:val="TextBody"/>
        <w:bidi w:val="0"/>
        <w:spacing w:lineRule="auto" w:line="27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enclosed proxy card gives you four choices for voting on this item. You can choose whether the Say-on-Pay vote should be conducted every year, every two years or every three years. You may also abstain from voting on this proposal. Stockholders are not voting to approve or disapprove the Board’s recommendation.</w:t>
      </w:r>
    </w:p>
    <w:p>
      <w:pPr>
        <w:pStyle w:val="TextBody"/>
        <w:bidi w:val="0"/>
        <w:spacing w:lineRule="auto" w:line="276"/>
        <w:jc w:val="both"/>
        <w:rPr>
          <w:caps w:val="false"/>
          <w:smallCaps w:val="false"/>
        </w:rPr>
      </w:pPr>
      <w:r>
        <w:rPr>
          <w:caps w:val="false"/>
          <w:smallCaps w:val="false"/>
        </w:rPr>
        <w:t> </w:t>
      </w:r>
    </w:p>
    <w:p>
      <w:pPr>
        <w:pStyle w:val="TextBody"/>
        <w:bidi w:val="0"/>
        <w:spacing w:lineRule="auto" w:line="27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Generally, a proposal presented to stockholders, such as this Proposal No. 4, will be approved by the affirmative vote of the majority of votes cast in person or represented by proxy. However, if none of the frequency options—every year, every two years or every three years—receives the required majority vote, the option receiving the greatest number of votes will be considered the frequency preferred by the stockholders. Although this vote is not binding on the Board, the Board will consider the outcome of this vote when making future decisions about the frequency for holding an advisory vote on executive compensation.</w:t>
      </w:r>
    </w:p>
    <w:p>
      <w:pPr>
        <w:pStyle w:val="TextBody"/>
        <w:bidi w:val="0"/>
        <w:spacing w:lineRule="auto" w:line="276"/>
        <w:jc w:val="both"/>
        <w:rPr>
          <w:caps w:val="false"/>
          <w:smallCaps w:val="false"/>
        </w:rPr>
      </w:pPr>
      <w:r>
        <w:rPr>
          <w:caps w:val="false"/>
          <w:smallCaps w:val="false"/>
        </w:rPr>
        <w:t> </w:t>
      </w:r>
    </w:p>
    <w:p>
      <w:pPr>
        <w:pStyle w:val="TextBody"/>
        <w:bidi w:val="0"/>
        <w:spacing w:lineRule="auto" w:line="27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advisory vote on the frequency of conducting the Say-on-Pay vote is a non-binding vote, meaning that the Company will not be obligated to conduct the Say-on-Pay vote with the frequency chosen by our stockholders at the 2026 Annual Meeting. Abstentions and broker non-votes will have no effect on the proposal. Notwithstanding the advisory nature of the vote, the frequency option that receives the highest number of votes cast at the 2026 Annual Meeting will be considered passed.</w:t>
      </w:r>
    </w:p>
    <w:p>
      <w:pPr>
        <w:pStyle w:val="TextBody"/>
        <w:bidi w:val="0"/>
        <w:spacing w:lineRule="auto" w:line="276"/>
        <w:jc w:val="both"/>
        <w:rPr>
          <w:caps w:val="false"/>
          <w:smallCaps w:val="false"/>
        </w:rPr>
      </w:pPr>
      <w:r>
        <w:rPr>
          <w:caps w:val="false"/>
          <w:smallCaps w:val="false"/>
        </w:rPr>
        <w:t> </w:t>
      </w:r>
    </w:p>
    <w:p>
      <w:pPr>
        <w:pStyle w:val="TextBody"/>
        <w:bidi w:val="0"/>
        <w:spacing w:lineRule="auto" w:line="276"/>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The Board unanimously recommends that stockholders vote for conducting an </w:t>
      </w:r>
      <w:r>
        <w:rPr>
          <w:rFonts w:ascii="Times New Roman;Times;Serif" w:hAnsi="Times New Roman;Times;Serif"/>
          <w:b/>
          <w:i w:val="false"/>
          <w:caps/>
          <w:sz w:val="20"/>
        </w:rPr>
        <w:t>annual (one year)</w:t>
      </w:r>
      <w:r>
        <w:rPr>
          <w:rFonts w:ascii="Times New Roman;Times;Serif" w:hAnsi="Times New Roman;Times;Serif"/>
          <w:b/>
          <w:i w:val="false"/>
          <w:caps w:val="false"/>
          <w:smallCaps w:val="false"/>
          <w:sz w:val="20"/>
        </w:rPr>
        <w:t xml:space="preserve"> Say-on-Pay vote.</w:t>
      </w:r>
    </w:p>
    <w:p>
      <w:pPr>
        <w:pStyle w:val="TextBody"/>
        <w:bidi w:val="0"/>
        <w:spacing w:lineRule="auto" w:line="276"/>
        <w:jc w:val="both"/>
        <w:rPr>
          <w:caps w:val="false"/>
          <w:smallCaps w:val="false"/>
        </w:rPr>
      </w:pPr>
      <w:r>
        <w:rPr>
          <w:caps w:val="false"/>
          <w:smallCaps w:val="false"/>
        </w:rPr>
        <w:t> </w:t>
      </w:r>
    </w:p>
    <w:p>
      <w:pPr>
        <w:pStyle w:val="TextBody"/>
        <w:bidi w:val="0"/>
        <w:spacing w:lineRule="auto" w:line="276"/>
        <w:jc w:val="both"/>
        <w:rPr>
          <w:caps w:val="false"/>
          <w:smallCaps w:val="false"/>
        </w:rPr>
      </w:pPr>
      <w:r>
        <w:rPr>
          <w:caps w:val="false"/>
          <w:smallCaps w:val="false"/>
        </w:rPr>
        <w:t> </w:t>
      </w:r>
    </w:p>
    <w:p>
      <w:pPr>
        <w:pStyle w:val="TextBody"/>
        <w:bidi w:val="0"/>
        <w:spacing w:lineRule="auto" w:line="276"/>
        <w:jc w:val="both"/>
        <w:rPr>
          <w:caps w:val="false"/>
          <w:smallCaps w:val="false"/>
        </w:rPr>
      </w:pPr>
      <w:r>
        <w:rPr>
          <w:caps w:val="false"/>
          <w:smallCaps w:val="false"/>
        </w:rPr>
        <w:t> </w:t>
      </w:r>
    </w:p>
    <w:p>
      <w:pPr>
        <w:pStyle w:val="TextBody"/>
        <w:bidi w:val="0"/>
        <w:spacing w:lineRule="auto" w:line="276"/>
        <w:jc w:val="both"/>
        <w:rPr>
          <w:caps w:val="false"/>
          <w:smallCaps w:val="false"/>
        </w:rPr>
      </w:pPr>
      <w:r>
        <w:rPr>
          <w:caps w:val="false"/>
          <w:smallCaps w:val="false"/>
        </w:rPr>
        <w:t> </w:t>
      </w:r>
    </w:p>
    <w:p>
      <w:pPr>
        <w:pStyle w:val="TextBody"/>
        <w:bidi w:val="0"/>
        <w:spacing w:lineRule="auto" w:line="276"/>
        <w:jc w:val="both"/>
        <w:rPr>
          <w:caps w:val="false"/>
          <w:smallCaps w:val="false"/>
        </w:rPr>
      </w:pPr>
      <w:r>
        <w:rPr>
          <w:caps w:val="false"/>
          <w:smallCaps w:val="false"/>
        </w:rPr>
        <w:t> </w:t>
      </w:r>
    </w:p>
    <w:p>
      <w:pPr>
        <w:pStyle w:val="TextBody"/>
        <w:bidi w:val="0"/>
        <w:spacing w:lineRule="auto" w:line="276"/>
        <w:jc w:val="both"/>
        <w:rPr>
          <w:caps w:val="false"/>
          <w:smallCaps w:val="false"/>
        </w:rPr>
      </w:pPr>
      <w:r>
        <w:rPr>
          <w:caps w:val="false"/>
          <w:smallCaps w:val="false"/>
        </w:rPr>
        <w:t> </w:t>
      </w:r>
    </w:p>
    <w:p>
      <w:pPr>
        <w:pStyle w:val="TextBody"/>
        <w:bidi w:val="0"/>
        <w:spacing w:lineRule="auto" w:line="276"/>
        <w:jc w:val="both"/>
        <w:rPr>
          <w:caps w:val="false"/>
          <w:smallCaps w:val="false"/>
        </w:rPr>
      </w:pPr>
      <w:r>
        <w:rPr>
          <w:caps w:val="false"/>
          <w:smallCaps w:val="false"/>
        </w:rPr>
        <w:t> </w:t>
      </w:r>
    </w:p>
    <w:p>
      <w:pPr>
        <w:pStyle w:val="TextBody"/>
        <w:bidi w:val="0"/>
        <w:spacing w:lineRule="auto" w:line="276"/>
        <w:jc w:val="both"/>
        <w:rPr>
          <w:caps w:val="false"/>
          <w:smallCaps w:val="false"/>
        </w:rPr>
      </w:pPr>
      <w:r>
        <w:rPr>
          <w:caps w:val="false"/>
          <w:smallCaps w:val="false"/>
        </w:rPr>
        <w:t> </w:t>
      </w:r>
    </w:p>
    <w:p>
      <w:pPr>
        <w:pStyle w:val="TextBody"/>
        <w:bidi w:val="0"/>
        <w:spacing w:lineRule="auto" w:line="276"/>
        <w:jc w:val="both"/>
        <w:rPr>
          <w:caps w:val="false"/>
          <w:smallCaps w:val="false"/>
        </w:rPr>
      </w:pPr>
      <w:r>
        <w:rPr>
          <w:caps w:val="false"/>
          <w:smallCaps w:val="false"/>
        </w:rPr>
        <w:t> </w:t>
      </w:r>
    </w:p>
    <w:p>
      <w:pPr>
        <w:pStyle w:val="TextBody"/>
        <w:bidi w:val="0"/>
        <w:spacing w:lineRule="auto" w:line="276"/>
        <w:jc w:val="both"/>
        <w:rPr>
          <w:caps w:val="false"/>
          <w:smallCaps w:val="false"/>
        </w:rPr>
      </w:pPr>
      <w:r>
        <w:rPr>
          <w:caps w:val="false"/>
          <w:smallCaps w:val="false"/>
        </w:rPr>
        <w:t> </w:t>
      </w:r>
    </w:p>
    <w:p>
      <w:pPr>
        <w:pStyle w:val="TextBody"/>
        <w:bidi w:val="0"/>
        <w:spacing w:lineRule="auto" w:line="276"/>
        <w:jc w:val="both"/>
        <w:rPr>
          <w:caps w:val="false"/>
          <w:smallCaps w:val="false"/>
        </w:rPr>
      </w:pPr>
      <w:r>
        <w:rPr>
          <w:caps w:val="false"/>
          <w:smallCaps w:val="false"/>
        </w:rPr>
        <w:t> </w:t>
      </w:r>
    </w:p>
    <w:p>
      <w:pPr>
        <w:pStyle w:val="TextBody"/>
        <w:bidi w:val="0"/>
        <w:spacing w:lineRule="auto" w:line="276"/>
        <w:jc w:val="both"/>
        <w:rPr>
          <w:caps w:val="false"/>
          <w:smallCaps w:val="false"/>
        </w:rPr>
      </w:pPr>
      <w:r>
        <w:rPr>
          <w:caps w:val="false"/>
          <w:smallCaps w:val="false"/>
        </w:rPr>
        <w:t> </w:t>
      </w:r>
    </w:p>
    <w:p>
      <w:pPr>
        <w:pStyle w:val="TextBody"/>
        <w:bidi w:val="0"/>
        <w:spacing w:lineRule="auto" w:line="276"/>
        <w:jc w:val="both"/>
        <w:rPr>
          <w:caps w:val="false"/>
          <w:smallCaps w:val="false"/>
        </w:rPr>
      </w:pPr>
      <w:r>
        <w:rPr>
          <w:caps w:val="false"/>
          <w:smallCaps w:val="false"/>
        </w:rPr>
        <w:t> </w:t>
      </w:r>
    </w:p>
    <w:p>
      <w:pPr>
        <w:pStyle w:val="TextBody"/>
        <w:bidi w:val="0"/>
        <w:spacing w:lineRule="auto" w:line="276"/>
        <w:jc w:val="both"/>
        <w:rPr>
          <w:caps w:val="false"/>
          <w:smallCaps w:val="false"/>
        </w:rPr>
      </w:pPr>
      <w:r>
        <w:rPr>
          <w:caps w:val="false"/>
          <w:smallCaps w:val="false"/>
        </w:rPr>
        <w:t> </w:t>
      </w:r>
    </w:p>
    <w:p>
      <w:pPr>
        <w:pStyle w:val="TextBody"/>
        <w:bidi w:val="0"/>
        <w:spacing w:lineRule="auto" w:line="276"/>
        <w:jc w:val="both"/>
        <w:rPr>
          <w:caps w:val="false"/>
          <w:smallCaps w:val="false"/>
        </w:rPr>
      </w:pPr>
      <w:r>
        <w:rPr>
          <w:caps w:val="false"/>
          <w:smallCaps w:val="false"/>
        </w:rPr>
        <w:t> </w:t>
      </w:r>
    </w:p>
    <w:tbl>
      <w:tblPr>
        <w:tblW w:w="590" w:type="dxa"/>
        <w:jc w:val="left"/>
        <w:tblInd w:w="0" w:type="dxa"/>
        <w:tblLayout w:type="fixed"/>
        <w:tblCellMar>
          <w:top w:w="0" w:type="dxa"/>
          <w:left w:w="0" w:type="dxa"/>
          <w:bottom w:w="0" w:type="dxa"/>
          <w:right w:w="0" w:type="dxa"/>
        </w:tblCellMar>
      </w:tblPr>
      <w:tblGrid>
        <w:gridCol w:w="105"/>
        <w:gridCol w:w="350"/>
        <w:gridCol w:w="135"/>
      </w:tblGrid>
      <w:tr>
        <w:trPr/>
        <w:tc>
          <w:tcPr>
            <w:tcW w:w="10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 </w:t>
            </w:r>
            <w:r>
              <w:rPr/>
              <w:t>10</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lineRule="auto" w:line="276"/>
        <w:jc w:val="left"/>
        <w:rPr>
          <w:caps w:val="false"/>
          <w:smallCaps w:val="false"/>
        </w:rPr>
      </w:pPr>
      <w:r>
        <w:rPr>
          <w:caps w:val="false"/>
          <w:smallCaps w:val="false"/>
        </w:rPr>
        <w:t> </w:t>
      </w:r>
    </w:p>
    <w:p>
      <w:pPr>
        <w:pStyle w:val="TextBody"/>
        <w:bidi w:val="0"/>
        <w:spacing w:lineRule="auto" w:line="333"/>
        <w:jc w:val="left"/>
        <w:rPr>
          <w:rFonts w:ascii="Times New Roman;Times;Serif" w:hAnsi="Times New Roman;Times;Serif"/>
          <w:b/>
          <w:i w:val="false"/>
          <w:caps w:val="false"/>
          <w:smallCaps w:val="false"/>
          <w:sz w:val="32"/>
        </w:rPr>
      </w:pPr>
      <w:bookmarkStart w:id="6" w:name="principal"/>
      <w:bookmarkEnd w:id="6"/>
      <w:r>
        <w:rPr>
          <w:rFonts w:ascii="Times New Roman;Times;Serif" w:hAnsi="Times New Roman;Times;Serif"/>
          <w:b/>
          <w:i w:val="false"/>
          <w:caps w:val="false"/>
          <w:smallCaps w:val="false"/>
          <w:sz w:val="32"/>
        </w:rPr>
        <w:t>PRINCIPAL ACCOUNTANT FEES AND SERVICES</w:t>
      </w:r>
    </w:p>
    <w:p>
      <w:pPr>
        <w:pStyle w:val="TextBody"/>
        <w:bidi w:val="0"/>
        <w:spacing w:lineRule="auto" w:line="316"/>
        <w:jc w:val="left"/>
        <w:rPr>
          <w:caps w:val="false"/>
          <w:smallCaps w:val="false"/>
        </w:rPr>
      </w:pPr>
      <w:r>
        <w:rPr>
          <w:caps w:val="false"/>
          <w:smallCaps w:val="false"/>
        </w:rPr>
        <w:t> </w:t>
      </w:r>
    </w:p>
    <w:p>
      <w:pPr>
        <w:pStyle w:val="TextBody"/>
        <w:bidi w:val="0"/>
        <w:spacing w:lineRule="auto" w:line="27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aggregate fees by categories specified below in connection with certain professional services rendered by Deloitte for the periods indicated.</w:t>
      </w:r>
    </w:p>
    <w:p>
      <w:pPr>
        <w:pStyle w:val="TextBody"/>
        <w:bidi w:val="0"/>
        <w:spacing w:lineRule="auto" w:line="316"/>
        <w:jc w:val="left"/>
        <w:rPr>
          <w:caps w:val="false"/>
          <w:smallCaps w:val="false"/>
        </w:rPr>
      </w:pPr>
      <w:r>
        <w:rPr>
          <w:caps w:val="false"/>
          <w:smallCaps w:val="false"/>
        </w:rPr>
        <w:t> </w:t>
      </w:r>
    </w:p>
    <w:tbl>
      <w:tblPr>
        <w:tblW w:w="5685" w:type="dxa"/>
        <w:jc w:val="left"/>
        <w:tblInd w:w="0" w:type="dxa"/>
        <w:tblLayout w:type="fixed"/>
        <w:tblCellMar>
          <w:top w:w="0" w:type="dxa"/>
          <w:left w:w="0" w:type="dxa"/>
          <w:bottom w:w="0" w:type="dxa"/>
          <w:right w:w="0" w:type="dxa"/>
        </w:tblCellMar>
      </w:tblPr>
      <w:tblGrid>
        <w:gridCol w:w="2930"/>
        <w:gridCol w:w="90"/>
        <w:gridCol w:w="330"/>
        <w:gridCol w:w="1055"/>
        <w:gridCol w:w="90"/>
        <w:gridCol w:w="90"/>
        <w:gridCol w:w="1100"/>
      </w:tblGrid>
      <w:tr>
        <w:trPr/>
        <w:tc>
          <w:tcPr>
            <w:tcW w:w="2930" w:type="dxa"/>
            <w:tcBorders/>
            <w:vAlign w:val="center"/>
          </w:tcPr>
          <w:p>
            <w:pPr>
              <w:pStyle w:val="TableContents"/>
              <w:bidi w:val="0"/>
              <w:spacing w:before="0" w:after="283"/>
              <w:jc w:val="left"/>
              <w:rPr>
                <w:b/>
                <w:sz w:val="20"/>
              </w:rPr>
            </w:pPr>
            <w:r>
              <w:rPr>
                <w:b/>
                <w:sz w:val="20"/>
              </w:rPr>
              <w:t>For the Year Ended December 31,</w:t>
            </w:r>
          </w:p>
        </w:tc>
        <w:tc>
          <w:tcPr>
            <w:tcW w:w="90" w:type="dxa"/>
            <w:tcBorders/>
            <w:vAlign w:val="center"/>
          </w:tcPr>
          <w:p>
            <w:pPr>
              <w:pStyle w:val="TableContents"/>
              <w:bidi w:val="0"/>
              <w:spacing w:before="0" w:after="283"/>
              <w:jc w:val="left"/>
              <w:rPr/>
            </w:pPr>
            <w:r>
              <w:rPr/>
              <w:t> </w:t>
            </w:r>
          </w:p>
        </w:tc>
        <w:tc>
          <w:tcPr>
            <w:tcW w:w="1385" w:type="dxa"/>
            <w:gridSpan w:val="2"/>
            <w:tcBorders/>
            <w:vAlign w:val="center"/>
          </w:tcPr>
          <w:p>
            <w:pPr>
              <w:pStyle w:val="TableContents"/>
              <w:bidi w:val="0"/>
              <w:spacing w:before="0" w:after="283"/>
              <w:jc w:val="center"/>
              <w:rPr>
                <w:b/>
                <w:sz w:val="20"/>
              </w:rPr>
            </w:pPr>
            <w:r>
              <w:rPr>
                <w:b/>
                <w:sz w:val="20"/>
              </w:rPr>
              <w:t>2024</w:t>
            </w:r>
          </w:p>
        </w:tc>
        <w:tc>
          <w:tcPr>
            <w:tcW w:w="9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sz w:val="20"/>
              </w:rPr>
            </w:pPr>
            <w:r>
              <w:rPr>
                <w:b/>
                <w:sz w:val="20"/>
              </w:rPr>
              <w:t>2025</w:t>
            </w:r>
          </w:p>
        </w:tc>
      </w:tr>
      <w:tr>
        <w:trPr/>
        <w:tc>
          <w:tcPr>
            <w:tcW w:w="2930" w:type="dxa"/>
            <w:tcBorders>
              <w:top w:val="single" w:sz="8" w:space="0" w:color="000000"/>
            </w:tcBorders>
            <w:shd w:fill="CCEEFF" w:val="clear"/>
            <w:tcMar>
              <w:top w:w="33" w:type="dxa"/>
            </w:tcMar>
            <w:vAlign w:val="center"/>
          </w:tcPr>
          <w:p>
            <w:pPr>
              <w:pStyle w:val="TableContents"/>
              <w:bidi w:val="0"/>
              <w:spacing w:before="0" w:after="283"/>
              <w:jc w:val="left"/>
              <w:rPr>
                <w:sz w:val="20"/>
              </w:rPr>
            </w:pPr>
            <w:r>
              <w:rPr>
                <w:sz w:val="20"/>
              </w:rPr>
              <w:t xml:space="preserve">Audit Fees </w:t>
            </w:r>
            <w:r>
              <w:rPr>
                <w:position w:val="7"/>
                <w:sz w:val="16"/>
                <w:sz w:val="20"/>
              </w:rPr>
              <w:t>(a)</w:t>
            </w:r>
          </w:p>
        </w:tc>
        <w:tc>
          <w:tcPr>
            <w:tcW w:w="90" w:type="dxa"/>
            <w:tcBorders/>
            <w:shd w:fill="CCEEFF" w:val="clear"/>
            <w:vAlign w:val="center"/>
          </w:tcPr>
          <w:p>
            <w:pPr>
              <w:pStyle w:val="TableContents"/>
              <w:bidi w:val="0"/>
              <w:spacing w:before="0" w:after="283"/>
              <w:jc w:val="left"/>
              <w:rPr/>
            </w:pPr>
            <w:r>
              <w:rPr/>
              <w:t> </w:t>
            </w:r>
          </w:p>
        </w:tc>
        <w:tc>
          <w:tcPr>
            <w:tcW w:w="1385" w:type="dxa"/>
            <w:gridSpan w:val="2"/>
            <w:tcBorders>
              <w:top w:val="single" w:sz="8" w:space="0" w:color="000000"/>
            </w:tcBorders>
            <w:shd w:fill="CCEEFF" w:val="clear"/>
            <w:tcMar>
              <w:top w:w="53" w:type="dxa"/>
            </w:tcMar>
            <w:vAlign w:val="center"/>
          </w:tcPr>
          <w:p>
            <w:pPr>
              <w:pStyle w:val="TableContents"/>
              <w:bidi w:val="0"/>
              <w:spacing w:before="0" w:after="283"/>
              <w:jc w:val="right"/>
              <w:rPr>
                <w:sz w:val="20"/>
              </w:rPr>
            </w:pPr>
            <w:r>
              <w:rPr>
                <w:sz w:val="20"/>
              </w:rPr>
              <w:t>$2.0 million</w:t>
            </w:r>
          </w:p>
        </w:tc>
        <w:tc>
          <w:tcPr>
            <w:tcW w:w="90" w:type="dxa"/>
            <w:tcBorders/>
            <w:shd w:fill="CCEEFF" w:val="clear"/>
            <w:vAlign w:val="center"/>
          </w:tcPr>
          <w:p>
            <w:pPr>
              <w:pStyle w:val="TableContents"/>
              <w:bidi w:val="0"/>
              <w:spacing w:before="0" w:after="283"/>
              <w:jc w:val="left"/>
              <w:rPr/>
            </w:pPr>
            <w:r>
              <w:rPr/>
              <w:t> </w:t>
            </w:r>
          </w:p>
        </w:tc>
        <w:tc>
          <w:tcPr>
            <w:tcW w:w="90" w:type="dxa"/>
            <w:tcBorders>
              <w:top w:val="single" w:sz="8" w:space="0" w:color="000000"/>
            </w:tcBorders>
            <w:shd w:fill="CCEEFF" w:val="clear"/>
            <w:tcMar>
              <w:top w:w="33" w:type="dxa"/>
            </w:tcMar>
            <w:vAlign w:val="center"/>
          </w:tcPr>
          <w:p>
            <w:pPr>
              <w:pStyle w:val="TableContents"/>
              <w:bidi w:val="0"/>
              <w:spacing w:before="0" w:after="283"/>
              <w:jc w:val="right"/>
              <w:rPr/>
            </w:pPr>
            <w:r>
              <w:rPr/>
              <w:t> </w:t>
            </w:r>
          </w:p>
        </w:tc>
        <w:tc>
          <w:tcPr>
            <w:tcW w:w="1100" w:type="dxa"/>
            <w:tcBorders>
              <w:top w:val="single" w:sz="8" w:space="0" w:color="000000"/>
            </w:tcBorders>
            <w:shd w:fill="CCEEFF" w:val="clear"/>
            <w:tcMar>
              <w:top w:w="33" w:type="dxa"/>
            </w:tcMar>
            <w:vAlign w:val="center"/>
          </w:tcPr>
          <w:p>
            <w:pPr>
              <w:pStyle w:val="TableContents"/>
              <w:bidi w:val="0"/>
              <w:spacing w:before="0" w:after="283"/>
              <w:jc w:val="right"/>
              <w:rPr>
                <w:sz w:val="20"/>
              </w:rPr>
            </w:pPr>
            <w:r>
              <w:rPr>
                <w:sz w:val="20"/>
              </w:rPr>
              <w:t>$2.4 million</w:t>
            </w:r>
          </w:p>
        </w:tc>
      </w:tr>
      <w:tr>
        <w:trPr/>
        <w:tc>
          <w:tcPr>
            <w:tcW w:w="2930" w:type="dxa"/>
            <w:tcBorders/>
            <w:shd w:fill="FFFFFF" w:val="clear"/>
            <w:vAlign w:val="center"/>
          </w:tcPr>
          <w:p>
            <w:pPr>
              <w:pStyle w:val="TableContents"/>
              <w:bidi w:val="0"/>
              <w:spacing w:before="0" w:after="283"/>
              <w:jc w:val="left"/>
              <w:rPr>
                <w:sz w:val="20"/>
              </w:rPr>
            </w:pPr>
            <w:r>
              <w:rPr>
                <w:sz w:val="20"/>
              </w:rPr>
              <w:t xml:space="preserve">Audit-Related Fees </w:t>
            </w:r>
            <w:r>
              <w:rPr>
                <w:position w:val="7"/>
                <w:sz w:val="16"/>
                <w:sz w:val="20"/>
              </w:rPr>
              <w:t>(b)</w:t>
            </w:r>
          </w:p>
        </w:tc>
        <w:tc>
          <w:tcPr>
            <w:tcW w:w="90" w:type="dxa"/>
            <w:tcBorders/>
            <w:shd w:fill="FFFFFF" w:val="clear"/>
            <w:vAlign w:val="center"/>
          </w:tcPr>
          <w:p>
            <w:pPr>
              <w:pStyle w:val="TableContents"/>
              <w:bidi w:val="0"/>
              <w:spacing w:before="0" w:after="283"/>
              <w:jc w:val="left"/>
              <w:rPr/>
            </w:pPr>
            <w:r>
              <w:rPr/>
              <w:t> </w:t>
            </w:r>
          </w:p>
        </w:tc>
        <w:tc>
          <w:tcPr>
            <w:tcW w:w="33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1190" w:type="dxa"/>
            <w:gridSpan w:val="2"/>
            <w:tcBorders/>
            <w:shd w:fill="FFFFFF" w:val="clear"/>
            <w:vAlign w:val="center"/>
          </w:tcPr>
          <w:p>
            <w:pPr>
              <w:pStyle w:val="TableContents"/>
              <w:bidi w:val="0"/>
              <w:spacing w:before="0" w:after="283"/>
              <w:jc w:val="right"/>
              <w:rPr>
                <w:sz w:val="20"/>
              </w:rPr>
            </w:pPr>
            <w:r>
              <w:rPr>
                <w:sz w:val="20"/>
              </w:rPr>
              <w:t>$0.1 million</w:t>
            </w:r>
          </w:p>
        </w:tc>
      </w:tr>
      <w:tr>
        <w:trPr/>
        <w:tc>
          <w:tcPr>
            <w:tcW w:w="2930" w:type="dxa"/>
            <w:tcBorders/>
            <w:shd w:fill="CCEEFF" w:val="clear"/>
            <w:vAlign w:val="center"/>
          </w:tcPr>
          <w:p>
            <w:pPr>
              <w:pStyle w:val="TableContents"/>
              <w:bidi w:val="0"/>
              <w:spacing w:before="0" w:after="283"/>
              <w:jc w:val="left"/>
              <w:rPr>
                <w:sz w:val="20"/>
              </w:rPr>
            </w:pPr>
            <w:r>
              <w:rPr>
                <w:sz w:val="20"/>
              </w:rPr>
              <w:t xml:space="preserve">Tax Fees </w:t>
            </w:r>
            <w:r>
              <w:rPr>
                <w:position w:val="7"/>
                <w:sz w:val="16"/>
                <w:sz w:val="20"/>
              </w:rPr>
              <w:t>(c)</w:t>
            </w:r>
          </w:p>
        </w:tc>
        <w:tc>
          <w:tcPr>
            <w:tcW w:w="90" w:type="dxa"/>
            <w:tcBorders/>
            <w:shd w:fill="CCEEFF" w:val="clear"/>
            <w:vAlign w:val="center"/>
          </w:tcPr>
          <w:p>
            <w:pPr>
              <w:pStyle w:val="TableContents"/>
              <w:bidi w:val="0"/>
              <w:spacing w:before="0" w:after="283"/>
              <w:jc w:val="left"/>
              <w:rPr/>
            </w:pPr>
            <w:r>
              <w:rPr/>
              <w:t> </w:t>
            </w:r>
          </w:p>
        </w:tc>
        <w:tc>
          <w:tcPr>
            <w:tcW w:w="1385" w:type="dxa"/>
            <w:gridSpan w:val="2"/>
            <w:tcBorders/>
            <w:shd w:fill="CCEEFF" w:val="clear"/>
            <w:vAlign w:val="center"/>
          </w:tcPr>
          <w:p>
            <w:pPr>
              <w:pStyle w:val="TableContents"/>
              <w:bidi w:val="0"/>
              <w:spacing w:before="0" w:after="283"/>
              <w:jc w:val="right"/>
              <w:rPr>
                <w:sz w:val="20"/>
              </w:rPr>
            </w:pPr>
            <w:r>
              <w:rPr>
                <w:sz w:val="20"/>
              </w:rPr>
              <w:t>$0.1 million</w:t>
            </w:r>
          </w:p>
        </w:tc>
        <w:tc>
          <w:tcPr>
            <w:tcW w:w="90" w:type="dxa"/>
            <w:tcBorders/>
            <w:shd w:fill="CCEEFF" w:val="clear"/>
            <w:vAlign w:val="center"/>
          </w:tcPr>
          <w:p>
            <w:pPr>
              <w:pStyle w:val="TableContents"/>
              <w:bidi w:val="0"/>
              <w:spacing w:before="0" w:after="283"/>
              <w:jc w:val="left"/>
              <w:rPr/>
            </w:pPr>
            <w:r>
              <w:rPr/>
              <w:t> </w:t>
            </w:r>
          </w:p>
        </w:tc>
        <w:tc>
          <w:tcPr>
            <w:tcW w:w="1190" w:type="dxa"/>
            <w:gridSpan w:val="2"/>
            <w:tcBorders/>
            <w:shd w:fill="CCEEFF" w:val="clear"/>
            <w:vAlign w:val="center"/>
          </w:tcPr>
          <w:p>
            <w:pPr>
              <w:pStyle w:val="TableContents"/>
              <w:bidi w:val="0"/>
              <w:spacing w:before="0" w:after="283"/>
              <w:jc w:val="right"/>
              <w:rPr/>
            </w:pPr>
            <w:r>
              <w:rPr/>
              <w:t>—</w:t>
            </w:r>
          </w:p>
        </w:tc>
      </w:tr>
      <w:tr>
        <w:trPr/>
        <w:tc>
          <w:tcPr>
            <w:tcW w:w="2930" w:type="dxa"/>
            <w:tcBorders/>
            <w:shd w:fill="FFFFFF" w:val="clear"/>
            <w:vAlign w:val="center"/>
          </w:tcPr>
          <w:p>
            <w:pPr>
              <w:pStyle w:val="TableContents"/>
              <w:bidi w:val="0"/>
              <w:spacing w:before="0" w:after="283"/>
              <w:jc w:val="left"/>
              <w:rPr>
                <w:sz w:val="20"/>
              </w:rPr>
            </w:pPr>
            <w:r>
              <w:rPr>
                <w:sz w:val="20"/>
              </w:rPr>
              <w:t xml:space="preserve">All other Fees </w:t>
            </w:r>
            <w:r>
              <w:rPr>
                <w:position w:val="7"/>
                <w:sz w:val="16"/>
                <w:sz w:val="20"/>
              </w:rPr>
              <w:t>(d)</w:t>
            </w:r>
          </w:p>
        </w:tc>
        <w:tc>
          <w:tcPr>
            <w:tcW w:w="90" w:type="dxa"/>
            <w:tcBorders/>
            <w:shd w:fill="FFFFFF" w:val="clear"/>
            <w:vAlign w:val="center"/>
          </w:tcPr>
          <w:p>
            <w:pPr>
              <w:pStyle w:val="TableContents"/>
              <w:bidi w:val="0"/>
              <w:spacing w:before="0" w:after="283"/>
              <w:jc w:val="left"/>
              <w:rPr/>
            </w:pPr>
            <w:r>
              <w:rPr/>
              <w:t> </w:t>
            </w:r>
          </w:p>
        </w:tc>
        <w:tc>
          <w:tcPr>
            <w:tcW w:w="1385" w:type="dxa"/>
            <w:gridSpan w:val="2"/>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1190" w:type="dxa"/>
            <w:gridSpan w:val="2"/>
            <w:tcBorders/>
            <w:shd w:fill="FFFFFF" w:val="clear"/>
            <w:vAlign w:val="center"/>
          </w:tcPr>
          <w:p>
            <w:pPr>
              <w:pStyle w:val="TableContents"/>
              <w:bidi w:val="0"/>
              <w:spacing w:before="0" w:after="283"/>
              <w:jc w:val="right"/>
              <w:rPr/>
            </w:pPr>
            <w:r>
              <w:rPr/>
              <w:t>—</w:t>
            </w:r>
          </w:p>
        </w:tc>
      </w:tr>
      <w:tr>
        <w:trPr/>
        <w:tc>
          <w:tcPr>
            <w:tcW w:w="2930" w:type="dxa"/>
            <w:tcBorders/>
            <w:shd w:fill="CCEEFF" w:val="clear"/>
            <w:vAlign w:val="center"/>
          </w:tcPr>
          <w:p>
            <w:pPr>
              <w:pStyle w:val="TableContents"/>
              <w:bidi w:val="0"/>
              <w:spacing w:before="0" w:after="283"/>
              <w:jc w:val="left"/>
              <w:rPr>
                <w:sz w:val="20"/>
              </w:rPr>
            </w:pPr>
            <w:r>
              <w:rPr>
                <w:sz w:val="20"/>
              </w:rPr>
              <w:t>Total</w:t>
            </w:r>
          </w:p>
        </w:tc>
        <w:tc>
          <w:tcPr>
            <w:tcW w:w="90" w:type="dxa"/>
            <w:tcBorders/>
            <w:shd w:fill="CCEEFF" w:val="clear"/>
            <w:vAlign w:val="center"/>
          </w:tcPr>
          <w:p>
            <w:pPr>
              <w:pStyle w:val="TableContents"/>
              <w:bidi w:val="0"/>
              <w:spacing w:before="0" w:after="283"/>
              <w:jc w:val="left"/>
              <w:rPr/>
            </w:pPr>
            <w:r>
              <w:rPr/>
              <w:t> </w:t>
            </w:r>
          </w:p>
        </w:tc>
        <w:tc>
          <w:tcPr>
            <w:tcW w:w="330" w:type="dxa"/>
            <w:tcBorders>
              <w:top w:val="single" w:sz="8" w:space="0" w:color="000000"/>
              <w:bottom w:val="double" w:sz="6" w:space="0" w:color="000000"/>
            </w:tcBorders>
            <w:shd w:fill="CCEEFF" w:val="clear"/>
            <w:tcMar>
              <w:top w:w="33" w:type="dxa"/>
              <w:bottom w:w="30" w:type="dxa"/>
            </w:tcMar>
            <w:vAlign w:val="center"/>
          </w:tcPr>
          <w:p>
            <w:pPr>
              <w:pStyle w:val="TableContents"/>
              <w:bidi w:val="0"/>
              <w:spacing w:before="0" w:after="283"/>
              <w:jc w:val="right"/>
              <w:rPr/>
            </w:pPr>
            <w:r>
              <w:rPr/>
              <w:t> </w:t>
            </w:r>
          </w:p>
        </w:tc>
        <w:tc>
          <w:tcPr>
            <w:tcW w:w="1055" w:type="dxa"/>
            <w:tcBorders>
              <w:top w:val="single" w:sz="8" w:space="0" w:color="000000"/>
              <w:bottom w:val="double" w:sz="6" w:space="0" w:color="000000"/>
            </w:tcBorders>
            <w:shd w:fill="CCEEFF" w:val="clear"/>
            <w:tcMar>
              <w:top w:w="33" w:type="dxa"/>
              <w:bottom w:w="30" w:type="dxa"/>
            </w:tcMar>
            <w:vAlign w:val="center"/>
          </w:tcPr>
          <w:p>
            <w:pPr>
              <w:pStyle w:val="TableContents"/>
              <w:bidi w:val="0"/>
              <w:spacing w:before="0" w:after="283"/>
              <w:jc w:val="right"/>
              <w:rPr>
                <w:sz w:val="20"/>
              </w:rPr>
            </w:pPr>
            <w:r>
              <w:rPr>
                <w:sz w:val="20"/>
              </w:rPr>
              <w:t>$2.1 million</w:t>
            </w:r>
          </w:p>
        </w:tc>
        <w:tc>
          <w:tcPr>
            <w:tcW w:w="90" w:type="dxa"/>
            <w:tcBorders/>
            <w:shd w:fill="CCEEFF" w:val="clear"/>
            <w:vAlign w:val="center"/>
          </w:tcPr>
          <w:p>
            <w:pPr>
              <w:pStyle w:val="TableContents"/>
              <w:bidi w:val="0"/>
              <w:spacing w:before="0" w:after="283"/>
              <w:jc w:val="left"/>
              <w:rPr/>
            </w:pPr>
            <w:r>
              <w:rPr/>
              <w:t> </w:t>
            </w:r>
          </w:p>
        </w:tc>
        <w:tc>
          <w:tcPr>
            <w:tcW w:w="90" w:type="dxa"/>
            <w:tcBorders>
              <w:top w:val="single" w:sz="8" w:space="0" w:color="000000"/>
              <w:bottom w:val="double" w:sz="6" w:space="0" w:color="000000"/>
            </w:tcBorders>
            <w:shd w:fill="CCEEFF" w:val="clear"/>
            <w:tcMar>
              <w:top w:w="33" w:type="dxa"/>
              <w:bottom w:w="30" w:type="dxa"/>
            </w:tcMar>
            <w:vAlign w:val="center"/>
          </w:tcPr>
          <w:p>
            <w:pPr>
              <w:pStyle w:val="TableContents"/>
              <w:bidi w:val="0"/>
              <w:spacing w:before="0" w:after="283"/>
              <w:jc w:val="right"/>
              <w:rPr/>
            </w:pPr>
            <w:r>
              <w:rPr/>
              <w:t> </w:t>
            </w:r>
          </w:p>
        </w:tc>
        <w:tc>
          <w:tcPr>
            <w:tcW w:w="1100" w:type="dxa"/>
            <w:tcBorders>
              <w:top w:val="single" w:sz="8" w:space="0" w:color="000000"/>
              <w:bottom w:val="double" w:sz="6" w:space="0" w:color="000000"/>
            </w:tcBorders>
            <w:shd w:fill="CCEEFF" w:val="clear"/>
            <w:tcMar>
              <w:top w:w="33" w:type="dxa"/>
              <w:bottom w:w="30" w:type="dxa"/>
            </w:tcMar>
            <w:vAlign w:val="center"/>
          </w:tcPr>
          <w:p>
            <w:pPr>
              <w:pStyle w:val="TableContents"/>
              <w:bidi w:val="0"/>
              <w:spacing w:before="0" w:after="283"/>
              <w:jc w:val="right"/>
              <w:rPr>
                <w:sz w:val="20"/>
              </w:rPr>
            </w:pPr>
            <w:r>
              <w:rPr>
                <w:sz w:val="20"/>
              </w:rPr>
              <w:t>$2.5 million</w:t>
            </w:r>
          </w:p>
        </w:tc>
      </w:tr>
    </w:tbl>
    <w:p>
      <w:pPr>
        <w:pStyle w:val="TextBody"/>
        <w:bidi w:val="0"/>
        <w:spacing w:lineRule="auto" w:line="316"/>
        <w:jc w:val="center"/>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58"/>
        <w:gridCol w:w="9880"/>
      </w:tblGrid>
      <w:tr>
        <w:trPr/>
        <w:tc>
          <w:tcPr>
            <w:tcW w:w="67"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pPr>
            <w:r>
              <w:rPr/>
              <w:t>(a)</w:t>
            </w:r>
          </w:p>
        </w:tc>
        <w:tc>
          <w:tcPr>
            <w:tcW w:w="9880" w:type="dxa"/>
            <w:tcBorders/>
            <w:vAlign w:val="center"/>
          </w:tcPr>
          <w:p>
            <w:pPr>
              <w:pStyle w:val="TableContents"/>
              <w:bidi w:val="0"/>
              <w:spacing w:before="0" w:after="283"/>
              <w:jc w:val="both"/>
              <w:rPr>
                <w:shd w:fill="FFFFFF" w:val="clear"/>
              </w:rPr>
            </w:pPr>
            <w:r>
              <w:rPr>
                <w:shd w:fill="FFFFFF" w:val="clear"/>
              </w:rPr>
              <w:t>Audit fees represent fees for services provided in connection with the audit of our consolidated financial statements, review of our interim consolidated financial statements and audit services provided in connection with other statutory or regulatory filings.</w:t>
            </w:r>
          </w:p>
        </w:tc>
      </w:tr>
    </w:tbl>
    <w:tbl>
      <w:tblPr>
        <w:tblW w:w="5000" w:type="pct"/>
        <w:jc w:val="left"/>
        <w:tblInd w:w="0" w:type="dxa"/>
        <w:tblLayout w:type="fixed"/>
        <w:tblCellMar>
          <w:top w:w="0" w:type="dxa"/>
          <w:left w:w="0" w:type="dxa"/>
          <w:bottom w:w="0" w:type="dxa"/>
          <w:right w:w="0" w:type="dxa"/>
        </w:tblCellMar>
      </w:tblPr>
      <w:tblGrid>
        <w:gridCol w:w="67"/>
        <w:gridCol w:w="274"/>
        <w:gridCol w:w="9864"/>
      </w:tblGrid>
      <w:tr>
        <w:trPr/>
        <w:tc>
          <w:tcPr>
            <w:tcW w:w="67"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pPr>
            <w:r>
              <w:rPr/>
              <w:t>(b)</w:t>
            </w:r>
          </w:p>
        </w:tc>
        <w:tc>
          <w:tcPr>
            <w:tcW w:w="9864" w:type="dxa"/>
            <w:tcBorders/>
            <w:vAlign w:val="center"/>
          </w:tcPr>
          <w:p>
            <w:pPr>
              <w:pStyle w:val="TableContents"/>
              <w:bidi w:val="0"/>
              <w:spacing w:before="0" w:after="283"/>
              <w:jc w:val="both"/>
              <w:rPr>
                <w:shd w:fill="FFFFFF" w:val="clear"/>
              </w:rPr>
            </w:pPr>
            <w:r>
              <w:rPr>
                <w:shd w:fill="FFFFFF" w:val="clear"/>
              </w:rPr>
              <w:t>Audit-related fees consist of assurance and related services rendered by the principal accountant related to the performance of the audit or review of our consolidated financial statements, which have not been reported under audit fees above.</w:t>
            </w:r>
          </w:p>
        </w:tc>
      </w:tr>
    </w:tbl>
    <w:tbl>
      <w:tblPr>
        <w:tblW w:w="5000" w:type="pct"/>
        <w:jc w:val="left"/>
        <w:tblInd w:w="0" w:type="dxa"/>
        <w:tblLayout w:type="fixed"/>
        <w:tblCellMar>
          <w:top w:w="0" w:type="dxa"/>
          <w:left w:w="0" w:type="dxa"/>
          <w:bottom w:w="0" w:type="dxa"/>
          <w:right w:w="0" w:type="dxa"/>
        </w:tblCellMar>
      </w:tblPr>
      <w:tblGrid>
        <w:gridCol w:w="67"/>
        <w:gridCol w:w="302"/>
        <w:gridCol w:w="9836"/>
      </w:tblGrid>
      <w:tr>
        <w:trPr/>
        <w:tc>
          <w:tcPr>
            <w:tcW w:w="67"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pPr>
            <w:r>
              <w:rPr/>
              <w:t>(c)</w:t>
            </w:r>
          </w:p>
        </w:tc>
        <w:tc>
          <w:tcPr>
            <w:tcW w:w="9836" w:type="dxa"/>
            <w:tcBorders/>
            <w:vAlign w:val="center"/>
          </w:tcPr>
          <w:p>
            <w:pPr>
              <w:pStyle w:val="TableContents"/>
              <w:bidi w:val="0"/>
              <w:spacing w:before="0" w:after="283"/>
              <w:jc w:val="both"/>
              <w:rPr>
                <w:shd w:fill="FFFFFF" w:val="clear"/>
              </w:rPr>
            </w:pPr>
            <w:r>
              <w:rPr>
                <w:shd w:fill="FFFFFF" w:val="clear"/>
              </w:rPr>
              <w:t>Tax fees represent fees for professional services rendered for tax compliance, tax advice and tax planning.</w:t>
            </w:r>
          </w:p>
        </w:tc>
      </w:tr>
    </w:tbl>
    <w:tbl>
      <w:tblPr>
        <w:tblW w:w="5000" w:type="pct"/>
        <w:jc w:val="left"/>
        <w:tblInd w:w="0" w:type="dxa"/>
        <w:tblLayout w:type="fixed"/>
        <w:tblCellMar>
          <w:top w:w="0" w:type="dxa"/>
          <w:left w:w="0" w:type="dxa"/>
          <w:bottom w:w="0" w:type="dxa"/>
          <w:right w:w="0" w:type="dxa"/>
        </w:tblCellMar>
      </w:tblPr>
      <w:tblGrid>
        <w:gridCol w:w="79"/>
        <w:gridCol w:w="377"/>
        <w:gridCol w:w="9749"/>
      </w:tblGrid>
      <w:tr>
        <w:trPr/>
        <w:tc>
          <w:tcPr>
            <w:tcW w:w="7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pPr>
            <w:r>
              <w:rPr/>
              <w:t>(d)</w:t>
            </w:r>
          </w:p>
        </w:tc>
        <w:tc>
          <w:tcPr>
            <w:tcW w:w="9749" w:type="dxa"/>
            <w:tcBorders/>
            <w:vAlign w:val="center"/>
          </w:tcPr>
          <w:p>
            <w:pPr>
              <w:pStyle w:val="TableContents"/>
              <w:bidi w:val="0"/>
              <w:spacing w:before="0" w:after="283"/>
              <w:jc w:val="both"/>
              <w:rPr>
                <w:shd w:fill="FFFFFF" w:val="clear"/>
              </w:rPr>
            </w:pPr>
            <w:r>
              <w:rPr>
                <w:shd w:fill="FFFFFF" w:val="clear"/>
              </w:rPr>
              <w:t>All other fees include fees for services provided other than the services reported above.</w:t>
            </w:r>
          </w:p>
        </w:tc>
      </w:tr>
    </w:tbl>
    <w:p>
      <w:pPr>
        <w:pStyle w:val="TextBody"/>
        <w:bidi w:val="0"/>
        <w:spacing w:lineRule="auto" w:line="276"/>
        <w:jc w:val="left"/>
        <w:rPr>
          <w:caps w:val="false"/>
          <w:smallCaps w:val="false"/>
        </w:rPr>
      </w:pPr>
      <w:r>
        <w:rPr>
          <w:caps w:val="false"/>
          <w:smallCaps w:val="false"/>
        </w:rPr>
        <w:t> </w:t>
      </w:r>
    </w:p>
    <w:p>
      <w:pPr>
        <w:pStyle w:val="TextBody"/>
        <w:bidi w:val="0"/>
        <w:spacing w:lineRule="auto" w:line="333"/>
        <w:jc w:val="left"/>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Audit Committee Pre-Approval Policies and Procedures</w:t>
      </w:r>
    </w:p>
    <w:p>
      <w:pPr>
        <w:pStyle w:val="TextBody"/>
        <w:bidi w:val="0"/>
        <w:spacing w:lineRule="auto" w:line="276"/>
        <w:jc w:val="left"/>
        <w:rPr>
          <w:caps w:val="false"/>
          <w:smallCaps w:val="false"/>
        </w:rPr>
      </w:pPr>
      <w:r>
        <w:rPr>
          <w:caps w:val="false"/>
          <w:smallCaps w:val="false"/>
        </w:rPr>
        <w:t> </w:t>
      </w:r>
    </w:p>
    <w:p>
      <w:pPr>
        <w:pStyle w:val="TextBody"/>
        <w:bidi w:val="0"/>
        <w:spacing w:lineRule="auto" w:line="27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its regularly scheduled and special meetings or by written consent, the Audit Committee considers and pre-approves any audit and non-audit services to be performed by the Company’s independent accountants. On July 25, 2021, the Audit Committee adopted its pre-approval policies and procedures. Since that date, there have been no audit or non-audit services rendered by the Company’s principal accountants that were not pre-approved.</w:t>
      </w:r>
    </w:p>
    <w:p>
      <w:pPr>
        <w:pStyle w:val="TextBody"/>
        <w:bidi w:val="0"/>
        <w:spacing w:lineRule="auto" w:line="276"/>
        <w:jc w:val="left"/>
        <w:rPr>
          <w:caps w:val="false"/>
          <w:smallCaps w:val="false"/>
        </w:rPr>
      </w:pPr>
      <w:r>
        <w:rPr>
          <w:caps w:val="false"/>
          <w:smallCaps w:val="false"/>
        </w:rPr>
        <w:t> </w:t>
      </w:r>
    </w:p>
    <w:p>
      <w:pPr>
        <w:pStyle w:val="TextBody"/>
        <w:bidi w:val="0"/>
        <w:spacing w:lineRule="auto" w:line="276"/>
        <w:jc w:val="left"/>
        <w:rPr>
          <w:caps w:val="false"/>
          <w:smallCaps w:val="false"/>
        </w:rPr>
      </w:pPr>
      <w:r>
        <w:rPr>
          <w:caps w:val="false"/>
          <w:smallCaps w:val="false"/>
        </w:rPr>
        <w:t> </w:t>
      </w:r>
    </w:p>
    <w:p>
      <w:pPr>
        <w:pStyle w:val="TextBody"/>
        <w:bidi w:val="0"/>
        <w:spacing w:lineRule="auto" w:line="276"/>
        <w:jc w:val="left"/>
        <w:rPr>
          <w:caps w:val="false"/>
          <w:smallCaps w:val="false"/>
        </w:rPr>
      </w:pPr>
      <w:r>
        <w:rPr>
          <w:caps w:val="false"/>
          <w:smallCaps w:val="false"/>
        </w:rPr>
        <w:t> </w:t>
      </w:r>
    </w:p>
    <w:p>
      <w:pPr>
        <w:pStyle w:val="TextBody"/>
        <w:bidi w:val="0"/>
        <w:spacing w:lineRule="auto" w:line="276"/>
        <w:jc w:val="left"/>
        <w:rPr>
          <w:caps w:val="false"/>
          <w:smallCaps w:val="false"/>
        </w:rPr>
      </w:pPr>
      <w:r>
        <w:rPr>
          <w:caps w:val="false"/>
          <w:smallCaps w:val="false"/>
        </w:rPr>
        <w:t> </w:t>
      </w:r>
    </w:p>
    <w:p>
      <w:pPr>
        <w:pStyle w:val="TextBody"/>
        <w:bidi w:val="0"/>
        <w:spacing w:lineRule="auto" w:line="276"/>
        <w:jc w:val="left"/>
        <w:rPr>
          <w:caps w:val="false"/>
          <w:smallCaps w:val="false"/>
        </w:rPr>
      </w:pPr>
      <w:r>
        <w:rPr>
          <w:caps w:val="false"/>
          <w:smallCaps w:val="false"/>
        </w:rPr>
        <w:t> </w:t>
      </w:r>
    </w:p>
    <w:p>
      <w:pPr>
        <w:pStyle w:val="TextBody"/>
        <w:bidi w:val="0"/>
        <w:spacing w:lineRule="auto" w:line="276"/>
        <w:jc w:val="left"/>
        <w:rPr>
          <w:caps w:val="false"/>
          <w:smallCaps w:val="false"/>
        </w:rPr>
      </w:pPr>
      <w:r>
        <w:rPr>
          <w:caps w:val="false"/>
          <w:smallCaps w:val="false"/>
        </w:rPr>
        <w:t> </w:t>
      </w:r>
    </w:p>
    <w:p>
      <w:pPr>
        <w:pStyle w:val="TextBody"/>
        <w:bidi w:val="0"/>
        <w:spacing w:lineRule="auto" w:line="276"/>
        <w:jc w:val="left"/>
        <w:rPr>
          <w:caps w:val="false"/>
          <w:smallCaps w:val="false"/>
        </w:rPr>
      </w:pPr>
      <w:r>
        <w:rPr>
          <w:caps w:val="false"/>
          <w:smallCaps w:val="false"/>
        </w:rPr>
        <w:t> </w:t>
      </w:r>
    </w:p>
    <w:p>
      <w:pPr>
        <w:pStyle w:val="TextBody"/>
        <w:bidi w:val="0"/>
        <w:spacing w:lineRule="auto" w:line="276"/>
        <w:jc w:val="left"/>
        <w:rPr>
          <w:caps w:val="false"/>
          <w:smallCaps w:val="false"/>
        </w:rPr>
      </w:pPr>
      <w:r>
        <w:rPr>
          <w:caps w:val="false"/>
          <w:smallCaps w:val="false"/>
        </w:rPr>
        <w:t> </w:t>
      </w:r>
    </w:p>
    <w:p>
      <w:pPr>
        <w:pStyle w:val="TextBody"/>
        <w:bidi w:val="0"/>
        <w:spacing w:lineRule="auto" w:line="276"/>
        <w:jc w:val="left"/>
        <w:rPr>
          <w:caps w:val="false"/>
          <w:smallCaps w:val="false"/>
        </w:rPr>
      </w:pPr>
      <w:r>
        <w:rPr>
          <w:caps w:val="false"/>
          <w:smallCaps w:val="false"/>
        </w:rPr>
        <w:t> </w:t>
      </w:r>
    </w:p>
    <w:p>
      <w:pPr>
        <w:pStyle w:val="TextBody"/>
        <w:bidi w:val="0"/>
        <w:spacing w:lineRule="auto" w:line="276"/>
        <w:jc w:val="left"/>
        <w:rPr>
          <w:caps w:val="false"/>
          <w:smallCaps w:val="false"/>
        </w:rPr>
      </w:pPr>
      <w:r>
        <w:rPr>
          <w:caps w:val="false"/>
          <w:smallCaps w:val="false"/>
        </w:rPr>
        <w:t> </w:t>
      </w:r>
    </w:p>
    <w:p>
      <w:pPr>
        <w:pStyle w:val="TextBody"/>
        <w:bidi w:val="0"/>
        <w:spacing w:lineRule="auto" w:line="276"/>
        <w:jc w:val="left"/>
        <w:rPr>
          <w:caps w:val="false"/>
          <w:smallCaps w:val="false"/>
        </w:rPr>
      </w:pPr>
      <w:r>
        <w:rPr>
          <w:caps w:val="false"/>
          <w:smallCaps w:val="false"/>
        </w:rPr>
        <w:t> </w:t>
      </w:r>
    </w:p>
    <w:p>
      <w:pPr>
        <w:pStyle w:val="TextBody"/>
        <w:bidi w:val="0"/>
        <w:spacing w:lineRule="auto" w:line="276"/>
        <w:jc w:val="left"/>
        <w:rPr>
          <w:caps w:val="false"/>
          <w:smallCaps w:val="false"/>
        </w:rPr>
      </w:pPr>
      <w:r>
        <w:rPr>
          <w:caps w:val="false"/>
          <w:smallCaps w:val="false"/>
        </w:rPr>
        <w:t> </w:t>
      </w:r>
    </w:p>
    <w:p>
      <w:pPr>
        <w:pStyle w:val="TextBody"/>
        <w:bidi w:val="0"/>
        <w:spacing w:lineRule="auto" w:line="276"/>
        <w:jc w:val="left"/>
        <w:rPr>
          <w:caps w:val="false"/>
          <w:smallCaps w:val="false"/>
        </w:rPr>
      </w:pPr>
      <w:r>
        <w:rPr>
          <w:caps w:val="false"/>
          <w:smallCaps w:val="false"/>
        </w:rPr>
        <w:t> </w:t>
      </w:r>
    </w:p>
    <w:p>
      <w:pPr>
        <w:pStyle w:val="TextBody"/>
        <w:bidi w:val="0"/>
        <w:spacing w:lineRule="auto" w:line="276"/>
        <w:jc w:val="left"/>
        <w:rPr>
          <w:caps w:val="false"/>
          <w:smallCaps w:val="false"/>
        </w:rPr>
      </w:pPr>
      <w:r>
        <w:rPr>
          <w:caps w:val="false"/>
          <w:smallCaps w:val="false"/>
        </w:rPr>
        <w:t> </w:t>
      </w:r>
    </w:p>
    <w:p>
      <w:pPr>
        <w:pStyle w:val="TextBody"/>
        <w:bidi w:val="0"/>
        <w:spacing w:lineRule="auto" w:line="276"/>
        <w:jc w:val="left"/>
        <w:rPr>
          <w:caps w:val="false"/>
          <w:smallCaps w:val="false"/>
        </w:rPr>
      </w:pPr>
      <w:r>
        <w:rPr>
          <w:caps w:val="false"/>
          <w:smallCaps w:val="false"/>
        </w:rPr>
        <w:t> </w:t>
      </w:r>
    </w:p>
    <w:p>
      <w:pPr>
        <w:pStyle w:val="TextBody"/>
        <w:bidi w:val="0"/>
        <w:spacing w:lineRule="auto" w:line="276"/>
        <w:jc w:val="left"/>
        <w:rPr>
          <w:caps w:val="false"/>
          <w:smallCaps w:val="false"/>
        </w:rPr>
      </w:pPr>
      <w:r>
        <w:rPr>
          <w:caps w:val="false"/>
          <w:smallCaps w:val="false"/>
        </w:rPr>
        <w:t> </w:t>
      </w:r>
    </w:p>
    <w:p>
      <w:pPr>
        <w:pStyle w:val="TextBody"/>
        <w:bidi w:val="0"/>
        <w:spacing w:lineRule="auto" w:line="276"/>
        <w:jc w:val="left"/>
        <w:rPr>
          <w:caps w:val="false"/>
          <w:smallCaps w:val="false"/>
        </w:rPr>
      </w:pPr>
      <w:r>
        <w:rPr>
          <w:caps w:val="false"/>
          <w:smallCaps w:val="false"/>
        </w:rPr>
        <w:t> </w:t>
      </w:r>
    </w:p>
    <w:p>
      <w:pPr>
        <w:pStyle w:val="TextBody"/>
        <w:bidi w:val="0"/>
        <w:spacing w:lineRule="auto" w:line="276"/>
        <w:jc w:val="left"/>
        <w:rPr>
          <w:caps w:val="false"/>
          <w:smallCaps w:val="false"/>
        </w:rPr>
      </w:pPr>
      <w:r>
        <w:rPr>
          <w:caps w:val="false"/>
          <w:smallCaps w:val="false"/>
        </w:rPr>
        <w:t> </w:t>
      </w:r>
    </w:p>
    <w:p>
      <w:pPr>
        <w:pStyle w:val="TextBody"/>
        <w:bidi w:val="0"/>
        <w:spacing w:lineRule="auto" w:line="276"/>
        <w:jc w:val="left"/>
        <w:rPr>
          <w:caps w:val="false"/>
          <w:smallCaps w:val="false"/>
        </w:rPr>
      </w:pPr>
      <w:r>
        <w:rPr>
          <w:caps w:val="false"/>
          <w:smallCaps w:val="false"/>
        </w:rPr>
        <w:t> </w:t>
      </w:r>
    </w:p>
    <w:p>
      <w:pPr>
        <w:pStyle w:val="TextBody"/>
        <w:bidi w:val="0"/>
        <w:spacing w:lineRule="auto" w:line="276"/>
        <w:jc w:val="left"/>
        <w:rPr>
          <w:caps w:val="false"/>
          <w:smallCaps w:val="false"/>
        </w:rPr>
      </w:pPr>
      <w:r>
        <w:rPr>
          <w:caps w:val="false"/>
          <w:smallCaps w:val="false"/>
        </w:rPr>
        <w:t> </w:t>
      </w:r>
    </w:p>
    <w:tbl>
      <w:tblPr>
        <w:tblW w:w="590" w:type="dxa"/>
        <w:jc w:val="left"/>
        <w:tblInd w:w="0" w:type="dxa"/>
        <w:tblLayout w:type="fixed"/>
        <w:tblCellMar>
          <w:top w:w="0" w:type="dxa"/>
          <w:left w:w="0" w:type="dxa"/>
          <w:bottom w:w="0" w:type="dxa"/>
          <w:right w:w="0" w:type="dxa"/>
        </w:tblCellMar>
      </w:tblPr>
      <w:tblGrid>
        <w:gridCol w:w="105"/>
        <w:gridCol w:w="350"/>
        <w:gridCol w:w="135"/>
      </w:tblGrid>
      <w:tr>
        <w:trPr/>
        <w:tc>
          <w:tcPr>
            <w:tcW w:w="10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 </w:t>
            </w:r>
            <w:r>
              <w:rPr/>
              <w:t>11</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lineRule="auto" w:line="333"/>
        <w:jc w:val="left"/>
        <w:rPr>
          <w:rFonts w:ascii="Times New Roman;Times;Serif" w:hAnsi="Times New Roman;Times;Serif"/>
          <w:b/>
          <w:i w:val="false"/>
          <w:caps w:val="false"/>
          <w:smallCaps w:val="false"/>
          <w:sz w:val="32"/>
        </w:rPr>
      </w:pPr>
      <w:bookmarkStart w:id="7" w:name="ourboard"/>
      <w:bookmarkEnd w:id="7"/>
      <w:r>
        <w:rPr>
          <w:rFonts w:ascii="Times New Roman;Times;Serif" w:hAnsi="Times New Roman;Times;Serif"/>
          <w:b/>
          <w:i w:val="false"/>
          <w:caps w:val="false"/>
          <w:smallCaps w:val="false"/>
          <w:sz w:val="32"/>
        </w:rPr>
        <w:t>OUR BOARD OF DIRECTORS</w:t>
      </w:r>
    </w:p>
    <w:p>
      <w:pPr>
        <w:pStyle w:val="TextBody"/>
        <w:bidi w:val="0"/>
        <w:spacing w:lineRule="auto" w:line="33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information is provided as of the Record Date.</w:t>
      </w:r>
    </w:p>
    <w:tbl>
      <w:tblPr>
        <w:tblW w:w="6720" w:type="dxa"/>
        <w:jc w:val="left"/>
        <w:tblInd w:w="0" w:type="dxa"/>
        <w:tblLayout w:type="fixed"/>
        <w:tblCellMar>
          <w:top w:w="0" w:type="dxa"/>
          <w:left w:w="0" w:type="dxa"/>
          <w:bottom w:w="30" w:type="dxa"/>
          <w:right w:w="0" w:type="dxa"/>
        </w:tblCellMar>
      </w:tblPr>
      <w:tblGrid>
        <w:gridCol w:w="1130"/>
        <w:gridCol w:w="90"/>
        <w:gridCol w:w="380"/>
        <w:gridCol w:w="90"/>
        <w:gridCol w:w="5030"/>
      </w:tblGrid>
      <w:tr>
        <w:trPr/>
        <w:tc>
          <w:tcPr>
            <w:tcW w:w="1130" w:type="dxa"/>
            <w:tcBorders>
              <w:bottom w:val="single" w:sz="8" w:space="0" w:color="000000"/>
            </w:tcBorders>
            <w:vAlign w:val="center"/>
          </w:tcPr>
          <w:p>
            <w:pPr>
              <w:pStyle w:val="TableContents"/>
              <w:bidi w:val="0"/>
              <w:spacing w:before="0" w:after="283"/>
              <w:jc w:val="left"/>
              <w:rPr>
                <w:b/>
                <w:sz w:val="20"/>
              </w:rPr>
            </w:pPr>
            <w:r>
              <w:rPr>
                <w:b/>
                <w:sz w:val="20"/>
              </w:rPr>
              <w:t>Name</w:t>
            </w:r>
          </w:p>
        </w:tc>
        <w:tc>
          <w:tcPr>
            <w:tcW w:w="90" w:type="dxa"/>
            <w:tcBorders/>
            <w:tcMar>
              <w:bottom w:w="0" w:type="dxa"/>
            </w:tcMar>
            <w:vAlign w:val="center"/>
          </w:tcPr>
          <w:p>
            <w:pPr>
              <w:pStyle w:val="TableContents"/>
              <w:bidi w:val="0"/>
              <w:spacing w:before="0" w:after="283"/>
              <w:jc w:val="left"/>
              <w:rPr/>
            </w:pPr>
            <w:r>
              <w:rPr/>
              <w:t> </w:t>
            </w:r>
          </w:p>
        </w:tc>
        <w:tc>
          <w:tcPr>
            <w:tcW w:w="380" w:type="dxa"/>
            <w:tcBorders>
              <w:bottom w:val="single" w:sz="8" w:space="0" w:color="000000"/>
            </w:tcBorders>
            <w:vAlign w:val="center"/>
          </w:tcPr>
          <w:p>
            <w:pPr>
              <w:pStyle w:val="TableContents"/>
              <w:bidi w:val="0"/>
              <w:spacing w:before="0" w:after="283"/>
              <w:jc w:val="center"/>
              <w:rPr>
                <w:b/>
                <w:sz w:val="20"/>
              </w:rPr>
            </w:pPr>
            <w:r>
              <w:rPr>
                <w:b/>
                <w:sz w:val="20"/>
              </w:rPr>
              <w:t>Age</w:t>
            </w:r>
          </w:p>
        </w:tc>
        <w:tc>
          <w:tcPr>
            <w:tcW w:w="90" w:type="dxa"/>
            <w:tcBorders/>
            <w:tcMar>
              <w:bottom w:w="0" w:type="dxa"/>
            </w:tcMar>
            <w:vAlign w:val="center"/>
          </w:tcPr>
          <w:p>
            <w:pPr>
              <w:pStyle w:val="TableContents"/>
              <w:bidi w:val="0"/>
              <w:spacing w:before="0" w:after="283"/>
              <w:jc w:val="left"/>
              <w:rPr/>
            </w:pPr>
            <w:r>
              <w:rPr/>
              <w:t> </w:t>
            </w:r>
          </w:p>
        </w:tc>
        <w:tc>
          <w:tcPr>
            <w:tcW w:w="5030" w:type="dxa"/>
            <w:tcBorders>
              <w:bottom w:val="single" w:sz="8" w:space="0" w:color="000000"/>
            </w:tcBorders>
            <w:vAlign w:val="center"/>
          </w:tcPr>
          <w:p>
            <w:pPr>
              <w:pStyle w:val="TableContents"/>
              <w:bidi w:val="0"/>
              <w:spacing w:before="0" w:after="283"/>
              <w:jc w:val="left"/>
              <w:rPr>
                <w:b/>
                <w:sz w:val="20"/>
              </w:rPr>
            </w:pPr>
            <w:r>
              <w:rPr>
                <w:b/>
                <w:sz w:val="20"/>
              </w:rPr>
              <w:t>Position(s)</w:t>
            </w:r>
          </w:p>
        </w:tc>
      </w:tr>
      <w:tr>
        <w:trPr/>
        <w:tc>
          <w:tcPr>
            <w:tcW w:w="1130" w:type="dxa"/>
            <w:tcBorders/>
            <w:shd w:fill="CCEEFF" w:val="clear"/>
            <w:tcMar>
              <w:bottom w:w="0" w:type="dxa"/>
            </w:tcMar>
            <w:vAlign w:val="center"/>
          </w:tcPr>
          <w:p>
            <w:pPr>
              <w:pStyle w:val="TableContents"/>
              <w:bidi w:val="0"/>
              <w:spacing w:before="0" w:after="283"/>
              <w:jc w:val="left"/>
              <w:rPr>
                <w:sz w:val="20"/>
              </w:rPr>
            </w:pPr>
            <w:r>
              <w:rPr>
                <w:sz w:val="20"/>
              </w:rPr>
              <w:t>Yang Wu</w:t>
            </w:r>
          </w:p>
        </w:tc>
        <w:tc>
          <w:tcPr>
            <w:tcW w:w="90" w:type="dxa"/>
            <w:tcBorders/>
            <w:shd w:fill="CCEEFF" w:val="clear"/>
            <w:tcMar>
              <w:bottom w:w="0" w:type="dxa"/>
            </w:tcMar>
            <w:vAlign w:val="center"/>
          </w:tcPr>
          <w:p>
            <w:pPr>
              <w:pStyle w:val="TableContents"/>
              <w:bidi w:val="0"/>
              <w:spacing w:before="0" w:after="283"/>
              <w:jc w:val="left"/>
              <w:rPr/>
            </w:pPr>
            <w:r>
              <w:rPr/>
              <w:t> </w:t>
            </w:r>
          </w:p>
        </w:tc>
        <w:tc>
          <w:tcPr>
            <w:tcW w:w="380" w:type="dxa"/>
            <w:tcBorders/>
            <w:shd w:fill="CCEEFF" w:val="clear"/>
            <w:tcMar>
              <w:bottom w:w="0" w:type="dxa"/>
            </w:tcMar>
            <w:vAlign w:val="center"/>
          </w:tcPr>
          <w:p>
            <w:pPr>
              <w:pStyle w:val="TableContents"/>
              <w:bidi w:val="0"/>
              <w:spacing w:before="0" w:after="283"/>
              <w:jc w:val="center"/>
              <w:rPr>
                <w:sz w:val="20"/>
              </w:rPr>
            </w:pPr>
            <w:r>
              <w:rPr>
                <w:sz w:val="20"/>
              </w:rPr>
              <w:t>60</w:t>
            </w:r>
          </w:p>
        </w:tc>
        <w:tc>
          <w:tcPr>
            <w:tcW w:w="90" w:type="dxa"/>
            <w:tcBorders/>
            <w:shd w:fill="CCEEFF" w:val="clear"/>
            <w:tcMar>
              <w:bottom w:w="0" w:type="dxa"/>
            </w:tcMar>
            <w:vAlign w:val="center"/>
          </w:tcPr>
          <w:p>
            <w:pPr>
              <w:pStyle w:val="TableContents"/>
              <w:bidi w:val="0"/>
              <w:spacing w:before="0" w:after="283"/>
              <w:jc w:val="left"/>
              <w:rPr/>
            </w:pPr>
            <w:r>
              <w:rPr/>
              <w:t> </w:t>
            </w:r>
          </w:p>
        </w:tc>
        <w:tc>
          <w:tcPr>
            <w:tcW w:w="5030" w:type="dxa"/>
            <w:tcBorders/>
            <w:shd w:fill="CCEEFF" w:val="clear"/>
            <w:tcMar>
              <w:bottom w:w="0" w:type="dxa"/>
            </w:tcMar>
            <w:vAlign w:val="center"/>
          </w:tcPr>
          <w:p>
            <w:pPr>
              <w:pStyle w:val="TableContents"/>
              <w:bidi w:val="0"/>
              <w:spacing w:before="0" w:after="283"/>
              <w:jc w:val="left"/>
              <w:rPr>
                <w:sz w:val="20"/>
              </w:rPr>
            </w:pPr>
            <w:r>
              <w:rPr>
                <w:sz w:val="20"/>
              </w:rPr>
              <w:t>Chief Executive Officer and Chairman of the Board</w:t>
            </w:r>
          </w:p>
        </w:tc>
      </w:tr>
      <w:tr>
        <w:trPr/>
        <w:tc>
          <w:tcPr>
            <w:tcW w:w="1130" w:type="dxa"/>
            <w:tcBorders/>
            <w:tcMar>
              <w:bottom w:w="0" w:type="dxa"/>
            </w:tcMar>
            <w:vAlign w:val="center"/>
          </w:tcPr>
          <w:p>
            <w:pPr>
              <w:pStyle w:val="TableContents"/>
              <w:bidi w:val="0"/>
              <w:spacing w:before="0" w:after="283"/>
              <w:jc w:val="left"/>
              <w:rPr>
                <w:sz w:val="20"/>
              </w:rPr>
            </w:pPr>
            <w:r>
              <w:rPr>
                <w:sz w:val="20"/>
              </w:rPr>
              <w:t>Arthur Wong</w:t>
            </w:r>
          </w:p>
        </w:tc>
        <w:tc>
          <w:tcPr>
            <w:tcW w:w="90" w:type="dxa"/>
            <w:tcBorders/>
            <w:tcMar>
              <w:bottom w:w="0" w:type="dxa"/>
            </w:tcMar>
            <w:vAlign w:val="center"/>
          </w:tcPr>
          <w:p>
            <w:pPr>
              <w:pStyle w:val="TableContents"/>
              <w:bidi w:val="0"/>
              <w:spacing w:before="0" w:after="283"/>
              <w:jc w:val="left"/>
              <w:rPr/>
            </w:pPr>
            <w:r>
              <w:rPr/>
              <w:t> </w:t>
            </w:r>
          </w:p>
        </w:tc>
        <w:tc>
          <w:tcPr>
            <w:tcW w:w="380" w:type="dxa"/>
            <w:tcBorders/>
            <w:tcMar>
              <w:bottom w:w="0" w:type="dxa"/>
            </w:tcMar>
            <w:vAlign w:val="center"/>
          </w:tcPr>
          <w:p>
            <w:pPr>
              <w:pStyle w:val="TableContents"/>
              <w:bidi w:val="0"/>
              <w:spacing w:before="0" w:after="283"/>
              <w:jc w:val="center"/>
              <w:rPr>
                <w:sz w:val="20"/>
              </w:rPr>
            </w:pPr>
            <w:r>
              <w:rPr>
                <w:sz w:val="20"/>
              </w:rPr>
              <w:t>66</w:t>
            </w:r>
          </w:p>
        </w:tc>
        <w:tc>
          <w:tcPr>
            <w:tcW w:w="90" w:type="dxa"/>
            <w:tcBorders/>
            <w:tcMar>
              <w:bottom w:w="0" w:type="dxa"/>
            </w:tcMar>
            <w:vAlign w:val="center"/>
          </w:tcPr>
          <w:p>
            <w:pPr>
              <w:pStyle w:val="TableContents"/>
              <w:bidi w:val="0"/>
              <w:spacing w:before="0" w:after="283"/>
              <w:jc w:val="left"/>
              <w:rPr/>
            </w:pPr>
            <w:r>
              <w:rPr/>
              <w:t> </w:t>
            </w:r>
          </w:p>
        </w:tc>
        <w:tc>
          <w:tcPr>
            <w:tcW w:w="5030" w:type="dxa"/>
            <w:tcBorders/>
            <w:tcMar>
              <w:bottom w:w="0" w:type="dxa"/>
            </w:tcMar>
            <w:vAlign w:val="center"/>
          </w:tcPr>
          <w:p>
            <w:pPr>
              <w:pStyle w:val="TableContents"/>
              <w:bidi w:val="0"/>
              <w:spacing w:before="0" w:after="283"/>
              <w:jc w:val="left"/>
              <w:rPr>
                <w:sz w:val="20"/>
              </w:rPr>
            </w:pPr>
            <w:r>
              <w:rPr>
                <w:sz w:val="20"/>
              </w:rPr>
              <w:t>Director</w:t>
            </w:r>
          </w:p>
        </w:tc>
      </w:tr>
      <w:tr>
        <w:trPr/>
        <w:tc>
          <w:tcPr>
            <w:tcW w:w="1130" w:type="dxa"/>
            <w:tcBorders/>
            <w:shd w:fill="CCEEFF" w:val="clear"/>
            <w:tcMar>
              <w:bottom w:w="0" w:type="dxa"/>
            </w:tcMar>
            <w:vAlign w:val="center"/>
          </w:tcPr>
          <w:p>
            <w:pPr>
              <w:pStyle w:val="TableContents"/>
              <w:bidi w:val="0"/>
              <w:spacing w:before="0" w:after="283"/>
              <w:jc w:val="left"/>
              <w:rPr>
                <w:sz w:val="20"/>
              </w:rPr>
            </w:pPr>
            <w:r>
              <w:rPr>
                <w:sz w:val="20"/>
              </w:rPr>
              <w:t>Yixin Pan</w:t>
            </w:r>
          </w:p>
        </w:tc>
        <w:tc>
          <w:tcPr>
            <w:tcW w:w="90" w:type="dxa"/>
            <w:tcBorders/>
            <w:shd w:fill="CCEEFF" w:val="clear"/>
            <w:tcMar>
              <w:bottom w:w="0" w:type="dxa"/>
            </w:tcMar>
            <w:vAlign w:val="center"/>
          </w:tcPr>
          <w:p>
            <w:pPr>
              <w:pStyle w:val="TableContents"/>
              <w:bidi w:val="0"/>
              <w:spacing w:before="0" w:after="283"/>
              <w:jc w:val="left"/>
              <w:rPr/>
            </w:pPr>
            <w:r>
              <w:rPr/>
              <w:t> </w:t>
            </w:r>
          </w:p>
        </w:tc>
        <w:tc>
          <w:tcPr>
            <w:tcW w:w="380" w:type="dxa"/>
            <w:tcBorders/>
            <w:shd w:fill="CCEEFF" w:val="clear"/>
            <w:tcMar>
              <w:bottom w:w="0" w:type="dxa"/>
            </w:tcMar>
            <w:vAlign w:val="center"/>
          </w:tcPr>
          <w:p>
            <w:pPr>
              <w:pStyle w:val="TableContents"/>
              <w:bidi w:val="0"/>
              <w:spacing w:before="0" w:after="283"/>
              <w:jc w:val="center"/>
              <w:rPr>
                <w:sz w:val="20"/>
              </w:rPr>
            </w:pPr>
            <w:r>
              <w:rPr>
                <w:sz w:val="20"/>
              </w:rPr>
              <w:t>59</w:t>
            </w:r>
          </w:p>
        </w:tc>
        <w:tc>
          <w:tcPr>
            <w:tcW w:w="90" w:type="dxa"/>
            <w:tcBorders/>
            <w:shd w:fill="CCEEFF" w:val="clear"/>
            <w:tcMar>
              <w:bottom w:w="0" w:type="dxa"/>
            </w:tcMar>
            <w:vAlign w:val="center"/>
          </w:tcPr>
          <w:p>
            <w:pPr>
              <w:pStyle w:val="TableContents"/>
              <w:bidi w:val="0"/>
              <w:spacing w:before="0" w:after="283"/>
              <w:jc w:val="left"/>
              <w:rPr/>
            </w:pPr>
            <w:r>
              <w:rPr/>
              <w:t> </w:t>
            </w:r>
          </w:p>
        </w:tc>
        <w:tc>
          <w:tcPr>
            <w:tcW w:w="5030" w:type="dxa"/>
            <w:tcBorders/>
            <w:shd w:fill="CCEEFF" w:val="clear"/>
            <w:tcMar>
              <w:bottom w:w="0" w:type="dxa"/>
            </w:tcMar>
            <w:vAlign w:val="center"/>
          </w:tcPr>
          <w:p>
            <w:pPr>
              <w:pStyle w:val="TableContents"/>
              <w:bidi w:val="0"/>
              <w:spacing w:before="0" w:after="283"/>
              <w:jc w:val="left"/>
              <w:rPr>
                <w:sz w:val="20"/>
              </w:rPr>
            </w:pPr>
            <w:r>
              <w:rPr>
                <w:sz w:val="20"/>
              </w:rPr>
              <w:t>Director</w:t>
            </w:r>
          </w:p>
        </w:tc>
      </w:tr>
      <w:tr>
        <w:trPr/>
        <w:tc>
          <w:tcPr>
            <w:tcW w:w="1130" w:type="dxa"/>
            <w:tcBorders/>
            <w:shd w:fill="FFFFFF" w:val="clear"/>
            <w:tcMar>
              <w:bottom w:w="0" w:type="dxa"/>
            </w:tcMar>
            <w:vAlign w:val="center"/>
          </w:tcPr>
          <w:p>
            <w:pPr>
              <w:pStyle w:val="TableContents"/>
              <w:bidi w:val="0"/>
              <w:spacing w:before="0" w:after="283"/>
              <w:jc w:val="left"/>
              <w:rPr>
                <w:sz w:val="20"/>
              </w:rPr>
            </w:pPr>
            <w:r>
              <w:rPr>
                <w:sz w:val="20"/>
              </w:rPr>
              <w:t>Wei Ying</w:t>
            </w:r>
          </w:p>
        </w:tc>
        <w:tc>
          <w:tcPr>
            <w:tcW w:w="90" w:type="dxa"/>
            <w:tcBorders/>
            <w:shd w:fill="FFFFFF" w:val="clear"/>
            <w:tcMar>
              <w:bottom w:w="0" w:type="dxa"/>
            </w:tcMar>
            <w:vAlign w:val="center"/>
          </w:tcPr>
          <w:p>
            <w:pPr>
              <w:pStyle w:val="TableContents"/>
              <w:bidi w:val="0"/>
              <w:spacing w:before="0" w:after="283"/>
              <w:jc w:val="left"/>
              <w:rPr/>
            </w:pPr>
            <w:r>
              <w:rPr/>
              <w:t> </w:t>
            </w:r>
          </w:p>
        </w:tc>
        <w:tc>
          <w:tcPr>
            <w:tcW w:w="380" w:type="dxa"/>
            <w:tcBorders/>
            <w:shd w:fill="FFFFFF" w:val="clear"/>
            <w:tcMar>
              <w:bottom w:w="0" w:type="dxa"/>
            </w:tcMar>
            <w:vAlign w:val="center"/>
          </w:tcPr>
          <w:p>
            <w:pPr>
              <w:pStyle w:val="TableContents"/>
              <w:bidi w:val="0"/>
              <w:spacing w:before="0" w:after="283"/>
              <w:jc w:val="center"/>
              <w:rPr>
                <w:sz w:val="20"/>
              </w:rPr>
            </w:pPr>
            <w:r>
              <w:rPr>
                <w:sz w:val="20"/>
              </w:rPr>
              <w:t>60</w:t>
            </w:r>
          </w:p>
        </w:tc>
        <w:tc>
          <w:tcPr>
            <w:tcW w:w="90" w:type="dxa"/>
            <w:tcBorders/>
            <w:shd w:fill="FFFFFF" w:val="clear"/>
            <w:tcMar>
              <w:bottom w:w="0" w:type="dxa"/>
            </w:tcMar>
            <w:vAlign w:val="center"/>
          </w:tcPr>
          <w:p>
            <w:pPr>
              <w:pStyle w:val="TableContents"/>
              <w:bidi w:val="0"/>
              <w:spacing w:before="0" w:after="283"/>
              <w:jc w:val="left"/>
              <w:rPr/>
            </w:pPr>
            <w:r>
              <w:rPr/>
              <w:t> </w:t>
            </w:r>
          </w:p>
        </w:tc>
        <w:tc>
          <w:tcPr>
            <w:tcW w:w="5030" w:type="dxa"/>
            <w:tcBorders/>
            <w:shd w:fill="FFFFFF" w:val="clear"/>
            <w:tcMar>
              <w:bottom w:w="0" w:type="dxa"/>
            </w:tcMar>
            <w:vAlign w:val="center"/>
          </w:tcPr>
          <w:p>
            <w:pPr>
              <w:pStyle w:val="TableContents"/>
              <w:bidi w:val="0"/>
              <w:spacing w:before="0" w:after="283"/>
              <w:jc w:val="left"/>
              <w:rPr>
                <w:sz w:val="20"/>
              </w:rPr>
            </w:pPr>
            <w:r>
              <w:rPr>
                <w:sz w:val="20"/>
              </w:rPr>
              <w:t>Director</w:t>
            </w:r>
          </w:p>
        </w:tc>
      </w:tr>
      <w:tr>
        <w:trPr/>
        <w:tc>
          <w:tcPr>
            <w:tcW w:w="1130" w:type="dxa"/>
            <w:tcBorders/>
            <w:shd w:fill="CCEEFF" w:val="clear"/>
            <w:tcMar>
              <w:bottom w:w="0" w:type="dxa"/>
            </w:tcMar>
            <w:vAlign w:val="center"/>
          </w:tcPr>
          <w:p>
            <w:pPr>
              <w:pStyle w:val="TableContents"/>
              <w:bidi w:val="0"/>
              <w:spacing w:before="0" w:after="283"/>
              <w:jc w:val="left"/>
              <w:rPr>
                <w:sz w:val="20"/>
              </w:rPr>
            </w:pPr>
            <w:r>
              <w:rPr>
                <w:sz w:val="20"/>
              </w:rPr>
              <w:t>Isida Tushe</w:t>
            </w:r>
          </w:p>
        </w:tc>
        <w:tc>
          <w:tcPr>
            <w:tcW w:w="90" w:type="dxa"/>
            <w:tcBorders/>
            <w:shd w:fill="CCEEFF" w:val="clear"/>
            <w:tcMar>
              <w:bottom w:w="0" w:type="dxa"/>
            </w:tcMar>
            <w:vAlign w:val="center"/>
          </w:tcPr>
          <w:p>
            <w:pPr>
              <w:pStyle w:val="TableContents"/>
              <w:bidi w:val="0"/>
              <w:spacing w:before="0" w:after="283"/>
              <w:jc w:val="left"/>
              <w:rPr/>
            </w:pPr>
            <w:r>
              <w:rPr/>
              <w:t> </w:t>
            </w:r>
          </w:p>
        </w:tc>
        <w:tc>
          <w:tcPr>
            <w:tcW w:w="380" w:type="dxa"/>
            <w:tcBorders/>
            <w:shd w:fill="CCEEFF" w:val="clear"/>
            <w:tcMar>
              <w:bottom w:w="0" w:type="dxa"/>
            </w:tcMar>
            <w:vAlign w:val="center"/>
          </w:tcPr>
          <w:p>
            <w:pPr>
              <w:pStyle w:val="TableContents"/>
              <w:bidi w:val="0"/>
              <w:spacing w:before="0" w:after="283"/>
              <w:jc w:val="center"/>
              <w:rPr>
                <w:sz w:val="20"/>
              </w:rPr>
            </w:pPr>
            <w:r>
              <w:rPr>
                <w:sz w:val="20"/>
              </w:rPr>
              <w:t>39</w:t>
            </w:r>
          </w:p>
        </w:tc>
        <w:tc>
          <w:tcPr>
            <w:tcW w:w="90" w:type="dxa"/>
            <w:tcBorders/>
            <w:shd w:fill="CCEEFF" w:val="clear"/>
            <w:tcMar>
              <w:bottom w:w="0" w:type="dxa"/>
            </w:tcMar>
            <w:vAlign w:val="center"/>
          </w:tcPr>
          <w:p>
            <w:pPr>
              <w:pStyle w:val="TableContents"/>
              <w:bidi w:val="0"/>
              <w:spacing w:before="0" w:after="283"/>
              <w:jc w:val="left"/>
              <w:rPr/>
            </w:pPr>
            <w:r>
              <w:rPr/>
              <w:t> </w:t>
            </w:r>
          </w:p>
        </w:tc>
        <w:tc>
          <w:tcPr>
            <w:tcW w:w="5030" w:type="dxa"/>
            <w:tcBorders/>
            <w:shd w:fill="CCEEFF" w:val="clear"/>
            <w:tcMar>
              <w:bottom w:w="0" w:type="dxa"/>
            </w:tcMar>
            <w:vAlign w:val="center"/>
          </w:tcPr>
          <w:p>
            <w:pPr>
              <w:pStyle w:val="TableContents"/>
              <w:bidi w:val="0"/>
              <w:spacing w:before="0" w:after="283"/>
              <w:jc w:val="left"/>
              <w:rPr>
                <w:sz w:val="20"/>
              </w:rPr>
            </w:pPr>
            <w:r>
              <w:rPr>
                <w:sz w:val="20"/>
              </w:rPr>
              <w:t>President, General Counsel, Corporate Secretary and Director</w:t>
            </w:r>
          </w:p>
        </w:tc>
      </w:tr>
      <w:tr>
        <w:trPr/>
        <w:tc>
          <w:tcPr>
            <w:tcW w:w="113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380" w:type="dxa"/>
            <w:tcBorders/>
            <w:shd w:fill="FFFFFF" w:val="clear"/>
            <w:tcMar>
              <w:bottom w:w="0" w:type="dxa"/>
            </w:tcMar>
            <w:vAlign w:val="center"/>
          </w:tcPr>
          <w:p>
            <w:pPr>
              <w:pStyle w:val="TableContents"/>
              <w:bidi w:val="0"/>
              <w:spacing w:before="0" w:after="283"/>
              <w:jc w:val="center"/>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5030"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lineRule="auto" w:line="276"/>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caps w:val="false"/>
          <w:smallCaps w:val="false"/>
          <w:sz w:val="20"/>
          <w:shd w:fill="FFFFFF" w:val="clear"/>
        </w:rPr>
        <w:t>Yang Wu</w:t>
      </w:r>
      <w:r>
        <w:rPr>
          <w:rFonts w:ascii="Times New Roman;Times;Serif" w:hAnsi="Times New Roman;Times;Serif"/>
          <w:b w:val="false"/>
          <w:i w:val="false"/>
          <w:caps w:val="false"/>
          <w:smallCaps w:val="false"/>
          <w:sz w:val="20"/>
          <w:shd w:fill="FFFFFF" w:val="clear"/>
        </w:rPr>
        <w:t xml:space="preserve"> was elected to our Board as a Class III director in 2021 and was re-elected in 2024 and serves as our Chief Executive Officer and Chairman of the Board. Mr. Wu is the founder of Microvast and has been its Chairman and Chief Executive Officer since its inception in October 2006. Mr. Wu also served as President of the Company from its inception through April 14, 2022, from January 10, 2023 through August 3, 2023, and from February 5, 2024 through April 17, 2024. From 2000 to 2006, Mr. Wu served as chief executive officer at Omex Environmental Engineering Co., Ltd., a water treatment company, which he founded and which was acquired by Dow Chemical Company in 2006. From 1996 to 2000, Mr. Wu served as chief executive officer and founder of Omex Engineering and Construction Inc. Prior to Omex Engineering and Construction, from 1989 to 1996, Mr. Wu was the founder of World Wide Omex, Inc., an agent for a large oilfield service company. Mr. Wu received his bachelor’s degree from Southwest Petroleum University, Chengdu.</w:t>
      </w:r>
    </w:p>
    <w:p>
      <w:pPr>
        <w:pStyle w:val="TextBody"/>
        <w:bidi w:val="0"/>
        <w:spacing w:lineRule="auto" w:line="276"/>
        <w:jc w:val="both"/>
        <w:rPr>
          <w:caps w:val="false"/>
          <w:smallCaps w:val="false"/>
        </w:rPr>
      </w:pPr>
      <w:r>
        <w:rPr>
          <w:caps w:val="false"/>
          <w:smallCaps w:val="false"/>
        </w:rPr>
        <w:t> </w:t>
      </w:r>
    </w:p>
    <w:p>
      <w:pPr>
        <w:pStyle w:val="TextBody"/>
        <w:bidi w:val="0"/>
        <w:spacing w:lineRule="auto" w:line="276"/>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Mr. Wu is qualified to serve on our Board due to his deep industry expertise and his leadership experience.</w:t>
      </w:r>
    </w:p>
    <w:p>
      <w:pPr>
        <w:pStyle w:val="TextBody"/>
        <w:bidi w:val="0"/>
        <w:spacing w:lineRule="auto" w:line="276"/>
        <w:jc w:val="both"/>
        <w:rPr>
          <w:caps w:val="false"/>
          <w:smallCaps w:val="false"/>
        </w:rPr>
      </w:pPr>
      <w:r>
        <w:rPr>
          <w:caps w:val="false"/>
          <w:smallCaps w:val="false"/>
        </w:rPr>
        <w:t> </w:t>
      </w:r>
    </w:p>
    <w:p>
      <w:pPr>
        <w:pStyle w:val="TextBody"/>
        <w:bidi w:val="0"/>
        <w:spacing w:lineRule="auto" w:line="276"/>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Mr. Wu is a U.S. citizen and resides in the U.S.</w:t>
      </w:r>
    </w:p>
    <w:p>
      <w:pPr>
        <w:pStyle w:val="TextBody"/>
        <w:bidi w:val="0"/>
        <w:spacing w:lineRule="auto" w:line="276"/>
        <w:jc w:val="both"/>
        <w:rPr>
          <w:caps w:val="false"/>
          <w:smallCaps w:val="false"/>
        </w:rPr>
      </w:pPr>
      <w:r>
        <w:rPr>
          <w:caps w:val="false"/>
          <w:smallCaps w:val="false"/>
        </w:rPr>
        <w:t> </w:t>
      </w:r>
    </w:p>
    <w:p>
      <w:pPr>
        <w:pStyle w:val="TextBody"/>
        <w:bidi w:val="0"/>
        <w:spacing w:lineRule="auto" w:line="276" w:before="0" w:after="1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shd w:fill="FFFFFF" w:val="clear"/>
        </w:rPr>
        <w:t>Isida Tushe</w:t>
      </w:r>
      <w:r>
        <w:rPr>
          <w:rFonts w:ascii="Times New Roman;Times;Serif" w:hAnsi="Times New Roman;Times;Serif"/>
          <w:b w:val="false"/>
          <w:i w:val="false"/>
          <w:caps w:val="false"/>
          <w:smallCaps w:val="false"/>
          <w:sz w:val="20"/>
        </w:rPr>
        <w:t xml:space="preserve"> was elected to the Board as a Class III director in 2024 and </w:t>
      </w:r>
      <w:r>
        <w:rPr>
          <w:rFonts w:ascii="Times New Roman;Times;Serif" w:hAnsi="Times New Roman;Times;Serif"/>
          <w:b w:val="false"/>
          <w:i w:val="false"/>
          <w:caps w:val="false"/>
          <w:smallCaps w:val="false"/>
          <w:sz w:val="20"/>
          <w:shd w:fill="FFFFFF" w:val="clear"/>
        </w:rPr>
        <w:t xml:space="preserve">serves as our President, General Counsel and Corporate Secretary. Ms. Tushe has served as the Company’s General Counsel since March 15, 2023 and as the Company’s Corporate Secretary since May 8, 2023 and was appointed as President of the Company on April 18, 2024. </w:t>
      </w:r>
      <w:r>
        <w:rPr>
          <w:rFonts w:ascii="Times New Roman;Times;Serif" w:hAnsi="Times New Roman;Times;Serif"/>
          <w:b w:val="false"/>
          <w:i w:val="false"/>
          <w:caps w:val="false"/>
          <w:smallCaps w:val="false"/>
          <w:sz w:val="20"/>
        </w:rPr>
        <w:t>Prior to joining the Company, Ms. Tushe served as the General Counsel and Corporate Secretary at DC Green Bank and mPhase Technologies, Inc., where she oversaw all legal and compliance matters. Prior to that, Ms. Tushe served as the General Counsel of FFP New Hydro LLC, a developer of low-impact hydroelectric energy generation and storage in the United States, overseeing all legal and lobbying functions. Ms. Tushe has also held various senior positions involving finance, commercial and legal aspects of structured finance, M&amp;A, project finance and development, intellectual property and corporate governance, including as VP and Senior Counsel at Pine Gate Renewables, LLC and as VP of Project Finance and Counsel at Fuel Cell Energy, Inc. (NASDAQ: FCEL).</w:t>
      </w:r>
    </w:p>
    <w:p>
      <w:pPr>
        <w:pStyle w:val="TextBody"/>
        <w:bidi w:val="0"/>
        <w:spacing w:lineRule="auto" w:line="27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Ms. Tushe is qualified to serve on our Board due to her legal and project finance experience, particularly with companies in power generation, renewables and clean technologies.</w:t>
      </w:r>
    </w:p>
    <w:p>
      <w:pPr>
        <w:pStyle w:val="TextBody"/>
        <w:bidi w:val="0"/>
        <w:spacing w:lineRule="auto" w:line="276" w:before="0" w:after="1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Ms. Tushe is a U.S. citizen and resides in the U.S.</w:t>
      </w:r>
    </w:p>
    <w:p>
      <w:pPr>
        <w:pStyle w:val="TextBody"/>
        <w:bidi w:val="0"/>
        <w:spacing w:lineRule="auto" w:line="276"/>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caps w:val="false"/>
          <w:smallCaps w:val="false"/>
          <w:sz w:val="20"/>
          <w:shd w:fill="FFFFFF" w:val="clear"/>
        </w:rPr>
        <w:t>Arthur Wong</w:t>
      </w:r>
      <w:r>
        <w:rPr>
          <w:rFonts w:ascii="Times New Roman;Times;Serif" w:hAnsi="Times New Roman;Times;Serif"/>
          <w:b w:val="false"/>
          <w:i w:val="false"/>
          <w:caps w:val="false"/>
          <w:smallCaps w:val="false"/>
          <w:sz w:val="20"/>
          <w:shd w:fill="FFFFFF" w:val="clear"/>
        </w:rPr>
        <w:t xml:space="preserve"> was elected to the Board as a Class II director in 2021 and was re-elected in 2023. Mr. Wong currently serves as an independent director and Chairman of the audit committee of Daqo New Energy Corp. (NYSE: DQ). From March 2019 to June 2024, Mr. Wong served as an independent director and Chairman of the Audit Committee of Canadian Solar Inc. (NASDAQ: CSIQ). From November 2014 to February 2023, Mr. Wong served as an independent director and Chairman of the Audit Committee of Maple Leaf Educational Systems Limited (HKSE: 1317). From March 2020 to March 2022, Mr. Wong served as an independent director of Tarena International, Inc. (NASDAQ: TEDU). From 2008 to 2018, Mr. Wong served as the Chief Financial Officer for Asia New-Energy, Nobao Renewable Energy, GreenTree Inns Hotel Management Group and Beijing Radio Cultural Transmission Company Limited, sequentially. From 1982 to 2008, Mr. Wong worked for Deloitte Touche Tohmatsu in Hong Kong, San Jose and Beijing over various periods of time, with his last position as a partner in the Beijing office. Mr. Wong received a bachelor’s degree in applied economics from the University of San Francisco and a higher diploma of accountancy from Hong Kong Polytechnic University. He is a member of the American Institute of Certified Public Accountants, the Association of Chartered Certified Accountants and the Hong Kong Institute of Certified Public Accountants.</w:t>
      </w:r>
    </w:p>
    <w:tbl>
      <w:tblPr>
        <w:tblW w:w="590" w:type="dxa"/>
        <w:jc w:val="left"/>
        <w:tblInd w:w="0" w:type="dxa"/>
        <w:tblLayout w:type="fixed"/>
        <w:tblCellMar>
          <w:top w:w="0" w:type="dxa"/>
          <w:left w:w="0" w:type="dxa"/>
          <w:bottom w:w="0" w:type="dxa"/>
          <w:right w:w="0" w:type="dxa"/>
        </w:tblCellMar>
      </w:tblPr>
      <w:tblGrid>
        <w:gridCol w:w="105"/>
        <w:gridCol w:w="350"/>
        <w:gridCol w:w="135"/>
      </w:tblGrid>
      <w:tr>
        <w:trPr/>
        <w:tc>
          <w:tcPr>
            <w:tcW w:w="10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 </w:t>
            </w:r>
            <w:r>
              <w:rPr/>
              <w:t>12</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lineRule="auto" w:line="276"/>
        <w:jc w:val="both"/>
        <w:rPr>
          <w:caps w:val="false"/>
          <w:smallCaps w:val="false"/>
        </w:rPr>
      </w:pPr>
      <w:r>
        <w:rPr>
          <w:caps w:val="false"/>
          <w:smallCaps w:val="false"/>
        </w:rPr>
        <w:t> </w:t>
      </w:r>
    </w:p>
    <w:p>
      <w:pPr>
        <w:pStyle w:val="TextBody"/>
        <w:bidi w:val="0"/>
        <w:spacing w:lineRule="auto" w:line="276"/>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Mr. Wong is qualified to serve on our Board due to his extensive experience and knowledge of accounting and financial matters as well as audit functions.</w:t>
      </w:r>
    </w:p>
    <w:p>
      <w:pPr>
        <w:pStyle w:val="TextBody"/>
        <w:bidi w:val="0"/>
        <w:spacing w:lineRule="auto" w:line="276"/>
        <w:jc w:val="both"/>
        <w:rPr>
          <w:caps w:val="false"/>
          <w:smallCaps w:val="false"/>
        </w:rPr>
      </w:pPr>
      <w:r>
        <w:rPr>
          <w:caps w:val="false"/>
          <w:smallCaps w:val="false"/>
        </w:rPr>
        <w:t> </w:t>
      </w:r>
    </w:p>
    <w:p>
      <w:pPr>
        <w:pStyle w:val="TextBody"/>
        <w:bidi w:val="0"/>
        <w:spacing w:lineRule="auto" w:line="276"/>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Mr. Wong is both a U.K. citizen and a Hong Kong citizen and resides in China.</w:t>
      </w:r>
    </w:p>
    <w:p>
      <w:pPr>
        <w:pStyle w:val="TextBody"/>
        <w:bidi w:val="0"/>
        <w:spacing w:lineRule="auto" w:line="276"/>
        <w:jc w:val="both"/>
        <w:rPr>
          <w:caps w:val="false"/>
          <w:smallCaps w:val="false"/>
        </w:rPr>
      </w:pPr>
      <w:r>
        <w:rPr>
          <w:caps w:val="false"/>
          <w:smallCaps w:val="false"/>
        </w:rPr>
        <w:t> </w:t>
      </w:r>
    </w:p>
    <w:p>
      <w:pPr>
        <w:pStyle w:val="TextBody"/>
        <w:bidi w:val="0"/>
        <w:spacing w:lineRule="auto" w:line="276"/>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Yixin Pan </w:t>
      </w:r>
      <w:r>
        <w:rPr>
          <w:rFonts w:ascii="Times New Roman;Times;Serif" w:hAnsi="Times New Roman;Times;Serif"/>
          <w:b w:val="false"/>
          <w:i w:val="false"/>
          <w:caps w:val="false"/>
          <w:smallCaps w:val="false"/>
          <w:sz w:val="20"/>
        </w:rPr>
        <w:t>was elected to the Board as a Class III director in 2024. Ms. Pan has over 25 years of experience in tech innovation, entrepreneurship, operations, marketing, investment banking, and M&amp;A across multiple industries and for Fortune 500 companies and small emerging technology startups. Most recently, Ms. Pan served as a board member, audit committee member, and the committee chair of the Nomination, Governance and Compensation Committee and the Technology Committee of VIQ Solutions (TSX:VQS). Ms. Pan has served as managing partner of XTVUE, LLC., a boutique investment bank and management consulting firm, since 2008. Ms. Pan earned a Master of Business Administration from Cornell University and a Master of Science in Mechanical Engineering from Northern Illinois University.</w:t>
      </w:r>
    </w:p>
    <w:p>
      <w:pPr>
        <w:pStyle w:val="TextBody"/>
        <w:bidi w:val="0"/>
        <w:spacing w:lineRule="auto" w:line="276"/>
        <w:jc w:val="both"/>
        <w:rPr>
          <w:caps w:val="false"/>
          <w:smallCaps w:val="false"/>
        </w:rPr>
      </w:pPr>
      <w:r>
        <w:rPr>
          <w:caps w:val="false"/>
          <w:smallCaps w:val="false"/>
        </w:rPr>
        <w:t> </w:t>
      </w:r>
    </w:p>
    <w:p>
      <w:pPr>
        <w:pStyle w:val="TextBody"/>
        <w:bidi w:val="0"/>
        <w:spacing w:lineRule="auto" w:line="27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Ms. Pan is qualified to serve on our Board due to her extensive leadership experience and industry knowledge.</w:t>
      </w:r>
    </w:p>
    <w:p>
      <w:pPr>
        <w:pStyle w:val="TextBody"/>
        <w:bidi w:val="0"/>
        <w:spacing w:lineRule="auto" w:line="276"/>
        <w:jc w:val="both"/>
        <w:rPr>
          <w:caps w:val="false"/>
          <w:smallCaps w:val="false"/>
        </w:rPr>
      </w:pPr>
      <w:r>
        <w:rPr>
          <w:caps w:val="false"/>
          <w:smallCaps w:val="false"/>
        </w:rPr>
        <w:t> </w:t>
      </w:r>
    </w:p>
    <w:p>
      <w:pPr>
        <w:pStyle w:val="TextBody"/>
        <w:bidi w:val="0"/>
        <w:spacing w:lineRule="auto" w:line="27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Ms. Pan is a U.S. citizen and resides in the U.S.</w:t>
      </w:r>
    </w:p>
    <w:p>
      <w:pPr>
        <w:pStyle w:val="TextBody"/>
        <w:bidi w:val="0"/>
        <w:spacing w:lineRule="auto" w:line="276"/>
        <w:jc w:val="both"/>
        <w:rPr>
          <w:caps w:val="false"/>
          <w:smallCaps w:val="false"/>
        </w:rPr>
      </w:pPr>
      <w:r>
        <w:rPr>
          <w:caps w:val="false"/>
          <w:smallCaps w:val="false"/>
        </w:rPr>
        <w:t> </w:t>
      </w:r>
    </w:p>
    <w:p>
      <w:pPr>
        <w:pStyle w:val="TextBody"/>
        <w:bidi w:val="0"/>
        <w:spacing w:lineRule="auto" w:line="276"/>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caps w:val="false"/>
          <w:smallCaps w:val="false"/>
          <w:sz w:val="20"/>
          <w:shd w:fill="FFFFFF" w:val="clear"/>
        </w:rPr>
        <w:t>Wei Ying</w:t>
      </w:r>
      <w:r>
        <w:rPr>
          <w:rFonts w:ascii="Times New Roman;Times;Serif" w:hAnsi="Times New Roman;Times;Serif"/>
          <w:b w:val="false"/>
          <w:i w:val="false"/>
          <w:caps w:val="false"/>
          <w:smallCaps w:val="false"/>
          <w:sz w:val="20"/>
          <w:shd w:fill="FFFFFF" w:val="clear"/>
        </w:rPr>
        <w:t> was elected to the Board as a Class I director in 2021. Since December 2014, Mr. Ying has been a managing partner and director of CDH Shanghai Dinghui Bai Fu Investment Management Co., Ltd., a key investment manager entity under CDH Investments Management Limited, and some of its affiliates. Mr. Ying has served as a director of Fountain Set (Holdings) Limited (HKG: 0420) since January 2015, a director of Zhongsheng Group Holdings Limited (OTCMKTS: ZSHGY) since December 2016, a director of Beijing East Environment Energy Technology Co., Ltd. (NEEQ: 831083) since February 2019, a director of Guolian Industry Investment Fund Management (Beijing) Co., Ltd. since February 2014, a director of Ningbo Dingcheng Investment Management Co., Ltd. since March 2018, a director of Shenzhen Tajirui Biomedical Co., Ltd. since July 2018, and as a director of Ningbo Dingyi Asset Management Co., Ltd. since October 2015. Mr. Ying received a bachelor’s degree in accounting from Zhejiang Gongshang University and a Master of Business Administration from the University of San Francisco School of Management. Mr. Ying is a Fund Practitioner and non-practitioner member of China Certified Public Accountant Association.</w:t>
      </w:r>
    </w:p>
    <w:p>
      <w:pPr>
        <w:pStyle w:val="TextBody"/>
        <w:bidi w:val="0"/>
        <w:spacing w:lineRule="auto" w:line="276"/>
        <w:jc w:val="both"/>
        <w:rPr>
          <w:caps w:val="false"/>
          <w:smallCaps w:val="false"/>
        </w:rPr>
      </w:pPr>
      <w:r>
        <w:rPr>
          <w:caps w:val="false"/>
          <w:smallCaps w:val="false"/>
        </w:rPr>
        <w:t> </w:t>
      </w:r>
    </w:p>
    <w:p>
      <w:pPr>
        <w:pStyle w:val="TextBody"/>
        <w:bidi w:val="0"/>
        <w:spacing w:lineRule="auto" w:line="276"/>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Mr. Ying is qualified to serve on our Board due to his extensive leadership experience and industry knowledge.</w:t>
      </w:r>
    </w:p>
    <w:p>
      <w:pPr>
        <w:pStyle w:val="TextBody"/>
        <w:bidi w:val="0"/>
        <w:spacing w:lineRule="auto" w:line="276"/>
        <w:jc w:val="both"/>
        <w:rPr>
          <w:caps w:val="false"/>
          <w:smallCaps w:val="false"/>
        </w:rPr>
      </w:pPr>
      <w:r>
        <w:rPr>
          <w:caps w:val="false"/>
          <w:smallCaps w:val="false"/>
        </w:rPr>
        <w:t> </w:t>
      </w:r>
    </w:p>
    <w:p>
      <w:pPr>
        <w:pStyle w:val="TextBody"/>
        <w:bidi w:val="0"/>
        <w:spacing w:lineRule="auto" w:line="276"/>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Mr. Ying is a Hong Kong citizen and resides in Hong Kong.</w:t>
      </w:r>
    </w:p>
    <w:p>
      <w:pPr>
        <w:pStyle w:val="TextBody"/>
        <w:bidi w:val="0"/>
        <w:spacing w:lineRule="auto" w:line="276"/>
        <w:jc w:val="both"/>
        <w:rPr>
          <w:caps w:val="false"/>
          <w:smallCaps w:val="false"/>
        </w:rPr>
      </w:pPr>
      <w:r>
        <w:rPr>
          <w:caps w:val="false"/>
          <w:smallCaps w:val="false"/>
        </w:rPr>
        <w:t> </w:t>
      </w:r>
    </w:p>
    <w:p>
      <w:pPr>
        <w:pStyle w:val="TextBody"/>
        <w:bidi w:val="0"/>
        <w:spacing w:lineRule="auto" w:line="276"/>
        <w:jc w:val="left"/>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Arrangements and Family Relationships</w:t>
      </w:r>
    </w:p>
    <w:p>
      <w:pPr>
        <w:pStyle w:val="TextBody"/>
        <w:bidi w:val="0"/>
        <w:spacing w:lineRule="auto" w:line="276"/>
        <w:jc w:val="left"/>
        <w:rPr>
          <w:caps w:val="false"/>
          <w:smallCaps w:val="false"/>
        </w:rPr>
      </w:pPr>
      <w:r>
        <w:rPr>
          <w:caps w:val="false"/>
          <w:smallCaps w:val="false"/>
        </w:rPr>
        <w:t> </w:t>
      </w:r>
    </w:p>
    <w:p>
      <w:pPr>
        <w:pStyle w:val="TextBody"/>
        <w:bidi w:val="0"/>
        <w:spacing w:lineRule="auto" w:line="27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Yang Wu and Arthur Wong were nominated by Mr. Wu as Wu Directors. See “C</w:t>
      </w:r>
      <w:r>
        <w:rPr>
          <w:rFonts w:ascii="Times New Roman;Times;Serif" w:hAnsi="Times New Roman;Times;Serif"/>
          <w:b w:val="false"/>
          <w:i w:val="false"/>
          <w:caps w:val="false"/>
          <w:smallCaps w:val="false"/>
          <w:sz w:val="20"/>
        </w:rPr>
        <w:t>ertain Relationships and Related Party Transactions</w:t>
      </w:r>
      <w:r>
        <w:rPr>
          <w:rFonts w:ascii="Times New Roman;Times;Serif" w:hAnsi="Times New Roman;Times;Serif"/>
          <w:b w:val="false"/>
          <w:i w:val="false"/>
          <w:caps w:val="false"/>
          <w:smallCaps w:val="false"/>
          <w:sz w:val="20"/>
          <w:shd w:fill="FFFFFF" w:val="clear"/>
        </w:rPr>
        <w:t>—</w:t>
      </w:r>
      <w:r>
        <w:rPr>
          <w:rFonts w:ascii="Times New Roman;Times;Serif" w:hAnsi="Times New Roman;Times;Serif"/>
          <w:b w:val="false"/>
          <w:i w:val="false"/>
          <w:caps w:val="false"/>
          <w:smallCaps w:val="false"/>
          <w:sz w:val="20"/>
        </w:rPr>
        <w:t>Related Party Transactions</w:t>
      </w:r>
      <w:r>
        <w:rPr>
          <w:rFonts w:ascii="Times New Roman;Times;Serif" w:hAnsi="Times New Roman;Times;Serif"/>
          <w:b w:val="false"/>
          <w:i w:val="false"/>
          <w:caps w:val="false"/>
          <w:smallCaps w:val="false"/>
          <w:sz w:val="20"/>
          <w:shd w:fill="FFFFFF" w:val="clear"/>
        </w:rPr>
        <w:t>—</w:t>
      </w:r>
      <w:r>
        <w:rPr>
          <w:rFonts w:ascii="Times New Roman;Times;Serif" w:hAnsi="Times New Roman;Times;Serif"/>
          <w:b w:val="false"/>
          <w:i w:val="false"/>
          <w:caps w:val="false"/>
          <w:smallCaps w:val="false"/>
          <w:sz w:val="20"/>
        </w:rPr>
        <w:t xml:space="preserve">Stockholders Agreement” </w:t>
      </w:r>
      <w:r>
        <w:rPr>
          <w:rFonts w:ascii="Times New Roman;Times;Serif" w:hAnsi="Times New Roman;Times;Serif"/>
          <w:b w:val="false"/>
          <w:i w:val="false"/>
          <w:caps w:val="false"/>
          <w:smallCaps w:val="false"/>
          <w:sz w:val="20"/>
          <w:shd w:fill="FFFFFF" w:val="clear"/>
        </w:rPr>
        <w:t>for additional details regarding the Wu Directors. There are no family relationships between any of Yang Wu, Isida Tushe, Derek Liu, Yixin Pan, Wei Ying, Arthur Wong, Wenjuan Mattis, Ph.D., Shengxian Wu, Ph.D. or Rodney Worthen and any director, executive officer or any person nominated or chosen by the Company to become a director or executive officer.</w:t>
      </w:r>
    </w:p>
    <w:p>
      <w:pPr>
        <w:pStyle w:val="TextBody"/>
        <w:bidi w:val="0"/>
        <w:spacing w:lineRule="auto" w:line="276"/>
        <w:jc w:val="left"/>
        <w:rPr>
          <w:caps w:val="false"/>
          <w:smallCaps w:val="false"/>
        </w:rPr>
      </w:pPr>
      <w:r>
        <w:rPr>
          <w:caps w:val="false"/>
          <w:smallCaps w:val="false"/>
        </w:rPr>
        <w:t> </w:t>
      </w:r>
    </w:p>
    <w:p>
      <w:pPr>
        <w:pStyle w:val="TextBody"/>
        <w:bidi w:val="0"/>
        <w:spacing w:lineRule="auto" w:line="276"/>
        <w:jc w:val="left"/>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Independence of Directors</w:t>
      </w:r>
    </w:p>
    <w:p>
      <w:pPr>
        <w:pStyle w:val="TextBody"/>
        <w:bidi w:val="0"/>
        <w:spacing w:lineRule="auto" w:line="276"/>
        <w:jc w:val="left"/>
        <w:rPr>
          <w:caps w:val="false"/>
          <w:smallCaps w:val="false"/>
        </w:rPr>
      </w:pPr>
      <w:r>
        <w:rPr>
          <w:caps w:val="false"/>
          <w:smallCaps w:val="false"/>
        </w:rPr>
        <w:t> </w:t>
      </w:r>
    </w:p>
    <w:p>
      <w:pPr>
        <w:pStyle w:val="TextBody"/>
        <w:bidi w:val="0"/>
        <w:spacing w:lineRule="auto" w:line="276"/>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Under applicable SEC rules and the continued listing requirements of Nasdaq (“Nasdaq Rules”), we are required to have a majority of independent directors serving on our Board. Our Board has determined that three of our five directors, namely, Yixin Pan, Wei Ying and Arthur Wong, are independent within the meaning of Nasdaq Rule 5605(a)(2).</w:t>
      </w:r>
    </w:p>
    <w:p>
      <w:pPr>
        <w:pStyle w:val="TextBody"/>
        <w:bidi w:val="0"/>
        <w:spacing w:lineRule="auto" w:line="276"/>
        <w:jc w:val="left"/>
        <w:rPr>
          <w:caps w:val="false"/>
          <w:smallCaps w:val="false"/>
        </w:rPr>
      </w:pPr>
      <w:r>
        <w:rPr>
          <w:caps w:val="false"/>
          <w:smallCaps w:val="false"/>
        </w:rPr>
        <w:t> </w:t>
      </w:r>
    </w:p>
    <w:p>
      <w:pPr>
        <w:pStyle w:val="TextBody"/>
        <w:bidi w:val="0"/>
        <w:spacing w:lineRule="auto" w:line="276"/>
        <w:jc w:val="left"/>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Meeting Attendance</w:t>
      </w:r>
    </w:p>
    <w:p>
      <w:pPr>
        <w:pStyle w:val="TextBody"/>
        <w:bidi w:val="0"/>
        <w:spacing w:lineRule="auto" w:line="276"/>
        <w:jc w:val="left"/>
        <w:rPr>
          <w:caps w:val="false"/>
          <w:smallCaps w:val="false"/>
        </w:rPr>
      </w:pPr>
      <w:r>
        <w:rPr>
          <w:caps w:val="false"/>
          <w:smallCaps w:val="false"/>
        </w:rPr>
        <w:t> </w:t>
      </w:r>
    </w:p>
    <w:tbl>
      <w:tblPr>
        <w:tblW w:w="590" w:type="dxa"/>
        <w:jc w:val="left"/>
        <w:tblInd w:w="0" w:type="dxa"/>
        <w:tblLayout w:type="fixed"/>
        <w:tblCellMar>
          <w:top w:w="0" w:type="dxa"/>
          <w:left w:w="0" w:type="dxa"/>
          <w:bottom w:w="0" w:type="dxa"/>
          <w:right w:w="0" w:type="dxa"/>
        </w:tblCellMar>
      </w:tblPr>
      <w:tblGrid>
        <w:gridCol w:w="105"/>
        <w:gridCol w:w="350"/>
        <w:gridCol w:w="135"/>
      </w:tblGrid>
      <w:tr>
        <w:trPr/>
        <w:tc>
          <w:tcPr>
            <w:tcW w:w="10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 </w:t>
            </w:r>
            <w:r>
              <w:rPr/>
              <w:t>13</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lineRule="auto" w:line="276"/>
        <w:jc w:val="left"/>
        <w:rPr>
          <w:caps w:val="false"/>
          <w:smallCaps w:val="false"/>
        </w:rPr>
      </w:pPr>
      <w:r>
        <w:rPr>
          <w:caps w:val="false"/>
          <w:smallCaps w:val="false"/>
        </w:rPr>
        <w:t> </w:t>
      </w:r>
    </w:p>
    <w:p>
      <w:pPr>
        <w:pStyle w:val="TextBody"/>
        <w:bidi w:val="0"/>
        <w:spacing w:lineRule="auto" w:line="27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Fiscal </w:t>
      </w:r>
      <w:r>
        <w:rPr>
          <w:rFonts w:ascii="Times New Roman;Times;Serif" w:hAnsi="Times New Roman;Times;Serif"/>
          <w:b w:val="false"/>
          <w:i w:val="false"/>
          <w:caps w:val="false"/>
          <w:smallCaps w:val="false"/>
          <w:sz w:val="20"/>
          <w:shd w:fill="FFFFFF" w:val="clear"/>
        </w:rPr>
        <w:t xml:space="preserve">2025, the full Board met 12 times. </w:t>
      </w:r>
      <w:r>
        <w:rPr>
          <w:rFonts w:ascii="Times New Roman;Times;Serif" w:hAnsi="Times New Roman;Times;Serif"/>
          <w:b w:val="false"/>
          <w:i w:val="false"/>
          <w:caps w:val="false"/>
          <w:smallCaps w:val="false"/>
          <w:sz w:val="20"/>
        </w:rPr>
        <w:t xml:space="preserve">Each member of the Board attended or participated in 75% or more </w:t>
      </w:r>
      <w:r>
        <w:rPr>
          <w:rFonts w:ascii="Times New Roman;Times;Serif" w:hAnsi="Times New Roman;Times;Serif"/>
          <w:b w:val="false"/>
          <w:i w:val="false"/>
          <w:caps w:val="false"/>
          <w:smallCaps w:val="false"/>
          <w:sz w:val="20"/>
          <w:shd w:fill="FFFFFF" w:val="clear"/>
        </w:rPr>
        <w:t xml:space="preserve">of the aggregate of: (i) the total number of meetings of the Board (held during the period for which such person has been a director); (ii) the total number of subcommittee meetings of the Board or one of its committees on which such person served; and (iii) the total number of meetings held by all committees of the </w:t>
      </w:r>
      <w:r>
        <w:rPr>
          <w:rFonts w:ascii="Times New Roman;Times;Serif" w:hAnsi="Times New Roman;Times;Serif"/>
          <w:b w:val="false"/>
          <w:i w:val="false"/>
          <w:caps w:val="false"/>
          <w:smallCaps w:val="false"/>
          <w:sz w:val="20"/>
        </w:rPr>
        <w:t>Board on which such person served (during the periods that such person served) during Fiscal 2025.</w:t>
      </w:r>
    </w:p>
    <w:p>
      <w:pPr>
        <w:pStyle w:val="TextBody"/>
        <w:bidi w:val="0"/>
        <w:spacing w:lineRule="auto" w:line="276"/>
        <w:jc w:val="both"/>
        <w:rPr>
          <w:caps w:val="false"/>
          <w:smallCaps w:val="false"/>
        </w:rPr>
      </w:pPr>
      <w:r>
        <w:rPr>
          <w:caps w:val="false"/>
          <w:smallCaps w:val="false"/>
        </w:rPr>
        <w:t> </w:t>
      </w:r>
    </w:p>
    <w:p>
      <w:pPr>
        <w:pStyle w:val="TextBody"/>
        <w:bidi w:val="0"/>
        <w:spacing w:lineRule="auto" w:line="27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our Corporate Governance Guidelines provide that directors are expected to attend the Company’s annual meeting of stockholders.</w:t>
      </w:r>
    </w:p>
    <w:p>
      <w:pPr>
        <w:pStyle w:val="TextBody"/>
        <w:bidi w:val="0"/>
        <w:spacing w:lineRule="auto" w:line="276"/>
        <w:jc w:val="left"/>
        <w:rPr>
          <w:caps w:val="false"/>
          <w:smallCaps w:val="false"/>
        </w:rPr>
      </w:pPr>
      <w:r>
        <w:rPr>
          <w:caps w:val="false"/>
          <w:smallCaps w:val="false"/>
        </w:rPr>
        <w:t> </w:t>
      </w:r>
    </w:p>
    <w:p>
      <w:pPr>
        <w:pStyle w:val="TextBody"/>
        <w:bidi w:val="0"/>
        <w:spacing w:lineRule="auto" w:line="276"/>
        <w:jc w:val="left"/>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Committees of the Board</w:t>
      </w:r>
    </w:p>
    <w:p>
      <w:pPr>
        <w:pStyle w:val="TextBody"/>
        <w:bidi w:val="0"/>
        <w:spacing w:lineRule="auto" w:line="276"/>
        <w:jc w:val="left"/>
        <w:rPr>
          <w:caps w:val="false"/>
          <w:smallCaps w:val="false"/>
        </w:rPr>
      </w:pPr>
      <w:r>
        <w:rPr>
          <w:caps w:val="false"/>
          <w:smallCaps w:val="false"/>
        </w:rPr>
        <w:t> </w:t>
      </w:r>
    </w:p>
    <w:p>
      <w:pPr>
        <w:pStyle w:val="TextBody"/>
        <w:bidi w:val="0"/>
        <w:spacing w:lineRule="auto" w:line="27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Board has an Audit Committee, Nominating and Corporate Governance Committee and Compensation Committee. The Board committees act in an advisory capacity to the full Board, except that the Compensation Committee has direct responsibility for the Chief Executive Officer’s goals, performance and compensation along with compensation of other executive officers, and the Audit Committee has direct responsibility for appointing, replacing, compensating and overseeing our independent registered public accounting firm. Our Board has adopted written charters for each of the standing committees that clearly establish the committees’ respective roles and responsibilities, which are posted to our website at </w:t>
      </w:r>
      <w:r>
        <w:rPr>
          <w:rFonts w:ascii="Times New Roman;Times;Serif" w:hAnsi="Times New Roman;Times;Serif"/>
          <w:b w:val="false"/>
          <w:i/>
          <w:caps w:val="false"/>
          <w:smallCaps w:val="false"/>
          <w:sz w:val="20"/>
        </w:rPr>
        <w:t>https://ir.microvast.com/leadership-governance/documents-charters</w:t>
      </w:r>
      <w:r>
        <w:rPr>
          <w:rFonts w:ascii="Times New Roman;Times;Serif" w:hAnsi="Times New Roman;Times;Serif"/>
          <w:b w:val="false"/>
          <w:i w:val="false"/>
          <w:caps w:val="false"/>
          <w:smallCaps w:val="false"/>
          <w:sz w:val="20"/>
        </w:rPr>
        <w:t>. In addition, each committee has the authority to retain independent, outside professional advisors or experts as it deems advisable or necessary, including the sole authority to retain and terminate any such advisors, to carry out its duties. The Board has determined that each member of the Audit Committee meets the independence requirements under the Nasdaq Rules and the rules and regulations of the SEC applicable to audit committee members. The Board has also determined that each member of the Compensation Committee meets the independence requirements under the Nasdaq Rules and the rules and regulations of the SEC applicable to compensation committee members.</w:t>
      </w:r>
    </w:p>
    <w:p>
      <w:pPr>
        <w:pStyle w:val="TextBody"/>
        <w:bidi w:val="0"/>
        <w:spacing w:lineRule="auto" w:line="276"/>
        <w:jc w:val="both"/>
        <w:rPr>
          <w:caps w:val="false"/>
          <w:smallCaps w:val="false"/>
        </w:rPr>
      </w:pPr>
      <w:r>
        <w:rPr>
          <w:caps w:val="false"/>
          <w:smallCaps w:val="false"/>
        </w:rPr>
        <w:t> </w:t>
      </w:r>
    </w:p>
    <w:p>
      <w:pPr>
        <w:pStyle w:val="TextBody"/>
        <w:bidi w:val="0"/>
        <w:spacing w:lineRule="auto" w:line="276"/>
        <w:jc w:val="left"/>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Audit Committee</w:t>
      </w:r>
    </w:p>
    <w:p>
      <w:pPr>
        <w:pStyle w:val="TextBody"/>
        <w:bidi w:val="0"/>
        <w:spacing w:lineRule="auto" w:line="276"/>
        <w:jc w:val="left"/>
        <w:rPr>
          <w:caps w:val="false"/>
          <w:smallCaps w:val="false"/>
        </w:rPr>
      </w:pPr>
      <w:r>
        <w:rPr>
          <w:caps w:val="false"/>
          <w:smallCaps w:val="false"/>
        </w:rPr>
        <w:t> </w:t>
      </w:r>
    </w:p>
    <w:p>
      <w:pPr>
        <w:pStyle w:val="TextBody"/>
        <w:bidi w:val="0"/>
        <w:spacing w:lineRule="auto" w:line="27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 xml:space="preserve">The Board has established an Audit Committee in accordance with Section 3(a)(58)(A) and Rule 10A-3 under the Exchange Act. Our Audit Committee consists of Ms. Pan, Mr. Wong and Mr. Ying, with Mr. Wong serving as chair and as the audit committee financial expert. </w:t>
      </w:r>
      <w:r>
        <w:rPr>
          <w:rFonts w:ascii="Times New Roman;Times;Serif" w:hAnsi="Times New Roman;Times;Serif"/>
          <w:b w:val="false"/>
          <w:i w:val="false"/>
          <w:caps w:val="false"/>
          <w:smallCaps w:val="false"/>
          <w:sz w:val="20"/>
        </w:rPr>
        <w:t>Under the applicable Nasdaq Rules and rules and regulations of the SEC, our Audit Committee must consist of all independent members. Each of Ms. Pan, Mr. Wong and Mr. Ying is independent under the applicable Nasdaq Rules and rules and regulations of the SEC.</w:t>
      </w:r>
    </w:p>
    <w:p>
      <w:pPr>
        <w:pStyle w:val="TextBody"/>
        <w:bidi w:val="0"/>
        <w:spacing w:lineRule="auto" w:line="276"/>
        <w:jc w:val="both"/>
        <w:rPr>
          <w:caps w:val="false"/>
          <w:smallCaps w:val="false"/>
        </w:rPr>
      </w:pPr>
      <w:r>
        <w:rPr>
          <w:caps w:val="false"/>
          <w:smallCaps w:val="false"/>
        </w:rPr>
        <w:t> </w:t>
      </w:r>
    </w:p>
    <w:p>
      <w:pPr>
        <w:pStyle w:val="TextBody"/>
        <w:bidi w:val="0"/>
        <w:spacing w:lineRule="auto" w:line="27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has adopted an Audit Committee charter, which details the principal functions of the Audit Committee, including:</w:t>
      </w:r>
    </w:p>
    <w:p>
      <w:pPr>
        <w:pStyle w:val="TextBody"/>
        <w:bidi w:val="0"/>
        <w:spacing w:lineRule="auto" w:line="276"/>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140"/>
        <w:gridCol w:w="9998"/>
      </w:tblGrid>
      <w:tr>
        <w:trPr/>
        <w:tc>
          <w:tcPr>
            <w:tcW w:w="6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sz w:val="20"/>
                <w:shd w:fill="FFFFFF" w:val="clear"/>
              </w:rPr>
              <w:t>reviewing and discussing with management and the independent auditor the annual audited financial statements, and recommending to the Board whether the audited financial statements should be included in our Form 10</w:t>
            </w:r>
            <w:r>
              <w:rPr>
                <w:sz w:val="20"/>
              </w:rPr>
              <w:t>-K;</w:t>
            </w:r>
          </w:p>
        </w:tc>
      </w:tr>
    </w:tbl>
    <w:tbl>
      <w:tblPr>
        <w:tblW w:w="5000" w:type="pct"/>
        <w:jc w:val="left"/>
        <w:tblInd w:w="0" w:type="dxa"/>
        <w:tblLayout w:type="fixed"/>
        <w:tblCellMar>
          <w:top w:w="0" w:type="dxa"/>
          <w:left w:w="0" w:type="dxa"/>
          <w:bottom w:w="0" w:type="dxa"/>
          <w:right w:w="0" w:type="dxa"/>
        </w:tblCellMar>
      </w:tblPr>
      <w:tblGrid>
        <w:gridCol w:w="67"/>
        <w:gridCol w:w="140"/>
        <w:gridCol w:w="9998"/>
      </w:tblGrid>
      <w:tr>
        <w:trPr/>
        <w:tc>
          <w:tcPr>
            <w:tcW w:w="6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sz w:val="20"/>
                <w:shd w:fill="FFFFFF" w:val="clear"/>
              </w:rPr>
              <w:t>discussing with management and the independent auditor significant financial reporting issues and judgments made in connection with the preparation of our financial statements</w:t>
            </w:r>
            <w:r>
              <w:rPr>
                <w:sz w:val="20"/>
              </w:rPr>
              <w:t>;</w:t>
            </w:r>
          </w:p>
        </w:tc>
      </w:tr>
    </w:tbl>
    <w:tbl>
      <w:tblPr>
        <w:tblW w:w="5000" w:type="pct"/>
        <w:jc w:val="left"/>
        <w:tblInd w:w="0" w:type="dxa"/>
        <w:tblLayout w:type="fixed"/>
        <w:tblCellMar>
          <w:top w:w="0" w:type="dxa"/>
          <w:left w:w="0" w:type="dxa"/>
          <w:bottom w:w="0" w:type="dxa"/>
          <w:right w:w="0" w:type="dxa"/>
        </w:tblCellMar>
      </w:tblPr>
      <w:tblGrid>
        <w:gridCol w:w="99"/>
        <w:gridCol w:w="206"/>
        <w:gridCol w:w="9900"/>
      </w:tblGrid>
      <w:tr>
        <w:trPr/>
        <w:tc>
          <w:tcPr>
            <w:tcW w:w="9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pPr>
            <w:r>
              <w:rPr>
                <w:sz w:val="20"/>
                <w:shd w:fill="FFFFFF" w:val="clear"/>
              </w:rPr>
              <w:t>discussing with management major risk assessment and risk management policies</w:t>
            </w:r>
            <w:r>
              <w:rPr>
                <w:sz w:val="20"/>
              </w:rPr>
              <w:t>;</w:t>
            </w:r>
          </w:p>
        </w:tc>
      </w:tr>
    </w:tbl>
    <w:tbl>
      <w:tblPr>
        <w:tblW w:w="5000" w:type="pct"/>
        <w:jc w:val="left"/>
        <w:tblInd w:w="0" w:type="dxa"/>
        <w:tblLayout w:type="fixed"/>
        <w:tblCellMar>
          <w:top w:w="0" w:type="dxa"/>
          <w:left w:w="0" w:type="dxa"/>
          <w:bottom w:w="0" w:type="dxa"/>
          <w:right w:w="0" w:type="dxa"/>
        </w:tblCellMar>
      </w:tblPr>
      <w:tblGrid>
        <w:gridCol w:w="145"/>
        <w:gridCol w:w="300"/>
        <w:gridCol w:w="9760"/>
      </w:tblGrid>
      <w:tr>
        <w:trPr/>
        <w:tc>
          <w:tcPr>
            <w:tcW w:w="145"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pPr>
            <w:r>
              <w:rPr/>
              <w:t>•</w:t>
            </w:r>
          </w:p>
        </w:tc>
        <w:tc>
          <w:tcPr>
            <w:tcW w:w="9760" w:type="dxa"/>
            <w:tcBorders/>
            <w:vAlign w:val="center"/>
          </w:tcPr>
          <w:p>
            <w:pPr>
              <w:pStyle w:val="TableContents"/>
              <w:bidi w:val="0"/>
              <w:spacing w:before="0" w:after="283"/>
              <w:jc w:val="both"/>
              <w:rPr/>
            </w:pPr>
            <w:r>
              <w:rPr>
                <w:sz w:val="20"/>
                <w:shd w:fill="FFFFFF" w:val="clear"/>
              </w:rPr>
              <w:t>reviewing and approving all related</w:t>
            </w:r>
            <w:r>
              <w:rPr>
                <w:sz w:val="20"/>
              </w:rPr>
              <w:t xml:space="preserve">-party </w:t>
            </w:r>
            <w:r>
              <w:rPr>
                <w:sz w:val="20"/>
                <w:shd w:fill="FFFFFF" w:val="clear"/>
              </w:rPr>
              <w:t>transactions</w:t>
            </w:r>
            <w:r>
              <w:rPr>
                <w:sz w:val="20"/>
              </w:rPr>
              <w:t>;</w:t>
            </w:r>
          </w:p>
        </w:tc>
      </w:tr>
    </w:tbl>
    <w:tbl>
      <w:tblPr>
        <w:tblW w:w="5000" w:type="pct"/>
        <w:jc w:val="left"/>
        <w:tblInd w:w="0" w:type="dxa"/>
        <w:tblLayout w:type="fixed"/>
        <w:tblCellMar>
          <w:top w:w="0" w:type="dxa"/>
          <w:left w:w="0" w:type="dxa"/>
          <w:bottom w:w="0" w:type="dxa"/>
          <w:right w:w="0" w:type="dxa"/>
        </w:tblCellMar>
      </w:tblPr>
      <w:tblGrid>
        <w:gridCol w:w="84"/>
        <w:gridCol w:w="175"/>
        <w:gridCol w:w="9946"/>
      </w:tblGrid>
      <w:tr>
        <w:trPr/>
        <w:tc>
          <w:tcPr>
            <w:tcW w:w="84"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pPr>
            <w:r>
              <w:rPr/>
              <w:t>•</w:t>
            </w:r>
          </w:p>
        </w:tc>
        <w:tc>
          <w:tcPr>
            <w:tcW w:w="9946" w:type="dxa"/>
            <w:tcBorders/>
            <w:vAlign w:val="center"/>
          </w:tcPr>
          <w:p>
            <w:pPr>
              <w:pStyle w:val="TableContents"/>
              <w:bidi w:val="0"/>
              <w:spacing w:before="0" w:after="283"/>
              <w:jc w:val="both"/>
              <w:rPr/>
            </w:pPr>
            <w:r>
              <w:rPr>
                <w:sz w:val="20"/>
                <w:shd w:fill="FFFFFF" w:val="clear"/>
              </w:rPr>
              <w:t>inquiring and discussing with management our compliance with applicable laws and regulations</w:t>
            </w:r>
            <w:r>
              <w:rPr>
                <w:sz w:val="20"/>
              </w:rPr>
              <w:t>;</w:t>
            </w:r>
          </w:p>
        </w:tc>
      </w:tr>
    </w:tbl>
    <w:tbl>
      <w:tblPr>
        <w:tblW w:w="5000" w:type="pct"/>
        <w:jc w:val="left"/>
        <w:tblInd w:w="0" w:type="dxa"/>
        <w:tblLayout w:type="fixed"/>
        <w:tblCellMar>
          <w:top w:w="0" w:type="dxa"/>
          <w:left w:w="0" w:type="dxa"/>
          <w:bottom w:w="0" w:type="dxa"/>
          <w:right w:w="0" w:type="dxa"/>
        </w:tblCellMar>
      </w:tblPr>
      <w:tblGrid>
        <w:gridCol w:w="139"/>
        <w:gridCol w:w="288"/>
        <w:gridCol w:w="9778"/>
      </w:tblGrid>
      <w:tr>
        <w:trPr/>
        <w:tc>
          <w:tcPr>
            <w:tcW w:w="13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pPr>
            <w:r>
              <w:rPr/>
              <w:t>•</w:t>
            </w:r>
          </w:p>
        </w:tc>
        <w:tc>
          <w:tcPr>
            <w:tcW w:w="9778" w:type="dxa"/>
            <w:tcBorders/>
            <w:vAlign w:val="center"/>
          </w:tcPr>
          <w:p>
            <w:pPr>
              <w:pStyle w:val="TableContents"/>
              <w:bidi w:val="0"/>
              <w:spacing w:before="0" w:after="283"/>
              <w:jc w:val="both"/>
              <w:rPr/>
            </w:pPr>
            <w:r>
              <w:rPr>
                <w:sz w:val="20"/>
                <w:shd w:fill="FFFFFF" w:val="clear"/>
              </w:rPr>
              <w:t>monitoring the independence of the independent auditor</w:t>
            </w:r>
            <w:r>
              <w:rPr>
                <w:sz w:val="20"/>
              </w:rPr>
              <w:t>;</w:t>
            </w:r>
          </w:p>
        </w:tc>
      </w:tr>
    </w:tbl>
    <w:tbl>
      <w:tblPr>
        <w:tblW w:w="5000" w:type="pct"/>
        <w:jc w:val="left"/>
        <w:tblInd w:w="0" w:type="dxa"/>
        <w:tblLayout w:type="fixed"/>
        <w:tblCellMar>
          <w:top w:w="0" w:type="dxa"/>
          <w:left w:w="0" w:type="dxa"/>
          <w:bottom w:w="0" w:type="dxa"/>
          <w:right w:w="0" w:type="dxa"/>
        </w:tblCellMar>
      </w:tblPr>
      <w:tblGrid>
        <w:gridCol w:w="67"/>
        <w:gridCol w:w="140"/>
        <w:gridCol w:w="9998"/>
      </w:tblGrid>
      <w:tr>
        <w:trPr/>
        <w:tc>
          <w:tcPr>
            <w:tcW w:w="6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sz w:val="20"/>
                <w:shd w:fill="FFFFFF" w:val="clear"/>
              </w:rPr>
              <w:t>verifying the rotation of the lead (or coordinating) audit partner having primary responsibility for the audit and the audit partner responsible for reviewing the audit as required by law</w:t>
            </w:r>
            <w:r>
              <w:rPr>
                <w:sz w:val="20"/>
              </w:rPr>
              <w:t>;</w:t>
            </w:r>
          </w:p>
        </w:tc>
      </w:tr>
    </w:tbl>
    <w:tbl>
      <w:tblPr>
        <w:tblW w:w="5000" w:type="pct"/>
        <w:jc w:val="left"/>
        <w:tblInd w:w="0" w:type="dxa"/>
        <w:tblLayout w:type="fixed"/>
        <w:tblCellMar>
          <w:top w:w="0" w:type="dxa"/>
          <w:left w:w="0" w:type="dxa"/>
          <w:bottom w:w="0" w:type="dxa"/>
          <w:right w:w="0" w:type="dxa"/>
        </w:tblCellMar>
      </w:tblPr>
      <w:tblGrid>
        <w:gridCol w:w="67"/>
        <w:gridCol w:w="140"/>
        <w:gridCol w:w="9998"/>
      </w:tblGrid>
      <w:tr>
        <w:trPr/>
        <w:tc>
          <w:tcPr>
            <w:tcW w:w="6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sz w:val="20"/>
                <w:shd w:fill="FFFFFF" w:val="clear"/>
              </w:rPr>
              <w:t>pre</w:t>
            </w:r>
            <w:r>
              <w:rPr>
                <w:sz w:val="20"/>
              </w:rPr>
              <w:t xml:space="preserve">-approving </w:t>
            </w:r>
            <w:r>
              <w:rPr>
                <w:sz w:val="20"/>
                <w:shd w:fill="FFFFFF" w:val="clear"/>
              </w:rPr>
              <w:t>all audit services and permitted non</w:t>
            </w:r>
            <w:r>
              <w:rPr>
                <w:sz w:val="20"/>
              </w:rPr>
              <w:t xml:space="preserve">-audit </w:t>
            </w:r>
            <w:r>
              <w:rPr>
                <w:sz w:val="20"/>
                <w:shd w:fill="FFFFFF" w:val="clear"/>
              </w:rPr>
              <w:t>services to be performed by our independent auditor, including the fees and terms of the services to be performed</w:t>
            </w:r>
            <w:r>
              <w:rPr>
                <w:sz w:val="20"/>
              </w:rPr>
              <w:t>;</w:t>
            </w:r>
          </w:p>
        </w:tc>
      </w:tr>
    </w:tbl>
    <w:tbl>
      <w:tblPr>
        <w:tblW w:w="5000" w:type="pct"/>
        <w:jc w:val="left"/>
        <w:tblInd w:w="0" w:type="dxa"/>
        <w:tblLayout w:type="fixed"/>
        <w:tblCellMar>
          <w:top w:w="0" w:type="dxa"/>
          <w:left w:w="0" w:type="dxa"/>
          <w:bottom w:w="0" w:type="dxa"/>
          <w:right w:w="0" w:type="dxa"/>
        </w:tblCellMar>
      </w:tblPr>
      <w:tblGrid>
        <w:gridCol w:w="162"/>
        <w:gridCol w:w="333"/>
        <w:gridCol w:w="9710"/>
      </w:tblGrid>
      <w:tr>
        <w:trPr/>
        <w:tc>
          <w:tcPr>
            <w:tcW w:w="162"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pPr>
            <w:r>
              <w:rPr/>
              <w:t>•</w:t>
            </w:r>
          </w:p>
        </w:tc>
        <w:tc>
          <w:tcPr>
            <w:tcW w:w="9710" w:type="dxa"/>
            <w:tcBorders/>
            <w:vAlign w:val="center"/>
          </w:tcPr>
          <w:p>
            <w:pPr>
              <w:pStyle w:val="TableContents"/>
              <w:bidi w:val="0"/>
              <w:spacing w:before="0" w:after="283"/>
              <w:jc w:val="both"/>
              <w:rPr/>
            </w:pPr>
            <w:r>
              <w:rPr>
                <w:sz w:val="20"/>
                <w:shd w:fill="FFFFFF" w:val="clear"/>
              </w:rPr>
              <w:t>appointing or replacing the independent auditor</w:t>
            </w:r>
            <w:r>
              <w:rPr>
                <w:sz w:val="20"/>
              </w:rPr>
              <w:t>;</w:t>
            </w:r>
          </w:p>
        </w:tc>
      </w:tr>
    </w:tbl>
    <w:tbl>
      <w:tblPr>
        <w:tblW w:w="5000" w:type="pct"/>
        <w:jc w:val="left"/>
        <w:tblInd w:w="0" w:type="dxa"/>
        <w:tblLayout w:type="fixed"/>
        <w:tblCellMar>
          <w:top w:w="0" w:type="dxa"/>
          <w:left w:w="0" w:type="dxa"/>
          <w:bottom w:w="0" w:type="dxa"/>
          <w:right w:w="0" w:type="dxa"/>
        </w:tblCellMar>
      </w:tblPr>
      <w:tblGrid>
        <w:gridCol w:w="67"/>
        <w:gridCol w:w="140"/>
        <w:gridCol w:w="9998"/>
      </w:tblGrid>
      <w:tr>
        <w:trPr/>
        <w:tc>
          <w:tcPr>
            <w:tcW w:w="6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sz w:val="20"/>
                <w:shd w:fill="FFFFFF" w:val="clear"/>
              </w:rPr>
              <w:t>determining the compensation and oversight of the work of the independent auditor (including resolution of disagreements between management and the independent auditor regarding financial reporting) for the purpose of preparing or issuing an audit report or related work</w:t>
            </w:r>
            <w:r>
              <w:rPr>
                <w:sz w:val="20"/>
              </w:rPr>
              <w:t>; and</w:t>
            </w:r>
          </w:p>
        </w:tc>
      </w:tr>
    </w:tbl>
    <w:p>
      <w:pPr>
        <w:pStyle w:val="TextBody"/>
        <w:bidi w:val="0"/>
        <w:spacing w:before="0" w:after="283"/>
        <w:jc w:val="left"/>
        <w:rPr/>
      </w:pPr>
      <w:r>
        <w:rPr/>
        <w:t> </w:t>
      </w:r>
    </w:p>
    <w:tbl>
      <w:tblPr>
        <w:tblW w:w="590" w:type="dxa"/>
        <w:jc w:val="left"/>
        <w:tblInd w:w="0" w:type="dxa"/>
        <w:tblLayout w:type="fixed"/>
        <w:tblCellMar>
          <w:top w:w="0" w:type="dxa"/>
          <w:left w:w="0" w:type="dxa"/>
          <w:bottom w:w="0" w:type="dxa"/>
          <w:right w:w="0" w:type="dxa"/>
        </w:tblCellMar>
      </w:tblPr>
      <w:tblGrid>
        <w:gridCol w:w="105"/>
        <w:gridCol w:w="350"/>
        <w:gridCol w:w="135"/>
      </w:tblGrid>
      <w:tr>
        <w:trPr/>
        <w:tc>
          <w:tcPr>
            <w:tcW w:w="10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 </w:t>
            </w:r>
            <w:r>
              <w:rPr/>
              <w:t>14</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67"/>
        <w:gridCol w:w="140"/>
        <w:gridCol w:w="9998"/>
      </w:tblGrid>
      <w:tr>
        <w:trPr/>
        <w:tc>
          <w:tcPr>
            <w:tcW w:w="6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sz w:val="20"/>
                <w:shd w:fill="FFFFFF" w:val="clear"/>
              </w:rPr>
              <w:t>establishing procedures for the receipt, retention and treatment of complaints received by us regarding accounting, internal accounting controls or reports which raise material issues regarding our financial statements or accounting policies</w:t>
            </w:r>
            <w:r>
              <w:rPr>
                <w:sz w:val="20"/>
              </w:rPr>
              <w:t>.</w:t>
            </w:r>
          </w:p>
        </w:tc>
      </w:tr>
    </w:tbl>
    <w:p>
      <w:pPr>
        <w:pStyle w:val="TextBody"/>
        <w:bidi w:val="0"/>
        <w:spacing w:lineRule="auto" w:line="276"/>
        <w:jc w:val="both"/>
        <w:rPr>
          <w:caps w:val="false"/>
          <w:smallCaps w:val="false"/>
        </w:rPr>
      </w:pPr>
      <w:r>
        <w:rPr>
          <w:caps w:val="false"/>
          <w:smallCaps w:val="false"/>
        </w:rPr>
        <w:t> </w:t>
      </w:r>
    </w:p>
    <w:p>
      <w:pPr>
        <w:pStyle w:val="TextBody"/>
        <w:bidi w:val="0"/>
        <w:spacing w:lineRule="auto" w:line="27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Audit Committee </w:t>
      </w:r>
      <w:r>
        <w:rPr>
          <w:rFonts w:ascii="Times New Roman;Times;Serif" w:hAnsi="Times New Roman;Times;Serif"/>
          <w:b w:val="false"/>
          <w:i w:val="false"/>
          <w:caps w:val="false"/>
          <w:smallCaps w:val="false"/>
          <w:sz w:val="20"/>
          <w:shd w:fill="FFFFFF" w:val="clear"/>
        </w:rPr>
        <w:t xml:space="preserve">held 20 </w:t>
      </w:r>
      <w:r>
        <w:rPr>
          <w:rFonts w:ascii="Times New Roman;Times;Serif" w:hAnsi="Times New Roman;Times;Serif"/>
          <w:b w:val="false"/>
          <w:i w:val="false"/>
          <w:caps w:val="false"/>
          <w:smallCaps w:val="false"/>
          <w:sz w:val="20"/>
        </w:rPr>
        <w:t>meetings in Fiscal 2025.</w:t>
      </w:r>
    </w:p>
    <w:p>
      <w:pPr>
        <w:pStyle w:val="TextBody"/>
        <w:bidi w:val="0"/>
        <w:spacing w:lineRule="auto" w:line="276"/>
        <w:jc w:val="both"/>
        <w:rPr>
          <w:caps w:val="false"/>
          <w:smallCaps w:val="false"/>
        </w:rPr>
      </w:pPr>
      <w:r>
        <w:rPr>
          <w:caps w:val="false"/>
          <w:smallCaps w:val="false"/>
        </w:rPr>
        <w:t> </w:t>
      </w:r>
    </w:p>
    <w:p>
      <w:pPr>
        <w:pStyle w:val="TextBody"/>
        <w:bidi w:val="0"/>
        <w:spacing w:lineRule="auto" w:line="276"/>
        <w:jc w:val="left"/>
        <w:rPr>
          <w:rFonts w:ascii="Times New Roman;Times;Serif" w:hAnsi="Times New Roman;Times;Serif"/>
          <w:b/>
          <w:i/>
          <w:caps w:val="false"/>
          <w:smallCaps w:val="false"/>
          <w:sz w:val="24"/>
        </w:rPr>
      </w:pPr>
      <w:r>
        <w:rPr>
          <w:rFonts w:ascii="Times New Roman;Times;Serif" w:hAnsi="Times New Roman;Times;Serif"/>
          <w:b/>
          <w:i/>
          <w:caps w:val="false"/>
          <w:smallCaps w:val="false"/>
          <w:sz w:val="24"/>
        </w:rPr>
        <w:t>Financial Experts on Audit Committee</w:t>
      </w:r>
    </w:p>
    <w:p>
      <w:pPr>
        <w:pStyle w:val="TextBody"/>
        <w:bidi w:val="0"/>
        <w:spacing w:lineRule="auto" w:line="276"/>
        <w:jc w:val="left"/>
        <w:rPr>
          <w:caps w:val="false"/>
          <w:smallCaps w:val="false"/>
        </w:rPr>
      </w:pPr>
      <w:r>
        <w:rPr>
          <w:caps w:val="false"/>
          <w:smallCaps w:val="false"/>
        </w:rPr>
        <w:t> </w:t>
      </w:r>
    </w:p>
    <w:p>
      <w:pPr>
        <w:pStyle w:val="TextBody"/>
        <w:bidi w:val="0"/>
        <w:spacing w:lineRule="auto" w:line="27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will at all times be composed exclusively of “independent directors,” as defined for audit committee members under the Nasdaq Rules and the rules and regulations of the SEC, who are “financially literate,” as defined under the Nasdaq Rules. All members of our Audit Committee are financially literate. In addition, Arthur Wong serves as the Audit Committee’s financial expert, as defined per Nasdaq guidelines.</w:t>
      </w:r>
    </w:p>
    <w:p>
      <w:pPr>
        <w:pStyle w:val="TextBody"/>
        <w:bidi w:val="0"/>
        <w:spacing w:lineRule="auto" w:line="276"/>
        <w:jc w:val="left"/>
        <w:rPr>
          <w:caps w:val="false"/>
          <w:smallCaps w:val="false"/>
        </w:rPr>
      </w:pPr>
      <w:r>
        <w:rPr>
          <w:caps w:val="false"/>
          <w:smallCaps w:val="false"/>
        </w:rPr>
        <w:t> </w:t>
      </w:r>
    </w:p>
    <w:p>
      <w:pPr>
        <w:pStyle w:val="TextBody"/>
        <w:bidi w:val="0"/>
        <w:spacing w:lineRule="auto" w:line="276"/>
        <w:jc w:val="left"/>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Compensation Committee</w:t>
      </w:r>
    </w:p>
    <w:p>
      <w:pPr>
        <w:pStyle w:val="TextBody"/>
        <w:bidi w:val="0"/>
        <w:spacing w:before="240" w:after="240"/>
        <w:ind w:left="240" w:right="24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has established a Compensation Committee. Mr. Wong, Mr. Ying and Ms. Pan serve as members of our Compensation Committee, with Ms. Pan serving as its chair. Under the applicable Nasdaq Rules and rules and regulations of the SEC, our Compensation Committee must consist of all independent members. Each of Mr. Wong, Mr. Ying and Ms. Pan is independent under the applicable Nasdaq Rules and rules and regulations of the SEC.</w:t>
      </w:r>
    </w:p>
    <w:p>
      <w:pPr>
        <w:pStyle w:val="TextBody"/>
        <w:bidi w:val="0"/>
        <w:spacing w:before="240" w:after="240"/>
        <w:ind w:left="240" w:right="24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has adopted a Compensation Committee charter, which details the principal functions of the Compensation Committee, including:</w:t>
      </w:r>
    </w:p>
    <w:tbl>
      <w:tblPr>
        <w:tblW w:w="5000" w:type="pct"/>
        <w:jc w:val="left"/>
        <w:tblInd w:w="0" w:type="dxa"/>
        <w:tblLayout w:type="fixed"/>
        <w:tblCellMar>
          <w:top w:w="0" w:type="dxa"/>
          <w:left w:w="0" w:type="dxa"/>
          <w:bottom w:w="0" w:type="dxa"/>
          <w:right w:w="0" w:type="dxa"/>
        </w:tblCellMar>
      </w:tblPr>
      <w:tblGrid>
        <w:gridCol w:w="67"/>
        <w:gridCol w:w="140"/>
        <w:gridCol w:w="9998"/>
      </w:tblGrid>
      <w:tr>
        <w:trPr/>
        <w:tc>
          <w:tcPr>
            <w:tcW w:w="6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sz w:val="20"/>
              </w:rPr>
            </w:pPr>
            <w:r>
              <w:rPr>
                <w:sz w:val="20"/>
              </w:rPr>
              <w:t>reviewing and approving on an annual basis the corporate goals and objectives relevant to our Chief Executive Officer’s compensation;</w:t>
            </w:r>
          </w:p>
        </w:tc>
      </w:tr>
    </w:tbl>
    <w:tbl>
      <w:tblPr>
        <w:tblW w:w="5000" w:type="pct"/>
        <w:jc w:val="left"/>
        <w:tblInd w:w="0" w:type="dxa"/>
        <w:tblLayout w:type="fixed"/>
        <w:tblCellMar>
          <w:top w:w="0" w:type="dxa"/>
          <w:left w:w="0" w:type="dxa"/>
          <w:bottom w:w="0" w:type="dxa"/>
          <w:right w:w="0" w:type="dxa"/>
        </w:tblCellMar>
      </w:tblPr>
      <w:tblGrid>
        <w:gridCol w:w="67"/>
        <w:gridCol w:w="140"/>
        <w:gridCol w:w="9998"/>
      </w:tblGrid>
      <w:tr>
        <w:trPr/>
        <w:tc>
          <w:tcPr>
            <w:tcW w:w="6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sz w:val="20"/>
              </w:rPr>
            </w:pPr>
            <w:r>
              <w:rPr>
                <w:sz w:val="20"/>
              </w:rPr>
              <w:t>evaluating our Chief Executive Officer’s performance in light of such goals and objectives and determining and approving the remuneration (if any) of our Chief Executive Officer based on such evaluation;</w:t>
            </w:r>
          </w:p>
        </w:tc>
      </w:tr>
    </w:tbl>
    <w:tbl>
      <w:tblPr>
        <w:tblW w:w="5000" w:type="pct"/>
        <w:jc w:val="left"/>
        <w:tblInd w:w="0" w:type="dxa"/>
        <w:tblLayout w:type="fixed"/>
        <w:tblCellMar>
          <w:top w:w="0" w:type="dxa"/>
          <w:left w:w="0" w:type="dxa"/>
          <w:bottom w:w="0" w:type="dxa"/>
          <w:right w:w="0" w:type="dxa"/>
        </w:tblCellMar>
      </w:tblPr>
      <w:tblGrid>
        <w:gridCol w:w="101"/>
        <w:gridCol w:w="209"/>
        <w:gridCol w:w="9895"/>
      </w:tblGrid>
      <w:tr>
        <w:trPr/>
        <w:tc>
          <w:tcPr>
            <w:tcW w:w="101"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pPr>
            <w:r>
              <w:rPr/>
              <w:t>•</w:t>
            </w:r>
          </w:p>
        </w:tc>
        <w:tc>
          <w:tcPr>
            <w:tcW w:w="9895" w:type="dxa"/>
            <w:tcBorders/>
            <w:vAlign w:val="center"/>
          </w:tcPr>
          <w:p>
            <w:pPr>
              <w:pStyle w:val="TableContents"/>
              <w:bidi w:val="0"/>
              <w:spacing w:before="0" w:after="283"/>
              <w:jc w:val="both"/>
              <w:rPr>
                <w:sz w:val="20"/>
              </w:rPr>
            </w:pPr>
            <w:r>
              <w:rPr>
                <w:sz w:val="20"/>
              </w:rPr>
              <w:t>reviewing and approving the compensation of all of our other executive officers;</w:t>
            </w:r>
          </w:p>
        </w:tc>
      </w:tr>
    </w:tbl>
    <w:tbl>
      <w:tblPr>
        <w:tblW w:w="5000" w:type="pct"/>
        <w:jc w:val="left"/>
        <w:tblInd w:w="0" w:type="dxa"/>
        <w:tblLayout w:type="fixed"/>
        <w:tblCellMar>
          <w:top w:w="0" w:type="dxa"/>
          <w:left w:w="0" w:type="dxa"/>
          <w:bottom w:w="0" w:type="dxa"/>
          <w:right w:w="0" w:type="dxa"/>
        </w:tblCellMar>
      </w:tblPr>
      <w:tblGrid>
        <w:gridCol w:w="137"/>
        <w:gridCol w:w="285"/>
        <w:gridCol w:w="9783"/>
      </w:tblGrid>
      <w:tr>
        <w:trPr/>
        <w:tc>
          <w:tcPr>
            <w:tcW w:w="13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pPr>
            <w:r>
              <w:rPr/>
              <w:t>•</w:t>
            </w:r>
          </w:p>
        </w:tc>
        <w:tc>
          <w:tcPr>
            <w:tcW w:w="9783" w:type="dxa"/>
            <w:tcBorders/>
            <w:vAlign w:val="center"/>
          </w:tcPr>
          <w:p>
            <w:pPr>
              <w:pStyle w:val="TableContents"/>
              <w:bidi w:val="0"/>
              <w:spacing w:before="0" w:after="283"/>
              <w:jc w:val="both"/>
              <w:rPr>
                <w:sz w:val="20"/>
              </w:rPr>
            </w:pPr>
            <w:r>
              <w:rPr>
                <w:sz w:val="20"/>
              </w:rPr>
              <w:t>reviewing our executive compensation policies and plans;</w:t>
            </w:r>
          </w:p>
        </w:tc>
      </w:tr>
    </w:tbl>
    <w:tbl>
      <w:tblPr>
        <w:tblW w:w="5000" w:type="pct"/>
        <w:jc w:val="left"/>
        <w:tblInd w:w="0" w:type="dxa"/>
        <w:tblLayout w:type="fixed"/>
        <w:tblCellMar>
          <w:top w:w="0" w:type="dxa"/>
          <w:left w:w="0" w:type="dxa"/>
          <w:bottom w:w="0" w:type="dxa"/>
          <w:right w:w="0" w:type="dxa"/>
        </w:tblCellMar>
      </w:tblPr>
      <w:tblGrid>
        <w:gridCol w:w="106"/>
        <w:gridCol w:w="218"/>
        <w:gridCol w:w="9881"/>
      </w:tblGrid>
      <w:tr>
        <w:trPr/>
        <w:tc>
          <w:tcPr>
            <w:tcW w:w="10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pPr>
            <w:r>
              <w:rPr/>
              <w:t>•</w:t>
            </w:r>
          </w:p>
        </w:tc>
        <w:tc>
          <w:tcPr>
            <w:tcW w:w="9881" w:type="dxa"/>
            <w:tcBorders/>
            <w:vAlign w:val="center"/>
          </w:tcPr>
          <w:p>
            <w:pPr>
              <w:pStyle w:val="TableContents"/>
              <w:bidi w:val="0"/>
              <w:spacing w:before="0" w:after="283"/>
              <w:jc w:val="both"/>
              <w:rPr>
                <w:sz w:val="20"/>
              </w:rPr>
            </w:pPr>
            <w:r>
              <w:rPr>
                <w:sz w:val="20"/>
              </w:rPr>
              <w:t>reviewing our incentive compensation and equity-based remuneration plans;</w:t>
            </w:r>
          </w:p>
        </w:tc>
      </w:tr>
    </w:tbl>
    <w:tbl>
      <w:tblPr>
        <w:tblW w:w="5000" w:type="pct"/>
        <w:jc w:val="left"/>
        <w:tblInd w:w="0" w:type="dxa"/>
        <w:tblLayout w:type="fixed"/>
        <w:tblCellMar>
          <w:top w:w="0" w:type="dxa"/>
          <w:left w:w="0" w:type="dxa"/>
          <w:bottom w:w="0" w:type="dxa"/>
          <w:right w:w="0" w:type="dxa"/>
        </w:tblCellMar>
      </w:tblPr>
      <w:tblGrid>
        <w:gridCol w:w="82"/>
        <w:gridCol w:w="171"/>
        <w:gridCol w:w="9952"/>
      </w:tblGrid>
      <w:tr>
        <w:trPr/>
        <w:tc>
          <w:tcPr>
            <w:tcW w:w="82"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pPr>
            <w:r>
              <w:rPr/>
              <w:t>•</w:t>
            </w:r>
          </w:p>
        </w:tc>
        <w:tc>
          <w:tcPr>
            <w:tcW w:w="9952" w:type="dxa"/>
            <w:tcBorders/>
            <w:vAlign w:val="center"/>
          </w:tcPr>
          <w:p>
            <w:pPr>
              <w:pStyle w:val="TableContents"/>
              <w:bidi w:val="0"/>
              <w:spacing w:before="0" w:after="283"/>
              <w:jc w:val="both"/>
              <w:rPr>
                <w:sz w:val="20"/>
              </w:rPr>
            </w:pPr>
            <w:r>
              <w:rPr>
                <w:sz w:val="20"/>
              </w:rPr>
              <w:t>assisting management in complying with our prospectus and annual report disclosure requirements;</w:t>
            </w:r>
          </w:p>
        </w:tc>
      </w:tr>
    </w:tbl>
    <w:tbl>
      <w:tblPr>
        <w:tblW w:w="5000" w:type="pct"/>
        <w:jc w:val="left"/>
        <w:tblInd w:w="0" w:type="dxa"/>
        <w:tblLayout w:type="fixed"/>
        <w:tblCellMar>
          <w:top w:w="0" w:type="dxa"/>
          <w:left w:w="0" w:type="dxa"/>
          <w:bottom w:w="0" w:type="dxa"/>
          <w:right w:w="0" w:type="dxa"/>
        </w:tblCellMar>
      </w:tblPr>
      <w:tblGrid>
        <w:gridCol w:w="67"/>
        <w:gridCol w:w="140"/>
        <w:gridCol w:w="9998"/>
      </w:tblGrid>
      <w:tr>
        <w:trPr/>
        <w:tc>
          <w:tcPr>
            <w:tcW w:w="6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sz w:val="20"/>
              </w:rPr>
            </w:pPr>
            <w:r>
              <w:rPr>
                <w:sz w:val="20"/>
              </w:rPr>
              <w:t>approving all special perquisites, special cash payments and other special compensation and benefit arrangements for our executive officers and employees;</w:t>
            </w:r>
          </w:p>
        </w:tc>
      </w:tr>
    </w:tbl>
    <w:tbl>
      <w:tblPr>
        <w:tblW w:w="5000" w:type="pct"/>
        <w:jc w:val="left"/>
        <w:tblInd w:w="0" w:type="dxa"/>
        <w:tblLayout w:type="fixed"/>
        <w:tblCellMar>
          <w:top w:w="0" w:type="dxa"/>
          <w:left w:w="0" w:type="dxa"/>
          <w:bottom w:w="0" w:type="dxa"/>
          <w:right w:w="0" w:type="dxa"/>
        </w:tblCellMar>
      </w:tblPr>
      <w:tblGrid>
        <w:gridCol w:w="79"/>
        <w:gridCol w:w="165"/>
        <w:gridCol w:w="9961"/>
      </w:tblGrid>
      <w:tr>
        <w:trPr/>
        <w:tc>
          <w:tcPr>
            <w:tcW w:w="7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pPr>
            <w:r>
              <w:rPr/>
              <w:t>•</w:t>
            </w:r>
          </w:p>
        </w:tc>
        <w:tc>
          <w:tcPr>
            <w:tcW w:w="9961" w:type="dxa"/>
            <w:tcBorders/>
            <w:vAlign w:val="center"/>
          </w:tcPr>
          <w:p>
            <w:pPr>
              <w:pStyle w:val="TableContents"/>
              <w:bidi w:val="0"/>
              <w:spacing w:before="0" w:after="283"/>
              <w:jc w:val="both"/>
              <w:rPr>
                <w:sz w:val="20"/>
              </w:rPr>
            </w:pPr>
            <w:r>
              <w:rPr>
                <w:sz w:val="20"/>
              </w:rPr>
              <w:t>if required, producing a report on executive compensation to be included in our annual prospectus; and</w:t>
            </w:r>
          </w:p>
        </w:tc>
      </w:tr>
    </w:tbl>
    <w:tbl>
      <w:tblPr>
        <w:tblW w:w="5000" w:type="pct"/>
        <w:jc w:val="left"/>
        <w:tblInd w:w="0" w:type="dxa"/>
        <w:tblLayout w:type="fixed"/>
        <w:tblCellMar>
          <w:top w:w="0" w:type="dxa"/>
          <w:left w:w="0" w:type="dxa"/>
          <w:bottom w:w="0" w:type="dxa"/>
          <w:right w:w="0" w:type="dxa"/>
        </w:tblCellMar>
      </w:tblPr>
      <w:tblGrid>
        <w:gridCol w:w="73"/>
        <w:gridCol w:w="153"/>
        <w:gridCol w:w="9979"/>
      </w:tblGrid>
      <w:tr>
        <w:trPr/>
        <w:tc>
          <w:tcPr>
            <w:tcW w:w="7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pPr>
            <w:r>
              <w:rPr/>
              <w:t>•</w:t>
            </w:r>
          </w:p>
        </w:tc>
        <w:tc>
          <w:tcPr>
            <w:tcW w:w="9979" w:type="dxa"/>
            <w:tcBorders/>
            <w:vAlign w:val="center"/>
          </w:tcPr>
          <w:p>
            <w:pPr>
              <w:pStyle w:val="TableContents"/>
              <w:bidi w:val="0"/>
              <w:spacing w:before="0" w:after="283"/>
              <w:jc w:val="both"/>
              <w:rPr>
                <w:sz w:val="20"/>
              </w:rPr>
            </w:pPr>
            <w:r>
              <w:rPr>
                <w:sz w:val="20"/>
              </w:rPr>
              <w:t>reviewing, evaluating and recommending to the Board changes, if appropriate, to the remuneration for directors.</w:t>
            </w:r>
          </w:p>
        </w:tc>
      </w:tr>
    </w:tbl>
    <w:p>
      <w:pPr>
        <w:pStyle w:val="TextBody"/>
        <w:bidi w:val="0"/>
        <w:spacing w:lineRule="auto" w:line="27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Compensation Committee held </w:t>
      </w:r>
      <w:r>
        <w:rPr>
          <w:rFonts w:ascii="Times New Roman;Times;Serif" w:hAnsi="Times New Roman;Times;Serif"/>
          <w:b w:val="false"/>
          <w:i w:val="false"/>
          <w:caps w:val="false"/>
          <w:smallCaps w:val="false"/>
          <w:sz w:val="20"/>
          <w:shd w:fill="FFFFFF" w:val="clear"/>
        </w:rPr>
        <w:t xml:space="preserve">five </w:t>
      </w:r>
      <w:r>
        <w:rPr>
          <w:rFonts w:ascii="Times New Roman;Times;Serif" w:hAnsi="Times New Roman;Times;Serif"/>
          <w:b w:val="false"/>
          <w:i w:val="false"/>
          <w:caps w:val="false"/>
          <w:smallCaps w:val="false"/>
          <w:sz w:val="20"/>
        </w:rPr>
        <w:t>meetings in Fiscal 2025.</w:t>
      </w:r>
    </w:p>
    <w:p>
      <w:pPr>
        <w:pStyle w:val="TextBody"/>
        <w:bidi w:val="0"/>
        <w:spacing w:lineRule="auto" w:line="276"/>
        <w:jc w:val="both"/>
        <w:rPr>
          <w:caps w:val="false"/>
          <w:smallCaps w:val="false"/>
        </w:rPr>
      </w:pPr>
      <w:r>
        <w:rPr>
          <w:caps w:val="false"/>
          <w:smallCaps w:val="false"/>
        </w:rPr>
        <w:t> </w:t>
      </w:r>
    </w:p>
    <w:p>
      <w:pPr>
        <w:pStyle w:val="TextBody"/>
        <w:bidi w:val="0"/>
        <w:spacing w:lineRule="auto" w:line="276"/>
        <w:jc w:val="both"/>
        <w:rPr>
          <w:rFonts w:ascii="Times New Roman;Times;Serif" w:hAnsi="Times New Roman;Times;Serif"/>
          <w:b/>
          <w:i/>
          <w:caps w:val="false"/>
          <w:smallCaps w:val="false"/>
          <w:sz w:val="24"/>
        </w:rPr>
      </w:pPr>
      <w:r>
        <w:rPr>
          <w:rFonts w:ascii="Times New Roman;Times;Serif" w:hAnsi="Times New Roman;Times;Serif"/>
          <w:b/>
          <w:i/>
          <w:caps w:val="false"/>
          <w:smallCaps w:val="false"/>
          <w:sz w:val="24"/>
        </w:rPr>
        <w:t>Role of the Compensation Committee and the Chief Executive Officer</w:t>
      </w:r>
    </w:p>
    <w:p>
      <w:pPr>
        <w:pStyle w:val="TextBody"/>
        <w:bidi w:val="0"/>
        <w:spacing w:lineRule="auto" w:line="276"/>
        <w:jc w:val="both"/>
        <w:rPr>
          <w:caps w:val="false"/>
          <w:smallCaps w:val="false"/>
        </w:rPr>
      </w:pPr>
      <w:r>
        <w:rPr>
          <w:caps w:val="false"/>
          <w:smallCaps w:val="false"/>
        </w:rPr>
        <w:t> </w:t>
      </w:r>
    </w:p>
    <w:p>
      <w:pPr>
        <w:pStyle w:val="TextBody"/>
        <w:bidi w:val="0"/>
        <w:spacing w:lineRule="auto" w:line="27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consisting entirely of independent directors, is responsible for determining the compensation of our executive officers. The Compensation Committee regularly evaluates the Company’s executive compensation practices to determine if any changes may be appropriate. During this process, the Compensation Committee may consult with the Chief Executive Officer and other members of management; however, the Compensation Committee operates independently of management and receives compensation advice and data from an outside independent advisor. The Compensation Committee may, from time to time, delegate authority to one or more subcommittees consisting of one or more of its members when and as the Compensation Committee deems appropriate in order to carry out its responsibilities. The Chief Executive Officer reviews and discusses the performance of the other executive officers with the Compensation Committee to assist it in determining whether changes in their compensation may be appropriate. The Compensation Committee gives considerable weight to the Chief Executive Officer’s evaluation of the other executive officers because of his direct knowledge of each executive officer’s performance and contributions. While Mr. Wu provides input with respect to the other executive officers, Mr. Wu has not and does not participate in the Compensation Committee’s deliberations or decisions with regard to his own compensation.</w:t>
      </w:r>
    </w:p>
    <w:p>
      <w:pPr>
        <w:pStyle w:val="TextBody"/>
        <w:bidi w:val="0"/>
        <w:spacing w:lineRule="auto" w:line="276"/>
        <w:jc w:val="both"/>
        <w:rPr>
          <w:caps w:val="false"/>
          <w:smallCaps w:val="false"/>
        </w:rPr>
      </w:pPr>
      <w:r>
        <w:rPr>
          <w:caps w:val="false"/>
          <w:smallCaps w:val="false"/>
        </w:rPr>
        <w:t> </w:t>
      </w:r>
    </w:p>
    <w:tbl>
      <w:tblPr>
        <w:tblW w:w="590" w:type="dxa"/>
        <w:jc w:val="left"/>
        <w:tblInd w:w="0" w:type="dxa"/>
        <w:tblLayout w:type="fixed"/>
        <w:tblCellMar>
          <w:top w:w="0" w:type="dxa"/>
          <w:left w:w="0" w:type="dxa"/>
          <w:bottom w:w="0" w:type="dxa"/>
          <w:right w:w="0" w:type="dxa"/>
        </w:tblCellMar>
      </w:tblPr>
      <w:tblGrid>
        <w:gridCol w:w="105"/>
        <w:gridCol w:w="350"/>
        <w:gridCol w:w="135"/>
      </w:tblGrid>
      <w:tr>
        <w:trPr/>
        <w:tc>
          <w:tcPr>
            <w:tcW w:w="10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 </w:t>
            </w:r>
            <w:r>
              <w:rPr/>
              <w:t>15</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lineRule="auto" w:line="276"/>
        <w:jc w:val="both"/>
        <w:rPr>
          <w:caps w:val="false"/>
          <w:smallCaps w:val="false"/>
        </w:rPr>
      </w:pPr>
      <w:r>
        <w:rPr>
          <w:caps w:val="false"/>
          <w:smallCaps w:val="false"/>
        </w:rPr>
        <w:t> </w:t>
      </w:r>
    </w:p>
    <w:p>
      <w:pPr>
        <w:pStyle w:val="TextBody"/>
        <w:bidi w:val="0"/>
        <w:spacing w:lineRule="auto" w:line="276"/>
        <w:jc w:val="both"/>
        <w:rPr>
          <w:rFonts w:ascii="Times New Roman;Times;Serif" w:hAnsi="Times New Roman;Times;Serif"/>
          <w:b/>
          <w:i/>
          <w:caps w:val="false"/>
          <w:smallCaps w:val="false"/>
          <w:sz w:val="24"/>
        </w:rPr>
      </w:pPr>
      <w:r>
        <w:rPr>
          <w:rFonts w:ascii="Times New Roman;Times;Serif" w:hAnsi="Times New Roman;Times;Serif"/>
          <w:b/>
          <w:i/>
          <w:caps w:val="false"/>
          <w:smallCaps w:val="false"/>
          <w:sz w:val="24"/>
        </w:rPr>
        <w:t>Role of Compensation Consultant</w:t>
      </w:r>
    </w:p>
    <w:p>
      <w:pPr>
        <w:pStyle w:val="TextBody"/>
        <w:bidi w:val="0"/>
        <w:jc w:val="left"/>
        <w:rPr>
          <w:caps w:val="false"/>
          <w:smallCaps w:val="false"/>
        </w:rPr>
      </w:pPr>
      <w:r>
        <w:rPr>
          <w:caps w:val="false"/>
          <w:smallCaps w:val="false"/>
        </w:rPr>
        <w:t> </w:t>
      </w:r>
    </w:p>
    <w:p>
      <w:pPr>
        <w:pStyle w:val="TextBody"/>
        <w:bidi w:val="0"/>
        <w:spacing w:lineRule="auto" w:line="27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Fiscal 2025, the Compensation Committee engaged Frederic W. Cook &amp; Co. (“FW Cook”) as its independent compensation consultant to advise the Committee on executive and non-employee director compensation matters. FW Cook’s work included reviewing executive compensation levels and long-term incentive awards; evaluating the design, structure and terms of the Company’s annual and long-term incentive programs and awards; reviewing non-employee director compensation; and providing advice regarding executive compensation disclosures in the Company’s proxy statement.</w:t>
      </w:r>
    </w:p>
    <w:p>
      <w:pPr>
        <w:pStyle w:val="TextBody"/>
        <w:bidi w:val="0"/>
        <w:spacing w:lineRule="auto" w:line="276"/>
        <w:jc w:val="both"/>
        <w:rPr>
          <w:caps w:val="false"/>
          <w:smallCaps w:val="false"/>
        </w:rPr>
      </w:pPr>
      <w:r>
        <w:rPr>
          <w:caps w:val="false"/>
          <w:smallCaps w:val="false"/>
        </w:rPr>
        <w:t> </w:t>
      </w:r>
    </w:p>
    <w:p>
      <w:pPr>
        <w:pStyle w:val="TextBody"/>
        <w:bidi w:val="0"/>
        <w:spacing w:lineRule="auto" w:line="27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FW Cook reports directly to the Compensation Committee and did not provide any services to the Company or its affiliates during Fiscal 2025 other than through its engagement by the Compensation Committee. The Compensation Committee has evaluated FW Cook’s independence in accordance with applicable SEC and Nasdaq Rules and determined that FW Cook is independent and that its work does not raise any conflict of interest. While the Compensation Committee considers the advice and recommendations of FW Cook, all compensation decisions are made by the Compensation Committee based on its independent judgment and consideration of relevant factors.</w:t>
      </w:r>
    </w:p>
    <w:p>
      <w:pPr>
        <w:pStyle w:val="TextBody"/>
        <w:bidi w:val="0"/>
        <w:jc w:val="left"/>
        <w:rPr>
          <w:caps w:val="false"/>
          <w:smallCaps w:val="false"/>
        </w:rPr>
      </w:pPr>
      <w:r>
        <w:rPr>
          <w:caps w:val="false"/>
          <w:smallCaps w:val="false"/>
        </w:rPr>
        <w:t> </w:t>
      </w:r>
    </w:p>
    <w:p>
      <w:pPr>
        <w:pStyle w:val="TextBody"/>
        <w:bidi w:val="0"/>
        <w:spacing w:lineRule="auto" w:line="276"/>
        <w:jc w:val="left"/>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Nominating and Corporate Governance Committee</w:t>
      </w:r>
    </w:p>
    <w:p>
      <w:pPr>
        <w:pStyle w:val="TextBody"/>
        <w:bidi w:val="0"/>
        <w:spacing w:lineRule="auto" w:line="276"/>
        <w:jc w:val="left"/>
        <w:rPr>
          <w:caps w:val="false"/>
          <w:smallCaps w:val="false"/>
        </w:rPr>
      </w:pPr>
      <w:r>
        <w:rPr>
          <w:caps w:val="false"/>
          <w:smallCaps w:val="false"/>
        </w:rPr>
        <w:t> </w:t>
      </w:r>
    </w:p>
    <w:p>
      <w:pPr>
        <w:pStyle w:val="TextBody"/>
        <w:bidi w:val="0"/>
        <w:spacing w:lineRule="auto" w:line="27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has established a Nominating and Corporate Governance Committee. Mr. Wong, Mr. Ying and Ms. Pan serve as members of our Nominating and Corporate Governance Committee, with Ms. Pan serving as its chair. Each of Mr. Wong, Mr. Ying and Ms. Pan is independent under the applicable Nasdaq Rules and rules and regulations of the SEC.</w:t>
      </w:r>
    </w:p>
    <w:p>
      <w:pPr>
        <w:pStyle w:val="TextBody"/>
        <w:bidi w:val="0"/>
        <w:spacing w:lineRule="auto" w:line="276"/>
        <w:jc w:val="left"/>
        <w:rPr>
          <w:caps w:val="false"/>
          <w:smallCaps w:val="false"/>
        </w:rPr>
      </w:pPr>
      <w:r>
        <w:rPr>
          <w:caps w:val="false"/>
          <w:smallCaps w:val="false"/>
        </w:rPr>
        <w:t> </w:t>
      </w:r>
    </w:p>
    <w:p>
      <w:pPr>
        <w:pStyle w:val="TextBody"/>
        <w:bidi w:val="0"/>
        <w:spacing w:lineRule="auto" w:line="27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primary purpose of our Nominating and Corporate Governance Committee is to assist the Board in matters relating to the appropriate size, functioning and needs of the Board, including, but not limited to, recruitment and retention of high-quality members of the Board and committee composition and structure.</w:t>
      </w:r>
    </w:p>
    <w:p>
      <w:pPr>
        <w:pStyle w:val="TextBody"/>
        <w:bidi w:val="0"/>
        <w:spacing w:lineRule="auto" w:line="276"/>
        <w:jc w:val="left"/>
        <w:rPr>
          <w:caps w:val="false"/>
          <w:smallCaps w:val="false"/>
        </w:rPr>
      </w:pPr>
      <w:r>
        <w:rPr>
          <w:caps w:val="false"/>
          <w:smallCaps w:val="false"/>
        </w:rPr>
        <w:t> </w:t>
      </w:r>
    </w:p>
    <w:p>
      <w:pPr>
        <w:pStyle w:val="TextBody"/>
        <w:bidi w:val="0"/>
        <w:spacing w:lineRule="auto" w:line="27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Nominating and Corporate Governance Committee held five meetings in Fiscal 2025.</w:t>
      </w:r>
    </w:p>
    <w:p>
      <w:pPr>
        <w:pStyle w:val="TextBody"/>
        <w:bidi w:val="0"/>
        <w:spacing w:lineRule="auto" w:line="276"/>
        <w:jc w:val="left"/>
        <w:rPr>
          <w:caps w:val="false"/>
          <w:smallCaps w:val="false"/>
        </w:rPr>
      </w:pPr>
      <w:r>
        <w:rPr>
          <w:caps w:val="false"/>
          <w:smallCaps w:val="false"/>
        </w:rPr>
        <w:t> </w:t>
      </w:r>
    </w:p>
    <w:p>
      <w:pPr>
        <w:pStyle w:val="TextBody"/>
        <w:bidi w:val="0"/>
        <w:spacing w:lineRule="auto" w:line="276"/>
        <w:jc w:val="left"/>
        <w:rPr>
          <w:rFonts w:ascii="Times New Roman;Times;Serif" w:hAnsi="Times New Roman;Times;Serif"/>
          <w:b/>
          <w:i/>
          <w:caps w:val="false"/>
          <w:smallCaps w:val="false"/>
          <w:sz w:val="24"/>
        </w:rPr>
      </w:pPr>
      <w:r>
        <w:rPr>
          <w:rFonts w:ascii="Times New Roman;Times;Serif" w:hAnsi="Times New Roman;Times;Serif"/>
          <w:b/>
          <w:i/>
          <w:caps w:val="false"/>
          <w:smallCaps w:val="false"/>
          <w:sz w:val="24"/>
        </w:rPr>
        <w:t>Guidelines for Selecting Director Nominees</w:t>
      </w:r>
    </w:p>
    <w:p>
      <w:pPr>
        <w:pStyle w:val="TextBody"/>
        <w:bidi w:val="0"/>
        <w:spacing w:lineRule="auto" w:line="276"/>
        <w:jc w:val="left"/>
        <w:rPr>
          <w:caps w:val="false"/>
          <w:smallCaps w:val="false"/>
        </w:rPr>
      </w:pPr>
      <w:r>
        <w:rPr>
          <w:caps w:val="false"/>
          <w:smallCaps w:val="false"/>
        </w:rPr>
        <w:t> </w:t>
      </w:r>
    </w:p>
    <w:p>
      <w:pPr>
        <w:pStyle w:val="TextBody"/>
        <w:bidi w:val="0"/>
        <w:spacing w:lineRule="auto" w:line="27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Nominating and Corporate Governance Committee is responsible for identifying individuals qualified to become members of the Board and ensuring that the Board has the requisite expertise and that its membership consists of persons with sufficiently diverse and independent backgrounds. The guidelines for selecting nominees, which are specified in the Nominating and Corporate Governance Committee charter, generally provide that persons to be nominated:</w:t>
      </w:r>
    </w:p>
    <w:p>
      <w:pPr>
        <w:pStyle w:val="TextBody"/>
        <w:bidi w:val="0"/>
        <w:spacing w:lineRule="auto" w:line="276"/>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9"/>
        <w:gridCol w:w="165"/>
        <w:gridCol w:w="9961"/>
      </w:tblGrid>
      <w:tr>
        <w:trPr/>
        <w:tc>
          <w:tcPr>
            <w:tcW w:w="7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pPr>
            <w:r>
              <w:rPr/>
              <w:t>•</w:t>
            </w:r>
          </w:p>
        </w:tc>
        <w:tc>
          <w:tcPr>
            <w:tcW w:w="9961" w:type="dxa"/>
            <w:tcBorders/>
            <w:vAlign w:val="center"/>
          </w:tcPr>
          <w:p>
            <w:pPr>
              <w:pStyle w:val="TableContents"/>
              <w:bidi w:val="0"/>
              <w:spacing w:before="0" w:after="283"/>
              <w:jc w:val="both"/>
              <w:rPr>
                <w:sz w:val="20"/>
              </w:rPr>
            </w:pPr>
            <w:r>
              <w:rPr>
                <w:sz w:val="20"/>
              </w:rPr>
              <w:t>should have demonstrated notable or significant achievements in business, education or public service;</w:t>
            </w:r>
          </w:p>
        </w:tc>
      </w:tr>
    </w:tbl>
    <w:tbl>
      <w:tblPr>
        <w:tblW w:w="5000" w:type="pct"/>
        <w:jc w:val="left"/>
        <w:tblInd w:w="0" w:type="dxa"/>
        <w:tblLayout w:type="fixed"/>
        <w:tblCellMar>
          <w:top w:w="0" w:type="dxa"/>
          <w:left w:w="0" w:type="dxa"/>
          <w:bottom w:w="0" w:type="dxa"/>
          <w:right w:w="0" w:type="dxa"/>
        </w:tblCellMar>
      </w:tblPr>
      <w:tblGrid>
        <w:gridCol w:w="67"/>
        <w:gridCol w:w="140"/>
        <w:gridCol w:w="9998"/>
      </w:tblGrid>
      <w:tr>
        <w:trPr/>
        <w:tc>
          <w:tcPr>
            <w:tcW w:w="6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sz w:val="20"/>
              </w:rPr>
            </w:pPr>
            <w:r>
              <w:rPr>
                <w:sz w:val="20"/>
              </w:rPr>
              <w:t>should possess the requisite intelligence, education and experience to make a significant contribution to the Board and bring a range of skills, diverse perspectives and backgrounds to its deliberations; and</w:t>
            </w:r>
          </w:p>
        </w:tc>
      </w:tr>
    </w:tbl>
    <w:tbl>
      <w:tblPr>
        <w:tblW w:w="5000" w:type="pct"/>
        <w:jc w:val="left"/>
        <w:tblInd w:w="0" w:type="dxa"/>
        <w:tblLayout w:type="fixed"/>
        <w:tblCellMar>
          <w:top w:w="0" w:type="dxa"/>
          <w:left w:w="0" w:type="dxa"/>
          <w:bottom w:w="0" w:type="dxa"/>
          <w:right w:w="0" w:type="dxa"/>
        </w:tblCellMar>
      </w:tblPr>
      <w:tblGrid>
        <w:gridCol w:w="67"/>
        <w:gridCol w:w="140"/>
        <w:gridCol w:w="9998"/>
      </w:tblGrid>
      <w:tr>
        <w:trPr/>
        <w:tc>
          <w:tcPr>
            <w:tcW w:w="6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sz w:val="20"/>
              </w:rPr>
            </w:pPr>
            <w:r>
              <w:rPr>
                <w:sz w:val="20"/>
              </w:rPr>
              <w:t>should have the highest ethical standards, a strong sense of professionalism and intense dedication to serving the interests of the Company’s stockholders.</w:t>
            </w:r>
          </w:p>
        </w:tc>
      </w:tr>
    </w:tbl>
    <w:p>
      <w:pPr>
        <w:pStyle w:val="TextBody"/>
        <w:bidi w:val="0"/>
        <w:spacing w:lineRule="auto" w:line="276"/>
        <w:jc w:val="both"/>
        <w:rPr>
          <w:caps w:val="false"/>
          <w:smallCaps w:val="false"/>
        </w:rPr>
      </w:pPr>
      <w:r>
        <w:rPr>
          <w:caps w:val="false"/>
          <w:smallCaps w:val="false"/>
        </w:rPr>
        <w:t> </w:t>
      </w:r>
    </w:p>
    <w:p>
      <w:pPr>
        <w:pStyle w:val="TextBody"/>
        <w:bidi w:val="0"/>
        <w:spacing w:lineRule="auto" w:line="27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Nominating and Corporate Governance Committee will consider a number of qualifications relating to management and leadership experience, background and integrity and professionalism in evaluating a person’s candidacy for membership on the Board. The Nominating and Corporate Governance Committee may require certain skills or attributes, such as financial or accounting experience, to meet specific Board needs that arise from time to time and will also consider the overall experience and makeup of its members to obtain a broad and diverse mix of Board members. The adequacy of such criteria will be reassessed by the Nominating and Corporate Governance Committee periodically and any proposed changes will be submitted to the Board for approval.</w:t>
      </w:r>
    </w:p>
    <w:p>
      <w:pPr>
        <w:pStyle w:val="TextBody"/>
        <w:bidi w:val="0"/>
        <w:spacing w:lineRule="auto" w:line="276"/>
        <w:jc w:val="both"/>
        <w:rPr>
          <w:caps w:val="false"/>
          <w:smallCaps w:val="false"/>
        </w:rPr>
      </w:pPr>
      <w:r>
        <w:rPr>
          <w:caps w:val="false"/>
          <w:smallCaps w:val="false"/>
        </w:rPr>
        <w:t> </w:t>
      </w:r>
    </w:p>
    <w:p>
      <w:pPr>
        <w:pStyle w:val="TextBody"/>
        <w:bidi w:val="0"/>
        <w:spacing w:lineRule="auto" w:line="276"/>
        <w:jc w:val="both"/>
        <w:rPr>
          <w:caps w:val="false"/>
          <w:smallCaps w:val="false"/>
        </w:rPr>
      </w:pPr>
      <w:r>
        <w:rPr>
          <w:caps w:val="false"/>
          <w:smallCaps w:val="false"/>
        </w:rPr>
        <w:t> </w:t>
      </w:r>
    </w:p>
    <w:tbl>
      <w:tblPr>
        <w:tblW w:w="590" w:type="dxa"/>
        <w:jc w:val="left"/>
        <w:tblInd w:w="0" w:type="dxa"/>
        <w:tblLayout w:type="fixed"/>
        <w:tblCellMar>
          <w:top w:w="0" w:type="dxa"/>
          <w:left w:w="0" w:type="dxa"/>
          <w:bottom w:w="0" w:type="dxa"/>
          <w:right w:w="0" w:type="dxa"/>
        </w:tblCellMar>
      </w:tblPr>
      <w:tblGrid>
        <w:gridCol w:w="105"/>
        <w:gridCol w:w="350"/>
        <w:gridCol w:w="135"/>
      </w:tblGrid>
      <w:tr>
        <w:trPr/>
        <w:tc>
          <w:tcPr>
            <w:tcW w:w="10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 </w:t>
            </w:r>
            <w:r>
              <w:rPr/>
              <w:t>16</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lineRule="auto" w:line="27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Nominating and Corporate Governance Committee does not distinguish among nominees recommended by stockholders and other persons. Stockholders may recommend director candidates for consideration by our Nominating and Corporate Governance Committee by sending notice to Microvast Holdings, Inc., Attention: Corporate Secretary, 2929 Briarpark Drive, Suite 400, Houston, Texas 77042.</w:t>
      </w:r>
    </w:p>
    <w:p>
      <w:pPr>
        <w:pStyle w:val="TextBody"/>
        <w:bidi w:val="0"/>
        <w:spacing w:lineRule="auto" w:line="276"/>
        <w:jc w:val="both"/>
        <w:rPr>
          <w:caps w:val="false"/>
          <w:smallCaps w:val="false"/>
        </w:rPr>
      </w:pPr>
      <w:r>
        <w:rPr>
          <w:caps w:val="false"/>
          <w:smallCaps w:val="false"/>
        </w:rPr>
        <w:t> </w:t>
      </w:r>
    </w:p>
    <w:p>
      <w:pPr>
        <w:pStyle w:val="TextBody"/>
        <w:bidi w:val="0"/>
        <w:spacing w:lineRule="auto" w:line="276"/>
        <w:jc w:val="both"/>
        <w:rPr>
          <w:caps w:val="false"/>
          <w:smallCaps w:val="false"/>
        </w:rPr>
      </w:pPr>
      <w:r>
        <w:rPr>
          <w:caps w:val="false"/>
          <w:smallCaps w:val="false"/>
        </w:rPr>
        <w:t> </w:t>
      </w:r>
    </w:p>
    <w:p>
      <w:pPr>
        <w:pStyle w:val="TextBody"/>
        <w:bidi w:val="0"/>
        <w:spacing w:lineRule="auto" w:line="276"/>
        <w:jc w:val="both"/>
        <w:rPr>
          <w:caps w:val="false"/>
          <w:smallCaps w:val="false"/>
        </w:rPr>
      </w:pPr>
      <w:r>
        <w:rPr>
          <w:caps w:val="false"/>
          <w:smallCaps w:val="false"/>
        </w:rPr>
        <w:t> </w:t>
      </w:r>
    </w:p>
    <w:p>
      <w:pPr>
        <w:pStyle w:val="TextBody"/>
        <w:bidi w:val="0"/>
        <w:spacing w:lineRule="auto" w:line="276"/>
        <w:jc w:val="both"/>
        <w:rPr>
          <w:caps w:val="false"/>
          <w:smallCaps w:val="false"/>
        </w:rPr>
      </w:pPr>
      <w:r>
        <w:rPr>
          <w:caps w:val="false"/>
          <w:smallCaps w:val="false"/>
        </w:rPr>
        <w:t> </w:t>
      </w:r>
    </w:p>
    <w:p>
      <w:pPr>
        <w:pStyle w:val="TextBody"/>
        <w:bidi w:val="0"/>
        <w:spacing w:lineRule="auto" w:line="276"/>
        <w:jc w:val="both"/>
        <w:rPr>
          <w:caps w:val="false"/>
          <w:smallCaps w:val="false"/>
        </w:rPr>
      </w:pPr>
      <w:r>
        <w:rPr>
          <w:caps w:val="false"/>
          <w:smallCaps w:val="false"/>
        </w:rPr>
        <w:t> </w:t>
      </w:r>
    </w:p>
    <w:p>
      <w:pPr>
        <w:pStyle w:val="TextBody"/>
        <w:bidi w:val="0"/>
        <w:spacing w:lineRule="auto" w:line="276"/>
        <w:jc w:val="both"/>
        <w:rPr>
          <w:caps w:val="false"/>
          <w:smallCaps w:val="false"/>
        </w:rPr>
      </w:pPr>
      <w:r>
        <w:rPr>
          <w:caps w:val="false"/>
          <w:smallCaps w:val="false"/>
        </w:rPr>
        <w:t> </w:t>
      </w:r>
    </w:p>
    <w:p>
      <w:pPr>
        <w:pStyle w:val="TextBody"/>
        <w:bidi w:val="0"/>
        <w:spacing w:lineRule="auto" w:line="276"/>
        <w:jc w:val="both"/>
        <w:rPr>
          <w:caps w:val="false"/>
          <w:smallCaps w:val="false"/>
        </w:rPr>
      </w:pPr>
      <w:r>
        <w:rPr>
          <w:caps w:val="false"/>
          <w:smallCaps w:val="false"/>
        </w:rPr>
        <w:t> </w:t>
      </w:r>
    </w:p>
    <w:p>
      <w:pPr>
        <w:pStyle w:val="TextBody"/>
        <w:bidi w:val="0"/>
        <w:spacing w:lineRule="auto" w:line="276"/>
        <w:jc w:val="both"/>
        <w:rPr>
          <w:caps w:val="false"/>
          <w:smallCaps w:val="false"/>
        </w:rPr>
      </w:pPr>
      <w:r>
        <w:rPr>
          <w:caps w:val="false"/>
          <w:smallCaps w:val="false"/>
        </w:rPr>
        <w:t> </w:t>
      </w:r>
    </w:p>
    <w:p>
      <w:pPr>
        <w:pStyle w:val="TextBody"/>
        <w:bidi w:val="0"/>
        <w:spacing w:lineRule="auto" w:line="276"/>
        <w:jc w:val="both"/>
        <w:rPr>
          <w:caps w:val="false"/>
          <w:smallCaps w:val="false"/>
        </w:rPr>
      </w:pPr>
      <w:r>
        <w:rPr>
          <w:caps w:val="false"/>
          <w:smallCaps w:val="false"/>
        </w:rPr>
        <w:t> </w:t>
      </w:r>
    </w:p>
    <w:p>
      <w:pPr>
        <w:pStyle w:val="TextBody"/>
        <w:bidi w:val="0"/>
        <w:spacing w:lineRule="auto" w:line="276"/>
        <w:jc w:val="both"/>
        <w:rPr>
          <w:caps w:val="false"/>
          <w:smallCaps w:val="false"/>
        </w:rPr>
      </w:pPr>
      <w:r>
        <w:rPr>
          <w:caps w:val="false"/>
          <w:smallCaps w:val="false"/>
        </w:rPr>
        <w:t> </w:t>
      </w:r>
    </w:p>
    <w:p>
      <w:pPr>
        <w:pStyle w:val="TextBody"/>
        <w:bidi w:val="0"/>
        <w:spacing w:lineRule="auto" w:line="276"/>
        <w:jc w:val="both"/>
        <w:rPr>
          <w:caps w:val="false"/>
          <w:smallCaps w:val="false"/>
        </w:rPr>
      </w:pPr>
      <w:r>
        <w:rPr>
          <w:caps w:val="false"/>
          <w:smallCaps w:val="false"/>
        </w:rPr>
        <w:t> </w:t>
      </w:r>
    </w:p>
    <w:p>
      <w:pPr>
        <w:pStyle w:val="TextBody"/>
        <w:bidi w:val="0"/>
        <w:spacing w:lineRule="auto" w:line="276"/>
        <w:jc w:val="both"/>
        <w:rPr>
          <w:caps w:val="false"/>
          <w:smallCaps w:val="false"/>
        </w:rPr>
      </w:pPr>
      <w:r>
        <w:rPr>
          <w:caps w:val="false"/>
          <w:smallCaps w:val="false"/>
        </w:rPr>
        <w:t> </w:t>
      </w:r>
    </w:p>
    <w:p>
      <w:pPr>
        <w:pStyle w:val="TextBody"/>
        <w:bidi w:val="0"/>
        <w:spacing w:lineRule="auto" w:line="276"/>
        <w:jc w:val="both"/>
        <w:rPr>
          <w:caps w:val="false"/>
          <w:smallCaps w:val="false"/>
        </w:rPr>
      </w:pPr>
      <w:r>
        <w:rPr>
          <w:caps w:val="false"/>
          <w:smallCaps w:val="false"/>
        </w:rPr>
        <w:t> </w:t>
      </w:r>
    </w:p>
    <w:p>
      <w:pPr>
        <w:pStyle w:val="TextBody"/>
        <w:bidi w:val="0"/>
        <w:spacing w:lineRule="auto" w:line="276"/>
        <w:jc w:val="both"/>
        <w:rPr>
          <w:caps w:val="false"/>
          <w:smallCaps w:val="false"/>
        </w:rPr>
      </w:pPr>
      <w:r>
        <w:rPr>
          <w:caps w:val="false"/>
          <w:smallCaps w:val="false"/>
        </w:rPr>
        <w:t> </w:t>
      </w:r>
    </w:p>
    <w:p>
      <w:pPr>
        <w:pStyle w:val="TextBody"/>
        <w:bidi w:val="0"/>
        <w:spacing w:lineRule="auto" w:line="276"/>
        <w:jc w:val="both"/>
        <w:rPr>
          <w:caps w:val="false"/>
          <w:smallCaps w:val="false"/>
        </w:rPr>
      </w:pPr>
      <w:r>
        <w:rPr>
          <w:caps w:val="false"/>
          <w:smallCaps w:val="false"/>
        </w:rPr>
        <w:t> </w:t>
      </w:r>
    </w:p>
    <w:p>
      <w:pPr>
        <w:pStyle w:val="TextBody"/>
        <w:bidi w:val="0"/>
        <w:spacing w:lineRule="auto" w:line="276"/>
        <w:jc w:val="both"/>
        <w:rPr>
          <w:caps w:val="false"/>
          <w:smallCaps w:val="false"/>
        </w:rPr>
      </w:pPr>
      <w:r>
        <w:rPr>
          <w:caps w:val="false"/>
          <w:smallCaps w:val="false"/>
        </w:rPr>
        <w:t> </w:t>
      </w:r>
    </w:p>
    <w:p>
      <w:pPr>
        <w:pStyle w:val="TextBody"/>
        <w:bidi w:val="0"/>
        <w:spacing w:lineRule="auto" w:line="276"/>
        <w:jc w:val="both"/>
        <w:rPr>
          <w:caps w:val="false"/>
          <w:smallCaps w:val="false"/>
        </w:rPr>
      </w:pPr>
      <w:r>
        <w:rPr>
          <w:caps w:val="false"/>
          <w:smallCaps w:val="false"/>
        </w:rPr>
        <w:t> </w:t>
      </w:r>
    </w:p>
    <w:p>
      <w:pPr>
        <w:pStyle w:val="TextBody"/>
        <w:bidi w:val="0"/>
        <w:spacing w:lineRule="auto" w:line="276"/>
        <w:jc w:val="both"/>
        <w:rPr>
          <w:caps w:val="false"/>
          <w:smallCaps w:val="false"/>
        </w:rPr>
      </w:pPr>
      <w:r>
        <w:rPr>
          <w:caps w:val="false"/>
          <w:smallCaps w:val="false"/>
        </w:rPr>
        <w:t> </w:t>
      </w:r>
    </w:p>
    <w:p>
      <w:pPr>
        <w:pStyle w:val="TextBody"/>
        <w:bidi w:val="0"/>
        <w:spacing w:lineRule="auto" w:line="276"/>
        <w:jc w:val="both"/>
        <w:rPr>
          <w:caps w:val="false"/>
          <w:smallCaps w:val="false"/>
        </w:rPr>
      </w:pPr>
      <w:r>
        <w:rPr>
          <w:caps w:val="false"/>
          <w:smallCaps w:val="false"/>
        </w:rPr>
        <w:t> </w:t>
      </w:r>
    </w:p>
    <w:p>
      <w:pPr>
        <w:pStyle w:val="TextBody"/>
        <w:bidi w:val="0"/>
        <w:spacing w:lineRule="auto" w:line="276"/>
        <w:jc w:val="both"/>
        <w:rPr/>
      </w:pPr>
      <w:r>
        <w:rPr/>
      </w:r>
    </w:p>
    <w:tbl>
      <w:tblPr>
        <w:tblW w:w="590" w:type="dxa"/>
        <w:jc w:val="left"/>
        <w:tblInd w:w="0" w:type="dxa"/>
        <w:tblLayout w:type="fixed"/>
        <w:tblCellMar>
          <w:top w:w="0" w:type="dxa"/>
          <w:left w:w="0" w:type="dxa"/>
          <w:bottom w:w="0" w:type="dxa"/>
          <w:right w:w="0" w:type="dxa"/>
        </w:tblCellMar>
      </w:tblPr>
      <w:tblGrid>
        <w:gridCol w:w="105"/>
        <w:gridCol w:w="350"/>
        <w:gridCol w:w="135"/>
      </w:tblGrid>
      <w:tr>
        <w:trPr/>
        <w:tc>
          <w:tcPr>
            <w:tcW w:w="10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 </w:t>
            </w:r>
            <w:r>
              <w:rPr/>
              <w:t>17</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lineRule="auto" w:line="333"/>
        <w:jc w:val="left"/>
        <w:rPr>
          <w:rFonts w:ascii="Times New Roman;Times;Serif" w:hAnsi="Times New Roman;Times;Serif"/>
          <w:b/>
          <w:i w:val="false"/>
          <w:caps w:val="false"/>
          <w:smallCaps w:val="false"/>
          <w:sz w:val="32"/>
        </w:rPr>
      </w:pPr>
      <w:bookmarkStart w:id="8" w:name="ourexec"/>
      <w:bookmarkEnd w:id="8"/>
      <w:r>
        <w:rPr>
          <w:rFonts w:ascii="Times New Roman;Times;Serif" w:hAnsi="Times New Roman;Times;Serif"/>
          <w:b/>
          <w:i w:val="false"/>
          <w:caps w:val="false"/>
          <w:smallCaps w:val="false"/>
          <w:sz w:val="32"/>
        </w:rPr>
        <w:t>OUR EXECUTIVE OFFICERS</w:t>
      </w:r>
    </w:p>
    <w:p>
      <w:pPr>
        <w:pStyle w:val="TextBody"/>
        <w:bidi w:val="0"/>
        <w:spacing w:lineRule="auto" w:line="316"/>
        <w:jc w:val="left"/>
        <w:rPr>
          <w:caps w:val="false"/>
          <w:smallCaps w:val="false"/>
        </w:rPr>
      </w:pPr>
      <w:r>
        <w:rPr>
          <w:caps w:val="false"/>
          <w:smallCaps w:val="false"/>
        </w:rPr>
        <w:t> </w:t>
      </w:r>
    </w:p>
    <w:p>
      <w:pPr>
        <w:pStyle w:val="TextBody"/>
        <w:bidi w:val="0"/>
        <w:spacing w:lineRule="auto" w:line="33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information is provided as of the Record Date.</w:t>
      </w:r>
    </w:p>
    <w:p>
      <w:pPr>
        <w:pStyle w:val="TextBody"/>
        <w:bidi w:val="0"/>
        <w:spacing w:lineRule="auto" w:line="316"/>
        <w:jc w:val="left"/>
        <w:rPr>
          <w:caps w:val="false"/>
          <w:smallCaps w:val="false"/>
        </w:rPr>
      </w:pPr>
      <w:r>
        <w:rPr>
          <w:caps w:val="false"/>
          <w:smallCaps w:val="false"/>
        </w:rPr>
        <w:t> </w:t>
      </w:r>
    </w:p>
    <w:tbl>
      <w:tblPr>
        <w:tblW w:w="7485" w:type="dxa"/>
        <w:jc w:val="left"/>
        <w:tblInd w:w="0" w:type="dxa"/>
        <w:tblLayout w:type="fixed"/>
        <w:tblCellMar>
          <w:top w:w="0" w:type="dxa"/>
          <w:left w:w="0" w:type="dxa"/>
          <w:bottom w:w="30" w:type="dxa"/>
          <w:right w:w="0" w:type="dxa"/>
        </w:tblCellMar>
      </w:tblPr>
      <w:tblGrid>
        <w:gridCol w:w="1895"/>
        <w:gridCol w:w="90"/>
        <w:gridCol w:w="380"/>
        <w:gridCol w:w="90"/>
        <w:gridCol w:w="5030"/>
      </w:tblGrid>
      <w:tr>
        <w:trPr/>
        <w:tc>
          <w:tcPr>
            <w:tcW w:w="1895" w:type="dxa"/>
            <w:tcBorders>
              <w:bottom w:val="single" w:sz="8" w:space="0" w:color="000000"/>
            </w:tcBorders>
            <w:shd w:fill="CCEEFF" w:val="clear"/>
            <w:vAlign w:val="center"/>
          </w:tcPr>
          <w:p>
            <w:pPr>
              <w:pStyle w:val="TableContents"/>
              <w:bidi w:val="0"/>
              <w:spacing w:before="0" w:after="283"/>
              <w:jc w:val="left"/>
              <w:rPr>
                <w:b/>
                <w:sz w:val="20"/>
              </w:rPr>
            </w:pPr>
            <w:r>
              <w:rPr>
                <w:b/>
                <w:sz w:val="20"/>
              </w:rPr>
              <w:t>Name</w:t>
            </w:r>
          </w:p>
        </w:tc>
        <w:tc>
          <w:tcPr>
            <w:tcW w:w="90" w:type="dxa"/>
            <w:tcBorders/>
            <w:shd w:fill="CCEEFF" w:val="clear"/>
            <w:tcMar>
              <w:bottom w:w="0" w:type="dxa"/>
            </w:tcMar>
            <w:vAlign w:val="center"/>
          </w:tcPr>
          <w:p>
            <w:pPr>
              <w:pStyle w:val="TableContents"/>
              <w:bidi w:val="0"/>
              <w:spacing w:before="0" w:after="283"/>
              <w:jc w:val="left"/>
              <w:rPr/>
            </w:pPr>
            <w:r>
              <w:rPr/>
              <w:t> </w:t>
            </w:r>
          </w:p>
        </w:tc>
        <w:tc>
          <w:tcPr>
            <w:tcW w:w="380" w:type="dxa"/>
            <w:tcBorders>
              <w:bottom w:val="single" w:sz="8" w:space="0" w:color="000000"/>
            </w:tcBorders>
            <w:shd w:fill="CCEEFF" w:val="clear"/>
            <w:vAlign w:val="center"/>
          </w:tcPr>
          <w:p>
            <w:pPr>
              <w:pStyle w:val="TableContents"/>
              <w:bidi w:val="0"/>
              <w:spacing w:before="0" w:after="283"/>
              <w:jc w:val="center"/>
              <w:rPr>
                <w:b/>
                <w:sz w:val="20"/>
              </w:rPr>
            </w:pPr>
            <w:r>
              <w:rPr>
                <w:b/>
                <w:sz w:val="20"/>
              </w:rPr>
              <w:t>Age</w:t>
            </w:r>
          </w:p>
        </w:tc>
        <w:tc>
          <w:tcPr>
            <w:tcW w:w="90" w:type="dxa"/>
            <w:tcBorders/>
            <w:shd w:fill="CCEEFF" w:val="clear"/>
            <w:tcMar>
              <w:bottom w:w="0" w:type="dxa"/>
            </w:tcMar>
            <w:vAlign w:val="center"/>
          </w:tcPr>
          <w:p>
            <w:pPr>
              <w:pStyle w:val="TableContents"/>
              <w:bidi w:val="0"/>
              <w:spacing w:before="0" w:after="283"/>
              <w:jc w:val="left"/>
              <w:rPr/>
            </w:pPr>
            <w:r>
              <w:rPr/>
              <w:t> </w:t>
            </w:r>
          </w:p>
        </w:tc>
        <w:tc>
          <w:tcPr>
            <w:tcW w:w="5030" w:type="dxa"/>
            <w:tcBorders>
              <w:bottom w:val="single" w:sz="8" w:space="0" w:color="000000"/>
            </w:tcBorders>
            <w:shd w:fill="CCEEFF" w:val="clear"/>
            <w:vAlign w:val="center"/>
          </w:tcPr>
          <w:p>
            <w:pPr>
              <w:pStyle w:val="TableContents"/>
              <w:bidi w:val="0"/>
              <w:spacing w:before="0" w:after="283"/>
              <w:jc w:val="left"/>
              <w:rPr>
                <w:b/>
                <w:sz w:val="20"/>
              </w:rPr>
            </w:pPr>
            <w:r>
              <w:rPr>
                <w:b/>
                <w:sz w:val="20"/>
              </w:rPr>
              <w:t>Position(s)</w:t>
            </w:r>
          </w:p>
        </w:tc>
      </w:tr>
      <w:tr>
        <w:trPr/>
        <w:tc>
          <w:tcPr>
            <w:tcW w:w="1895" w:type="dxa"/>
            <w:tcBorders/>
            <w:shd w:fill="FFFFFF" w:val="clear"/>
            <w:tcMar>
              <w:bottom w:w="0" w:type="dxa"/>
            </w:tcMar>
            <w:vAlign w:val="center"/>
          </w:tcPr>
          <w:p>
            <w:pPr>
              <w:pStyle w:val="TableContents"/>
              <w:bidi w:val="0"/>
              <w:spacing w:before="0" w:after="283"/>
              <w:jc w:val="left"/>
              <w:rPr>
                <w:sz w:val="20"/>
              </w:rPr>
            </w:pPr>
            <w:r>
              <w:rPr>
                <w:sz w:val="20"/>
              </w:rPr>
              <w:t>Yang Wu*</w:t>
            </w:r>
          </w:p>
        </w:tc>
        <w:tc>
          <w:tcPr>
            <w:tcW w:w="90" w:type="dxa"/>
            <w:tcBorders/>
            <w:shd w:fill="FFFFFF" w:val="clear"/>
            <w:tcMar>
              <w:bottom w:w="0" w:type="dxa"/>
            </w:tcMar>
            <w:vAlign w:val="center"/>
          </w:tcPr>
          <w:p>
            <w:pPr>
              <w:pStyle w:val="TableContents"/>
              <w:bidi w:val="0"/>
              <w:spacing w:before="0" w:after="283"/>
              <w:jc w:val="left"/>
              <w:rPr/>
            </w:pPr>
            <w:r>
              <w:rPr/>
              <w:t> </w:t>
            </w:r>
          </w:p>
        </w:tc>
        <w:tc>
          <w:tcPr>
            <w:tcW w:w="380" w:type="dxa"/>
            <w:tcBorders/>
            <w:shd w:fill="FFFFFF" w:val="clear"/>
            <w:tcMar>
              <w:bottom w:w="0" w:type="dxa"/>
            </w:tcMar>
            <w:vAlign w:val="center"/>
          </w:tcPr>
          <w:p>
            <w:pPr>
              <w:pStyle w:val="TableContents"/>
              <w:bidi w:val="0"/>
              <w:spacing w:before="0" w:after="283"/>
              <w:jc w:val="center"/>
              <w:rPr>
                <w:sz w:val="20"/>
              </w:rPr>
            </w:pPr>
            <w:r>
              <w:rPr>
                <w:sz w:val="20"/>
              </w:rPr>
              <w:t>60</w:t>
            </w:r>
          </w:p>
        </w:tc>
        <w:tc>
          <w:tcPr>
            <w:tcW w:w="90" w:type="dxa"/>
            <w:tcBorders/>
            <w:shd w:fill="FFFFFF" w:val="clear"/>
            <w:tcMar>
              <w:bottom w:w="0" w:type="dxa"/>
            </w:tcMar>
            <w:vAlign w:val="center"/>
          </w:tcPr>
          <w:p>
            <w:pPr>
              <w:pStyle w:val="TableContents"/>
              <w:bidi w:val="0"/>
              <w:spacing w:before="0" w:after="283"/>
              <w:jc w:val="left"/>
              <w:rPr/>
            </w:pPr>
            <w:r>
              <w:rPr/>
              <w:t> </w:t>
            </w:r>
          </w:p>
        </w:tc>
        <w:tc>
          <w:tcPr>
            <w:tcW w:w="5030" w:type="dxa"/>
            <w:tcBorders/>
            <w:shd w:fill="FFFFFF" w:val="clear"/>
            <w:tcMar>
              <w:bottom w:w="0" w:type="dxa"/>
            </w:tcMar>
            <w:vAlign w:val="center"/>
          </w:tcPr>
          <w:p>
            <w:pPr>
              <w:pStyle w:val="TableContents"/>
              <w:bidi w:val="0"/>
              <w:spacing w:before="0" w:after="283"/>
              <w:jc w:val="left"/>
              <w:rPr>
                <w:sz w:val="20"/>
              </w:rPr>
            </w:pPr>
            <w:r>
              <w:rPr>
                <w:sz w:val="20"/>
              </w:rPr>
              <w:t>Chief Executive Officer and Chairman of the Board</w:t>
            </w:r>
          </w:p>
        </w:tc>
      </w:tr>
      <w:tr>
        <w:trPr/>
        <w:tc>
          <w:tcPr>
            <w:tcW w:w="1895" w:type="dxa"/>
            <w:tcBorders/>
            <w:shd w:fill="CCEEFF" w:val="clear"/>
            <w:tcMar>
              <w:bottom w:w="0" w:type="dxa"/>
            </w:tcMar>
            <w:vAlign w:val="center"/>
          </w:tcPr>
          <w:p>
            <w:pPr>
              <w:pStyle w:val="TableContents"/>
              <w:bidi w:val="0"/>
              <w:spacing w:before="0" w:after="283"/>
              <w:jc w:val="left"/>
              <w:rPr>
                <w:sz w:val="20"/>
              </w:rPr>
            </w:pPr>
            <w:r>
              <w:rPr>
                <w:sz w:val="20"/>
              </w:rPr>
              <w:t>Isida Tushe*</w:t>
            </w:r>
          </w:p>
        </w:tc>
        <w:tc>
          <w:tcPr>
            <w:tcW w:w="90" w:type="dxa"/>
            <w:tcBorders/>
            <w:shd w:fill="CCEEFF" w:val="clear"/>
            <w:tcMar>
              <w:bottom w:w="0" w:type="dxa"/>
            </w:tcMar>
            <w:vAlign w:val="center"/>
          </w:tcPr>
          <w:p>
            <w:pPr>
              <w:pStyle w:val="TableContents"/>
              <w:bidi w:val="0"/>
              <w:spacing w:before="0" w:after="283"/>
              <w:jc w:val="left"/>
              <w:rPr/>
            </w:pPr>
            <w:r>
              <w:rPr/>
              <w:t> </w:t>
            </w:r>
          </w:p>
        </w:tc>
        <w:tc>
          <w:tcPr>
            <w:tcW w:w="380" w:type="dxa"/>
            <w:tcBorders/>
            <w:shd w:fill="CCEEFF" w:val="clear"/>
            <w:tcMar>
              <w:bottom w:w="0" w:type="dxa"/>
            </w:tcMar>
            <w:vAlign w:val="center"/>
          </w:tcPr>
          <w:p>
            <w:pPr>
              <w:pStyle w:val="TableContents"/>
              <w:bidi w:val="0"/>
              <w:spacing w:before="0" w:after="283"/>
              <w:jc w:val="center"/>
              <w:rPr>
                <w:sz w:val="20"/>
              </w:rPr>
            </w:pPr>
            <w:r>
              <w:rPr>
                <w:sz w:val="20"/>
              </w:rPr>
              <w:t>39</w:t>
            </w:r>
          </w:p>
        </w:tc>
        <w:tc>
          <w:tcPr>
            <w:tcW w:w="90" w:type="dxa"/>
            <w:tcBorders/>
            <w:shd w:fill="CCEEFF" w:val="clear"/>
            <w:tcMar>
              <w:bottom w:w="0" w:type="dxa"/>
            </w:tcMar>
            <w:vAlign w:val="center"/>
          </w:tcPr>
          <w:p>
            <w:pPr>
              <w:pStyle w:val="TableContents"/>
              <w:bidi w:val="0"/>
              <w:spacing w:before="0" w:after="283"/>
              <w:jc w:val="left"/>
              <w:rPr/>
            </w:pPr>
            <w:r>
              <w:rPr/>
              <w:t> </w:t>
            </w:r>
          </w:p>
        </w:tc>
        <w:tc>
          <w:tcPr>
            <w:tcW w:w="5030" w:type="dxa"/>
            <w:tcBorders/>
            <w:shd w:fill="CCEEFF" w:val="clear"/>
            <w:tcMar>
              <w:bottom w:w="0" w:type="dxa"/>
            </w:tcMar>
            <w:vAlign w:val="center"/>
          </w:tcPr>
          <w:p>
            <w:pPr>
              <w:pStyle w:val="TableContents"/>
              <w:bidi w:val="0"/>
              <w:spacing w:before="0" w:after="283"/>
              <w:jc w:val="left"/>
              <w:rPr>
                <w:sz w:val="20"/>
              </w:rPr>
            </w:pPr>
            <w:r>
              <w:rPr>
                <w:sz w:val="20"/>
              </w:rPr>
              <w:t>President, General Counsel, Corporate Secretary and Director</w:t>
            </w:r>
          </w:p>
        </w:tc>
      </w:tr>
      <w:tr>
        <w:trPr/>
        <w:tc>
          <w:tcPr>
            <w:tcW w:w="1895" w:type="dxa"/>
            <w:tcBorders/>
            <w:shd w:fill="FFFFFF" w:val="clear"/>
            <w:tcMar>
              <w:bottom w:w="0" w:type="dxa"/>
            </w:tcMar>
            <w:vAlign w:val="center"/>
          </w:tcPr>
          <w:p>
            <w:pPr>
              <w:pStyle w:val="TableContents"/>
              <w:bidi w:val="0"/>
              <w:spacing w:before="0" w:after="283"/>
              <w:jc w:val="left"/>
              <w:rPr>
                <w:sz w:val="20"/>
              </w:rPr>
            </w:pPr>
            <w:r>
              <w:rPr>
                <w:sz w:val="20"/>
              </w:rPr>
              <w:t>Wenjuan Mattis, Ph.D.</w:t>
            </w:r>
          </w:p>
        </w:tc>
        <w:tc>
          <w:tcPr>
            <w:tcW w:w="90" w:type="dxa"/>
            <w:tcBorders/>
            <w:shd w:fill="FFFFFF" w:val="clear"/>
            <w:tcMar>
              <w:bottom w:w="0" w:type="dxa"/>
            </w:tcMar>
            <w:vAlign w:val="center"/>
          </w:tcPr>
          <w:p>
            <w:pPr>
              <w:pStyle w:val="TableContents"/>
              <w:bidi w:val="0"/>
              <w:spacing w:before="0" w:after="283"/>
              <w:jc w:val="left"/>
              <w:rPr/>
            </w:pPr>
            <w:r>
              <w:rPr/>
              <w:t> </w:t>
            </w:r>
          </w:p>
        </w:tc>
        <w:tc>
          <w:tcPr>
            <w:tcW w:w="380" w:type="dxa"/>
            <w:tcBorders/>
            <w:shd w:fill="FFFFFF" w:val="clear"/>
            <w:tcMar>
              <w:bottom w:w="0" w:type="dxa"/>
            </w:tcMar>
            <w:vAlign w:val="center"/>
          </w:tcPr>
          <w:p>
            <w:pPr>
              <w:pStyle w:val="TableContents"/>
              <w:bidi w:val="0"/>
              <w:spacing w:before="0" w:after="283"/>
              <w:jc w:val="center"/>
              <w:rPr>
                <w:sz w:val="20"/>
              </w:rPr>
            </w:pPr>
            <w:r>
              <w:rPr>
                <w:sz w:val="20"/>
              </w:rPr>
              <w:t>46</w:t>
            </w:r>
          </w:p>
        </w:tc>
        <w:tc>
          <w:tcPr>
            <w:tcW w:w="90" w:type="dxa"/>
            <w:tcBorders/>
            <w:shd w:fill="FFFFFF" w:val="clear"/>
            <w:tcMar>
              <w:bottom w:w="0" w:type="dxa"/>
            </w:tcMar>
            <w:vAlign w:val="center"/>
          </w:tcPr>
          <w:p>
            <w:pPr>
              <w:pStyle w:val="TableContents"/>
              <w:bidi w:val="0"/>
              <w:spacing w:before="0" w:after="283"/>
              <w:jc w:val="left"/>
              <w:rPr/>
            </w:pPr>
            <w:r>
              <w:rPr/>
              <w:t> </w:t>
            </w:r>
          </w:p>
        </w:tc>
        <w:tc>
          <w:tcPr>
            <w:tcW w:w="5030" w:type="dxa"/>
            <w:tcBorders/>
            <w:shd w:fill="FFFFFF" w:val="clear"/>
            <w:tcMar>
              <w:bottom w:w="0" w:type="dxa"/>
            </w:tcMar>
            <w:vAlign w:val="center"/>
          </w:tcPr>
          <w:p>
            <w:pPr>
              <w:pStyle w:val="TableContents"/>
              <w:bidi w:val="0"/>
              <w:spacing w:before="0" w:after="283"/>
              <w:jc w:val="left"/>
              <w:rPr>
                <w:sz w:val="20"/>
              </w:rPr>
            </w:pPr>
            <w:r>
              <w:rPr>
                <w:sz w:val="20"/>
              </w:rPr>
              <w:t>Chief Technology Officer</w:t>
            </w:r>
          </w:p>
        </w:tc>
      </w:tr>
      <w:tr>
        <w:trPr/>
        <w:tc>
          <w:tcPr>
            <w:tcW w:w="1895" w:type="dxa"/>
            <w:tcBorders/>
            <w:shd w:fill="CCEEFF" w:val="clear"/>
            <w:tcMar>
              <w:bottom w:w="0" w:type="dxa"/>
            </w:tcMar>
            <w:vAlign w:val="center"/>
          </w:tcPr>
          <w:p>
            <w:pPr>
              <w:pStyle w:val="TableContents"/>
              <w:bidi w:val="0"/>
              <w:spacing w:before="0" w:after="283"/>
              <w:jc w:val="left"/>
              <w:rPr>
                <w:sz w:val="20"/>
              </w:rPr>
            </w:pPr>
            <w:r>
              <w:rPr>
                <w:sz w:val="20"/>
              </w:rPr>
              <w:t>Shengxian Wu, Ph.D.</w:t>
            </w:r>
          </w:p>
        </w:tc>
        <w:tc>
          <w:tcPr>
            <w:tcW w:w="90" w:type="dxa"/>
            <w:tcBorders/>
            <w:shd w:fill="CCEEFF" w:val="clear"/>
            <w:tcMar>
              <w:bottom w:w="0" w:type="dxa"/>
            </w:tcMar>
            <w:vAlign w:val="center"/>
          </w:tcPr>
          <w:p>
            <w:pPr>
              <w:pStyle w:val="TableContents"/>
              <w:bidi w:val="0"/>
              <w:spacing w:before="0" w:after="283"/>
              <w:jc w:val="left"/>
              <w:rPr/>
            </w:pPr>
            <w:r>
              <w:rPr/>
              <w:t> </w:t>
            </w:r>
          </w:p>
        </w:tc>
        <w:tc>
          <w:tcPr>
            <w:tcW w:w="380" w:type="dxa"/>
            <w:tcBorders/>
            <w:shd w:fill="CCEEFF" w:val="clear"/>
            <w:tcMar>
              <w:bottom w:w="0" w:type="dxa"/>
            </w:tcMar>
            <w:vAlign w:val="center"/>
          </w:tcPr>
          <w:p>
            <w:pPr>
              <w:pStyle w:val="TableContents"/>
              <w:bidi w:val="0"/>
              <w:spacing w:before="0" w:after="283"/>
              <w:jc w:val="center"/>
              <w:rPr>
                <w:sz w:val="20"/>
              </w:rPr>
            </w:pPr>
            <w:r>
              <w:rPr>
                <w:sz w:val="20"/>
              </w:rPr>
              <w:t>44</w:t>
            </w:r>
          </w:p>
        </w:tc>
        <w:tc>
          <w:tcPr>
            <w:tcW w:w="90" w:type="dxa"/>
            <w:tcBorders/>
            <w:shd w:fill="CCEEFF" w:val="clear"/>
            <w:tcMar>
              <w:bottom w:w="0" w:type="dxa"/>
            </w:tcMar>
            <w:vAlign w:val="center"/>
          </w:tcPr>
          <w:p>
            <w:pPr>
              <w:pStyle w:val="TableContents"/>
              <w:bidi w:val="0"/>
              <w:spacing w:before="0" w:after="283"/>
              <w:jc w:val="left"/>
              <w:rPr/>
            </w:pPr>
            <w:r>
              <w:rPr/>
              <w:t> </w:t>
            </w:r>
          </w:p>
        </w:tc>
        <w:tc>
          <w:tcPr>
            <w:tcW w:w="5030" w:type="dxa"/>
            <w:tcBorders/>
            <w:shd w:fill="CCEEFF" w:val="clear"/>
            <w:tcMar>
              <w:bottom w:w="0" w:type="dxa"/>
            </w:tcMar>
            <w:vAlign w:val="center"/>
          </w:tcPr>
          <w:p>
            <w:pPr>
              <w:pStyle w:val="TableContents"/>
              <w:bidi w:val="0"/>
              <w:spacing w:before="0" w:after="283"/>
              <w:jc w:val="left"/>
              <w:rPr>
                <w:sz w:val="20"/>
              </w:rPr>
            </w:pPr>
            <w:r>
              <w:rPr>
                <w:sz w:val="20"/>
              </w:rPr>
              <w:t>Chief Operating Officer</w:t>
            </w:r>
          </w:p>
        </w:tc>
      </w:tr>
      <w:tr>
        <w:trPr/>
        <w:tc>
          <w:tcPr>
            <w:tcW w:w="1895" w:type="dxa"/>
            <w:tcBorders/>
            <w:tcMar>
              <w:bottom w:w="0" w:type="dxa"/>
            </w:tcMar>
            <w:vAlign w:val="center"/>
          </w:tcPr>
          <w:p>
            <w:pPr>
              <w:pStyle w:val="TableContents"/>
              <w:bidi w:val="0"/>
              <w:spacing w:before="0" w:after="283"/>
              <w:jc w:val="left"/>
              <w:rPr>
                <w:sz w:val="20"/>
              </w:rPr>
            </w:pPr>
            <w:r>
              <w:rPr>
                <w:sz w:val="20"/>
              </w:rPr>
              <w:t xml:space="preserve">Rodney Worthen </w:t>
            </w:r>
          </w:p>
        </w:tc>
        <w:tc>
          <w:tcPr>
            <w:tcW w:w="90" w:type="dxa"/>
            <w:tcBorders/>
            <w:tcMar>
              <w:bottom w:w="0" w:type="dxa"/>
            </w:tcMar>
            <w:vAlign w:val="center"/>
          </w:tcPr>
          <w:p>
            <w:pPr>
              <w:pStyle w:val="TableContents"/>
              <w:bidi w:val="0"/>
              <w:spacing w:before="0" w:after="283"/>
              <w:jc w:val="left"/>
              <w:rPr/>
            </w:pPr>
            <w:r>
              <w:rPr/>
              <w:t> </w:t>
            </w:r>
          </w:p>
        </w:tc>
        <w:tc>
          <w:tcPr>
            <w:tcW w:w="380" w:type="dxa"/>
            <w:tcBorders/>
            <w:tcMar>
              <w:bottom w:w="0" w:type="dxa"/>
            </w:tcMar>
            <w:vAlign w:val="center"/>
          </w:tcPr>
          <w:p>
            <w:pPr>
              <w:pStyle w:val="TableContents"/>
              <w:bidi w:val="0"/>
              <w:spacing w:before="0" w:after="283"/>
              <w:jc w:val="center"/>
              <w:rPr>
                <w:sz w:val="20"/>
              </w:rPr>
            </w:pPr>
            <w:r>
              <w:rPr>
                <w:sz w:val="20"/>
              </w:rPr>
              <w:t>36</w:t>
            </w:r>
          </w:p>
        </w:tc>
        <w:tc>
          <w:tcPr>
            <w:tcW w:w="90" w:type="dxa"/>
            <w:tcBorders/>
            <w:tcMar>
              <w:bottom w:w="0" w:type="dxa"/>
            </w:tcMar>
            <w:vAlign w:val="center"/>
          </w:tcPr>
          <w:p>
            <w:pPr>
              <w:pStyle w:val="TableContents"/>
              <w:bidi w:val="0"/>
              <w:spacing w:before="0" w:after="283"/>
              <w:jc w:val="left"/>
              <w:rPr/>
            </w:pPr>
            <w:r>
              <w:rPr/>
              <w:t> </w:t>
            </w:r>
          </w:p>
        </w:tc>
        <w:tc>
          <w:tcPr>
            <w:tcW w:w="5030" w:type="dxa"/>
            <w:tcBorders/>
            <w:tcMar>
              <w:bottom w:w="0" w:type="dxa"/>
            </w:tcMar>
            <w:vAlign w:val="center"/>
          </w:tcPr>
          <w:p>
            <w:pPr>
              <w:pStyle w:val="TableContents"/>
              <w:bidi w:val="0"/>
              <w:spacing w:before="0" w:after="283"/>
              <w:jc w:val="left"/>
              <w:rPr>
                <w:sz w:val="20"/>
              </w:rPr>
            </w:pPr>
            <w:r>
              <w:rPr>
                <w:sz w:val="20"/>
              </w:rPr>
              <w:t>Chief Financial Officer</w:t>
            </w:r>
          </w:p>
        </w:tc>
      </w:tr>
      <w:tr>
        <w:trPr/>
        <w:tc>
          <w:tcPr>
            <w:tcW w:w="1895" w:type="dxa"/>
            <w:tcBorders/>
            <w:shd w:fill="CCEEFF" w:val="clear"/>
            <w:tcMar>
              <w:bottom w:w="0" w:type="dxa"/>
            </w:tcMar>
            <w:vAlign w:val="center"/>
          </w:tcPr>
          <w:p>
            <w:pPr>
              <w:pStyle w:val="TableContents"/>
              <w:bidi w:val="0"/>
              <w:spacing w:before="0" w:after="283"/>
              <w:jc w:val="left"/>
              <w:rPr>
                <w:sz w:val="20"/>
              </w:rPr>
            </w:pPr>
            <w:r>
              <w:rPr>
                <w:sz w:val="20"/>
              </w:rPr>
              <w:t>Derek Liu</w:t>
            </w:r>
          </w:p>
        </w:tc>
        <w:tc>
          <w:tcPr>
            <w:tcW w:w="90" w:type="dxa"/>
            <w:tcBorders/>
            <w:shd w:fill="CCEEFF" w:val="clear"/>
            <w:tcMar>
              <w:bottom w:w="0" w:type="dxa"/>
            </w:tcMar>
            <w:vAlign w:val="center"/>
          </w:tcPr>
          <w:p>
            <w:pPr>
              <w:pStyle w:val="TableContents"/>
              <w:bidi w:val="0"/>
              <w:spacing w:before="0" w:after="283"/>
              <w:jc w:val="left"/>
              <w:rPr/>
            </w:pPr>
            <w:r>
              <w:rPr/>
              <w:t> </w:t>
            </w:r>
          </w:p>
        </w:tc>
        <w:tc>
          <w:tcPr>
            <w:tcW w:w="380" w:type="dxa"/>
            <w:tcBorders/>
            <w:shd w:fill="CCEEFF" w:val="clear"/>
            <w:tcMar>
              <w:bottom w:w="0" w:type="dxa"/>
            </w:tcMar>
            <w:vAlign w:val="center"/>
          </w:tcPr>
          <w:p>
            <w:pPr>
              <w:pStyle w:val="TableContents"/>
              <w:bidi w:val="0"/>
              <w:spacing w:before="0" w:after="283"/>
              <w:jc w:val="center"/>
              <w:rPr>
                <w:sz w:val="20"/>
              </w:rPr>
            </w:pPr>
            <w:r>
              <w:rPr>
                <w:sz w:val="20"/>
              </w:rPr>
              <w:t>56</w:t>
            </w:r>
          </w:p>
        </w:tc>
        <w:tc>
          <w:tcPr>
            <w:tcW w:w="90" w:type="dxa"/>
            <w:tcBorders/>
            <w:shd w:fill="CCEEFF" w:val="clear"/>
            <w:tcMar>
              <w:bottom w:w="0" w:type="dxa"/>
            </w:tcMar>
            <w:vAlign w:val="center"/>
          </w:tcPr>
          <w:p>
            <w:pPr>
              <w:pStyle w:val="TableContents"/>
              <w:bidi w:val="0"/>
              <w:spacing w:before="0" w:after="283"/>
              <w:jc w:val="left"/>
              <w:rPr/>
            </w:pPr>
            <w:r>
              <w:rPr/>
              <w:t> </w:t>
            </w:r>
          </w:p>
        </w:tc>
        <w:tc>
          <w:tcPr>
            <w:tcW w:w="5030" w:type="dxa"/>
            <w:tcBorders/>
            <w:shd w:fill="CCEEFF" w:val="clear"/>
            <w:tcMar>
              <w:bottom w:w="0" w:type="dxa"/>
            </w:tcMar>
            <w:vAlign w:val="center"/>
          </w:tcPr>
          <w:p>
            <w:pPr>
              <w:pStyle w:val="TableContents"/>
              <w:bidi w:val="0"/>
              <w:spacing w:before="0" w:after="283"/>
              <w:jc w:val="left"/>
              <w:rPr>
                <w:sz w:val="20"/>
              </w:rPr>
            </w:pPr>
            <w:r>
              <w:rPr>
                <w:sz w:val="20"/>
              </w:rPr>
              <w:t>Chief Accounting Officer</w:t>
            </w:r>
          </w:p>
        </w:tc>
      </w:tr>
    </w:tbl>
    <w:p>
      <w:pPr>
        <w:pStyle w:val="TextBody"/>
        <w:bidi w:val="0"/>
        <w:spacing w:lineRule="auto" w:line="316"/>
        <w:jc w:val="left"/>
        <w:rPr>
          <w:caps w:val="false"/>
          <w:smallCaps w:val="false"/>
        </w:rPr>
      </w:pPr>
      <w:r>
        <w:rPr>
          <w:caps w:val="false"/>
          <w:smallCaps w:val="false"/>
        </w:rPr>
        <w:t> </w:t>
      </w:r>
    </w:p>
    <w:p>
      <w:pPr>
        <w:pStyle w:val="TextBody"/>
        <w:bidi w:val="0"/>
        <w:spacing w:lineRule="auto" w:line="276"/>
        <w:jc w:val="both"/>
        <w:rPr>
          <w:rFonts w:ascii="Times New Roman;Times;Serif" w:hAnsi="Times New Roman;Times;Serif"/>
          <w:b w:val="false"/>
          <w:i w:val="false"/>
          <w:caps w:val="false"/>
          <w:smallCaps w:val="false"/>
          <w:sz w:val="16"/>
          <w:shd w:fill="FFFFFF" w:val="clear"/>
        </w:rPr>
      </w:pPr>
      <w:r>
        <w:rPr>
          <w:rFonts w:ascii="Times New Roman;Times;Serif" w:hAnsi="Times New Roman;Times;Serif"/>
          <w:b w:val="false"/>
          <w:i w:val="false"/>
          <w:caps w:val="false"/>
          <w:smallCaps w:val="false"/>
          <w:sz w:val="16"/>
          <w:shd w:fill="FFFFFF" w:val="clear"/>
        </w:rPr>
        <w:t>*Mr. Wu and Ms. Tushe’s biographies are included under “Our Board of Directors” above.</w:t>
      </w:r>
    </w:p>
    <w:p>
      <w:pPr>
        <w:pStyle w:val="TextBody"/>
        <w:bidi w:val="0"/>
        <w:spacing w:lineRule="auto" w:line="276"/>
        <w:jc w:val="both"/>
        <w:rPr>
          <w:caps w:val="false"/>
          <w:smallCaps w:val="false"/>
        </w:rPr>
      </w:pPr>
      <w:r>
        <w:rPr>
          <w:caps w:val="false"/>
          <w:smallCaps w:val="false"/>
        </w:rPr>
        <w:t> </w:t>
      </w:r>
    </w:p>
    <w:p>
      <w:pPr>
        <w:pStyle w:val="TextBody"/>
        <w:bidi w:val="0"/>
        <w:spacing w:lineRule="auto" w:line="276"/>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shd w:fill="FFFFFF" w:val="clear"/>
        </w:rPr>
        <w:t>Dr. Shengxian Wu</w:t>
      </w:r>
      <w:r>
        <w:rPr>
          <w:rFonts w:ascii="Times New Roman;Times;Serif" w:hAnsi="Times New Roman;Times;Serif"/>
          <w:b w:val="false"/>
          <w:i w:val="false"/>
          <w:caps w:val="false"/>
          <w:smallCaps w:val="false"/>
          <w:sz w:val="20"/>
          <w:shd w:fill="FFFFFF" w:val="clear"/>
        </w:rPr>
        <w:t xml:space="preserve"> was appointed as our Chief Operating Officer on April 18, 2024. In addition to his role as Chief Operating Officer, </w:t>
      </w:r>
      <w:r>
        <w:rPr>
          <w:rFonts w:ascii="Times New Roman;Times;Serif" w:hAnsi="Times New Roman;Times;Serif"/>
          <w:b w:val="false"/>
          <w:i w:val="false"/>
          <w:caps w:val="false"/>
          <w:smallCaps w:val="false"/>
          <w:sz w:val="20"/>
        </w:rPr>
        <w:t>Dr. Wu has served as Microvast Power Systems Co. Ltd’s (“Microvast China”) President since January 2021. Prior to joining Microvast China in March 2016, Dr. Wu served as manager of the Commercial Vehicle Research Institute of Zhejiang Geely Holding Group. Dr. Wu holds a Bachelor of Science degree in Environmental Engineering from Beijing Institute of Technology and a Ph.D. in Lithium Battery from Beijing Institute of Technology.</w:t>
      </w:r>
    </w:p>
    <w:p>
      <w:pPr>
        <w:pStyle w:val="TextBody"/>
        <w:bidi w:val="0"/>
        <w:spacing w:lineRule="auto" w:line="276"/>
        <w:jc w:val="both"/>
        <w:rPr>
          <w:caps w:val="false"/>
          <w:smallCaps w:val="false"/>
        </w:rPr>
      </w:pPr>
      <w:r>
        <w:rPr>
          <w:caps w:val="false"/>
          <w:smallCaps w:val="false"/>
        </w:rPr>
        <w:t> </w:t>
      </w:r>
    </w:p>
    <w:p>
      <w:pPr>
        <w:pStyle w:val="TextBody"/>
        <w:bidi w:val="0"/>
        <w:spacing w:lineRule="auto" w:line="27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Wu is a citizen of China and resides in China.</w:t>
      </w:r>
    </w:p>
    <w:p>
      <w:pPr>
        <w:pStyle w:val="TextBody"/>
        <w:bidi w:val="0"/>
        <w:spacing w:lineRule="auto" w:line="276"/>
        <w:jc w:val="both"/>
        <w:rPr>
          <w:caps w:val="false"/>
          <w:smallCaps w:val="false"/>
        </w:rPr>
      </w:pPr>
      <w:r>
        <w:rPr>
          <w:caps w:val="false"/>
          <w:smallCaps w:val="false"/>
        </w:rPr>
        <w:t> </w:t>
      </w:r>
    </w:p>
    <w:p>
      <w:pPr>
        <w:pStyle w:val="TextBody"/>
        <w:bidi w:val="0"/>
        <w:spacing w:lineRule="auto" w:line="276"/>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caps w:val="false"/>
          <w:smallCaps w:val="false"/>
          <w:sz w:val="20"/>
          <w:shd w:fill="FFFFFF" w:val="clear"/>
        </w:rPr>
        <w:t>Dr. Wenjuan Mattis</w:t>
      </w:r>
      <w:r>
        <w:rPr>
          <w:rFonts w:ascii="Times New Roman;Times;Serif" w:hAnsi="Times New Roman;Times;Serif"/>
          <w:b w:val="false"/>
          <w:i w:val="false"/>
          <w:caps w:val="false"/>
          <w:smallCaps w:val="false"/>
          <w:sz w:val="20"/>
          <w:shd w:fill="FFFFFF" w:val="clear"/>
        </w:rPr>
        <w:t xml:space="preserve"> joined Microvast, Inc. in October 2013 as Chief Scientist. She served as Vice President of Technology from January 2015 to December 2017 and has served as Chief Technology Officer of Microvast, Inc. since January 1, 2018. Following the business combination on July 23, 2021, she was also appointed Chief Technology Officer of Microvast. In these roles, she leads the Microvast group’s global technology strategy, research and development, and product development across battery materials, cell chemistry, modules and packs, battery management systems, and energy storage systems, from early-stage research through large-scale manufacturing. Before joining Microvast, Dr. Mattis was a Senior Research Engineer at The Dow Chemical Company in Midland, Michigan, from March 2010 to October 2013. She led and contributed to research programs on advanced lithium-ion battery materials and cell technologies for electrified vehicles and consumer electronics. Dr. Mattis was elected to the Board of Directors of the International Meeting on Lithium Batteries Association (IMLB) in May 2016. She has also served as Vice President of the International Automotive Lithium Battery Association (IALB) since June 2013. She received a Bachelor of Science in Mechanics and Engineering Science from Fudan University in 2003, from the department now known as the Department of Aeronautics and Astronautics, and a Ph.D. in Materials Science and Engineering from The Pennsylvania State University. Dr. Mattis has nearly 20 years of experience in lithium-ion battery technology development, has authored 22 scientific papers, and is named as an inventor on more than 100 issued patents and pending patent applications.</w:t>
      </w:r>
    </w:p>
    <w:p>
      <w:pPr>
        <w:pStyle w:val="TextBody"/>
        <w:bidi w:val="0"/>
        <w:spacing w:lineRule="auto" w:line="276"/>
        <w:jc w:val="both"/>
        <w:rPr>
          <w:caps w:val="false"/>
          <w:smallCaps w:val="false"/>
        </w:rPr>
      </w:pPr>
      <w:r>
        <w:rPr>
          <w:caps w:val="false"/>
          <w:smallCaps w:val="false"/>
        </w:rPr>
        <w:t> </w:t>
      </w:r>
    </w:p>
    <w:p>
      <w:pPr>
        <w:pStyle w:val="TextBody"/>
        <w:bidi w:val="0"/>
        <w:spacing w:lineRule="auto" w:line="276"/>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Dr. Mattis is a U.S. citizen and resides in the U.S.</w:t>
      </w:r>
    </w:p>
    <w:p>
      <w:pPr>
        <w:pStyle w:val="TextBody"/>
        <w:bidi w:val="0"/>
        <w:spacing w:lineRule="auto" w:line="276"/>
        <w:jc w:val="both"/>
        <w:rPr>
          <w:caps w:val="false"/>
          <w:smallCaps w:val="false"/>
        </w:rPr>
      </w:pPr>
      <w:r>
        <w:rPr>
          <w:caps w:val="false"/>
          <w:smallCaps w:val="false"/>
        </w:rPr>
        <w:t> </w:t>
      </w:r>
    </w:p>
    <w:p>
      <w:pPr>
        <w:pStyle w:val="TextBody"/>
        <w:bidi w:val="0"/>
        <w:spacing w:lineRule="auto" w:line="276"/>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caps w:val="false"/>
          <w:smallCaps w:val="false"/>
          <w:sz w:val="20"/>
          <w:shd w:fill="FFFFFF" w:val="clear"/>
        </w:rPr>
        <w:t>Rodney Worthen</w:t>
      </w:r>
      <w:r>
        <w:rPr>
          <w:rFonts w:ascii="Times New Roman;Times;Serif" w:hAnsi="Times New Roman;Times;Serif"/>
          <w:b w:val="false"/>
          <w:i w:val="false"/>
          <w:caps w:val="false"/>
          <w:smallCaps w:val="false"/>
          <w:sz w:val="20"/>
          <w:shd w:fill="FFFFFF" w:val="clear"/>
        </w:rPr>
        <w:t xml:space="preserve"> was appointed as our Chief Financial Officer on January 7, 2026. Mr. Worthen joined the Company in June of 2023. Prior to serving as the Company’s Chief Financial Officer, he held various positions of increasing responsibility within the Company, including Interim Chief Financial Officer and Vice President of Corporate Strategy, Director of Investor Relations and FP&amp;A, Vice President of Corporate Finance, and Head of FP&amp;A and Investor Relations. Prior to joining the Company, Mr. Worthen gained extensive experience in financial reporting, M&amp;A, corporate development, and strategic leadership, serving as Director of Finance at Killam Holdings Company and various roles of progressive responsibility in M&amp;A, FP&amp;A, and engineering at both private and publicly listed energy companies. Mr. Worthen holds a Bachelor of Science in Mechanical Engineering from the University of Central Oklahoma, a Master of Science in Engineering from the University of Oklahoma and a Master of Science in Finance and Master of Business Administration from Auburn University. </w:t>
      </w:r>
    </w:p>
    <w:p>
      <w:pPr>
        <w:pStyle w:val="TextBody"/>
        <w:bidi w:val="0"/>
        <w:spacing w:lineRule="auto" w:line="276"/>
        <w:jc w:val="both"/>
        <w:rPr>
          <w:caps w:val="false"/>
          <w:smallCaps w:val="false"/>
          <w:shd w:fill="FFFFFF" w:val="clear"/>
        </w:rPr>
      </w:pPr>
      <w:r>
        <w:rPr>
          <w:caps w:val="false"/>
          <w:smallCaps w:val="false"/>
          <w:shd w:fill="FFFFFF" w:val="clear"/>
        </w:rPr>
        <w:t> </w:t>
      </w:r>
    </w:p>
    <w:p>
      <w:pPr>
        <w:pStyle w:val="TextBody"/>
        <w:bidi w:val="0"/>
        <w:spacing w:lineRule="auto" w:line="276"/>
        <w:jc w:val="both"/>
        <w:rPr>
          <w:caps w:val="false"/>
          <w:smallCaps w:val="false"/>
        </w:rPr>
      </w:pPr>
      <w:r>
        <w:rPr>
          <w:caps w:val="false"/>
          <w:smallCaps w:val="false"/>
        </w:rPr>
        <w:t> </w:t>
      </w:r>
    </w:p>
    <w:tbl>
      <w:tblPr>
        <w:tblW w:w="590" w:type="dxa"/>
        <w:jc w:val="left"/>
        <w:tblInd w:w="0" w:type="dxa"/>
        <w:tblLayout w:type="fixed"/>
        <w:tblCellMar>
          <w:top w:w="0" w:type="dxa"/>
          <w:left w:w="0" w:type="dxa"/>
          <w:bottom w:w="0" w:type="dxa"/>
          <w:right w:w="0" w:type="dxa"/>
        </w:tblCellMar>
      </w:tblPr>
      <w:tblGrid>
        <w:gridCol w:w="105"/>
        <w:gridCol w:w="350"/>
        <w:gridCol w:w="135"/>
      </w:tblGrid>
      <w:tr>
        <w:trPr/>
        <w:tc>
          <w:tcPr>
            <w:tcW w:w="10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 </w:t>
            </w:r>
            <w:r>
              <w:rPr/>
              <w:t>18</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lineRule="auto" w:line="276"/>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Mr. Worthen is a U.S. citizen and resides in the U.S.</w:t>
      </w:r>
    </w:p>
    <w:p>
      <w:pPr>
        <w:pStyle w:val="TextBody"/>
        <w:bidi w:val="0"/>
        <w:spacing w:lineRule="auto" w:line="276"/>
        <w:jc w:val="both"/>
        <w:rPr>
          <w:caps w:val="false"/>
          <w:smallCaps w:val="false"/>
        </w:rPr>
      </w:pPr>
      <w:r>
        <w:rPr>
          <w:caps w:val="false"/>
          <w:smallCaps w:val="false"/>
        </w:rPr>
        <w:t> </w:t>
      </w:r>
    </w:p>
    <w:p>
      <w:pPr>
        <w:pStyle w:val="TextBody"/>
        <w:bidi w:val="0"/>
        <w:spacing w:lineRule="auto" w:line="276"/>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caps w:val="false"/>
          <w:smallCaps w:val="false"/>
          <w:sz w:val="20"/>
          <w:shd w:fill="FFFFFF" w:val="clear"/>
        </w:rPr>
        <w:t>Derek Liu</w:t>
      </w:r>
      <w:r>
        <w:rPr>
          <w:rFonts w:ascii="Times New Roman;Times;Serif" w:hAnsi="Times New Roman;Times;Serif"/>
          <w:b w:val="false"/>
          <w:i w:val="false"/>
          <w:caps w:val="false"/>
          <w:smallCaps w:val="false"/>
          <w:sz w:val="20"/>
          <w:shd w:fill="FFFFFF" w:val="clear"/>
        </w:rPr>
        <w:t xml:space="preserve"> was appointed as our Chief Accounting Officer effective August 7, 2026. Mr. Liu previously served as Chief Financial Officer at Silvercorp Metals Inc. from 2015 to 2025, and during his time at Silvercorp Metals Inc. also served as Controller from 2006 to 2010. Mr. Liu also served as Chief Financial Officer at Canickel Mining Limited from 2011 to 2014. Mr. Liu holds a Master of Business Administration from Laurentian University, a Bachelor of Economics from Shenzhen University and a Diploma of Technology in Financial Management, Advanced Accounting from the British Columbia Institute of Technology.</w:t>
      </w:r>
    </w:p>
    <w:p>
      <w:pPr>
        <w:pStyle w:val="TextBody"/>
        <w:bidi w:val="0"/>
        <w:spacing w:lineRule="auto" w:line="276"/>
        <w:jc w:val="both"/>
        <w:rPr>
          <w:caps w:val="false"/>
          <w:smallCaps w:val="false"/>
        </w:rPr>
      </w:pPr>
      <w:r>
        <w:rPr>
          <w:caps w:val="false"/>
          <w:smallCaps w:val="false"/>
        </w:rPr>
        <w:t> </w:t>
      </w:r>
    </w:p>
    <w:p>
      <w:pPr>
        <w:pStyle w:val="TextBody"/>
        <w:bidi w:val="0"/>
        <w:spacing w:lineRule="auto" w:line="276"/>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Mr. Liu is a Canadian citizen and resides in the U.S.</w:t>
      </w:r>
    </w:p>
    <w:p>
      <w:pPr>
        <w:pStyle w:val="TextBody"/>
        <w:bidi w:val="0"/>
        <w:spacing w:lineRule="auto" w:line="316"/>
        <w:jc w:val="both"/>
        <w:rPr>
          <w:caps w:val="false"/>
          <w:smallCaps w:val="false"/>
        </w:rPr>
      </w:pPr>
      <w:r>
        <w:rPr>
          <w:caps w:val="false"/>
          <w:smallCaps w:val="false"/>
        </w:rPr>
        <w:t> </w:t>
      </w:r>
    </w:p>
    <w:p>
      <w:pPr>
        <w:pStyle w:val="TextBody"/>
        <w:bidi w:val="0"/>
        <w:spacing w:lineRule="auto" w:line="316"/>
        <w:jc w:val="both"/>
        <w:rPr>
          <w:caps w:val="false"/>
          <w:smallCaps w:val="false"/>
        </w:rPr>
      </w:pPr>
      <w:r>
        <w:rPr>
          <w:caps w:val="false"/>
          <w:smallCaps w:val="false"/>
        </w:rPr>
        <w:t> </w:t>
      </w:r>
    </w:p>
    <w:p>
      <w:pPr>
        <w:pStyle w:val="TextBody"/>
        <w:bidi w:val="0"/>
        <w:spacing w:lineRule="auto" w:line="316"/>
        <w:jc w:val="both"/>
        <w:rPr>
          <w:caps w:val="false"/>
          <w:smallCaps w:val="false"/>
        </w:rPr>
      </w:pPr>
      <w:r>
        <w:rPr>
          <w:caps w:val="false"/>
          <w:smallCaps w:val="false"/>
        </w:rPr>
        <w:t> </w:t>
      </w:r>
    </w:p>
    <w:p>
      <w:pPr>
        <w:pStyle w:val="TextBody"/>
        <w:bidi w:val="0"/>
        <w:spacing w:lineRule="auto" w:line="316"/>
        <w:jc w:val="both"/>
        <w:rPr>
          <w:caps w:val="false"/>
          <w:smallCaps w:val="false"/>
        </w:rPr>
      </w:pPr>
      <w:r>
        <w:rPr>
          <w:caps w:val="false"/>
          <w:smallCaps w:val="false"/>
        </w:rPr>
        <w:t> </w:t>
      </w:r>
    </w:p>
    <w:p>
      <w:pPr>
        <w:pStyle w:val="TextBody"/>
        <w:bidi w:val="0"/>
        <w:spacing w:lineRule="auto" w:line="316"/>
        <w:jc w:val="both"/>
        <w:rPr>
          <w:caps w:val="false"/>
          <w:smallCaps w:val="false"/>
        </w:rPr>
      </w:pPr>
      <w:r>
        <w:rPr>
          <w:caps w:val="false"/>
          <w:smallCaps w:val="false"/>
        </w:rPr>
        <w:t> </w:t>
      </w:r>
    </w:p>
    <w:p>
      <w:pPr>
        <w:pStyle w:val="TextBody"/>
        <w:bidi w:val="0"/>
        <w:spacing w:lineRule="auto" w:line="316"/>
        <w:jc w:val="both"/>
        <w:rPr>
          <w:caps w:val="false"/>
          <w:smallCaps w:val="false"/>
        </w:rPr>
      </w:pPr>
      <w:r>
        <w:rPr>
          <w:caps w:val="false"/>
          <w:smallCaps w:val="false"/>
        </w:rPr>
        <w:t> </w:t>
      </w:r>
    </w:p>
    <w:p>
      <w:pPr>
        <w:pStyle w:val="TextBody"/>
        <w:bidi w:val="0"/>
        <w:spacing w:lineRule="auto" w:line="316"/>
        <w:jc w:val="both"/>
        <w:rPr>
          <w:caps w:val="false"/>
          <w:smallCaps w:val="false"/>
        </w:rPr>
      </w:pPr>
      <w:r>
        <w:rPr>
          <w:caps w:val="false"/>
          <w:smallCaps w:val="false"/>
        </w:rPr>
        <w:t> </w:t>
      </w:r>
    </w:p>
    <w:p>
      <w:pPr>
        <w:pStyle w:val="TextBody"/>
        <w:bidi w:val="0"/>
        <w:spacing w:lineRule="auto" w:line="316"/>
        <w:jc w:val="both"/>
        <w:rPr>
          <w:caps w:val="false"/>
          <w:smallCaps w:val="false"/>
        </w:rPr>
      </w:pPr>
      <w:r>
        <w:rPr>
          <w:caps w:val="false"/>
          <w:smallCaps w:val="false"/>
        </w:rPr>
        <w:t> </w:t>
      </w:r>
    </w:p>
    <w:p>
      <w:pPr>
        <w:pStyle w:val="TextBody"/>
        <w:bidi w:val="0"/>
        <w:spacing w:lineRule="auto" w:line="316"/>
        <w:jc w:val="both"/>
        <w:rPr>
          <w:caps w:val="false"/>
          <w:smallCaps w:val="false"/>
        </w:rPr>
      </w:pPr>
      <w:r>
        <w:rPr>
          <w:caps w:val="false"/>
          <w:smallCaps w:val="false"/>
        </w:rPr>
        <w:t> </w:t>
      </w:r>
    </w:p>
    <w:p>
      <w:pPr>
        <w:pStyle w:val="TextBody"/>
        <w:bidi w:val="0"/>
        <w:spacing w:lineRule="auto" w:line="316"/>
        <w:jc w:val="both"/>
        <w:rPr>
          <w:caps w:val="false"/>
          <w:smallCaps w:val="false"/>
        </w:rPr>
      </w:pPr>
      <w:r>
        <w:rPr>
          <w:caps w:val="false"/>
          <w:smallCaps w:val="false"/>
        </w:rPr>
        <w:t> </w:t>
      </w:r>
    </w:p>
    <w:p>
      <w:pPr>
        <w:pStyle w:val="TextBody"/>
        <w:bidi w:val="0"/>
        <w:spacing w:lineRule="auto" w:line="316"/>
        <w:jc w:val="both"/>
        <w:rPr>
          <w:caps w:val="false"/>
          <w:smallCaps w:val="false"/>
        </w:rPr>
      </w:pPr>
      <w:r>
        <w:rPr>
          <w:caps w:val="false"/>
          <w:smallCaps w:val="false"/>
        </w:rPr>
        <w:t> </w:t>
      </w:r>
    </w:p>
    <w:p>
      <w:pPr>
        <w:pStyle w:val="TextBody"/>
        <w:bidi w:val="0"/>
        <w:spacing w:lineRule="auto" w:line="316"/>
        <w:jc w:val="both"/>
        <w:rPr>
          <w:caps w:val="false"/>
          <w:smallCaps w:val="false"/>
        </w:rPr>
      </w:pPr>
      <w:r>
        <w:rPr>
          <w:caps w:val="false"/>
          <w:smallCaps w:val="false"/>
        </w:rPr>
        <w:t> </w:t>
      </w:r>
    </w:p>
    <w:p>
      <w:pPr>
        <w:pStyle w:val="TextBody"/>
        <w:bidi w:val="0"/>
        <w:spacing w:lineRule="auto" w:line="316"/>
        <w:jc w:val="both"/>
        <w:rPr>
          <w:caps w:val="false"/>
          <w:smallCaps w:val="false"/>
        </w:rPr>
      </w:pPr>
      <w:r>
        <w:rPr>
          <w:caps w:val="false"/>
          <w:smallCaps w:val="false"/>
        </w:rPr>
        <w:t> </w:t>
      </w:r>
    </w:p>
    <w:p>
      <w:pPr>
        <w:pStyle w:val="TextBody"/>
        <w:bidi w:val="0"/>
        <w:spacing w:lineRule="auto" w:line="316"/>
        <w:jc w:val="both"/>
        <w:rPr>
          <w:caps w:val="false"/>
          <w:smallCaps w:val="false"/>
        </w:rPr>
      </w:pPr>
      <w:r>
        <w:rPr>
          <w:caps w:val="false"/>
          <w:smallCaps w:val="false"/>
        </w:rPr>
        <w:t> </w:t>
      </w:r>
    </w:p>
    <w:p>
      <w:pPr>
        <w:pStyle w:val="TextBody"/>
        <w:bidi w:val="0"/>
        <w:spacing w:lineRule="auto" w:line="316"/>
        <w:jc w:val="both"/>
        <w:rPr>
          <w:caps w:val="false"/>
          <w:smallCaps w:val="false"/>
        </w:rPr>
      </w:pPr>
      <w:r>
        <w:rPr>
          <w:caps w:val="false"/>
          <w:smallCaps w:val="false"/>
        </w:rPr>
        <w:t> </w:t>
      </w:r>
    </w:p>
    <w:p>
      <w:pPr>
        <w:pStyle w:val="TextBody"/>
        <w:bidi w:val="0"/>
        <w:spacing w:lineRule="auto" w:line="316"/>
        <w:jc w:val="both"/>
        <w:rPr>
          <w:caps w:val="false"/>
          <w:smallCaps w:val="false"/>
        </w:rPr>
      </w:pPr>
      <w:r>
        <w:rPr>
          <w:caps w:val="false"/>
          <w:smallCaps w:val="false"/>
        </w:rPr>
        <w:t> </w:t>
      </w:r>
    </w:p>
    <w:p>
      <w:pPr>
        <w:pStyle w:val="TextBody"/>
        <w:bidi w:val="0"/>
        <w:spacing w:lineRule="auto" w:line="316"/>
        <w:jc w:val="both"/>
        <w:rPr>
          <w:caps w:val="false"/>
          <w:smallCaps w:val="false"/>
        </w:rPr>
      </w:pPr>
      <w:r>
        <w:rPr>
          <w:caps w:val="false"/>
          <w:smallCaps w:val="false"/>
        </w:rPr>
        <w:t> </w:t>
      </w:r>
    </w:p>
    <w:tbl>
      <w:tblPr>
        <w:tblW w:w="590" w:type="dxa"/>
        <w:jc w:val="left"/>
        <w:tblInd w:w="0" w:type="dxa"/>
        <w:tblLayout w:type="fixed"/>
        <w:tblCellMar>
          <w:top w:w="0" w:type="dxa"/>
          <w:left w:w="0" w:type="dxa"/>
          <w:bottom w:w="0" w:type="dxa"/>
          <w:right w:w="0" w:type="dxa"/>
        </w:tblCellMar>
      </w:tblPr>
      <w:tblGrid>
        <w:gridCol w:w="105"/>
        <w:gridCol w:w="350"/>
        <w:gridCol w:w="135"/>
      </w:tblGrid>
      <w:tr>
        <w:trPr/>
        <w:tc>
          <w:tcPr>
            <w:tcW w:w="10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 </w:t>
            </w:r>
            <w:r>
              <w:rPr/>
              <w:t>19</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lineRule="auto" w:line="276"/>
        <w:jc w:val="left"/>
        <w:rPr>
          <w:rFonts w:ascii="Times New Roman;Times;Serif" w:hAnsi="Times New Roman;Times;Serif"/>
          <w:b/>
          <w:i w:val="false"/>
          <w:caps w:val="false"/>
          <w:smallCaps w:val="false"/>
          <w:sz w:val="32"/>
        </w:rPr>
      </w:pPr>
      <w:bookmarkStart w:id="9" w:name="corporate"/>
      <w:bookmarkEnd w:id="9"/>
      <w:r>
        <w:rPr>
          <w:rFonts w:ascii="Times New Roman;Times;Serif" w:hAnsi="Times New Roman;Times;Serif"/>
          <w:b/>
          <w:i w:val="false"/>
          <w:caps w:val="false"/>
          <w:smallCaps w:val="false"/>
          <w:sz w:val="32"/>
        </w:rPr>
        <w:t>CORPORATE GOVERNANCE</w:t>
      </w:r>
    </w:p>
    <w:p>
      <w:pPr>
        <w:pStyle w:val="TextBody"/>
        <w:bidi w:val="0"/>
        <w:spacing w:lineRule="auto" w:line="276"/>
        <w:jc w:val="left"/>
        <w:rPr>
          <w:caps w:val="false"/>
          <w:smallCaps w:val="false"/>
        </w:rPr>
      </w:pPr>
      <w:r>
        <w:rPr>
          <w:caps w:val="false"/>
          <w:smallCaps w:val="false"/>
        </w:rPr>
        <w:t> </w:t>
      </w:r>
    </w:p>
    <w:p>
      <w:pPr>
        <w:pStyle w:val="TextBody"/>
        <w:bidi w:val="0"/>
        <w:spacing w:lineRule="auto" w:line="276"/>
        <w:jc w:val="left"/>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Our Commitment to Sound Corporate Governance</w:t>
      </w:r>
    </w:p>
    <w:p>
      <w:pPr>
        <w:pStyle w:val="TextBody"/>
        <w:bidi w:val="0"/>
        <w:spacing w:lineRule="auto" w:line="276"/>
        <w:jc w:val="left"/>
        <w:rPr>
          <w:caps w:val="false"/>
          <w:smallCaps w:val="false"/>
        </w:rPr>
      </w:pPr>
      <w:r>
        <w:rPr>
          <w:caps w:val="false"/>
          <w:smallCaps w:val="false"/>
        </w:rPr>
        <w:t> </w:t>
      </w:r>
    </w:p>
    <w:p>
      <w:pPr>
        <w:pStyle w:val="TextBody"/>
        <w:bidi w:val="0"/>
        <w:spacing w:lineRule="auto" w:line="27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committed to adhering to corporate governance practices that meet applicable U.S. corporate governance standards. Our Board has adopted guidelines that serve as a flexible framework within which our Board and its committees operate (the “Corporate Governance Guidelines”). These Corporate Governance Guidelines cover a number of areas including the size and composition of the Board, board membership criteria and director qualifications, director responsibilities, board agenda, meetings of independent directors, committee responsibilities and assignments, board member access to management and independent advisors, director communications with third parties, director compensation, director orientation and continuing education, evaluation of senior management and management succession planning.</w:t>
      </w:r>
    </w:p>
    <w:p>
      <w:pPr>
        <w:pStyle w:val="TextBody"/>
        <w:bidi w:val="0"/>
        <w:spacing w:lineRule="auto" w:line="276"/>
        <w:jc w:val="both"/>
        <w:rPr>
          <w:caps w:val="false"/>
          <w:smallCaps w:val="false"/>
        </w:rPr>
      </w:pPr>
      <w:r>
        <w:rPr>
          <w:caps w:val="false"/>
          <w:smallCaps w:val="false"/>
        </w:rPr>
        <w:t> </w:t>
      </w:r>
    </w:p>
    <w:p>
      <w:pPr>
        <w:pStyle w:val="TextBody"/>
        <w:bidi w:val="0"/>
        <w:spacing w:lineRule="auto" w:line="27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full text of our Corporate Governance Guidelines may be viewed on our website at </w:t>
      </w:r>
      <w:r>
        <w:rPr>
          <w:rFonts w:ascii="Times New Roman;Times;Serif" w:hAnsi="Times New Roman;Times;Serif"/>
          <w:b w:val="false"/>
          <w:i/>
          <w:caps w:val="false"/>
          <w:smallCaps w:val="false"/>
          <w:sz w:val="20"/>
        </w:rPr>
        <w:t>https://ir.microvast.com/leadership-governance/documents-charters</w:t>
      </w:r>
      <w:r>
        <w:rPr>
          <w:rFonts w:ascii="Times New Roman;Times;Serif" w:hAnsi="Times New Roman;Times;Serif"/>
          <w:b w:val="false"/>
          <w:i w:val="false"/>
          <w:caps w:val="false"/>
          <w:smallCaps w:val="false"/>
          <w:sz w:val="20"/>
        </w:rPr>
        <w:t>.</w:t>
      </w:r>
    </w:p>
    <w:p>
      <w:pPr>
        <w:pStyle w:val="TextBody"/>
        <w:bidi w:val="0"/>
        <w:spacing w:lineRule="auto" w:line="276"/>
        <w:jc w:val="both"/>
        <w:rPr>
          <w:caps w:val="false"/>
          <w:smallCaps w:val="false"/>
        </w:rPr>
      </w:pPr>
      <w:r>
        <w:rPr>
          <w:caps w:val="false"/>
          <w:smallCaps w:val="false"/>
        </w:rPr>
        <w:t> </w:t>
      </w:r>
    </w:p>
    <w:p>
      <w:pPr>
        <w:pStyle w:val="TextBody"/>
        <w:bidi w:val="0"/>
        <w:spacing w:lineRule="auto" w:line="27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on our website is not, and shall not be deemed to be, a part of this Proxy Statement or incorporated into any other filings we make with the SEC. Any websites or hyperlinks provided herein shall only be for informational purposes.</w:t>
      </w:r>
    </w:p>
    <w:p>
      <w:pPr>
        <w:pStyle w:val="TextBody"/>
        <w:bidi w:val="0"/>
        <w:spacing w:lineRule="auto" w:line="276"/>
        <w:jc w:val="both"/>
        <w:rPr>
          <w:caps w:val="false"/>
          <w:smallCaps w:val="false"/>
        </w:rPr>
      </w:pPr>
      <w:r>
        <w:rPr>
          <w:caps w:val="false"/>
          <w:smallCaps w:val="false"/>
        </w:rPr>
        <w:t> </w:t>
      </w:r>
    </w:p>
    <w:p>
      <w:pPr>
        <w:pStyle w:val="TextBody"/>
        <w:bidi w:val="0"/>
        <w:spacing w:lineRule="auto" w:line="276"/>
        <w:jc w:val="left"/>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Board Leadership Structure</w:t>
      </w:r>
    </w:p>
    <w:p>
      <w:pPr>
        <w:pStyle w:val="TextBody"/>
        <w:bidi w:val="0"/>
        <w:spacing w:lineRule="auto" w:line="276"/>
        <w:jc w:val="left"/>
        <w:rPr>
          <w:caps w:val="false"/>
          <w:smallCaps w:val="false"/>
        </w:rPr>
      </w:pPr>
      <w:r>
        <w:rPr>
          <w:caps w:val="false"/>
          <w:smallCaps w:val="false"/>
        </w:rPr>
        <w:t> </w:t>
      </w:r>
    </w:p>
    <w:p>
      <w:pPr>
        <w:pStyle w:val="TextBody"/>
        <w:bidi w:val="0"/>
        <w:spacing w:lineRule="auto" w:line="27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the roles of Chairman of the Board and Chief Executive Officer, our Corporate Governance Guidelines provide that the roles may be separated or combined, and our Board is able to exercise its discretion in combining or separating these positions as it deems appropriate in light of prevailing circumstances. Mr. Wu currently holds the combined roles of Chairman of the Board and Chief Executive Officer. Our Corporate Governance Guidelines provide the flexibility for our Board to modify our leadership structure in the future as appropriate.</w:t>
      </w:r>
    </w:p>
    <w:p>
      <w:pPr>
        <w:pStyle w:val="TextBody"/>
        <w:bidi w:val="0"/>
        <w:spacing w:lineRule="auto" w:line="276"/>
        <w:jc w:val="both"/>
        <w:rPr>
          <w:caps w:val="false"/>
          <w:smallCaps w:val="false"/>
        </w:rPr>
      </w:pPr>
      <w:r>
        <w:rPr>
          <w:caps w:val="false"/>
          <w:smallCaps w:val="false"/>
        </w:rPr>
        <w:t> </w:t>
      </w:r>
    </w:p>
    <w:p>
      <w:pPr>
        <w:pStyle w:val="TextBody"/>
        <w:bidi w:val="0"/>
        <w:spacing w:lineRule="auto" w:line="27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Nominating and Corporate Governance Committee routinely reviews our governance practices and board leadership structure.</w:t>
      </w:r>
    </w:p>
    <w:p>
      <w:pPr>
        <w:pStyle w:val="TextBody"/>
        <w:bidi w:val="0"/>
        <w:spacing w:lineRule="auto" w:line="276"/>
        <w:jc w:val="both"/>
        <w:rPr>
          <w:caps w:val="false"/>
          <w:smallCaps w:val="false"/>
        </w:rPr>
      </w:pPr>
      <w:r>
        <w:rPr>
          <w:caps w:val="false"/>
          <w:smallCaps w:val="false"/>
        </w:rPr>
        <w:t> </w:t>
      </w:r>
    </w:p>
    <w:p>
      <w:pPr>
        <w:pStyle w:val="TextBody"/>
        <w:bidi w:val="0"/>
        <w:spacing w:lineRule="auto" w:line="276"/>
        <w:jc w:val="left"/>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Board Risk Oversight Functions</w:t>
      </w:r>
    </w:p>
    <w:p>
      <w:pPr>
        <w:pStyle w:val="TextBody"/>
        <w:bidi w:val="0"/>
        <w:spacing w:lineRule="auto" w:line="276"/>
        <w:jc w:val="left"/>
        <w:rPr>
          <w:caps w:val="false"/>
          <w:smallCaps w:val="false"/>
        </w:rPr>
      </w:pPr>
      <w:r>
        <w:rPr>
          <w:caps w:val="false"/>
          <w:smallCaps w:val="false"/>
        </w:rPr>
        <w:t> </w:t>
      </w:r>
    </w:p>
    <w:p>
      <w:pPr>
        <w:pStyle w:val="TextBody"/>
        <w:bidi w:val="0"/>
        <w:spacing w:lineRule="auto" w:line="27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Committee is responsible for overseeing our risk management process. Our Audit Committee focuses on our general risk management strategy and the most significant risks facing us and oversees the implementation of risk mitigation strategies by management. Our Audit Committee is apprised of particular risk management matters in connection with its general oversight and approval of corporate matters and significant transactions.</w:t>
      </w:r>
    </w:p>
    <w:p>
      <w:pPr>
        <w:pStyle w:val="TextBody"/>
        <w:bidi w:val="0"/>
        <w:spacing w:lineRule="auto" w:line="276"/>
        <w:jc w:val="both"/>
        <w:rPr>
          <w:caps w:val="false"/>
          <w:smallCaps w:val="false"/>
        </w:rPr>
      </w:pPr>
      <w:r>
        <w:rPr>
          <w:caps w:val="false"/>
          <w:smallCaps w:val="false"/>
        </w:rPr>
        <w:t> </w:t>
      </w:r>
    </w:p>
    <w:p>
      <w:pPr>
        <w:pStyle w:val="TextBody"/>
        <w:bidi w:val="0"/>
        <w:spacing w:lineRule="auto" w:line="27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Compensation Committee is principally responsible for establishing, overseeing and administering our compensation plans and policies for our executive officers, including our equity incentive plans. Our Compensation Committee is also responsible for overseeing risks related to our compensation programs and practices. Our Compensation Committee has assessed the risk associated with our compensation policies and practices for our employees and determined that the risks associated with such policies and practices are not reasonably likely to have a material adverse effect on us. Our Compensation Committee utilizes compensation practices that it believes discourage our employees from excessive risk-taking that could be reasonably likely to have a materially adverse effect on us.</w:t>
      </w:r>
    </w:p>
    <w:p>
      <w:pPr>
        <w:pStyle w:val="TextBody"/>
        <w:bidi w:val="0"/>
        <w:spacing w:lineRule="auto" w:line="312"/>
        <w:jc w:val="both"/>
        <w:rPr>
          <w:caps w:val="false"/>
          <w:smallCaps w:val="false"/>
        </w:rPr>
      </w:pPr>
      <w:r>
        <w:rPr>
          <w:caps w:val="false"/>
          <w:smallCaps w:val="false"/>
        </w:rPr>
        <w:t> </w:t>
      </w:r>
    </w:p>
    <w:p>
      <w:pPr>
        <w:pStyle w:val="TextBody"/>
        <w:bidi w:val="0"/>
        <w:spacing w:lineRule="auto" w:line="276"/>
        <w:jc w:val="left"/>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Anti-Hedging and Anti-Pledging Policy</w:t>
      </w:r>
    </w:p>
    <w:p>
      <w:pPr>
        <w:pStyle w:val="TextBody"/>
        <w:bidi w:val="0"/>
        <w:spacing w:lineRule="auto" w:line="276"/>
        <w:jc w:val="left"/>
        <w:rPr>
          <w:caps w:val="false"/>
          <w:smallCaps w:val="false"/>
        </w:rPr>
      </w:pPr>
      <w:r>
        <w:rPr>
          <w:caps w:val="false"/>
          <w:smallCaps w:val="false"/>
        </w:rPr>
        <w:t> </w:t>
      </w:r>
    </w:p>
    <w:p>
      <w:pPr>
        <w:pStyle w:val="TextBody"/>
        <w:bidi w:val="0"/>
        <w:spacing w:lineRule="auto" w:line="27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our Insider Trading Policy, all of our officers, directors and employees are prohibited from engaging in any hedging transactions involving Company securities, including through the use of financial instruments such as call or put options, prepaid variable forward contracts, equity swaps, collars and exchange funds. Our Insider Trading Policy also prohibits our officers, directors and certain employees from holding Company securities in a margin account or otherwise</w:t>
      </w:r>
    </w:p>
    <w:tbl>
      <w:tblPr>
        <w:tblW w:w="590" w:type="dxa"/>
        <w:jc w:val="left"/>
        <w:tblInd w:w="0" w:type="dxa"/>
        <w:tblLayout w:type="fixed"/>
        <w:tblCellMar>
          <w:top w:w="0" w:type="dxa"/>
          <w:left w:w="0" w:type="dxa"/>
          <w:bottom w:w="0" w:type="dxa"/>
          <w:right w:w="0" w:type="dxa"/>
        </w:tblCellMar>
      </w:tblPr>
      <w:tblGrid>
        <w:gridCol w:w="105"/>
        <w:gridCol w:w="350"/>
        <w:gridCol w:w="135"/>
      </w:tblGrid>
      <w:tr>
        <w:trPr/>
        <w:tc>
          <w:tcPr>
            <w:tcW w:w="10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 </w:t>
            </w:r>
            <w:r>
              <w:rPr/>
              <w:t>20</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lineRule="auto" w:line="27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pledging Company securities as collateral for a loan. We believe our insider trading policy is reasonably designed to promote compliance with insider trading laws, rules and regulations and any listing standards applicable to the Company. The insider trading policy requires pre-approval of any transaction related to the Company’s securities by the Company’s directors, officers, certain employees and agents.</w:t>
      </w:r>
    </w:p>
    <w:p>
      <w:pPr>
        <w:pStyle w:val="TextBody"/>
        <w:bidi w:val="0"/>
        <w:spacing w:lineRule="auto" w:line="276"/>
        <w:jc w:val="left"/>
        <w:rPr>
          <w:caps w:val="false"/>
          <w:smallCaps w:val="false"/>
        </w:rPr>
      </w:pPr>
      <w:r>
        <w:rPr>
          <w:caps w:val="false"/>
          <w:smallCaps w:val="false"/>
        </w:rPr>
        <w:t> </w:t>
      </w:r>
    </w:p>
    <w:p>
      <w:pPr>
        <w:pStyle w:val="TextBody"/>
        <w:bidi w:val="0"/>
        <w:spacing w:lineRule="auto" w:line="276"/>
        <w:jc w:val="left"/>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Compensation Committee Interlocks and Insider Participation</w:t>
      </w:r>
    </w:p>
    <w:p>
      <w:pPr>
        <w:pStyle w:val="TextBody"/>
        <w:bidi w:val="0"/>
        <w:spacing w:lineRule="auto" w:line="276"/>
        <w:jc w:val="both"/>
        <w:rPr>
          <w:caps w:val="false"/>
          <w:smallCaps w:val="false"/>
        </w:rPr>
      </w:pPr>
      <w:r>
        <w:rPr>
          <w:caps w:val="false"/>
          <w:smallCaps w:val="false"/>
        </w:rPr>
        <w:t> </w:t>
      </w:r>
    </w:p>
    <w:p>
      <w:pPr>
        <w:pStyle w:val="TextBody"/>
        <w:bidi w:val="0"/>
        <w:spacing w:lineRule="auto" w:line="27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the members of our Compensation Committee is or has been an employee or officer of the Company. None of our executive officers has served on the board of directors or compensation committee (or other committee serving an equivalent function) of any other entity that has one or more of its executive officers serving as a member of our Board.</w:t>
      </w:r>
    </w:p>
    <w:p>
      <w:pPr>
        <w:pStyle w:val="TextBody"/>
        <w:bidi w:val="0"/>
        <w:spacing w:lineRule="auto" w:line="276"/>
        <w:jc w:val="both"/>
        <w:rPr>
          <w:caps w:val="false"/>
          <w:smallCaps w:val="false"/>
        </w:rPr>
      </w:pPr>
      <w:r>
        <w:rPr>
          <w:caps w:val="false"/>
          <w:smallCaps w:val="false"/>
        </w:rPr>
        <w:t> </w:t>
      </w:r>
    </w:p>
    <w:p>
      <w:pPr>
        <w:pStyle w:val="TextBody"/>
        <w:bidi w:val="0"/>
        <w:spacing w:lineRule="auto" w:line="276"/>
        <w:jc w:val="left"/>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Code of Ethics</w:t>
      </w:r>
    </w:p>
    <w:p>
      <w:pPr>
        <w:pStyle w:val="TextBody"/>
        <w:bidi w:val="0"/>
        <w:spacing w:lineRule="auto" w:line="276"/>
        <w:jc w:val="left"/>
        <w:rPr>
          <w:caps w:val="false"/>
          <w:smallCaps w:val="false"/>
        </w:rPr>
      </w:pPr>
      <w:r>
        <w:rPr>
          <w:caps w:val="false"/>
          <w:smallCaps w:val="false"/>
        </w:rPr>
        <w:t> </w:t>
      </w:r>
    </w:p>
    <w:p>
      <w:pPr>
        <w:pStyle w:val="TextBody"/>
        <w:bidi w:val="0"/>
        <w:spacing w:lineRule="auto" w:line="27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adopted a code of ethics applicable to our directors, officers and employees. A copy is available on our website at </w:t>
      </w:r>
      <w:r>
        <w:rPr>
          <w:rFonts w:ascii="Times New Roman;Times;Serif" w:hAnsi="Times New Roman;Times;Serif"/>
          <w:b w:val="false"/>
          <w:i/>
          <w:caps w:val="false"/>
          <w:smallCaps w:val="false"/>
          <w:sz w:val="20"/>
        </w:rPr>
        <w:t>https://ir.microvast.com/leadership-governance/documents-charters</w:t>
      </w:r>
      <w:r>
        <w:rPr>
          <w:rFonts w:ascii="Times New Roman;Times;Serif" w:hAnsi="Times New Roman;Times;Serif"/>
          <w:b w:val="false"/>
          <w:i w:val="false"/>
          <w:caps w:val="false"/>
          <w:smallCaps w:val="false"/>
          <w:sz w:val="20"/>
        </w:rPr>
        <w:t>.</w:t>
      </w:r>
    </w:p>
    <w:p>
      <w:pPr>
        <w:pStyle w:val="TextBody"/>
        <w:bidi w:val="0"/>
        <w:spacing w:lineRule="auto" w:line="276"/>
        <w:jc w:val="both"/>
        <w:rPr>
          <w:caps w:val="false"/>
          <w:smallCaps w:val="false"/>
        </w:rPr>
      </w:pPr>
      <w:r>
        <w:rPr>
          <w:caps w:val="false"/>
          <w:smallCaps w:val="false"/>
        </w:rPr>
        <w:t> </w:t>
      </w:r>
    </w:p>
    <w:p>
      <w:pPr>
        <w:pStyle w:val="TextBody"/>
        <w:bidi w:val="0"/>
        <w:spacing w:lineRule="auto" w:line="276"/>
        <w:jc w:val="left"/>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Assessment of Board and Committee Performance</w:t>
      </w:r>
    </w:p>
    <w:p>
      <w:pPr>
        <w:pStyle w:val="TextBody"/>
        <w:bidi w:val="0"/>
        <w:spacing w:lineRule="auto" w:line="276"/>
        <w:jc w:val="both"/>
        <w:rPr>
          <w:caps w:val="false"/>
          <w:smallCaps w:val="false"/>
        </w:rPr>
      </w:pPr>
      <w:r>
        <w:rPr>
          <w:caps w:val="false"/>
          <w:smallCaps w:val="false"/>
        </w:rPr>
        <w:t> </w:t>
      </w:r>
    </w:p>
    <w:p>
      <w:pPr>
        <w:pStyle w:val="TextBody"/>
        <w:bidi w:val="0"/>
        <w:spacing w:lineRule="auto" w:line="27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evaluates its performance annually. In addition, each Board committee performs an annual self-assessment to determine its effectiveness. The results of the Board and committee self-assessments are discussed with the Board and each committee, respectively.</w:t>
      </w:r>
    </w:p>
    <w:p>
      <w:pPr>
        <w:pStyle w:val="TextBody"/>
        <w:bidi w:val="0"/>
        <w:spacing w:lineRule="auto" w:line="276"/>
        <w:jc w:val="both"/>
        <w:rPr>
          <w:caps w:val="false"/>
          <w:smallCaps w:val="false"/>
        </w:rPr>
      </w:pPr>
      <w:r>
        <w:rPr>
          <w:caps w:val="false"/>
          <w:smallCaps w:val="false"/>
        </w:rPr>
        <w:t> </w:t>
      </w:r>
    </w:p>
    <w:p>
      <w:pPr>
        <w:pStyle w:val="TextBody"/>
        <w:bidi w:val="0"/>
        <w:spacing w:lineRule="auto" w:line="276"/>
        <w:jc w:val="left"/>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Executive Sessions</w:t>
      </w:r>
    </w:p>
    <w:p>
      <w:pPr>
        <w:pStyle w:val="TextBody"/>
        <w:bidi w:val="0"/>
        <w:spacing w:lineRule="auto" w:line="276"/>
        <w:jc w:val="both"/>
        <w:rPr>
          <w:caps w:val="false"/>
          <w:smallCaps w:val="false"/>
        </w:rPr>
      </w:pPr>
      <w:r>
        <w:rPr>
          <w:caps w:val="false"/>
          <w:smallCaps w:val="false"/>
        </w:rPr>
        <w:t> </w:t>
      </w:r>
    </w:p>
    <w:p>
      <w:pPr>
        <w:pStyle w:val="TextBody"/>
        <w:bidi w:val="0"/>
        <w:spacing w:lineRule="auto" w:line="27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Independent directors meet in executive session in which independent directors meet without the presence or participation of management at Board meetings and meet in executive session at other times whenever they believe it appropriate. The chair of the Nominating and Corporate Governance Committee presides as the chair at meetings of independent directors.</w:t>
      </w:r>
    </w:p>
    <w:p>
      <w:pPr>
        <w:pStyle w:val="TextBody"/>
        <w:bidi w:val="0"/>
        <w:spacing w:lineRule="auto" w:line="276"/>
        <w:jc w:val="both"/>
        <w:rPr>
          <w:caps w:val="false"/>
          <w:smallCaps w:val="false"/>
        </w:rPr>
      </w:pPr>
      <w:r>
        <w:rPr>
          <w:caps w:val="false"/>
          <w:smallCaps w:val="false"/>
        </w:rPr>
        <w:t> </w:t>
      </w:r>
    </w:p>
    <w:p>
      <w:pPr>
        <w:pStyle w:val="TextBody"/>
        <w:bidi w:val="0"/>
        <w:spacing w:lineRule="auto" w:line="276"/>
        <w:jc w:val="left"/>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Communications with Directors</w:t>
      </w:r>
    </w:p>
    <w:p>
      <w:pPr>
        <w:pStyle w:val="TextBody"/>
        <w:bidi w:val="0"/>
        <w:spacing w:lineRule="auto" w:line="276"/>
        <w:jc w:val="left"/>
        <w:rPr>
          <w:caps w:val="false"/>
          <w:smallCaps w:val="false"/>
        </w:rPr>
      </w:pPr>
      <w:r>
        <w:rPr>
          <w:caps w:val="false"/>
          <w:smallCaps w:val="false"/>
        </w:rPr>
        <w:t> </w:t>
      </w:r>
    </w:p>
    <w:p>
      <w:pPr>
        <w:pStyle w:val="TextBody"/>
        <w:bidi w:val="0"/>
        <w:spacing w:lineRule="auto" w:line="27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stockholder or other interested party who wishes to communicate directly with the Board, its independent directors, one of its committees or with an individual director regarding matters related to the Company should send the communication, with a request to forward the communication to the intended recipient or recipients, to:</w:t>
      </w:r>
    </w:p>
    <w:p>
      <w:pPr>
        <w:pStyle w:val="TextBody"/>
        <w:bidi w:val="0"/>
        <w:spacing w:lineRule="auto" w:line="276"/>
        <w:jc w:val="left"/>
        <w:rPr>
          <w:caps w:val="false"/>
          <w:smallCaps w:val="false"/>
        </w:rPr>
      </w:pPr>
      <w:r>
        <w:rPr>
          <w:caps w:val="false"/>
          <w:smallCaps w:val="false"/>
        </w:rPr>
        <w:t> </w:t>
      </w:r>
    </w:p>
    <w:p>
      <w:pPr>
        <w:pStyle w:val="TextBody"/>
        <w:bidi w:val="0"/>
        <w:spacing w:lineRule="auto" w:line="276"/>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Microvast Holdings, Inc.</w:t>
      </w:r>
    </w:p>
    <w:p>
      <w:pPr>
        <w:pStyle w:val="TextBody"/>
        <w:bidi w:val="0"/>
        <w:spacing w:lineRule="auto" w:line="276"/>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General Counsel</w:t>
      </w:r>
    </w:p>
    <w:p>
      <w:pPr>
        <w:pStyle w:val="TextBody"/>
        <w:bidi w:val="0"/>
        <w:spacing w:lineRule="auto" w:line="276"/>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2929 Briarpark Drive, Suite 400</w:t>
      </w:r>
    </w:p>
    <w:p>
      <w:pPr>
        <w:pStyle w:val="TextBody"/>
        <w:bidi w:val="0"/>
        <w:spacing w:lineRule="auto" w:line="276"/>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Houston, Texas 77042</w:t>
      </w:r>
    </w:p>
    <w:p>
      <w:pPr>
        <w:pStyle w:val="TextBody"/>
        <w:bidi w:val="0"/>
        <w:spacing w:lineRule="auto" w:line="276"/>
        <w:jc w:val="left"/>
        <w:rPr>
          <w:caps w:val="false"/>
          <w:smallCaps w:val="false"/>
        </w:rPr>
      </w:pPr>
      <w:r>
        <w:rPr>
          <w:caps w:val="false"/>
          <w:smallCaps w:val="false"/>
        </w:rPr>
        <w:t> </w:t>
      </w:r>
    </w:p>
    <w:p>
      <w:pPr>
        <w:pStyle w:val="TextBody"/>
        <w:bidi w:val="0"/>
        <w:spacing w:lineRule="auto" w:line="27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forward stockholder correspondence, as appropriate. Please note that we will not forward communications that are spam, junk mail or mass mailings, resumes and other forms of job inquiries, surveys and business solicitations or advertisements. Further, we will not forward any abusive, threatening or otherwise inappropriate materials.</w:t>
      </w:r>
    </w:p>
    <w:p>
      <w:pPr>
        <w:pStyle w:val="TextBody"/>
        <w:bidi w:val="0"/>
        <w:spacing w:lineRule="auto" w:line="276"/>
        <w:jc w:val="left"/>
        <w:rPr>
          <w:caps w:val="false"/>
          <w:smallCaps w:val="false"/>
        </w:rPr>
      </w:pPr>
      <w:r>
        <w:rPr>
          <w:caps w:val="false"/>
          <w:smallCaps w:val="false"/>
        </w:rPr>
        <w:t> </w:t>
      </w:r>
    </w:p>
    <w:p>
      <w:pPr>
        <w:pStyle w:val="TextBody"/>
        <w:bidi w:val="0"/>
        <w:spacing w:lineRule="auto" w:line="333"/>
        <w:jc w:val="left"/>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Delinquent Section 16(a) Reports</w:t>
      </w:r>
    </w:p>
    <w:p>
      <w:pPr>
        <w:pStyle w:val="TextBody"/>
        <w:bidi w:val="0"/>
        <w:spacing w:lineRule="auto" w:line="276" w:before="240" w:after="240"/>
        <w:ind w:left="240" w:right="24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16(a) of the Exchange Act requires our directors, certain officers and any beneficial owners of more than 10% of our common stock to file reports relating to their ownership and changes in ownership of our common stock with the SEC and Nasdaq by certain deadlines. Based on a review of Section 16 filings with respect to our Company made during or with respect to the preceding year, we are not aware of any late Section 16(a) filings, except for one late Form 3 filing by Carl T. Schultz, who previously served as the Company’s principal financial officer, filed on May 27, 2025; one late Form 4 filing</w:t>
      </w:r>
    </w:p>
    <w:p>
      <w:pPr>
        <w:pStyle w:val="TextBody"/>
        <w:bidi w:val="0"/>
        <w:spacing w:lineRule="auto" w:line="276" w:before="200" w:after="200"/>
        <w:ind w:left="200" w:right="200" w:hanging="0"/>
        <w:jc w:val="both"/>
        <w:rPr>
          <w:caps w:val="false"/>
          <w:smallCaps w:val="false"/>
        </w:rPr>
      </w:pPr>
      <w:r>
        <w:rPr>
          <w:caps w:val="false"/>
          <w:smallCaps w:val="false"/>
        </w:rPr>
        <w:t> </w:t>
      </w:r>
    </w:p>
    <w:tbl>
      <w:tblPr>
        <w:tblW w:w="590" w:type="dxa"/>
        <w:jc w:val="left"/>
        <w:tblInd w:w="0" w:type="dxa"/>
        <w:tblLayout w:type="fixed"/>
        <w:tblCellMar>
          <w:top w:w="0" w:type="dxa"/>
          <w:left w:w="0" w:type="dxa"/>
          <w:bottom w:w="0" w:type="dxa"/>
          <w:right w:w="0" w:type="dxa"/>
        </w:tblCellMar>
      </w:tblPr>
      <w:tblGrid>
        <w:gridCol w:w="105"/>
        <w:gridCol w:w="350"/>
        <w:gridCol w:w="135"/>
      </w:tblGrid>
      <w:tr>
        <w:trPr/>
        <w:tc>
          <w:tcPr>
            <w:tcW w:w="10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 </w:t>
            </w:r>
            <w:r>
              <w:rPr/>
              <w:t>21</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lineRule="auto" w:line="276" w:before="240" w:after="240"/>
        <w:ind w:left="240" w:right="24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Ms. Pan, filed on January 16, 2026; one late Form 3 filing and one late Form 4 filing by Mr. Worthen, each filed on January 29, 2026; and five late Form 4 filings by Dr. Wu, two of which were for years preceding Fiscal 2025, filed on March 19, 2026.</w:t>
      </w:r>
    </w:p>
    <w:p>
      <w:pPr>
        <w:pStyle w:val="TextBody"/>
        <w:bidi w:val="0"/>
        <w:spacing w:lineRule="auto" w:line="276" w:before="240" w:after="240"/>
        <w:ind w:left="240" w:right="240" w:hanging="0"/>
        <w:jc w:val="both"/>
        <w:rPr>
          <w:caps w:val="false"/>
          <w:smallCaps w:val="false"/>
        </w:rPr>
      </w:pPr>
      <w:r>
        <w:rPr>
          <w:caps w:val="false"/>
          <w:smallCaps w:val="false"/>
        </w:rPr>
        <w:t> </w:t>
      </w:r>
    </w:p>
    <w:p>
      <w:pPr>
        <w:pStyle w:val="TextBody"/>
        <w:bidi w:val="0"/>
        <w:spacing w:lineRule="auto" w:line="276" w:before="240" w:after="240"/>
        <w:ind w:left="240" w:right="240" w:hanging="0"/>
        <w:jc w:val="both"/>
        <w:rPr>
          <w:caps w:val="false"/>
          <w:smallCaps w:val="false"/>
        </w:rPr>
      </w:pPr>
      <w:r>
        <w:rPr>
          <w:caps w:val="false"/>
          <w:smallCaps w:val="false"/>
        </w:rPr>
        <w:t> </w:t>
      </w:r>
    </w:p>
    <w:p>
      <w:pPr>
        <w:pStyle w:val="TextBody"/>
        <w:bidi w:val="0"/>
        <w:spacing w:lineRule="auto" w:line="276" w:before="240" w:after="240"/>
        <w:ind w:left="240" w:right="240" w:hanging="0"/>
        <w:jc w:val="both"/>
        <w:rPr>
          <w:caps w:val="false"/>
          <w:smallCaps w:val="false"/>
        </w:rPr>
      </w:pPr>
      <w:r>
        <w:rPr>
          <w:caps w:val="false"/>
          <w:smallCaps w:val="false"/>
        </w:rPr>
        <w:t> </w:t>
      </w:r>
    </w:p>
    <w:p>
      <w:pPr>
        <w:pStyle w:val="TextBody"/>
        <w:bidi w:val="0"/>
        <w:spacing w:lineRule="auto" w:line="276" w:before="240" w:after="240"/>
        <w:ind w:left="240" w:right="240" w:hanging="0"/>
        <w:jc w:val="both"/>
        <w:rPr>
          <w:caps w:val="false"/>
          <w:smallCaps w:val="false"/>
        </w:rPr>
      </w:pPr>
      <w:r>
        <w:rPr>
          <w:caps w:val="false"/>
          <w:smallCaps w:val="false"/>
        </w:rPr>
        <w:t> </w:t>
      </w:r>
    </w:p>
    <w:p>
      <w:pPr>
        <w:pStyle w:val="TextBody"/>
        <w:bidi w:val="0"/>
        <w:spacing w:lineRule="auto" w:line="276" w:before="240" w:after="240"/>
        <w:ind w:left="240" w:right="240" w:hanging="0"/>
        <w:jc w:val="both"/>
        <w:rPr>
          <w:caps w:val="false"/>
          <w:smallCaps w:val="false"/>
        </w:rPr>
      </w:pPr>
      <w:r>
        <w:rPr>
          <w:caps w:val="false"/>
          <w:smallCaps w:val="false"/>
        </w:rPr>
        <w:t> </w:t>
      </w:r>
    </w:p>
    <w:p>
      <w:pPr>
        <w:pStyle w:val="TextBody"/>
        <w:bidi w:val="0"/>
        <w:spacing w:lineRule="auto" w:line="276" w:before="240" w:after="240"/>
        <w:ind w:left="240" w:right="240" w:hanging="0"/>
        <w:jc w:val="both"/>
        <w:rPr>
          <w:caps w:val="false"/>
          <w:smallCaps w:val="false"/>
        </w:rPr>
      </w:pPr>
      <w:r>
        <w:rPr>
          <w:caps w:val="false"/>
          <w:smallCaps w:val="false"/>
        </w:rPr>
        <w:t> </w:t>
      </w:r>
    </w:p>
    <w:p>
      <w:pPr>
        <w:pStyle w:val="TextBody"/>
        <w:bidi w:val="0"/>
        <w:spacing w:lineRule="auto" w:line="276" w:before="240" w:after="240"/>
        <w:ind w:left="240" w:right="240" w:hanging="0"/>
        <w:jc w:val="both"/>
        <w:rPr>
          <w:caps w:val="false"/>
          <w:smallCaps w:val="false"/>
        </w:rPr>
      </w:pPr>
      <w:r>
        <w:rPr>
          <w:caps w:val="false"/>
          <w:smallCaps w:val="false"/>
        </w:rPr>
        <w:t> </w:t>
      </w:r>
    </w:p>
    <w:p>
      <w:pPr>
        <w:pStyle w:val="TextBody"/>
        <w:bidi w:val="0"/>
        <w:spacing w:lineRule="auto" w:line="276" w:before="240" w:after="240"/>
        <w:ind w:left="240" w:right="240" w:hanging="0"/>
        <w:jc w:val="both"/>
        <w:rPr>
          <w:caps w:val="false"/>
          <w:smallCaps w:val="false"/>
        </w:rPr>
      </w:pPr>
      <w:r>
        <w:rPr>
          <w:caps w:val="false"/>
          <w:smallCaps w:val="false"/>
        </w:rPr>
        <w:t> </w:t>
      </w:r>
    </w:p>
    <w:p>
      <w:pPr>
        <w:pStyle w:val="TextBody"/>
        <w:bidi w:val="0"/>
        <w:spacing w:lineRule="auto" w:line="276" w:before="240" w:after="240"/>
        <w:ind w:left="240" w:right="240" w:hanging="0"/>
        <w:jc w:val="both"/>
        <w:rPr>
          <w:caps w:val="false"/>
          <w:smallCaps w:val="false"/>
        </w:rPr>
      </w:pPr>
      <w:r>
        <w:rPr>
          <w:caps w:val="false"/>
          <w:smallCaps w:val="false"/>
        </w:rPr>
        <w:t> </w:t>
      </w:r>
    </w:p>
    <w:p>
      <w:pPr>
        <w:pStyle w:val="TextBody"/>
        <w:bidi w:val="0"/>
        <w:spacing w:lineRule="auto" w:line="276" w:before="240" w:after="240"/>
        <w:ind w:left="240" w:right="240" w:hanging="0"/>
        <w:jc w:val="both"/>
        <w:rPr>
          <w:caps w:val="false"/>
          <w:smallCaps w:val="false"/>
        </w:rPr>
      </w:pPr>
      <w:r>
        <w:rPr>
          <w:caps w:val="false"/>
          <w:smallCaps w:val="false"/>
        </w:rPr>
        <w:t> </w:t>
      </w:r>
    </w:p>
    <w:p>
      <w:pPr>
        <w:pStyle w:val="TextBody"/>
        <w:bidi w:val="0"/>
        <w:spacing w:lineRule="auto" w:line="276" w:before="240" w:after="240"/>
        <w:ind w:left="240" w:right="240" w:hanging="0"/>
        <w:jc w:val="both"/>
        <w:rPr>
          <w:caps w:val="false"/>
          <w:smallCaps w:val="false"/>
        </w:rPr>
      </w:pPr>
      <w:r>
        <w:rPr>
          <w:caps w:val="false"/>
          <w:smallCaps w:val="false"/>
        </w:rPr>
        <w:t> </w:t>
      </w:r>
    </w:p>
    <w:p>
      <w:pPr>
        <w:pStyle w:val="TextBody"/>
        <w:bidi w:val="0"/>
        <w:spacing w:lineRule="auto" w:line="276" w:before="240" w:after="240"/>
        <w:ind w:left="240" w:right="240" w:hanging="0"/>
        <w:jc w:val="both"/>
        <w:rPr>
          <w:caps w:val="false"/>
          <w:smallCaps w:val="false"/>
        </w:rPr>
      </w:pPr>
      <w:r>
        <w:rPr>
          <w:caps w:val="false"/>
          <w:smallCaps w:val="false"/>
        </w:rPr>
        <w:t> </w:t>
      </w:r>
    </w:p>
    <w:p>
      <w:pPr>
        <w:pStyle w:val="TextBody"/>
        <w:bidi w:val="0"/>
        <w:spacing w:lineRule="auto" w:line="276" w:before="240" w:after="240"/>
        <w:ind w:left="240" w:right="240" w:hanging="0"/>
        <w:jc w:val="both"/>
        <w:rPr>
          <w:caps w:val="false"/>
          <w:smallCaps w:val="false"/>
        </w:rPr>
      </w:pPr>
      <w:r>
        <w:rPr>
          <w:caps w:val="false"/>
          <w:smallCaps w:val="false"/>
        </w:rPr>
        <w:t> </w:t>
      </w:r>
    </w:p>
    <w:p>
      <w:pPr>
        <w:pStyle w:val="TextBody"/>
        <w:bidi w:val="0"/>
        <w:spacing w:lineRule="auto" w:line="276" w:before="240" w:after="240"/>
        <w:ind w:left="240" w:right="240" w:hanging="0"/>
        <w:jc w:val="both"/>
        <w:rPr>
          <w:caps w:val="false"/>
          <w:smallCaps w:val="false"/>
        </w:rPr>
      </w:pPr>
      <w:r>
        <w:rPr>
          <w:caps w:val="false"/>
          <w:smallCaps w:val="false"/>
        </w:rPr>
        <w:t> </w:t>
      </w:r>
    </w:p>
    <w:p>
      <w:pPr>
        <w:pStyle w:val="TextBody"/>
        <w:bidi w:val="0"/>
        <w:spacing w:lineRule="auto" w:line="276" w:before="240" w:after="240"/>
        <w:ind w:left="240" w:right="240" w:hanging="0"/>
        <w:jc w:val="both"/>
        <w:rPr>
          <w:caps w:val="false"/>
          <w:smallCaps w:val="false"/>
        </w:rPr>
      </w:pPr>
      <w:r>
        <w:rPr>
          <w:caps w:val="false"/>
          <w:smallCaps w:val="false"/>
        </w:rPr>
        <w:t> </w:t>
      </w:r>
    </w:p>
    <w:tbl>
      <w:tblPr>
        <w:tblW w:w="590" w:type="dxa"/>
        <w:jc w:val="left"/>
        <w:tblInd w:w="0" w:type="dxa"/>
        <w:tblLayout w:type="fixed"/>
        <w:tblCellMar>
          <w:top w:w="0" w:type="dxa"/>
          <w:left w:w="0" w:type="dxa"/>
          <w:bottom w:w="0" w:type="dxa"/>
          <w:right w:w="0" w:type="dxa"/>
        </w:tblCellMar>
      </w:tblPr>
      <w:tblGrid>
        <w:gridCol w:w="105"/>
        <w:gridCol w:w="350"/>
        <w:gridCol w:w="135"/>
      </w:tblGrid>
      <w:tr>
        <w:trPr/>
        <w:tc>
          <w:tcPr>
            <w:tcW w:w="10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 </w:t>
            </w:r>
            <w:r>
              <w:rPr/>
              <w:t>22</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lineRule="auto" w:line="333"/>
        <w:jc w:val="left"/>
        <w:rPr>
          <w:rFonts w:ascii="Times New Roman;Times;Serif" w:hAnsi="Times New Roman;Times;Serif"/>
          <w:b/>
          <w:i w:val="false"/>
          <w:caps w:val="false"/>
          <w:smallCaps w:val="false"/>
          <w:sz w:val="32"/>
        </w:rPr>
      </w:pPr>
      <w:bookmarkStart w:id="10" w:name="exec"/>
      <w:bookmarkEnd w:id="10"/>
      <w:r>
        <w:rPr>
          <w:rFonts w:ascii="Times New Roman;Times;Serif" w:hAnsi="Times New Roman;Times;Serif"/>
          <w:b/>
          <w:i w:val="false"/>
          <w:caps w:val="false"/>
          <w:smallCaps w:val="false"/>
          <w:sz w:val="32"/>
        </w:rPr>
        <w:t>EXECUTIVE COMPENSATION</w:t>
      </w:r>
    </w:p>
    <w:p>
      <w:pPr>
        <w:pStyle w:val="TextBody"/>
        <w:bidi w:val="0"/>
        <w:spacing w:before="240" w:after="240"/>
        <w:ind w:left="240" w:right="24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section sets forth the compensation of our named executive officers for Fiscal 2025 (our “N</w:t>
      </w:r>
      <w:r>
        <w:rPr>
          <w:rFonts w:ascii="Times New Roman;Times;Serif" w:hAnsi="Times New Roman;Times;Serif"/>
          <w:b w:val="false"/>
          <w:i w:val="false"/>
          <w:caps w:val="false"/>
          <w:smallCaps w:val="false"/>
          <w:sz w:val="20"/>
          <w:shd w:fill="FFFFFF" w:val="clear"/>
        </w:rPr>
        <w:t>EOs”). Our NEOs are:</w:t>
      </w:r>
    </w:p>
    <w:tbl>
      <w:tblPr>
        <w:tblW w:w="6805" w:type="dxa"/>
        <w:jc w:val="left"/>
        <w:tblInd w:w="0" w:type="dxa"/>
        <w:tblLayout w:type="fixed"/>
        <w:tblCellMar>
          <w:top w:w="0" w:type="dxa"/>
          <w:left w:w="0" w:type="dxa"/>
          <w:bottom w:w="30" w:type="dxa"/>
          <w:right w:w="0" w:type="dxa"/>
        </w:tblCellMar>
      </w:tblPr>
      <w:tblGrid>
        <w:gridCol w:w="1685"/>
        <w:gridCol w:w="90"/>
        <w:gridCol w:w="5030"/>
      </w:tblGrid>
      <w:tr>
        <w:trPr/>
        <w:tc>
          <w:tcPr>
            <w:tcW w:w="1685" w:type="dxa"/>
            <w:tcBorders>
              <w:bottom w:val="single" w:sz="8" w:space="0" w:color="000000"/>
            </w:tcBorders>
            <w:vAlign w:val="center"/>
          </w:tcPr>
          <w:p>
            <w:pPr>
              <w:pStyle w:val="TableContents"/>
              <w:bidi w:val="0"/>
              <w:spacing w:before="0" w:after="283"/>
              <w:jc w:val="left"/>
              <w:rPr>
                <w:b/>
                <w:sz w:val="20"/>
              </w:rPr>
            </w:pPr>
            <w:r>
              <w:rPr>
                <w:b/>
                <w:sz w:val="20"/>
              </w:rPr>
              <w:t>Name</w:t>
            </w:r>
          </w:p>
        </w:tc>
        <w:tc>
          <w:tcPr>
            <w:tcW w:w="90" w:type="dxa"/>
            <w:tcBorders/>
            <w:tcMar>
              <w:bottom w:w="0" w:type="dxa"/>
            </w:tcMar>
            <w:vAlign w:val="center"/>
          </w:tcPr>
          <w:p>
            <w:pPr>
              <w:pStyle w:val="TableContents"/>
              <w:bidi w:val="0"/>
              <w:spacing w:before="0" w:after="283"/>
              <w:jc w:val="left"/>
              <w:rPr/>
            </w:pPr>
            <w:r>
              <w:rPr/>
              <w:t> </w:t>
            </w:r>
          </w:p>
        </w:tc>
        <w:tc>
          <w:tcPr>
            <w:tcW w:w="5030" w:type="dxa"/>
            <w:tcBorders>
              <w:bottom w:val="single" w:sz="8" w:space="0" w:color="000000"/>
            </w:tcBorders>
            <w:vAlign w:val="center"/>
          </w:tcPr>
          <w:p>
            <w:pPr>
              <w:pStyle w:val="TableContents"/>
              <w:bidi w:val="0"/>
              <w:spacing w:before="0" w:after="283"/>
              <w:jc w:val="left"/>
              <w:rPr>
                <w:b/>
                <w:sz w:val="20"/>
              </w:rPr>
            </w:pPr>
            <w:r>
              <w:rPr>
                <w:b/>
                <w:sz w:val="20"/>
              </w:rPr>
              <w:t>Position</w:t>
            </w:r>
          </w:p>
        </w:tc>
      </w:tr>
      <w:tr>
        <w:trPr/>
        <w:tc>
          <w:tcPr>
            <w:tcW w:w="1685" w:type="dxa"/>
            <w:tcBorders/>
            <w:shd w:fill="CCEEFF" w:val="clear"/>
            <w:tcMar>
              <w:bottom w:w="0" w:type="dxa"/>
            </w:tcMar>
            <w:vAlign w:val="center"/>
          </w:tcPr>
          <w:p>
            <w:pPr>
              <w:pStyle w:val="TableContents"/>
              <w:bidi w:val="0"/>
              <w:spacing w:before="0" w:after="283"/>
              <w:jc w:val="left"/>
              <w:rPr>
                <w:sz w:val="20"/>
              </w:rPr>
            </w:pPr>
            <w:r>
              <w:rPr>
                <w:sz w:val="20"/>
              </w:rPr>
              <w:t>Yang Wu</w:t>
            </w:r>
          </w:p>
        </w:tc>
        <w:tc>
          <w:tcPr>
            <w:tcW w:w="90" w:type="dxa"/>
            <w:tcBorders/>
            <w:shd w:fill="CCEEFF" w:val="clear"/>
            <w:tcMar>
              <w:bottom w:w="0" w:type="dxa"/>
            </w:tcMar>
            <w:vAlign w:val="center"/>
          </w:tcPr>
          <w:p>
            <w:pPr>
              <w:pStyle w:val="TableContents"/>
              <w:bidi w:val="0"/>
              <w:spacing w:before="0" w:after="283"/>
              <w:jc w:val="left"/>
              <w:rPr/>
            </w:pPr>
            <w:r>
              <w:rPr/>
              <w:t> </w:t>
            </w:r>
          </w:p>
        </w:tc>
        <w:tc>
          <w:tcPr>
            <w:tcW w:w="5030" w:type="dxa"/>
            <w:tcBorders/>
            <w:shd w:fill="CCEEFF" w:val="clear"/>
            <w:tcMar>
              <w:bottom w:w="0" w:type="dxa"/>
            </w:tcMar>
            <w:vAlign w:val="center"/>
          </w:tcPr>
          <w:p>
            <w:pPr>
              <w:pStyle w:val="TableContents"/>
              <w:bidi w:val="0"/>
              <w:spacing w:before="0" w:after="283"/>
              <w:jc w:val="left"/>
              <w:rPr>
                <w:sz w:val="20"/>
              </w:rPr>
            </w:pPr>
            <w:r>
              <w:rPr>
                <w:sz w:val="20"/>
              </w:rPr>
              <w:t>Chairman and Chief Executive Officer</w:t>
            </w:r>
          </w:p>
        </w:tc>
      </w:tr>
      <w:tr>
        <w:trPr/>
        <w:tc>
          <w:tcPr>
            <w:tcW w:w="1685" w:type="dxa"/>
            <w:tcBorders/>
            <w:shd w:fill="FFFFFF" w:val="clear"/>
            <w:tcMar>
              <w:bottom w:w="0" w:type="dxa"/>
            </w:tcMar>
            <w:vAlign w:val="center"/>
          </w:tcPr>
          <w:p>
            <w:pPr>
              <w:pStyle w:val="TableContents"/>
              <w:bidi w:val="0"/>
              <w:spacing w:before="0" w:after="283"/>
              <w:jc w:val="left"/>
              <w:rPr>
                <w:sz w:val="20"/>
              </w:rPr>
            </w:pPr>
            <w:r>
              <w:rPr>
                <w:sz w:val="20"/>
              </w:rPr>
              <w:t>Rodney Worthen</w:t>
            </w:r>
            <w:r>
              <w:rPr>
                <w:position w:val="7"/>
                <w:sz w:val="16"/>
                <w:sz w:val="20"/>
              </w:rPr>
              <w:t>(1)</w:t>
            </w:r>
          </w:p>
        </w:tc>
        <w:tc>
          <w:tcPr>
            <w:tcW w:w="90" w:type="dxa"/>
            <w:tcBorders/>
            <w:shd w:fill="FFFFFF" w:val="clear"/>
            <w:tcMar>
              <w:bottom w:w="0" w:type="dxa"/>
            </w:tcMar>
            <w:vAlign w:val="center"/>
          </w:tcPr>
          <w:p>
            <w:pPr>
              <w:pStyle w:val="TableContents"/>
              <w:bidi w:val="0"/>
              <w:spacing w:before="0" w:after="283"/>
              <w:jc w:val="left"/>
              <w:rPr/>
            </w:pPr>
            <w:r>
              <w:rPr/>
              <w:t> </w:t>
            </w:r>
          </w:p>
        </w:tc>
        <w:tc>
          <w:tcPr>
            <w:tcW w:w="5030" w:type="dxa"/>
            <w:tcBorders/>
            <w:shd w:fill="FFFFFF" w:val="clear"/>
            <w:tcMar>
              <w:bottom w:w="0" w:type="dxa"/>
            </w:tcMar>
            <w:vAlign w:val="center"/>
          </w:tcPr>
          <w:p>
            <w:pPr>
              <w:pStyle w:val="TableContents"/>
              <w:bidi w:val="0"/>
              <w:spacing w:before="0" w:after="283"/>
              <w:jc w:val="left"/>
              <w:rPr>
                <w:sz w:val="20"/>
              </w:rPr>
            </w:pPr>
            <w:r>
              <w:rPr>
                <w:sz w:val="20"/>
              </w:rPr>
              <w:t>Chief Financial Officer</w:t>
            </w:r>
          </w:p>
        </w:tc>
      </w:tr>
      <w:tr>
        <w:trPr/>
        <w:tc>
          <w:tcPr>
            <w:tcW w:w="1685" w:type="dxa"/>
            <w:tcBorders/>
            <w:shd w:fill="CCEEFF" w:val="clear"/>
            <w:tcMar>
              <w:bottom w:w="0" w:type="dxa"/>
            </w:tcMar>
            <w:vAlign w:val="center"/>
          </w:tcPr>
          <w:p>
            <w:pPr>
              <w:pStyle w:val="TableContents"/>
              <w:bidi w:val="0"/>
              <w:spacing w:before="0" w:after="283"/>
              <w:jc w:val="left"/>
              <w:rPr>
                <w:sz w:val="20"/>
              </w:rPr>
            </w:pPr>
            <w:r>
              <w:rPr>
                <w:sz w:val="20"/>
              </w:rPr>
              <w:t>Isida Tushe</w:t>
            </w:r>
          </w:p>
        </w:tc>
        <w:tc>
          <w:tcPr>
            <w:tcW w:w="90" w:type="dxa"/>
            <w:tcBorders/>
            <w:shd w:fill="CCEEFF" w:val="clear"/>
            <w:tcMar>
              <w:bottom w:w="0" w:type="dxa"/>
            </w:tcMar>
            <w:vAlign w:val="center"/>
          </w:tcPr>
          <w:p>
            <w:pPr>
              <w:pStyle w:val="TableContents"/>
              <w:bidi w:val="0"/>
              <w:spacing w:before="0" w:after="283"/>
              <w:jc w:val="left"/>
              <w:rPr/>
            </w:pPr>
            <w:r>
              <w:rPr/>
              <w:t> </w:t>
            </w:r>
          </w:p>
        </w:tc>
        <w:tc>
          <w:tcPr>
            <w:tcW w:w="5030" w:type="dxa"/>
            <w:tcBorders/>
            <w:shd w:fill="CCEEFF" w:val="clear"/>
            <w:tcMar>
              <w:bottom w:w="0" w:type="dxa"/>
            </w:tcMar>
            <w:vAlign w:val="center"/>
          </w:tcPr>
          <w:p>
            <w:pPr>
              <w:pStyle w:val="TableContents"/>
              <w:bidi w:val="0"/>
              <w:spacing w:before="0" w:after="283"/>
              <w:jc w:val="left"/>
              <w:rPr>
                <w:sz w:val="20"/>
              </w:rPr>
            </w:pPr>
            <w:r>
              <w:rPr>
                <w:sz w:val="20"/>
              </w:rPr>
              <w:t>President, General Counsel, Corporate Secretary and Director</w:t>
            </w:r>
          </w:p>
        </w:tc>
      </w:tr>
      <w:tr>
        <w:trPr/>
        <w:tc>
          <w:tcPr>
            <w:tcW w:w="1685" w:type="dxa"/>
            <w:tcBorders/>
            <w:tcMar>
              <w:bottom w:w="0" w:type="dxa"/>
            </w:tcMar>
            <w:vAlign w:val="center"/>
          </w:tcPr>
          <w:p>
            <w:pPr>
              <w:pStyle w:val="TableContents"/>
              <w:bidi w:val="0"/>
              <w:spacing w:before="0" w:after="283"/>
              <w:jc w:val="left"/>
              <w:rPr>
                <w:sz w:val="20"/>
              </w:rPr>
            </w:pPr>
            <w:r>
              <w:rPr>
                <w:sz w:val="20"/>
              </w:rPr>
              <w:t>Dr. Shengxian Wu</w:t>
            </w:r>
          </w:p>
        </w:tc>
        <w:tc>
          <w:tcPr>
            <w:tcW w:w="90" w:type="dxa"/>
            <w:tcBorders/>
            <w:tcMar>
              <w:bottom w:w="0" w:type="dxa"/>
            </w:tcMar>
            <w:vAlign w:val="center"/>
          </w:tcPr>
          <w:p>
            <w:pPr>
              <w:pStyle w:val="TableContents"/>
              <w:bidi w:val="0"/>
              <w:spacing w:before="0" w:after="283"/>
              <w:jc w:val="left"/>
              <w:rPr/>
            </w:pPr>
            <w:r>
              <w:rPr/>
              <w:t> </w:t>
            </w:r>
          </w:p>
        </w:tc>
        <w:tc>
          <w:tcPr>
            <w:tcW w:w="5030" w:type="dxa"/>
            <w:tcBorders/>
            <w:tcMar>
              <w:bottom w:w="0" w:type="dxa"/>
            </w:tcMar>
            <w:vAlign w:val="center"/>
          </w:tcPr>
          <w:p>
            <w:pPr>
              <w:pStyle w:val="TableContents"/>
              <w:bidi w:val="0"/>
              <w:spacing w:before="0" w:after="283"/>
              <w:jc w:val="left"/>
              <w:rPr>
                <w:sz w:val="20"/>
              </w:rPr>
            </w:pPr>
            <w:r>
              <w:rPr>
                <w:sz w:val="20"/>
              </w:rPr>
              <w:t>Chief Operating Officer</w:t>
            </w:r>
          </w:p>
        </w:tc>
      </w:tr>
      <w:tr>
        <w:trPr/>
        <w:tc>
          <w:tcPr>
            <w:tcW w:w="1685" w:type="dxa"/>
            <w:tcBorders/>
            <w:shd w:fill="CCEEFF" w:val="clear"/>
            <w:tcMar>
              <w:bottom w:w="0" w:type="dxa"/>
            </w:tcMar>
            <w:vAlign w:val="center"/>
          </w:tcPr>
          <w:p>
            <w:pPr>
              <w:pStyle w:val="TableContents"/>
              <w:bidi w:val="0"/>
              <w:spacing w:before="0" w:after="283"/>
              <w:jc w:val="left"/>
              <w:rPr>
                <w:sz w:val="20"/>
              </w:rPr>
            </w:pPr>
            <w:r>
              <w:rPr>
                <w:sz w:val="20"/>
              </w:rPr>
              <w:t>Dr. Wenjuan Mattis</w:t>
            </w:r>
          </w:p>
        </w:tc>
        <w:tc>
          <w:tcPr>
            <w:tcW w:w="90" w:type="dxa"/>
            <w:tcBorders/>
            <w:shd w:fill="CCEEFF" w:val="clear"/>
            <w:tcMar>
              <w:bottom w:w="0" w:type="dxa"/>
            </w:tcMar>
            <w:vAlign w:val="center"/>
          </w:tcPr>
          <w:p>
            <w:pPr>
              <w:pStyle w:val="TableContents"/>
              <w:bidi w:val="0"/>
              <w:spacing w:before="0" w:after="283"/>
              <w:jc w:val="left"/>
              <w:rPr/>
            </w:pPr>
            <w:r>
              <w:rPr/>
              <w:t> </w:t>
            </w:r>
          </w:p>
        </w:tc>
        <w:tc>
          <w:tcPr>
            <w:tcW w:w="5030" w:type="dxa"/>
            <w:tcBorders/>
            <w:shd w:fill="CCEEFF" w:val="clear"/>
            <w:tcMar>
              <w:bottom w:w="0" w:type="dxa"/>
            </w:tcMar>
            <w:vAlign w:val="center"/>
          </w:tcPr>
          <w:p>
            <w:pPr>
              <w:pStyle w:val="TableContents"/>
              <w:bidi w:val="0"/>
              <w:spacing w:before="0" w:after="283"/>
              <w:jc w:val="left"/>
              <w:rPr>
                <w:sz w:val="20"/>
              </w:rPr>
            </w:pPr>
            <w:r>
              <w:rPr>
                <w:sz w:val="20"/>
              </w:rPr>
              <w:t>Chief Technology Officer</w:t>
            </w:r>
          </w:p>
        </w:tc>
      </w:tr>
      <w:tr>
        <w:trPr/>
        <w:tc>
          <w:tcPr>
            <w:tcW w:w="1685" w:type="dxa"/>
            <w:tcBorders/>
            <w:tcMar>
              <w:bottom w:w="0" w:type="dxa"/>
            </w:tcMar>
            <w:vAlign w:val="center"/>
          </w:tcPr>
          <w:p>
            <w:pPr>
              <w:pStyle w:val="TableContents"/>
              <w:bidi w:val="0"/>
              <w:spacing w:before="0" w:after="283"/>
              <w:jc w:val="left"/>
              <w:rPr>
                <w:sz w:val="20"/>
              </w:rPr>
            </w:pPr>
            <w:r>
              <w:rPr>
                <w:sz w:val="20"/>
              </w:rPr>
              <w:t>Carl T. Schultz</w:t>
            </w:r>
            <w:r>
              <w:rPr>
                <w:position w:val="7"/>
                <w:sz w:val="16"/>
                <w:sz w:val="20"/>
              </w:rPr>
              <w:t>(2)</w:t>
            </w:r>
          </w:p>
        </w:tc>
        <w:tc>
          <w:tcPr>
            <w:tcW w:w="90" w:type="dxa"/>
            <w:tcBorders/>
            <w:tcMar>
              <w:bottom w:w="0" w:type="dxa"/>
            </w:tcMar>
            <w:vAlign w:val="center"/>
          </w:tcPr>
          <w:p>
            <w:pPr>
              <w:pStyle w:val="TableContents"/>
              <w:bidi w:val="0"/>
              <w:spacing w:before="0" w:after="283"/>
              <w:jc w:val="left"/>
              <w:rPr/>
            </w:pPr>
            <w:r>
              <w:rPr/>
              <w:t> </w:t>
            </w:r>
          </w:p>
        </w:tc>
        <w:tc>
          <w:tcPr>
            <w:tcW w:w="5030" w:type="dxa"/>
            <w:tcBorders/>
            <w:tcMar>
              <w:bottom w:w="0" w:type="dxa"/>
            </w:tcMar>
            <w:vAlign w:val="center"/>
          </w:tcPr>
          <w:p>
            <w:pPr>
              <w:pStyle w:val="TableContents"/>
              <w:bidi w:val="0"/>
              <w:spacing w:before="0" w:after="283"/>
              <w:jc w:val="left"/>
              <w:rPr>
                <w:sz w:val="20"/>
              </w:rPr>
            </w:pPr>
            <w:r>
              <w:rPr>
                <w:sz w:val="20"/>
              </w:rPr>
              <w:t>Former Chief Financial Officer</w:t>
            </w:r>
          </w:p>
        </w:tc>
      </w:tr>
      <w:tr>
        <w:trPr/>
        <w:tc>
          <w:tcPr>
            <w:tcW w:w="1685" w:type="dxa"/>
            <w:tcBorders/>
            <w:shd w:fill="CCEEFF" w:val="clear"/>
            <w:tcMar>
              <w:bottom w:w="0" w:type="dxa"/>
            </w:tcMar>
            <w:vAlign w:val="center"/>
          </w:tcPr>
          <w:p>
            <w:pPr>
              <w:pStyle w:val="TableContents"/>
              <w:bidi w:val="0"/>
              <w:spacing w:before="0" w:after="283"/>
              <w:jc w:val="left"/>
              <w:rPr>
                <w:sz w:val="20"/>
              </w:rPr>
            </w:pPr>
            <w:r>
              <w:rPr>
                <w:sz w:val="20"/>
              </w:rPr>
              <w:t>Fariyal Khanbabi</w:t>
            </w:r>
            <w:r>
              <w:rPr>
                <w:position w:val="7"/>
                <w:sz w:val="16"/>
                <w:sz w:val="20"/>
              </w:rPr>
              <w:t>(3)</w:t>
            </w:r>
          </w:p>
        </w:tc>
        <w:tc>
          <w:tcPr>
            <w:tcW w:w="90" w:type="dxa"/>
            <w:tcBorders/>
            <w:shd w:fill="CCEEFF" w:val="clear"/>
            <w:tcMar>
              <w:bottom w:w="0" w:type="dxa"/>
            </w:tcMar>
            <w:vAlign w:val="center"/>
          </w:tcPr>
          <w:p>
            <w:pPr>
              <w:pStyle w:val="TableContents"/>
              <w:bidi w:val="0"/>
              <w:spacing w:before="0" w:after="283"/>
              <w:jc w:val="left"/>
              <w:rPr/>
            </w:pPr>
            <w:r>
              <w:rPr/>
              <w:t> </w:t>
            </w:r>
          </w:p>
        </w:tc>
        <w:tc>
          <w:tcPr>
            <w:tcW w:w="5030" w:type="dxa"/>
            <w:tcBorders/>
            <w:shd w:fill="CCEEFF" w:val="clear"/>
            <w:tcMar>
              <w:bottom w:w="0" w:type="dxa"/>
            </w:tcMar>
            <w:vAlign w:val="center"/>
          </w:tcPr>
          <w:p>
            <w:pPr>
              <w:pStyle w:val="TableContents"/>
              <w:bidi w:val="0"/>
              <w:spacing w:before="0" w:after="283"/>
              <w:jc w:val="left"/>
              <w:rPr>
                <w:sz w:val="20"/>
              </w:rPr>
            </w:pPr>
            <w:r>
              <w:rPr>
                <w:sz w:val="20"/>
              </w:rPr>
              <w:t>Former Chief Financial Officer</w:t>
            </w:r>
          </w:p>
        </w:tc>
      </w:tr>
    </w:tbl>
    <w:p>
      <w:pPr>
        <w:pStyle w:val="TextBody"/>
        <w:bidi w:val="0"/>
        <w:ind w:left="36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38"/>
        <w:gridCol w:w="9900"/>
      </w:tblGrid>
      <w:tr>
        <w:trPr/>
        <w:tc>
          <w:tcPr>
            <w:tcW w:w="6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20"/>
              </w:rPr>
            </w:pPr>
            <w:r>
              <w:rPr>
                <w:sz w:val="20"/>
              </w:rPr>
              <w:t>(1)</w:t>
            </w:r>
          </w:p>
        </w:tc>
        <w:tc>
          <w:tcPr>
            <w:tcW w:w="9900" w:type="dxa"/>
            <w:tcBorders/>
            <w:vAlign w:val="center"/>
          </w:tcPr>
          <w:p>
            <w:pPr>
              <w:pStyle w:val="TableContents"/>
              <w:bidi w:val="0"/>
              <w:spacing w:before="0" w:after="283"/>
              <w:jc w:val="both"/>
              <w:rPr>
                <w:sz w:val="20"/>
              </w:rPr>
            </w:pPr>
            <w:r>
              <w:rPr>
                <w:sz w:val="20"/>
              </w:rPr>
              <w:t>Mr. Worthen was appointed Interim Chief Financial Officer effective August 7, 2025 and served in that role for the remainder of Fiscal 2025. During that time, he continued to serve as Vice President of Corporate Strategy. He was appointed Chief Financial Officer effective January 7, 2026.</w:t>
            </w:r>
          </w:p>
        </w:tc>
      </w:tr>
    </w:tbl>
    <w:tbl>
      <w:tblPr>
        <w:tblW w:w="5000" w:type="pct"/>
        <w:jc w:val="left"/>
        <w:tblInd w:w="0" w:type="dxa"/>
        <w:tblLayout w:type="fixed"/>
        <w:tblCellMar>
          <w:top w:w="0" w:type="dxa"/>
          <w:left w:w="0" w:type="dxa"/>
          <w:bottom w:w="0" w:type="dxa"/>
          <w:right w:w="0" w:type="dxa"/>
        </w:tblCellMar>
      </w:tblPr>
      <w:tblGrid>
        <w:gridCol w:w="94"/>
        <w:gridCol w:w="381"/>
        <w:gridCol w:w="9730"/>
      </w:tblGrid>
      <w:tr>
        <w:trPr/>
        <w:tc>
          <w:tcPr>
            <w:tcW w:w="94"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20"/>
              </w:rPr>
            </w:pPr>
            <w:r>
              <w:rPr>
                <w:sz w:val="20"/>
              </w:rPr>
              <w:t>(2)</w:t>
            </w:r>
          </w:p>
        </w:tc>
        <w:tc>
          <w:tcPr>
            <w:tcW w:w="9730" w:type="dxa"/>
            <w:tcBorders/>
            <w:vAlign w:val="center"/>
          </w:tcPr>
          <w:p>
            <w:pPr>
              <w:pStyle w:val="TableContents"/>
              <w:bidi w:val="0"/>
              <w:spacing w:before="0" w:after="283"/>
              <w:jc w:val="both"/>
              <w:rPr>
                <w:sz w:val="20"/>
              </w:rPr>
            </w:pPr>
            <w:r>
              <w:rPr>
                <w:sz w:val="20"/>
              </w:rPr>
              <w:t>Mr. Schultz served as Chief Financial Officer from April 21, 2025 until July 29, 2025.</w:t>
            </w:r>
          </w:p>
        </w:tc>
      </w:tr>
    </w:tbl>
    <w:tbl>
      <w:tblPr>
        <w:tblW w:w="5000" w:type="pct"/>
        <w:jc w:val="left"/>
        <w:tblInd w:w="0" w:type="dxa"/>
        <w:tblLayout w:type="fixed"/>
        <w:tblCellMar>
          <w:top w:w="0" w:type="dxa"/>
          <w:left w:w="0" w:type="dxa"/>
          <w:bottom w:w="0" w:type="dxa"/>
          <w:right w:w="0" w:type="dxa"/>
        </w:tblCellMar>
      </w:tblPr>
      <w:tblGrid>
        <w:gridCol w:w="118"/>
        <w:gridCol w:w="478"/>
        <w:gridCol w:w="9609"/>
      </w:tblGrid>
      <w:tr>
        <w:trPr/>
        <w:tc>
          <w:tcPr>
            <w:tcW w:w="11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20"/>
              </w:rPr>
            </w:pPr>
            <w:r>
              <w:rPr>
                <w:sz w:val="20"/>
              </w:rPr>
              <w:t>(3)</w:t>
            </w:r>
          </w:p>
        </w:tc>
        <w:tc>
          <w:tcPr>
            <w:tcW w:w="9609" w:type="dxa"/>
            <w:tcBorders/>
            <w:vAlign w:val="center"/>
          </w:tcPr>
          <w:p>
            <w:pPr>
              <w:pStyle w:val="TableContents"/>
              <w:bidi w:val="0"/>
              <w:spacing w:before="0" w:after="283"/>
              <w:jc w:val="both"/>
              <w:rPr>
                <w:sz w:val="20"/>
              </w:rPr>
            </w:pPr>
            <w:r>
              <w:rPr>
                <w:sz w:val="20"/>
              </w:rPr>
              <w:t>Ms. Khanbabi served as Chief Financial Officer until April 7, 2025.</w:t>
            </w:r>
          </w:p>
        </w:tc>
      </w:tr>
    </w:tbl>
    <w:p>
      <w:pPr>
        <w:pStyle w:val="TextBody"/>
        <w:bidi w:val="0"/>
        <w:ind w:left="360" w:right="0" w:hanging="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Compensation Discussion and Analysis</w:t>
      </w:r>
    </w:p>
    <w:p>
      <w:pPr>
        <w:pStyle w:val="TextBody"/>
        <w:bidi w:val="0"/>
        <w:spacing w:before="240" w:after="240"/>
        <w:ind w:left="240" w:right="24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Compensation Discussion and Analysis describes compensation paid to our NEOs with respect to their services provided to the Company in Fiscal 2025.</w:t>
      </w:r>
    </w:p>
    <w:p>
      <w:pPr>
        <w:pStyle w:val="TextBody"/>
        <w:bidi w:val="0"/>
        <w:jc w:val="left"/>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Overview of Compensation Philosophy</w:t>
      </w:r>
    </w:p>
    <w:p>
      <w:pPr>
        <w:pStyle w:val="TextBody"/>
        <w:bidi w:val="0"/>
        <w:spacing w:before="240" w:after="240"/>
        <w:ind w:left="240" w:right="24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executive compensation program is designed to support our business strategy by attracting, retaining and motivating talented executives and by aligning compensation with Company performance and the long-term interests of our stockholders. The Compensation Committee seeks to maintain a compensation program that is competitive, performance-oriented and appropriately aligned with the responsibilities and contributions of our executive officers.</w:t>
      </w:r>
    </w:p>
    <w:p>
      <w:pPr>
        <w:pStyle w:val="TextBody"/>
        <w:bidi w:val="0"/>
        <w:spacing w:before="120" w:after="120"/>
        <w:ind w:left="120" w:right="1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executive compensation philosophy is guided by the following key objectives:</w:t>
      </w:r>
    </w:p>
    <w:p>
      <w:pPr>
        <w:pStyle w:val="TextBody"/>
        <w:bidi w:val="0"/>
        <w:spacing w:before="120" w:after="120"/>
        <w:ind w:left="120" w:right="12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Attract and Retain Talented Executives</w:t>
      </w:r>
      <w:r>
        <w:rPr>
          <w:rFonts w:ascii="Times New Roman;Times;Serif" w:hAnsi="Times New Roman;Times;Serif"/>
          <w:b w:val="false"/>
          <w:i w:val="false"/>
          <w:caps w:val="false"/>
          <w:smallCaps w:val="false"/>
          <w:sz w:val="20"/>
        </w:rPr>
        <w:t>. We seek to provide competitive compensation opportunities that enable us to attract and retain executives with the skills, experience and leadership capabilities necessary to execute our business strategy. In making compensation decisions, the Compensation Committee considers relevant market compensation data, as well as each executive’s role and responsibilities, experience, performance and other factors the Compensation Committee considers appropriate.</w:t>
      </w:r>
    </w:p>
    <w:p>
      <w:pPr>
        <w:pStyle w:val="TextBody"/>
        <w:bidi w:val="0"/>
        <w:spacing w:before="240" w:after="240"/>
        <w:ind w:left="240" w:right="24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Pay for Performance</w:t>
      </w:r>
      <w:r>
        <w:rPr>
          <w:rFonts w:ascii="Times New Roman;Times;Serif" w:hAnsi="Times New Roman;Times;Serif"/>
          <w:b w:val="false"/>
          <w:i w:val="false"/>
          <w:caps w:val="false"/>
          <w:smallCaps w:val="false"/>
          <w:sz w:val="20"/>
        </w:rPr>
        <w:t>. We believe executive compensation should reflect Company and individual performance. Accordingly, our compensation program includes variable incentive compensation opportunities designed to reward achievement of financial, operational and strategic objectives that support our business strategy. This approach is intended to provide executives with the opportunity to earn higher compensation when performance is strong, while resulting in lower compensation when performance falls below expectations.</w:t>
      </w:r>
    </w:p>
    <w:p>
      <w:pPr>
        <w:pStyle w:val="TextBody"/>
        <w:bidi w:val="0"/>
        <w:spacing w:before="240" w:after="240"/>
        <w:ind w:left="240" w:right="24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Align Executive and Stockholder Interests</w:t>
      </w:r>
      <w:r>
        <w:rPr>
          <w:rFonts w:ascii="Times New Roman;Times;Serif" w:hAnsi="Times New Roman;Times;Serif"/>
          <w:b w:val="false"/>
          <w:i w:val="false"/>
          <w:caps w:val="false"/>
          <w:smallCaps w:val="false"/>
          <w:sz w:val="20"/>
        </w:rPr>
        <w:t>. We seek to align the interests of our executives with those of our stockholders by providing a meaningful portion of executive compensation through long-term equity-based awards. These awards are intended to focus executives on long-term performance and value creation while also supporting retention.</w:t>
      </w:r>
    </w:p>
    <w:p>
      <w:pPr>
        <w:pStyle w:val="TextBody"/>
        <w:bidi w:val="0"/>
        <w:spacing w:before="240" w:after="240"/>
        <w:ind w:left="240" w:right="24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Maintain Competitive and Balanced Compensation</w:t>
      </w:r>
      <w:r>
        <w:rPr>
          <w:rFonts w:ascii="Times New Roman;Times;Serif" w:hAnsi="Times New Roman;Times;Serif"/>
          <w:b w:val="false"/>
          <w:i w:val="false"/>
          <w:caps w:val="false"/>
          <w:smallCaps w:val="false"/>
          <w:sz w:val="20"/>
        </w:rPr>
        <w:t>. The Compensation Committee considers market practices in evaluating compensation levels and program design but does not rely on a formulaic approach to setting compensation. Rather, the Compensation Committee considers market data together with Company and individual performance, internal</w:t>
      </w:r>
    </w:p>
    <w:tbl>
      <w:tblPr>
        <w:tblW w:w="590" w:type="dxa"/>
        <w:jc w:val="left"/>
        <w:tblInd w:w="0" w:type="dxa"/>
        <w:tblLayout w:type="fixed"/>
        <w:tblCellMar>
          <w:top w:w="0" w:type="dxa"/>
          <w:left w:w="0" w:type="dxa"/>
          <w:bottom w:w="0" w:type="dxa"/>
          <w:right w:w="0" w:type="dxa"/>
        </w:tblCellMar>
      </w:tblPr>
      <w:tblGrid>
        <w:gridCol w:w="105"/>
        <w:gridCol w:w="350"/>
        <w:gridCol w:w="135"/>
      </w:tblGrid>
      <w:tr>
        <w:trPr/>
        <w:tc>
          <w:tcPr>
            <w:tcW w:w="10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 </w:t>
            </w:r>
            <w:r>
              <w:rPr/>
              <w:t>23</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240" w:after="240"/>
        <w:ind w:left="240" w:right="24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 relationships, retention considerations, the executive’s responsibilities and experience, and other relevant factors in exercising its judgment.</w:t>
      </w:r>
    </w:p>
    <w:p>
      <w:pPr>
        <w:pStyle w:val="TextBody"/>
        <w:bidi w:val="0"/>
        <w:jc w:val="left"/>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Compensation Peer Group</w:t>
      </w:r>
    </w:p>
    <w:p>
      <w:pPr>
        <w:pStyle w:val="TextBody"/>
        <w:bidi w:val="0"/>
        <w:spacing w:before="240" w:after="240"/>
        <w:ind w:left="240" w:right="24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did not use a formal compensation peer group in establishing or evaluating executive compensation for Fiscal 2025. In January 2026, with the assistance of FW Cook, the Compensation Committee approved a compensation peer group to support its review of executive and non-employee director compensation for Fiscal 2026. The peer group is intended to serve as a market reference for compensation levels and pay structure, including annual and long-term incentive design.</w:t>
      </w:r>
    </w:p>
    <w:p>
      <w:pPr>
        <w:pStyle w:val="TextBody"/>
        <w:bidi w:val="0"/>
        <w:spacing w:before="240" w:after="240"/>
        <w:ind w:left="240" w:right="24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developing the peer group, the Compensation Committee considered a combination of factors intended to identify companies that, in the aggregate, reflect the size, complexity, business characteristics and executive talent market relevant to Microvast. The selection process considered, among other factors, revenue and market capitalization, industry alignment, business exposure to batteries, electric vehicles and renewable energy, and international operations. As a general guideline, the review focused on companies with revenue and market capitalization within approximately one-third to three times Microvast’s, while recognizing that no individual peer would necessarily align with Microvast on every criterion.</w:t>
      </w:r>
    </w:p>
    <w:p>
      <w:pPr>
        <w:pStyle w:val="TextBody"/>
        <w:bidi w:val="0"/>
        <w:spacing w:before="240" w:after="240"/>
        <w:ind w:left="240" w:right="24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approved the following 16 companies for the Fiscal 2026 compensation peer group:</w:t>
      </w:r>
    </w:p>
    <w:p>
      <w:pPr>
        <w:pStyle w:val="TextBody"/>
        <w:bidi w:val="0"/>
        <w:jc w:val="left"/>
        <w:rPr>
          <w:caps w:val="false"/>
          <w:smallCaps w:val="false"/>
        </w:rPr>
      </w:pPr>
      <w:r>
        <w:rPr>
          <w:caps w:val="false"/>
          <w:smallCaps w:val="false"/>
        </w:rPr>
        <w:t> </w:t>
      </w:r>
    </w:p>
    <w:tbl>
      <w:tblPr>
        <w:tblW w:w="7090" w:type="dxa"/>
        <w:jc w:val="left"/>
        <w:tblInd w:w="0" w:type="dxa"/>
        <w:tblLayout w:type="fixed"/>
        <w:tblCellMar>
          <w:top w:w="0" w:type="dxa"/>
          <w:left w:w="0" w:type="dxa"/>
          <w:bottom w:w="0" w:type="dxa"/>
          <w:right w:w="0" w:type="dxa"/>
        </w:tblCellMar>
      </w:tblPr>
      <w:tblGrid>
        <w:gridCol w:w="2915"/>
        <w:gridCol w:w="4175"/>
      </w:tblGrid>
      <w:tr>
        <w:trPr/>
        <w:tc>
          <w:tcPr>
            <w:tcW w:w="2915" w:type="dxa"/>
            <w:tcBorders/>
            <w:shd w:fill="CCEEFF" w:val="clear"/>
            <w:vAlign w:val="center"/>
          </w:tcPr>
          <w:p>
            <w:pPr>
              <w:pStyle w:val="TableContents"/>
              <w:bidi w:val="0"/>
              <w:spacing w:before="0" w:after="283"/>
              <w:jc w:val="center"/>
              <w:rPr>
                <w:sz w:val="20"/>
              </w:rPr>
            </w:pPr>
            <w:r>
              <w:rPr>
                <w:sz w:val="20"/>
              </w:rPr>
              <w:t>3D Systems Corporation (DDD)</w:t>
            </w:r>
          </w:p>
        </w:tc>
        <w:tc>
          <w:tcPr>
            <w:tcW w:w="4175" w:type="dxa"/>
            <w:tcBorders/>
            <w:shd w:fill="CCEEFF" w:val="clear"/>
            <w:vAlign w:val="center"/>
          </w:tcPr>
          <w:p>
            <w:pPr>
              <w:pStyle w:val="TableContents"/>
              <w:bidi w:val="0"/>
              <w:spacing w:before="0" w:after="283"/>
              <w:jc w:val="center"/>
              <w:rPr>
                <w:sz w:val="20"/>
              </w:rPr>
            </w:pPr>
            <w:r>
              <w:rPr>
                <w:sz w:val="20"/>
              </w:rPr>
              <w:t>Alpha and Omega Semiconductor Limited (AOSL)</w:t>
            </w:r>
          </w:p>
        </w:tc>
      </w:tr>
      <w:tr>
        <w:trPr/>
        <w:tc>
          <w:tcPr>
            <w:tcW w:w="2915" w:type="dxa"/>
            <w:tcBorders/>
            <w:vAlign w:val="center"/>
          </w:tcPr>
          <w:p>
            <w:pPr>
              <w:pStyle w:val="TableContents"/>
              <w:bidi w:val="0"/>
              <w:spacing w:before="0" w:after="283"/>
              <w:jc w:val="center"/>
              <w:rPr>
                <w:sz w:val="20"/>
              </w:rPr>
            </w:pPr>
            <w:r>
              <w:rPr>
                <w:sz w:val="20"/>
              </w:rPr>
              <w:t>Ballard Power Systems Inc. (BLDP)</w:t>
            </w:r>
          </w:p>
        </w:tc>
        <w:tc>
          <w:tcPr>
            <w:tcW w:w="4175" w:type="dxa"/>
            <w:tcBorders/>
            <w:vAlign w:val="center"/>
          </w:tcPr>
          <w:p>
            <w:pPr>
              <w:pStyle w:val="TableContents"/>
              <w:bidi w:val="0"/>
              <w:spacing w:before="0" w:after="283"/>
              <w:jc w:val="center"/>
              <w:rPr>
                <w:sz w:val="20"/>
              </w:rPr>
            </w:pPr>
            <w:r>
              <w:rPr>
                <w:sz w:val="20"/>
              </w:rPr>
              <w:t>Columbus McKinnon Corporation (CMCO)</w:t>
            </w:r>
          </w:p>
        </w:tc>
      </w:tr>
      <w:tr>
        <w:trPr/>
        <w:tc>
          <w:tcPr>
            <w:tcW w:w="2915" w:type="dxa"/>
            <w:tcBorders/>
            <w:shd w:fill="CCEEFF" w:val="clear"/>
            <w:vAlign w:val="center"/>
          </w:tcPr>
          <w:p>
            <w:pPr>
              <w:pStyle w:val="TableContents"/>
              <w:bidi w:val="0"/>
              <w:spacing w:before="0" w:after="283"/>
              <w:jc w:val="center"/>
              <w:rPr>
                <w:sz w:val="20"/>
              </w:rPr>
            </w:pPr>
            <w:r>
              <w:rPr>
                <w:sz w:val="20"/>
              </w:rPr>
              <w:t>Douglas Dynamics, Inc. (PLOW)</w:t>
            </w:r>
          </w:p>
        </w:tc>
        <w:tc>
          <w:tcPr>
            <w:tcW w:w="4175" w:type="dxa"/>
            <w:tcBorders/>
            <w:shd w:fill="CCEEFF" w:val="clear"/>
            <w:vAlign w:val="center"/>
          </w:tcPr>
          <w:p>
            <w:pPr>
              <w:pStyle w:val="TableContents"/>
              <w:bidi w:val="0"/>
              <w:spacing w:before="0" w:after="283"/>
              <w:jc w:val="center"/>
              <w:rPr>
                <w:sz w:val="20"/>
              </w:rPr>
            </w:pPr>
            <w:r>
              <w:rPr>
                <w:sz w:val="20"/>
              </w:rPr>
              <w:t>Enovix Corporation (ENVX)</w:t>
            </w:r>
          </w:p>
        </w:tc>
      </w:tr>
      <w:tr>
        <w:trPr/>
        <w:tc>
          <w:tcPr>
            <w:tcW w:w="2915" w:type="dxa"/>
            <w:tcBorders/>
            <w:vAlign w:val="center"/>
          </w:tcPr>
          <w:p>
            <w:pPr>
              <w:pStyle w:val="TableContents"/>
              <w:bidi w:val="0"/>
              <w:spacing w:before="0" w:after="283"/>
              <w:jc w:val="center"/>
              <w:rPr>
                <w:sz w:val="20"/>
              </w:rPr>
            </w:pPr>
            <w:r>
              <w:rPr>
                <w:sz w:val="20"/>
              </w:rPr>
              <w:t>Fluence Energy, Inc. (FLNC)</w:t>
            </w:r>
          </w:p>
        </w:tc>
        <w:tc>
          <w:tcPr>
            <w:tcW w:w="4175" w:type="dxa"/>
            <w:tcBorders/>
            <w:vAlign w:val="center"/>
          </w:tcPr>
          <w:p>
            <w:pPr>
              <w:pStyle w:val="TableContents"/>
              <w:bidi w:val="0"/>
              <w:spacing w:before="0" w:after="283"/>
              <w:jc w:val="center"/>
              <w:rPr>
                <w:sz w:val="20"/>
              </w:rPr>
            </w:pPr>
            <w:r>
              <w:rPr>
                <w:sz w:val="20"/>
              </w:rPr>
              <w:t>Graham Corporation (GHM)</w:t>
            </w:r>
          </w:p>
        </w:tc>
      </w:tr>
      <w:tr>
        <w:trPr/>
        <w:tc>
          <w:tcPr>
            <w:tcW w:w="2915" w:type="dxa"/>
            <w:tcBorders/>
            <w:shd w:fill="CCEEFF" w:val="clear"/>
            <w:vAlign w:val="center"/>
          </w:tcPr>
          <w:p>
            <w:pPr>
              <w:pStyle w:val="TableContents"/>
              <w:bidi w:val="0"/>
              <w:spacing w:before="0" w:after="283"/>
              <w:jc w:val="center"/>
              <w:rPr>
                <w:sz w:val="20"/>
              </w:rPr>
            </w:pPr>
            <w:r>
              <w:rPr>
                <w:sz w:val="20"/>
              </w:rPr>
              <w:t>Luxfer Holdings PLC (LXFR)</w:t>
            </w:r>
          </w:p>
        </w:tc>
        <w:tc>
          <w:tcPr>
            <w:tcW w:w="4175" w:type="dxa"/>
            <w:tcBorders/>
            <w:shd w:fill="CCEEFF" w:val="clear"/>
            <w:vAlign w:val="center"/>
          </w:tcPr>
          <w:p>
            <w:pPr>
              <w:pStyle w:val="TableContents"/>
              <w:bidi w:val="0"/>
              <w:spacing w:before="0" w:after="283"/>
              <w:jc w:val="center"/>
              <w:rPr>
                <w:sz w:val="20"/>
              </w:rPr>
            </w:pPr>
            <w:r>
              <w:rPr>
                <w:sz w:val="20"/>
              </w:rPr>
              <w:t>Mayville Engineering Company, Inc. (MEC)</w:t>
            </w:r>
          </w:p>
        </w:tc>
      </w:tr>
      <w:tr>
        <w:trPr/>
        <w:tc>
          <w:tcPr>
            <w:tcW w:w="2915" w:type="dxa"/>
            <w:tcBorders/>
            <w:vAlign w:val="center"/>
          </w:tcPr>
          <w:p>
            <w:pPr>
              <w:pStyle w:val="TableContents"/>
              <w:bidi w:val="0"/>
              <w:spacing w:before="0" w:after="283"/>
              <w:jc w:val="center"/>
              <w:rPr>
                <w:sz w:val="20"/>
              </w:rPr>
            </w:pPr>
            <w:r>
              <w:rPr>
                <w:sz w:val="20"/>
              </w:rPr>
              <w:t>Plug Power Inc. (PLUG)</w:t>
            </w:r>
          </w:p>
        </w:tc>
        <w:tc>
          <w:tcPr>
            <w:tcW w:w="4175" w:type="dxa"/>
            <w:tcBorders/>
            <w:vAlign w:val="center"/>
          </w:tcPr>
          <w:p>
            <w:pPr>
              <w:pStyle w:val="TableContents"/>
              <w:bidi w:val="0"/>
              <w:spacing w:before="0" w:after="283"/>
              <w:jc w:val="center"/>
              <w:rPr>
                <w:sz w:val="20"/>
              </w:rPr>
            </w:pPr>
            <w:r>
              <w:rPr>
                <w:sz w:val="20"/>
              </w:rPr>
              <w:t>Proto Labs, Inc. (PRLB)</w:t>
            </w:r>
          </w:p>
        </w:tc>
      </w:tr>
      <w:tr>
        <w:trPr/>
        <w:tc>
          <w:tcPr>
            <w:tcW w:w="2915" w:type="dxa"/>
            <w:tcBorders/>
            <w:shd w:fill="CCEEFF" w:val="clear"/>
            <w:vAlign w:val="center"/>
          </w:tcPr>
          <w:p>
            <w:pPr>
              <w:pStyle w:val="TableContents"/>
              <w:bidi w:val="0"/>
              <w:spacing w:before="0" w:after="283"/>
              <w:jc w:val="center"/>
              <w:rPr>
                <w:sz w:val="20"/>
              </w:rPr>
            </w:pPr>
            <w:r>
              <w:rPr>
                <w:sz w:val="20"/>
              </w:rPr>
              <w:t>Rogers Corporation (ROG)</w:t>
            </w:r>
          </w:p>
        </w:tc>
        <w:tc>
          <w:tcPr>
            <w:tcW w:w="4175" w:type="dxa"/>
            <w:tcBorders/>
            <w:shd w:fill="CCEEFF" w:val="clear"/>
            <w:vAlign w:val="center"/>
          </w:tcPr>
          <w:p>
            <w:pPr>
              <w:pStyle w:val="TableContents"/>
              <w:bidi w:val="0"/>
              <w:spacing w:before="0" w:after="283"/>
              <w:jc w:val="center"/>
              <w:rPr>
                <w:sz w:val="20"/>
              </w:rPr>
            </w:pPr>
            <w:r>
              <w:rPr>
                <w:sz w:val="20"/>
              </w:rPr>
              <w:t>Shoals Technologies Group, Inc. (SHLS)</w:t>
            </w:r>
          </w:p>
        </w:tc>
      </w:tr>
      <w:tr>
        <w:trPr/>
        <w:tc>
          <w:tcPr>
            <w:tcW w:w="2915" w:type="dxa"/>
            <w:tcBorders/>
            <w:vAlign w:val="center"/>
          </w:tcPr>
          <w:p>
            <w:pPr>
              <w:pStyle w:val="TableContents"/>
              <w:bidi w:val="0"/>
              <w:spacing w:before="0" w:after="283"/>
              <w:jc w:val="center"/>
              <w:rPr>
                <w:sz w:val="20"/>
              </w:rPr>
            </w:pPr>
            <w:r>
              <w:rPr>
                <w:sz w:val="20"/>
              </w:rPr>
              <w:t>Solid Power, Inc. (SLDP)</w:t>
            </w:r>
          </w:p>
        </w:tc>
        <w:tc>
          <w:tcPr>
            <w:tcW w:w="4175" w:type="dxa"/>
            <w:tcBorders/>
            <w:vAlign w:val="center"/>
          </w:tcPr>
          <w:p>
            <w:pPr>
              <w:pStyle w:val="TableContents"/>
              <w:bidi w:val="0"/>
              <w:spacing w:before="0" w:after="283"/>
              <w:jc w:val="center"/>
              <w:rPr>
                <w:sz w:val="20"/>
              </w:rPr>
            </w:pPr>
            <w:r>
              <w:rPr>
                <w:sz w:val="20"/>
              </w:rPr>
              <w:t>Twin Disc, Incorporated (TWIN)</w:t>
            </w:r>
          </w:p>
        </w:tc>
      </w:tr>
    </w:tbl>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the peer group was approved in January 2026, it was not used in determining compensation for Fiscal 2025.</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Elements of Executive Compensation</w:t>
      </w:r>
    </w:p>
    <w:p>
      <w:pPr>
        <w:pStyle w:val="TextBody"/>
        <w:bidi w:val="0"/>
        <w:spacing w:before="240" w:after="240"/>
        <w:ind w:left="240" w:right="24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Base Salary</w:t>
      </w:r>
    </w:p>
    <w:p>
      <w:pPr>
        <w:pStyle w:val="TextBody"/>
        <w:bidi w:val="0"/>
        <w:spacing w:before="240" w:after="240"/>
        <w:ind w:left="240" w:right="24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 salaries are intended to provide a level of compensation sufficient to attract and retain an effective management team when considered in combination with the other components of our executive compensation program. The relative levels of base salary for our NEOs are designed to reflect each NEO’s scope of responsibility and accountability to us. The base salaries for each of our NEOs were as follows:</w:t>
      </w:r>
    </w:p>
    <w:tbl>
      <w:tblPr>
        <w:tblW w:w="5715" w:type="dxa"/>
        <w:jc w:val="left"/>
        <w:tblInd w:w="0" w:type="dxa"/>
        <w:tblLayout w:type="fixed"/>
        <w:tblCellMar>
          <w:top w:w="0" w:type="dxa"/>
          <w:left w:w="0" w:type="dxa"/>
          <w:bottom w:w="28" w:type="dxa"/>
          <w:right w:w="0" w:type="dxa"/>
        </w:tblCellMar>
      </w:tblPr>
      <w:tblGrid>
        <w:gridCol w:w="1880"/>
        <w:gridCol w:w="90"/>
        <w:gridCol w:w="1805"/>
        <w:gridCol w:w="90"/>
        <w:gridCol w:w="1850"/>
      </w:tblGrid>
      <w:tr>
        <w:trPr/>
        <w:tc>
          <w:tcPr>
            <w:tcW w:w="1880" w:type="dxa"/>
            <w:tcBorders>
              <w:bottom w:val="single" w:sz="8" w:space="0" w:color="000000"/>
            </w:tcBorders>
            <w:vAlign w:val="center"/>
          </w:tcPr>
          <w:p>
            <w:pPr>
              <w:pStyle w:val="TableContents"/>
              <w:bidi w:val="0"/>
              <w:spacing w:before="0" w:after="283"/>
              <w:jc w:val="left"/>
              <w:rPr>
                <w:b/>
                <w:sz w:val="20"/>
              </w:rPr>
            </w:pPr>
            <w:r>
              <w:rPr>
                <w:b/>
                <w:sz w:val="20"/>
              </w:rPr>
              <w:t>Name</w:t>
            </w:r>
          </w:p>
        </w:tc>
        <w:tc>
          <w:tcPr>
            <w:tcW w:w="90" w:type="dxa"/>
            <w:tcBorders/>
            <w:tcMar>
              <w:bottom w:w="0" w:type="dxa"/>
            </w:tcMar>
            <w:vAlign w:val="center"/>
          </w:tcPr>
          <w:p>
            <w:pPr>
              <w:pStyle w:val="TableContents"/>
              <w:bidi w:val="0"/>
              <w:spacing w:before="0" w:after="283"/>
              <w:jc w:val="left"/>
              <w:rPr/>
            </w:pPr>
            <w:r>
              <w:rPr/>
              <w:t> </w:t>
            </w:r>
          </w:p>
        </w:tc>
        <w:tc>
          <w:tcPr>
            <w:tcW w:w="1805" w:type="dxa"/>
            <w:tcBorders>
              <w:bottom w:val="single" w:sz="8" w:space="0" w:color="000000"/>
            </w:tcBorders>
            <w:vAlign w:val="center"/>
          </w:tcPr>
          <w:p>
            <w:pPr>
              <w:pStyle w:val="TableContents"/>
              <w:bidi w:val="0"/>
              <w:spacing w:before="0" w:after="283"/>
              <w:jc w:val="center"/>
              <w:rPr>
                <w:b/>
                <w:sz w:val="20"/>
              </w:rPr>
            </w:pPr>
            <w:r>
              <w:rPr>
                <w:b/>
                <w:sz w:val="20"/>
              </w:rPr>
              <w:t>2025 Base Salary ($)</w:t>
            </w:r>
          </w:p>
        </w:tc>
        <w:tc>
          <w:tcPr>
            <w:tcW w:w="90" w:type="dxa"/>
            <w:tcBorders/>
            <w:tcMar>
              <w:bottom w:w="0" w:type="dxa"/>
            </w:tcMar>
            <w:vAlign w:val="center"/>
          </w:tcPr>
          <w:p>
            <w:pPr>
              <w:pStyle w:val="TableContents"/>
              <w:bidi w:val="0"/>
              <w:spacing w:before="0" w:after="283"/>
              <w:jc w:val="left"/>
              <w:rPr/>
            </w:pPr>
            <w:r>
              <w:rPr/>
              <w:t> </w:t>
            </w:r>
          </w:p>
        </w:tc>
        <w:tc>
          <w:tcPr>
            <w:tcW w:w="1850" w:type="dxa"/>
            <w:tcBorders>
              <w:bottom w:val="single" w:sz="8" w:space="0" w:color="000000"/>
            </w:tcBorders>
            <w:vAlign w:val="center"/>
          </w:tcPr>
          <w:p>
            <w:pPr>
              <w:pStyle w:val="TableContents"/>
              <w:bidi w:val="0"/>
              <w:spacing w:before="0" w:after="283"/>
              <w:jc w:val="center"/>
              <w:rPr>
                <w:b/>
                <w:sz w:val="20"/>
              </w:rPr>
            </w:pPr>
            <w:r>
              <w:rPr>
                <w:b/>
                <w:sz w:val="20"/>
              </w:rPr>
              <w:t>2024 Base Salary ($)</w:t>
            </w:r>
          </w:p>
        </w:tc>
      </w:tr>
      <w:tr>
        <w:trPr/>
        <w:tc>
          <w:tcPr>
            <w:tcW w:w="1880" w:type="dxa"/>
            <w:tcBorders/>
            <w:shd w:fill="CCEEFF" w:val="clear"/>
            <w:tcMar>
              <w:bottom w:w="0" w:type="dxa"/>
            </w:tcMar>
            <w:vAlign w:val="center"/>
          </w:tcPr>
          <w:p>
            <w:pPr>
              <w:pStyle w:val="TableContents"/>
              <w:bidi w:val="0"/>
              <w:spacing w:before="0" w:after="283"/>
              <w:jc w:val="left"/>
              <w:rPr>
                <w:sz w:val="20"/>
              </w:rPr>
            </w:pPr>
            <w:r>
              <w:rPr>
                <w:sz w:val="20"/>
              </w:rPr>
              <w:t>Yang Wu</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05" w:type="dxa"/>
            <w:tcBorders/>
            <w:shd w:fill="CCEEFF" w:val="clear"/>
            <w:tcMar>
              <w:bottom w:w="0" w:type="dxa"/>
            </w:tcMar>
            <w:vAlign w:val="center"/>
          </w:tcPr>
          <w:p>
            <w:pPr>
              <w:pStyle w:val="TableContents"/>
              <w:bidi w:val="0"/>
              <w:spacing w:before="0" w:after="283"/>
              <w:jc w:val="right"/>
              <w:rPr>
                <w:sz w:val="20"/>
              </w:rPr>
            </w:pPr>
            <w:r>
              <w:rPr>
                <w:sz w:val="20"/>
              </w:rPr>
              <w:t>580,000</w:t>
            </w:r>
          </w:p>
        </w:tc>
        <w:tc>
          <w:tcPr>
            <w:tcW w:w="90" w:type="dxa"/>
            <w:tcBorders/>
            <w:shd w:fill="CCEEFF" w:val="clear"/>
            <w:tcMar>
              <w:bottom w:w="0" w:type="dxa"/>
            </w:tcMar>
            <w:vAlign w:val="center"/>
          </w:tcPr>
          <w:p>
            <w:pPr>
              <w:pStyle w:val="TableContents"/>
              <w:bidi w:val="0"/>
              <w:spacing w:before="0" w:after="283"/>
              <w:jc w:val="right"/>
              <w:rPr/>
            </w:pPr>
            <w:r>
              <w:rPr/>
              <w:t> </w:t>
            </w:r>
          </w:p>
        </w:tc>
        <w:tc>
          <w:tcPr>
            <w:tcW w:w="1850" w:type="dxa"/>
            <w:tcBorders/>
            <w:shd w:fill="CCEEFF" w:val="clear"/>
            <w:tcMar>
              <w:bottom w:w="0" w:type="dxa"/>
            </w:tcMar>
            <w:vAlign w:val="center"/>
          </w:tcPr>
          <w:p>
            <w:pPr>
              <w:pStyle w:val="TableContents"/>
              <w:bidi w:val="0"/>
              <w:spacing w:before="0" w:after="283"/>
              <w:jc w:val="right"/>
              <w:rPr>
                <w:sz w:val="20"/>
              </w:rPr>
            </w:pPr>
            <w:r>
              <w:rPr>
                <w:sz w:val="20"/>
              </w:rPr>
              <w:t>564,480</w:t>
            </w:r>
          </w:p>
        </w:tc>
      </w:tr>
      <w:tr>
        <w:trPr/>
        <w:tc>
          <w:tcPr>
            <w:tcW w:w="1880" w:type="dxa"/>
            <w:tcBorders/>
            <w:shd w:fill="FFFFFF" w:val="clear"/>
            <w:tcMar>
              <w:bottom w:w="0" w:type="dxa"/>
            </w:tcMar>
            <w:vAlign w:val="center"/>
          </w:tcPr>
          <w:p>
            <w:pPr>
              <w:pStyle w:val="TableContents"/>
              <w:bidi w:val="0"/>
              <w:spacing w:before="0" w:after="283"/>
              <w:jc w:val="left"/>
              <w:rPr>
                <w:sz w:val="20"/>
              </w:rPr>
            </w:pPr>
            <w:r>
              <w:rPr>
                <w:sz w:val="20"/>
              </w:rPr>
              <w:t>Rodney Worthen</w:t>
            </w:r>
            <w:r>
              <w:rPr>
                <w:position w:val="7"/>
                <w:sz w:val="16"/>
                <w:sz w:val="20"/>
              </w:rPr>
              <w:t>(1)(2)</w:t>
            </w:r>
          </w:p>
        </w:tc>
        <w:tc>
          <w:tcPr>
            <w:tcW w:w="90" w:type="dxa"/>
            <w:tcBorders/>
            <w:shd w:fill="FFFFFF" w:val="clear"/>
            <w:tcMar>
              <w:bottom w:w="0" w:type="dxa"/>
            </w:tcMar>
            <w:vAlign w:val="center"/>
          </w:tcPr>
          <w:p>
            <w:pPr>
              <w:pStyle w:val="TableContents"/>
              <w:bidi w:val="0"/>
              <w:spacing w:before="0" w:after="283"/>
              <w:jc w:val="left"/>
              <w:rPr/>
            </w:pPr>
            <w:r>
              <w:rPr/>
              <w:t> </w:t>
            </w:r>
          </w:p>
        </w:tc>
        <w:tc>
          <w:tcPr>
            <w:tcW w:w="1805" w:type="dxa"/>
            <w:tcBorders/>
            <w:shd w:fill="FFFFFF" w:val="clear"/>
            <w:tcMar>
              <w:bottom w:w="0" w:type="dxa"/>
            </w:tcMar>
            <w:vAlign w:val="center"/>
          </w:tcPr>
          <w:p>
            <w:pPr>
              <w:pStyle w:val="TableContents"/>
              <w:bidi w:val="0"/>
              <w:spacing w:before="0" w:after="283"/>
              <w:jc w:val="right"/>
              <w:rPr>
                <w:sz w:val="20"/>
              </w:rPr>
            </w:pPr>
            <w:r>
              <w:rPr>
                <w:sz w:val="20"/>
              </w:rPr>
              <w:t>210,000</w:t>
            </w:r>
          </w:p>
        </w:tc>
        <w:tc>
          <w:tcPr>
            <w:tcW w:w="90" w:type="dxa"/>
            <w:tcBorders/>
            <w:shd w:fill="FFFFFF" w:val="clear"/>
            <w:tcMar>
              <w:bottom w:w="0" w:type="dxa"/>
            </w:tcMar>
            <w:vAlign w:val="center"/>
          </w:tcPr>
          <w:p>
            <w:pPr>
              <w:pStyle w:val="TableContents"/>
              <w:bidi w:val="0"/>
              <w:spacing w:before="0" w:after="283"/>
              <w:jc w:val="right"/>
              <w:rPr/>
            </w:pPr>
            <w:r>
              <w:rPr/>
              <w:t> </w:t>
            </w:r>
          </w:p>
        </w:tc>
        <w:tc>
          <w:tcPr>
            <w:tcW w:w="1850" w:type="dxa"/>
            <w:tcBorders/>
            <w:shd w:fill="FFFFFF" w:val="clear"/>
            <w:tcMar>
              <w:bottom w:w="0" w:type="dxa"/>
            </w:tcMar>
            <w:vAlign w:val="center"/>
          </w:tcPr>
          <w:p>
            <w:pPr>
              <w:pStyle w:val="TableContents"/>
              <w:bidi w:val="0"/>
              <w:spacing w:before="0" w:after="283"/>
              <w:jc w:val="right"/>
              <w:rPr>
                <w:sz w:val="20"/>
              </w:rPr>
            </w:pPr>
            <w:r>
              <w:rPr>
                <w:sz w:val="20"/>
              </w:rPr>
              <w:t>-</w:t>
            </w:r>
          </w:p>
        </w:tc>
      </w:tr>
      <w:tr>
        <w:trPr/>
        <w:tc>
          <w:tcPr>
            <w:tcW w:w="1880" w:type="dxa"/>
            <w:tcBorders/>
            <w:shd w:fill="CCEEFF" w:val="clear"/>
            <w:tcMar>
              <w:bottom w:w="0" w:type="dxa"/>
            </w:tcMar>
            <w:vAlign w:val="center"/>
          </w:tcPr>
          <w:p>
            <w:pPr>
              <w:pStyle w:val="TableContents"/>
              <w:bidi w:val="0"/>
              <w:spacing w:before="0" w:after="283"/>
              <w:jc w:val="left"/>
              <w:rPr>
                <w:sz w:val="20"/>
              </w:rPr>
            </w:pPr>
            <w:r>
              <w:rPr>
                <w:sz w:val="20"/>
              </w:rPr>
              <w:t>Isida Tushe</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05" w:type="dxa"/>
            <w:tcBorders/>
            <w:shd w:fill="CCEEFF" w:val="clear"/>
            <w:tcMar>
              <w:bottom w:w="0" w:type="dxa"/>
            </w:tcMar>
            <w:vAlign w:val="center"/>
          </w:tcPr>
          <w:p>
            <w:pPr>
              <w:pStyle w:val="TableContents"/>
              <w:bidi w:val="0"/>
              <w:spacing w:before="0" w:after="283"/>
              <w:jc w:val="right"/>
              <w:rPr>
                <w:sz w:val="20"/>
              </w:rPr>
            </w:pPr>
            <w:r>
              <w:rPr>
                <w:sz w:val="20"/>
              </w:rPr>
              <w:t>450,000</w:t>
            </w:r>
          </w:p>
        </w:tc>
        <w:tc>
          <w:tcPr>
            <w:tcW w:w="90" w:type="dxa"/>
            <w:tcBorders/>
            <w:shd w:fill="CCEEFF" w:val="clear"/>
            <w:tcMar>
              <w:bottom w:w="0" w:type="dxa"/>
            </w:tcMar>
            <w:vAlign w:val="center"/>
          </w:tcPr>
          <w:p>
            <w:pPr>
              <w:pStyle w:val="TableContents"/>
              <w:bidi w:val="0"/>
              <w:spacing w:before="0" w:after="283"/>
              <w:jc w:val="right"/>
              <w:rPr/>
            </w:pPr>
            <w:r>
              <w:rPr/>
              <w:t> </w:t>
            </w:r>
          </w:p>
        </w:tc>
        <w:tc>
          <w:tcPr>
            <w:tcW w:w="1850" w:type="dxa"/>
            <w:tcBorders/>
            <w:shd w:fill="CCEEFF" w:val="clear"/>
            <w:tcMar>
              <w:bottom w:w="0" w:type="dxa"/>
            </w:tcMar>
            <w:vAlign w:val="center"/>
          </w:tcPr>
          <w:p>
            <w:pPr>
              <w:pStyle w:val="TableContents"/>
              <w:bidi w:val="0"/>
              <w:spacing w:before="0" w:after="283"/>
              <w:jc w:val="right"/>
              <w:rPr>
                <w:sz w:val="20"/>
              </w:rPr>
            </w:pPr>
            <w:r>
              <w:rPr>
                <w:sz w:val="20"/>
              </w:rPr>
              <w:t>450,000</w:t>
            </w:r>
          </w:p>
        </w:tc>
      </w:tr>
      <w:tr>
        <w:trPr/>
        <w:tc>
          <w:tcPr>
            <w:tcW w:w="1880" w:type="dxa"/>
            <w:tcBorders/>
            <w:tcMar>
              <w:bottom w:w="0" w:type="dxa"/>
            </w:tcMar>
            <w:vAlign w:val="center"/>
          </w:tcPr>
          <w:p>
            <w:pPr>
              <w:pStyle w:val="TableContents"/>
              <w:bidi w:val="0"/>
              <w:spacing w:before="0" w:after="283"/>
              <w:jc w:val="left"/>
              <w:rPr>
                <w:sz w:val="20"/>
              </w:rPr>
            </w:pPr>
            <w:r>
              <w:rPr>
                <w:sz w:val="20"/>
              </w:rPr>
              <w:t>Dr. Shengxian Wu</w:t>
            </w:r>
          </w:p>
        </w:tc>
        <w:tc>
          <w:tcPr>
            <w:tcW w:w="90" w:type="dxa"/>
            <w:tcBorders/>
            <w:tcMar>
              <w:bottom w:w="0" w:type="dxa"/>
            </w:tcMar>
            <w:vAlign w:val="center"/>
          </w:tcPr>
          <w:p>
            <w:pPr>
              <w:pStyle w:val="TableContents"/>
              <w:bidi w:val="0"/>
              <w:spacing w:before="0" w:after="283"/>
              <w:jc w:val="left"/>
              <w:rPr/>
            </w:pPr>
            <w:r>
              <w:rPr/>
              <w:t> </w:t>
            </w:r>
          </w:p>
        </w:tc>
        <w:tc>
          <w:tcPr>
            <w:tcW w:w="1805" w:type="dxa"/>
            <w:tcBorders/>
            <w:tcMar>
              <w:bottom w:w="0" w:type="dxa"/>
            </w:tcMar>
            <w:vAlign w:val="center"/>
          </w:tcPr>
          <w:p>
            <w:pPr>
              <w:pStyle w:val="TableContents"/>
              <w:bidi w:val="0"/>
              <w:spacing w:before="0" w:after="283"/>
              <w:jc w:val="right"/>
              <w:rPr>
                <w:sz w:val="20"/>
              </w:rPr>
            </w:pPr>
            <w:r>
              <w:rPr>
                <w:sz w:val="20"/>
              </w:rPr>
              <w:t>400,000</w:t>
            </w:r>
          </w:p>
        </w:tc>
        <w:tc>
          <w:tcPr>
            <w:tcW w:w="90" w:type="dxa"/>
            <w:tcBorders/>
            <w:tcMar>
              <w:bottom w:w="0" w:type="dxa"/>
            </w:tcMar>
            <w:vAlign w:val="center"/>
          </w:tcPr>
          <w:p>
            <w:pPr>
              <w:pStyle w:val="TableContents"/>
              <w:bidi w:val="0"/>
              <w:spacing w:before="0" w:after="283"/>
              <w:jc w:val="right"/>
              <w:rPr/>
            </w:pPr>
            <w:r>
              <w:rPr/>
              <w:t> </w:t>
            </w:r>
          </w:p>
        </w:tc>
        <w:tc>
          <w:tcPr>
            <w:tcW w:w="1850" w:type="dxa"/>
            <w:tcBorders/>
            <w:tcMar>
              <w:bottom w:w="0" w:type="dxa"/>
            </w:tcMar>
            <w:vAlign w:val="center"/>
          </w:tcPr>
          <w:p>
            <w:pPr>
              <w:pStyle w:val="TableContents"/>
              <w:bidi w:val="0"/>
              <w:spacing w:before="0" w:after="283"/>
              <w:jc w:val="right"/>
              <w:rPr>
                <w:sz w:val="20"/>
              </w:rPr>
            </w:pPr>
            <w:r>
              <w:rPr>
                <w:sz w:val="20"/>
              </w:rPr>
              <w:t>400,000</w:t>
            </w:r>
          </w:p>
        </w:tc>
      </w:tr>
      <w:tr>
        <w:trPr/>
        <w:tc>
          <w:tcPr>
            <w:tcW w:w="1880" w:type="dxa"/>
            <w:tcBorders/>
            <w:shd w:fill="CCEEFF" w:val="clear"/>
            <w:tcMar>
              <w:bottom w:w="0" w:type="dxa"/>
            </w:tcMar>
            <w:vAlign w:val="center"/>
          </w:tcPr>
          <w:p>
            <w:pPr>
              <w:pStyle w:val="TableContents"/>
              <w:bidi w:val="0"/>
              <w:spacing w:before="0" w:after="283"/>
              <w:jc w:val="left"/>
              <w:rPr>
                <w:sz w:val="20"/>
              </w:rPr>
            </w:pPr>
            <w:r>
              <w:rPr>
                <w:sz w:val="20"/>
              </w:rPr>
              <w:t>Dr. Wenjuan Mattis</w:t>
            </w:r>
            <w:r>
              <w:rPr>
                <w:position w:val="7"/>
                <w:sz w:val="16"/>
                <w:sz w:val="20"/>
              </w:rPr>
              <w:t>(1)</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05" w:type="dxa"/>
            <w:tcBorders/>
            <w:shd w:fill="CCEEFF" w:val="clear"/>
            <w:tcMar>
              <w:bottom w:w="0" w:type="dxa"/>
            </w:tcMar>
            <w:vAlign w:val="center"/>
          </w:tcPr>
          <w:p>
            <w:pPr>
              <w:pStyle w:val="TableContents"/>
              <w:bidi w:val="0"/>
              <w:spacing w:before="0" w:after="283"/>
              <w:jc w:val="right"/>
              <w:rPr>
                <w:sz w:val="20"/>
              </w:rPr>
            </w:pPr>
            <w:r>
              <w:rPr>
                <w:sz w:val="20"/>
              </w:rPr>
              <w:t>400,000</w:t>
            </w:r>
          </w:p>
        </w:tc>
        <w:tc>
          <w:tcPr>
            <w:tcW w:w="90" w:type="dxa"/>
            <w:tcBorders/>
            <w:shd w:fill="CCEEFF" w:val="clear"/>
            <w:tcMar>
              <w:bottom w:w="0" w:type="dxa"/>
            </w:tcMar>
            <w:vAlign w:val="center"/>
          </w:tcPr>
          <w:p>
            <w:pPr>
              <w:pStyle w:val="TableContents"/>
              <w:bidi w:val="0"/>
              <w:spacing w:before="0" w:after="283"/>
              <w:jc w:val="right"/>
              <w:rPr/>
            </w:pPr>
            <w:r>
              <w:rPr/>
              <w:t> </w:t>
            </w:r>
          </w:p>
        </w:tc>
        <w:tc>
          <w:tcPr>
            <w:tcW w:w="1850" w:type="dxa"/>
            <w:tcBorders/>
            <w:shd w:fill="CCEEFF" w:val="clear"/>
            <w:tcMar>
              <w:bottom w:w="0" w:type="dxa"/>
            </w:tcMar>
            <w:vAlign w:val="center"/>
          </w:tcPr>
          <w:p>
            <w:pPr>
              <w:pStyle w:val="TableContents"/>
              <w:bidi w:val="0"/>
              <w:spacing w:before="0" w:after="283"/>
              <w:jc w:val="right"/>
              <w:rPr>
                <w:sz w:val="20"/>
              </w:rPr>
            </w:pPr>
            <w:r>
              <w:rPr>
                <w:sz w:val="20"/>
              </w:rPr>
              <w:t>-</w:t>
            </w:r>
          </w:p>
        </w:tc>
      </w:tr>
      <w:tr>
        <w:trPr/>
        <w:tc>
          <w:tcPr>
            <w:tcW w:w="1880" w:type="dxa"/>
            <w:tcBorders/>
            <w:tcMar>
              <w:bottom w:w="0" w:type="dxa"/>
            </w:tcMar>
            <w:vAlign w:val="center"/>
          </w:tcPr>
          <w:p>
            <w:pPr>
              <w:pStyle w:val="TableContents"/>
              <w:bidi w:val="0"/>
              <w:spacing w:before="0" w:after="283"/>
              <w:jc w:val="left"/>
              <w:rPr>
                <w:sz w:val="20"/>
              </w:rPr>
            </w:pPr>
            <w:r>
              <w:rPr>
                <w:sz w:val="20"/>
              </w:rPr>
              <w:t>Carl T. Schultz</w:t>
            </w:r>
            <w:r>
              <w:rPr>
                <w:position w:val="7"/>
                <w:sz w:val="16"/>
                <w:sz w:val="20"/>
              </w:rPr>
              <w:t>(1)</w:t>
            </w:r>
          </w:p>
        </w:tc>
        <w:tc>
          <w:tcPr>
            <w:tcW w:w="90" w:type="dxa"/>
            <w:tcBorders/>
            <w:tcMar>
              <w:bottom w:w="0" w:type="dxa"/>
            </w:tcMar>
            <w:vAlign w:val="center"/>
          </w:tcPr>
          <w:p>
            <w:pPr>
              <w:pStyle w:val="TableContents"/>
              <w:bidi w:val="0"/>
              <w:spacing w:before="0" w:after="283"/>
              <w:jc w:val="left"/>
              <w:rPr/>
            </w:pPr>
            <w:r>
              <w:rPr/>
              <w:t> </w:t>
            </w:r>
          </w:p>
        </w:tc>
        <w:tc>
          <w:tcPr>
            <w:tcW w:w="1805" w:type="dxa"/>
            <w:tcBorders/>
            <w:tcMar>
              <w:bottom w:w="0" w:type="dxa"/>
            </w:tcMar>
            <w:vAlign w:val="center"/>
          </w:tcPr>
          <w:p>
            <w:pPr>
              <w:pStyle w:val="TableContents"/>
              <w:bidi w:val="0"/>
              <w:spacing w:before="0" w:after="283"/>
              <w:jc w:val="right"/>
              <w:rPr>
                <w:sz w:val="20"/>
              </w:rPr>
            </w:pPr>
            <w:r>
              <w:rPr>
                <w:sz w:val="20"/>
              </w:rPr>
              <w:t>420,000</w:t>
            </w:r>
          </w:p>
        </w:tc>
        <w:tc>
          <w:tcPr>
            <w:tcW w:w="90" w:type="dxa"/>
            <w:tcBorders/>
            <w:tcMar>
              <w:bottom w:w="0" w:type="dxa"/>
            </w:tcMar>
            <w:vAlign w:val="center"/>
          </w:tcPr>
          <w:p>
            <w:pPr>
              <w:pStyle w:val="TableContents"/>
              <w:bidi w:val="0"/>
              <w:spacing w:before="0" w:after="283"/>
              <w:jc w:val="right"/>
              <w:rPr/>
            </w:pPr>
            <w:r>
              <w:rPr/>
              <w:t> </w:t>
            </w:r>
          </w:p>
        </w:tc>
        <w:tc>
          <w:tcPr>
            <w:tcW w:w="1850" w:type="dxa"/>
            <w:tcBorders/>
            <w:tcMar>
              <w:bottom w:w="0" w:type="dxa"/>
            </w:tcMar>
            <w:vAlign w:val="center"/>
          </w:tcPr>
          <w:p>
            <w:pPr>
              <w:pStyle w:val="TableContents"/>
              <w:bidi w:val="0"/>
              <w:spacing w:before="0" w:after="283"/>
              <w:jc w:val="right"/>
              <w:rPr>
                <w:sz w:val="20"/>
              </w:rPr>
            </w:pPr>
            <w:r>
              <w:rPr>
                <w:sz w:val="20"/>
              </w:rPr>
              <w:t>-</w:t>
            </w:r>
          </w:p>
        </w:tc>
      </w:tr>
      <w:tr>
        <w:trPr/>
        <w:tc>
          <w:tcPr>
            <w:tcW w:w="1880" w:type="dxa"/>
            <w:tcBorders/>
            <w:shd w:fill="CCEEFF" w:val="clear"/>
            <w:tcMar>
              <w:bottom w:w="0" w:type="dxa"/>
            </w:tcMar>
            <w:vAlign w:val="center"/>
          </w:tcPr>
          <w:p>
            <w:pPr>
              <w:pStyle w:val="TableContents"/>
              <w:bidi w:val="0"/>
              <w:spacing w:before="0" w:after="283"/>
              <w:jc w:val="left"/>
              <w:rPr>
                <w:sz w:val="20"/>
              </w:rPr>
            </w:pPr>
            <w:r>
              <w:rPr>
                <w:sz w:val="20"/>
              </w:rPr>
              <w:t>Fariyal Khanbabi</w:t>
            </w:r>
            <w:r>
              <w:rPr>
                <w:position w:val="7"/>
                <w:sz w:val="16"/>
                <w:sz w:val="20"/>
              </w:rPr>
              <w:t>(1)</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05" w:type="dxa"/>
            <w:tcBorders/>
            <w:shd w:fill="CCEEFF" w:val="clear"/>
            <w:tcMar>
              <w:bottom w:w="0" w:type="dxa"/>
            </w:tcMar>
            <w:vAlign w:val="center"/>
          </w:tcPr>
          <w:p>
            <w:pPr>
              <w:pStyle w:val="TableContents"/>
              <w:bidi w:val="0"/>
              <w:spacing w:before="0" w:after="283"/>
              <w:jc w:val="right"/>
              <w:rPr>
                <w:sz w:val="20"/>
              </w:rPr>
            </w:pPr>
            <w:r>
              <w:rPr>
                <w:sz w:val="20"/>
              </w:rPr>
              <w:t>400,000</w:t>
            </w:r>
          </w:p>
        </w:tc>
        <w:tc>
          <w:tcPr>
            <w:tcW w:w="90" w:type="dxa"/>
            <w:tcBorders/>
            <w:shd w:fill="CCEEFF" w:val="clear"/>
            <w:tcMar>
              <w:bottom w:w="0" w:type="dxa"/>
            </w:tcMar>
            <w:vAlign w:val="center"/>
          </w:tcPr>
          <w:p>
            <w:pPr>
              <w:pStyle w:val="TableContents"/>
              <w:bidi w:val="0"/>
              <w:spacing w:before="0" w:after="283"/>
              <w:jc w:val="right"/>
              <w:rPr/>
            </w:pPr>
            <w:r>
              <w:rPr/>
              <w:t> </w:t>
            </w:r>
          </w:p>
        </w:tc>
        <w:tc>
          <w:tcPr>
            <w:tcW w:w="1850" w:type="dxa"/>
            <w:tcBorders/>
            <w:shd w:fill="CCEEFF" w:val="clear"/>
            <w:tcMar>
              <w:bottom w:w="0" w:type="dxa"/>
            </w:tcMar>
            <w:vAlign w:val="center"/>
          </w:tcPr>
          <w:p>
            <w:pPr>
              <w:pStyle w:val="TableContents"/>
              <w:bidi w:val="0"/>
              <w:spacing w:before="0" w:after="283"/>
              <w:jc w:val="right"/>
              <w:rPr>
                <w:sz w:val="20"/>
              </w:rPr>
            </w:pPr>
            <w:r>
              <w:rPr>
                <w:sz w:val="20"/>
              </w:rPr>
              <w:t>-</w:t>
            </w:r>
          </w:p>
        </w:tc>
      </w:tr>
    </w:tbl>
    <w:p>
      <w:pPr>
        <w:pStyle w:val="TextBody"/>
        <w:bidi w:val="0"/>
        <w:spacing w:before="0" w:after="283"/>
        <w:jc w:val="left"/>
        <w:rPr/>
      </w:pPr>
      <w:r>
        <w:rPr/>
        <w:t> </w:t>
      </w:r>
    </w:p>
    <w:tbl>
      <w:tblPr>
        <w:tblW w:w="590" w:type="dxa"/>
        <w:jc w:val="left"/>
        <w:tblInd w:w="0" w:type="dxa"/>
        <w:tblLayout w:type="fixed"/>
        <w:tblCellMar>
          <w:top w:w="0" w:type="dxa"/>
          <w:left w:w="0" w:type="dxa"/>
          <w:bottom w:w="0" w:type="dxa"/>
          <w:right w:w="0" w:type="dxa"/>
        </w:tblCellMar>
      </w:tblPr>
      <w:tblGrid>
        <w:gridCol w:w="105"/>
        <w:gridCol w:w="350"/>
        <w:gridCol w:w="135"/>
      </w:tblGrid>
      <w:tr>
        <w:trPr/>
        <w:tc>
          <w:tcPr>
            <w:tcW w:w="10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 </w:t>
            </w:r>
            <w:r>
              <w:rPr/>
              <w:t>24</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ind w:left="36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65"/>
        <w:gridCol w:w="9873"/>
      </w:tblGrid>
      <w:tr>
        <w:trPr/>
        <w:tc>
          <w:tcPr>
            <w:tcW w:w="67"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20"/>
              </w:rPr>
            </w:pPr>
            <w:r>
              <w:rPr>
                <w:sz w:val="20"/>
              </w:rPr>
              <w:t>(1)</w:t>
            </w:r>
          </w:p>
        </w:tc>
        <w:tc>
          <w:tcPr>
            <w:tcW w:w="9873" w:type="dxa"/>
            <w:tcBorders/>
            <w:vAlign w:val="center"/>
          </w:tcPr>
          <w:p>
            <w:pPr>
              <w:pStyle w:val="TableContents"/>
              <w:bidi w:val="0"/>
              <w:spacing w:before="0" w:after="283"/>
              <w:jc w:val="both"/>
              <w:rPr>
                <w:sz w:val="20"/>
              </w:rPr>
            </w:pPr>
            <w:r>
              <w:rPr>
                <w:sz w:val="20"/>
              </w:rPr>
              <w:t>2024 base salary information is omitted for Messrs. Worthen and Schultz, Dr. Mattis, and Ms. Khanbabi because they were not NEOs for 2024.</w:t>
            </w:r>
          </w:p>
        </w:tc>
      </w:tr>
    </w:tbl>
    <w:tbl>
      <w:tblPr>
        <w:tblW w:w="5000" w:type="pct"/>
        <w:jc w:val="left"/>
        <w:tblInd w:w="0" w:type="dxa"/>
        <w:tblLayout w:type="fixed"/>
        <w:tblCellMar>
          <w:top w:w="0" w:type="dxa"/>
          <w:left w:w="0" w:type="dxa"/>
          <w:bottom w:w="0" w:type="dxa"/>
          <w:right w:w="0" w:type="dxa"/>
        </w:tblCellMar>
      </w:tblPr>
      <w:tblGrid>
        <w:gridCol w:w="67"/>
        <w:gridCol w:w="241"/>
        <w:gridCol w:w="9897"/>
      </w:tblGrid>
      <w:tr>
        <w:trPr/>
        <w:tc>
          <w:tcPr>
            <w:tcW w:w="6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20"/>
              </w:rPr>
            </w:pPr>
            <w:r>
              <w:rPr>
                <w:sz w:val="20"/>
              </w:rPr>
              <w:t>(2)</w:t>
            </w:r>
          </w:p>
        </w:tc>
        <w:tc>
          <w:tcPr>
            <w:tcW w:w="9897" w:type="dxa"/>
            <w:tcBorders/>
            <w:vAlign w:val="center"/>
          </w:tcPr>
          <w:p>
            <w:pPr>
              <w:pStyle w:val="TableContents"/>
              <w:bidi w:val="0"/>
              <w:spacing w:before="0" w:after="283"/>
              <w:jc w:val="both"/>
              <w:rPr>
                <w:sz w:val="20"/>
              </w:rPr>
            </w:pPr>
            <w:r>
              <w:rPr>
                <w:sz w:val="20"/>
              </w:rPr>
              <w:t>In July 2025, upon his promotion to Vice President of Corporate Strategy, Mr. Worthen’s base salary increased from $200,000 to $210,000. In August 2025, Mr. Worthen’s base salary did not change upon his appointment as Interim Chief Financial Officer.</w:t>
            </w:r>
          </w:p>
        </w:tc>
      </w:tr>
    </w:tbl>
    <w:p>
      <w:pPr>
        <w:pStyle w:val="TextBody"/>
        <w:bidi w:val="0"/>
        <w:spacing w:before="240" w:after="240"/>
        <w:ind w:left="240" w:right="24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Short-Term Incentives</w:t>
      </w:r>
    </w:p>
    <w:p>
      <w:pPr>
        <w:pStyle w:val="TextBody"/>
        <w:bidi w:val="0"/>
        <w:spacing w:before="120" w:after="120"/>
        <w:ind w:left="120" w:right="1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w:t>
      </w:r>
      <w:r>
        <w:rPr>
          <w:rFonts w:ascii="Times New Roman;Times;Serif" w:hAnsi="Times New Roman;Times;Serif"/>
          <w:b w:val="false"/>
          <w:i w:val="false"/>
          <w:caps w:val="false"/>
          <w:smallCaps w:val="false"/>
          <w:sz w:val="20"/>
          <w:shd w:fill="FFFFFF" w:val="clear"/>
        </w:rPr>
        <w:t xml:space="preserve">Fiscal </w:t>
      </w:r>
      <w:r>
        <w:rPr>
          <w:rFonts w:ascii="Times New Roman;Times;Serif" w:hAnsi="Times New Roman;Times;Serif"/>
          <w:b w:val="false"/>
          <w:i w:val="false"/>
          <w:caps w:val="false"/>
          <w:smallCaps w:val="false"/>
          <w:sz w:val="20"/>
        </w:rPr>
        <w:t>2025, the Compensation Committee of the Board established an Annual Incentive Plan (“AIP”), providing short-term cash incentive opportunities for our NEOs. Payouts under the AIP are determined as a percentage of each executive’s annual base salary contingent upon the achievement of specific, pre-determined performance goals including total revenue, operating profit margin and accounts receivable collection targets. For Fiscal 2025, the target opportunities under the AIP were as follows:</w:t>
      </w:r>
    </w:p>
    <w:tbl>
      <w:tblPr>
        <w:tblW w:w="6620" w:type="dxa"/>
        <w:jc w:val="left"/>
        <w:tblInd w:w="0" w:type="dxa"/>
        <w:tblLayout w:type="fixed"/>
        <w:tblCellMar>
          <w:top w:w="0" w:type="dxa"/>
          <w:left w:w="0" w:type="dxa"/>
          <w:bottom w:w="28" w:type="dxa"/>
          <w:right w:w="0" w:type="dxa"/>
        </w:tblCellMar>
      </w:tblPr>
      <w:tblGrid>
        <w:gridCol w:w="1670"/>
        <w:gridCol w:w="90"/>
        <w:gridCol w:w="1805"/>
        <w:gridCol w:w="90"/>
        <w:gridCol w:w="1820"/>
        <w:gridCol w:w="90"/>
        <w:gridCol w:w="1055"/>
      </w:tblGrid>
      <w:tr>
        <w:trPr/>
        <w:tc>
          <w:tcPr>
            <w:tcW w:w="1670" w:type="dxa"/>
            <w:tcBorders>
              <w:bottom w:val="single" w:sz="8" w:space="0" w:color="000000"/>
            </w:tcBorders>
            <w:vAlign w:val="center"/>
          </w:tcPr>
          <w:p>
            <w:pPr>
              <w:pStyle w:val="TableContents"/>
              <w:bidi w:val="0"/>
              <w:spacing w:before="0" w:after="283"/>
              <w:jc w:val="left"/>
              <w:rPr>
                <w:b/>
                <w:sz w:val="20"/>
              </w:rPr>
            </w:pPr>
            <w:r>
              <w:rPr>
                <w:b/>
                <w:sz w:val="20"/>
              </w:rPr>
              <w:t>Name</w:t>
            </w:r>
          </w:p>
        </w:tc>
        <w:tc>
          <w:tcPr>
            <w:tcW w:w="90" w:type="dxa"/>
            <w:tcBorders/>
            <w:tcMar>
              <w:bottom w:w="0" w:type="dxa"/>
            </w:tcMar>
            <w:vAlign w:val="center"/>
          </w:tcPr>
          <w:p>
            <w:pPr>
              <w:pStyle w:val="TableContents"/>
              <w:bidi w:val="0"/>
              <w:spacing w:before="0" w:after="283"/>
              <w:jc w:val="left"/>
              <w:rPr/>
            </w:pPr>
            <w:r>
              <w:rPr/>
              <w:t> </w:t>
            </w:r>
          </w:p>
        </w:tc>
        <w:tc>
          <w:tcPr>
            <w:tcW w:w="1805" w:type="dxa"/>
            <w:tcBorders>
              <w:bottom w:val="single" w:sz="8" w:space="0" w:color="000000"/>
            </w:tcBorders>
            <w:vAlign w:val="center"/>
          </w:tcPr>
          <w:p>
            <w:pPr>
              <w:pStyle w:val="TableContents"/>
              <w:bidi w:val="0"/>
              <w:spacing w:before="0" w:after="283"/>
              <w:jc w:val="center"/>
              <w:rPr>
                <w:b/>
                <w:sz w:val="20"/>
              </w:rPr>
            </w:pPr>
            <w:r>
              <w:rPr>
                <w:b/>
                <w:sz w:val="20"/>
              </w:rPr>
              <w:t>2025 Base Salary ($)</w:t>
            </w:r>
          </w:p>
        </w:tc>
        <w:tc>
          <w:tcPr>
            <w:tcW w:w="90" w:type="dxa"/>
            <w:tcBorders/>
            <w:tcMar>
              <w:bottom w:w="0" w:type="dxa"/>
            </w:tcMar>
            <w:vAlign w:val="center"/>
          </w:tcPr>
          <w:p>
            <w:pPr>
              <w:pStyle w:val="TableContents"/>
              <w:bidi w:val="0"/>
              <w:spacing w:before="0" w:after="283"/>
              <w:jc w:val="left"/>
              <w:rPr/>
            </w:pPr>
            <w:r>
              <w:rPr/>
              <w:t> </w:t>
            </w:r>
          </w:p>
        </w:tc>
        <w:tc>
          <w:tcPr>
            <w:tcW w:w="1820" w:type="dxa"/>
            <w:tcBorders>
              <w:bottom w:val="single" w:sz="8" w:space="0" w:color="000000"/>
            </w:tcBorders>
            <w:vAlign w:val="center"/>
          </w:tcPr>
          <w:p>
            <w:pPr>
              <w:pStyle w:val="TableContents"/>
              <w:bidi w:val="0"/>
              <w:spacing w:before="0" w:after="283"/>
              <w:jc w:val="center"/>
              <w:rPr>
                <w:b/>
                <w:sz w:val="20"/>
              </w:rPr>
            </w:pPr>
            <w:r>
              <w:rPr>
                <w:b/>
                <w:sz w:val="20"/>
              </w:rPr>
              <w:t>Target (% of Salary)</w:t>
            </w:r>
          </w:p>
        </w:tc>
        <w:tc>
          <w:tcPr>
            <w:tcW w:w="90" w:type="dxa"/>
            <w:tcBorders/>
            <w:tcMar>
              <w:bottom w:w="0" w:type="dxa"/>
            </w:tcMar>
            <w:vAlign w:val="center"/>
          </w:tcPr>
          <w:p>
            <w:pPr>
              <w:pStyle w:val="TableContents"/>
              <w:bidi w:val="0"/>
              <w:spacing w:before="0" w:after="283"/>
              <w:jc w:val="center"/>
              <w:rPr/>
            </w:pPr>
            <w:r>
              <w:rPr/>
              <w:t> </w:t>
            </w:r>
          </w:p>
        </w:tc>
        <w:tc>
          <w:tcPr>
            <w:tcW w:w="1055" w:type="dxa"/>
            <w:tcBorders>
              <w:bottom w:val="single" w:sz="8" w:space="0" w:color="000000"/>
            </w:tcBorders>
            <w:vAlign w:val="center"/>
          </w:tcPr>
          <w:p>
            <w:pPr>
              <w:pStyle w:val="TableContents"/>
              <w:bidi w:val="0"/>
              <w:spacing w:before="0" w:after="283"/>
              <w:jc w:val="center"/>
              <w:rPr>
                <w:b/>
                <w:sz w:val="20"/>
              </w:rPr>
            </w:pPr>
            <w:r>
              <w:rPr>
                <w:b/>
                <w:sz w:val="20"/>
              </w:rPr>
              <w:t>AIP Target</w:t>
            </w:r>
          </w:p>
        </w:tc>
      </w:tr>
      <w:tr>
        <w:trPr/>
        <w:tc>
          <w:tcPr>
            <w:tcW w:w="1670" w:type="dxa"/>
            <w:tcBorders/>
            <w:shd w:fill="CCEEFF" w:val="clear"/>
            <w:tcMar>
              <w:bottom w:w="0" w:type="dxa"/>
            </w:tcMar>
            <w:vAlign w:val="center"/>
          </w:tcPr>
          <w:p>
            <w:pPr>
              <w:pStyle w:val="TableContents"/>
              <w:bidi w:val="0"/>
              <w:spacing w:before="0" w:after="283"/>
              <w:jc w:val="left"/>
              <w:rPr>
                <w:sz w:val="20"/>
              </w:rPr>
            </w:pPr>
            <w:r>
              <w:rPr>
                <w:sz w:val="20"/>
              </w:rPr>
              <w:t>Yang Wu</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05" w:type="dxa"/>
            <w:tcBorders/>
            <w:shd w:fill="CCEEFF" w:val="clear"/>
            <w:tcMar>
              <w:bottom w:w="0" w:type="dxa"/>
            </w:tcMar>
            <w:vAlign w:val="center"/>
          </w:tcPr>
          <w:p>
            <w:pPr>
              <w:pStyle w:val="TableContents"/>
              <w:bidi w:val="0"/>
              <w:spacing w:before="0" w:after="283"/>
              <w:jc w:val="right"/>
              <w:rPr>
                <w:sz w:val="20"/>
              </w:rPr>
            </w:pPr>
            <w:r>
              <w:rPr>
                <w:sz w:val="20"/>
              </w:rPr>
              <w:t>580,000</w:t>
            </w:r>
          </w:p>
        </w:tc>
        <w:tc>
          <w:tcPr>
            <w:tcW w:w="90" w:type="dxa"/>
            <w:tcBorders/>
            <w:shd w:fill="CCEEFF" w:val="clear"/>
            <w:tcMar>
              <w:bottom w:w="0" w:type="dxa"/>
            </w:tcMar>
            <w:vAlign w:val="center"/>
          </w:tcPr>
          <w:p>
            <w:pPr>
              <w:pStyle w:val="TableContents"/>
              <w:bidi w:val="0"/>
              <w:spacing w:before="0" w:after="283"/>
              <w:jc w:val="right"/>
              <w:rPr/>
            </w:pPr>
            <w:r>
              <w:rPr/>
              <w:t> </w:t>
            </w:r>
          </w:p>
        </w:tc>
        <w:tc>
          <w:tcPr>
            <w:tcW w:w="1820" w:type="dxa"/>
            <w:tcBorders/>
            <w:shd w:fill="CCEEFF" w:val="clear"/>
            <w:tcMar>
              <w:bottom w:w="0" w:type="dxa"/>
            </w:tcMar>
            <w:vAlign w:val="center"/>
          </w:tcPr>
          <w:p>
            <w:pPr>
              <w:pStyle w:val="TableContents"/>
              <w:bidi w:val="0"/>
              <w:spacing w:before="0" w:after="283"/>
              <w:jc w:val="right"/>
              <w:rPr>
                <w:sz w:val="20"/>
              </w:rPr>
            </w:pPr>
            <w:r>
              <w:rPr>
                <w:sz w:val="20"/>
              </w:rPr>
              <w:t>85%</w:t>
            </w:r>
          </w:p>
        </w:tc>
        <w:tc>
          <w:tcPr>
            <w:tcW w:w="90" w:type="dxa"/>
            <w:tcBorders/>
            <w:shd w:fill="CCEEFF" w:val="clear"/>
            <w:tcMar>
              <w:bottom w:w="0" w:type="dxa"/>
            </w:tcMar>
            <w:vAlign w:val="center"/>
          </w:tcPr>
          <w:p>
            <w:pPr>
              <w:pStyle w:val="TableContents"/>
              <w:bidi w:val="0"/>
              <w:spacing w:before="0" w:after="283"/>
              <w:jc w:val="right"/>
              <w:rPr/>
            </w:pPr>
            <w:r>
              <w:rPr/>
              <w:t> </w:t>
            </w:r>
          </w:p>
        </w:tc>
        <w:tc>
          <w:tcPr>
            <w:tcW w:w="1055" w:type="dxa"/>
            <w:tcBorders/>
            <w:shd w:fill="CCEEFF" w:val="clear"/>
            <w:tcMar>
              <w:bottom w:w="0" w:type="dxa"/>
            </w:tcMar>
            <w:vAlign w:val="center"/>
          </w:tcPr>
          <w:p>
            <w:pPr>
              <w:pStyle w:val="TableContents"/>
              <w:bidi w:val="0"/>
              <w:spacing w:before="0" w:after="283"/>
              <w:jc w:val="right"/>
              <w:rPr>
                <w:sz w:val="20"/>
              </w:rPr>
            </w:pPr>
            <w:r>
              <w:rPr>
                <w:sz w:val="20"/>
              </w:rPr>
              <w:t>493,000</w:t>
            </w:r>
          </w:p>
        </w:tc>
      </w:tr>
      <w:tr>
        <w:trPr/>
        <w:tc>
          <w:tcPr>
            <w:tcW w:w="1670" w:type="dxa"/>
            <w:tcBorders/>
            <w:shd w:fill="FFFFFF" w:val="clear"/>
            <w:tcMar>
              <w:bottom w:w="0" w:type="dxa"/>
            </w:tcMar>
            <w:vAlign w:val="center"/>
          </w:tcPr>
          <w:p>
            <w:pPr>
              <w:pStyle w:val="TableContents"/>
              <w:bidi w:val="0"/>
              <w:spacing w:before="0" w:after="283"/>
              <w:jc w:val="left"/>
              <w:rPr>
                <w:sz w:val="20"/>
              </w:rPr>
            </w:pPr>
            <w:r>
              <w:rPr>
                <w:sz w:val="20"/>
              </w:rPr>
              <w:t>Rodney Worthen</w:t>
            </w:r>
            <w:r>
              <w:rPr>
                <w:position w:val="7"/>
                <w:sz w:val="16"/>
                <w:sz w:val="20"/>
              </w:rPr>
              <w:t>(1)</w:t>
            </w:r>
          </w:p>
        </w:tc>
        <w:tc>
          <w:tcPr>
            <w:tcW w:w="90" w:type="dxa"/>
            <w:tcBorders/>
            <w:shd w:fill="FFFFFF" w:val="clear"/>
            <w:tcMar>
              <w:bottom w:w="0" w:type="dxa"/>
            </w:tcMar>
            <w:vAlign w:val="center"/>
          </w:tcPr>
          <w:p>
            <w:pPr>
              <w:pStyle w:val="TableContents"/>
              <w:bidi w:val="0"/>
              <w:spacing w:before="0" w:after="283"/>
              <w:jc w:val="left"/>
              <w:rPr/>
            </w:pPr>
            <w:r>
              <w:rPr/>
              <w:t> </w:t>
            </w:r>
          </w:p>
        </w:tc>
        <w:tc>
          <w:tcPr>
            <w:tcW w:w="1805" w:type="dxa"/>
            <w:tcBorders/>
            <w:shd w:fill="FFFFFF" w:val="clear"/>
            <w:tcMar>
              <w:bottom w:w="0" w:type="dxa"/>
            </w:tcMar>
            <w:vAlign w:val="center"/>
          </w:tcPr>
          <w:p>
            <w:pPr>
              <w:pStyle w:val="TableContents"/>
              <w:bidi w:val="0"/>
              <w:spacing w:before="0" w:after="283"/>
              <w:jc w:val="right"/>
              <w:rPr>
                <w:sz w:val="20"/>
              </w:rPr>
            </w:pPr>
            <w:r>
              <w:rPr>
                <w:sz w:val="20"/>
              </w:rPr>
              <w:t>210,000</w:t>
            </w:r>
          </w:p>
        </w:tc>
        <w:tc>
          <w:tcPr>
            <w:tcW w:w="90" w:type="dxa"/>
            <w:tcBorders/>
            <w:shd w:fill="FFFFFF" w:val="clear"/>
            <w:tcMar>
              <w:bottom w:w="0" w:type="dxa"/>
            </w:tcMar>
            <w:vAlign w:val="center"/>
          </w:tcPr>
          <w:p>
            <w:pPr>
              <w:pStyle w:val="TableContents"/>
              <w:bidi w:val="0"/>
              <w:spacing w:before="0" w:after="283"/>
              <w:jc w:val="right"/>
              <w:rPr/>
            </w:pPr>
            <w:r>
              <w:rPr/>
              <w:t> </w:t>
            </w:r>
          </w:p>
        </w:tc>
        <w:tc>
          <w:tcPr>
            <w:tcW w:w="1820" w:type="dxa"/>
            <w:tcBorders/>
            <w:shd w:fill="FFFFFF" w:val="clear"/>
            <w:tcMar>
              <w:bottom w:w="0" w:type="dxa"/>
            </w:tcMar>
            <w:vAlign w:val="center"/>
          </w:tcPr>
          <w:p>
            <w:pPr>
              <w:pStyle w:val="TableContents"/>
              <w:bidi w:val="0"/>
              <w:spacing w:before="0" w:after="283"/>
              <w:jc w:val="right"/>
              <w:rPr>
                <w:sz w:val="20"/>
              </w:rPr>
            </w:pPr>
            <w:r>
              <w:rPr>
                <w:sz w:val="20"/>
              </w:rPr>
              <w:t>20%/50%</w:t>
            </w:r>
          </w:p>
        </w:tc>
        <w:tc>
          <w:tcPr>
            <w:tcW w:w="90" w:type="dxa"/>
            <w:tcBorders/>
            <w:shd w:fill="FFFFFF" w:val="clear"/>
            <w:tcMar>
              <w:bottom w:w="0" w:type="dxa"/>
            </w:tcMar>
            <w:vAlign w:val="center"/>
          </w:tcPr>
          <w:p>
            <w:pPr>
              <w:pStyle w:val="TableContents"/>
              <w:bidi w:val="0"/>
              <w:spacing w:before="0" w:after="283"/>
              <w:jc w:val="right"/>
              <w:rPr/>
            </w:pPr>
            <w:r>
              <w:rPr/>
              <w:t> </w:t>
            </w:r>
          </w:p>
        </w:tc>
        <w:tc>
          <w:tcPr>
            <w:tcW w:w="1055" w:type="dxa"/>
            <w:tcBorders/>
            <w:shd w:fill="FFFFFF" w:val="clear"/>
            <w:tcMar>
              <w:bottom w:w="0" w:type="dxa"/>
            </w:tcMar>
            <w:vAlign w:val="center"/>
          </w:tcPr>
          <w:p>
            <w:pPr>
              <w:pStyle w:val="TableContents"/>
              <w:bidi w:val="0"/>
              <w:spacing w:before="0" w:after="283"/>
              <w:jc w:val="right"/>
              <w:rPr>
                <w:sz w:val="20"/>
              </w:rPr>
            </w:pPr>
            <w:r>
              <w:rPr>
                <w:sz w:val="20"/>
              </w:rPr>
              <w:t>104,702</w:t>
            </w:r>
          </w:p>
        </w:tc>
      </w:tr>
      <w:tr>
        <w:trPr/>
        <w:tc>
          <w:tcPr>
            <w:tcW w:w="1670" w:type="dxa"/>
            <w:tcBorders/>
            <w:shd w:fill="CCEEFF" w:val="clear"/>
            <w:tcMar>
              <w:bottom w:w="0" w:type="dxa"/>
            </w:tcMar>
            <w:vAlign w:val="center"/>
          </w:tcPr>
          <w:p>
            <w:pPr>
              <w:pStyle w:val="TableContents"/>
              <w:bidi w:val="0"/>
              <w:spacing w:before="0" w:after="283"/>
              <w:jc w:val="left"/>
              <w:rPr>
                <w:sz w:val="20"/>
              </w:rPr>
            </w:pPr>
            <w:r>
              <w:rPr>
                <w:sz w:val="20"/>
              </w:rPr>
              <w:t>Isida Tushe</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05" w:type="dxa"/>
            <w:tcBorders/>
            <w:shd w:fill="CCEEFF" w:val="clear"/>
            <w:tcMar>
              <w:bottom w:w="0" w:type="dxa"/>
            </w:tcMar>
            <w:vAlign w:val="center"/>
          </w:tcPr>
          <w:p>
            <w:pPr>
              <w:pStyle w:val="TableContents"/>
              <w:bidi w:val="0"/>
              <w:spacing w:before="0" w:after="283"/>
              <w:jc w:val="right"/>
              <w:rPr>
                <w:sz w:val="20"/>
              </w:rPr>
            </w:pPr>
            <w:r>
              <w:rPr>
                <w:sz w:val="20"/>
              </w:rPr>
              <w:t>450,000</w:t>
            </w:r>
          </w:p>
        </w:tc>
        <w:tc>
          <w:tcPr>
            <w:tcW w:w="90" w:type="dxa"/>
            <w:tcBorders/>
            <w:shd w:fill="CCEEFF" w:val="clear"/>
            <w:tcMar>
              <w:bottom w:w="0" w:type="dxa"/>
            </w:tcMar>
            <w:vAlign w:val="center"/>
          </w:tcPr>
          <w:p>
            <w:pPr>
              <w:pStyle w:val="TableContents"/>
              <w:bidi w:val="0"/>
              <w:spacing w:before="0" w:after="283"/>
              <w:jc w:val="right"/>
              <w:rPr/>
            </w:pPr>
            <w:r>
              <w:rPr/>
              <w:t> </w:t>
            </w:r>
          </w:p>
        </w:tc>
        <w:tc>
          <w:tcPr>
            <w:tcW w:w="1820" w:type="dxa"/>
            <w:tcBorders/>
            <w:shd w:fill="CCEEFF" w:val="clear"/>
            <w:tcMar>
              <w:bottom w:w="0" w:type="dxa"/>
            </w:tcMar>
            <w:vAlign w:val="center"/>
          </w:tcPr>
          <w:p>
            <w:pPr>
              <w:pStyle w:val="TableContents"/>
              <w:bidi w:val="0"/>
              <w:spacing w:before="0" w:after="283"/>
              <w:jc w:val="right"/>
              <w:rPr>
                <w:sz w:val="20"/>
              </w:rPr>
            </w:pPr>
            <w:r>
              <w:rPr>
                <w:sz w:val="20"/>
              </w:rPr>
              <w:t>50%</w:t>
            </w:r>
          </w:p>
        </w:tc>
        <w:tc>
          <w:tcPr>
            <w:tcW w:w="90" w:type="dxa"/>
            <w:tcBorders/>
            <w:shd w:fill="CCEEFF" w:val="clear"/>
            <w:tcMar>
              <w:bottom w:w="0" w:type="dxa"/>
            </w:tcMar>
            <w:vAlign w:val="center"/>
          </w:tcPr>
          <w:p>
            <w:pPr>
              <w:pStyle w:val="TableContents"/>
              <w:bidi w:val="0"/>
              <w:spacing w:before="0" w:after="283"/>
              <w:jc w:val="right"/>
              <w:rPr/>
            </w:pPr>
            <w:r>
              <w:rPr/>
              <w:t> </w:t>
            </w:r>
          </w:p>
        </w:tc>
        <w:tc>
          <w:tcPr>
            <w:tcW w:w="1055" w:type="dxa"/>
            <w:tcBorders/>
            <w:shd w:fill="CCEEFF" w:val="clear"/>
            <w:tcMar>
              <w:bottom w:w="0" w:type="dxa"/>
            </w:tcMar>
            <w:vAlign w:val="center"/>
          </w:tcPr>
          <w:p>
            <w:pPr>
              <w:pStyle w:val="TableContents"/>
              <w:bidi w:val="0"/>
              <w:spacing w:before="0" w:after="283"/>
              <w:jc w:val="right"/>
              <w:rPr>
                <w:sz w:val="20"/>
              </w:rPr>
            </w:pPr>
            <w:r>
              <w:rPr>
                <w:sz w:val="20"/>
              </w:rPr>
              <w:t>225,000</w:t>
            </w:r>
          </w:p>
        </w:tc>
      </w:tr>
      <w:tr>
        <w:trPr/>
        <w:tc>
          <w:tcPr>
            <w:tcW w:w="1670" w:type="dxa"/>
            <w:tcBorders/>
            <w:tcMar>
              <w:bottom w:w="0" w:type="dxa"/>
            </w:tcMar>
            <w:vAlign w:val="center"/>
          </w:tcPr>
          <w:p>
            <w:pPr>
              <w:pStyle w:val="TableContents"/>
              <w:bidi w:val="0"/>
              <w:spacing w:before="0" w:after="283"/>
              <w:jc w:val="left"/>
              <w:rPr>
                <w:sz w:val="20"/>
              </w:rPr>
            </w:pPr>
            <w:r>
              <w:rPr>
                <w:sz w:val="20"/>
              </w:rPr>
              <w:t>Dr. Shengxian Wu</w:t>
            </w:r>
          </w:p>
        </w:tc>
        <w:tc>
          <w:tcPr>
            <w:tcW w:w="90" w:type="dxa"/>
            <w:tcBorders/>
            <w:tcMar>
              <w:bottom w:w="0" w:type="dxa"/>
            </w:tcMar>
            <w:vAlign w:val="center"/>
          </w:tcPr>
          <w:p>
            <w:pPr>
              <w:pStyle w:val="TableContents"/>
              <w:bidi w:val="0"/>
              <w:spacing w:before="0" w:after="283"/>
              <w:jc w:val="left"/>
              <w:rPr/>
            </w:pPr>
            <w:r>
              <w:rPr/>
              <w:t> </w:t>
            </w:r>
          </w:p>
        </w:tc>
        <w:tc>
          <w:tcPr>
            <w:tcW w:w="1805" w:type="dxa"/>
            <w:tcBorders/>
            <w:tcMar>
              <w:bottom w:w="0" w:type="dxa"/>
            </w:tcMar>
            <w:vAlign w:val="center"/>
          </w:tcPr>
          <w:p>
            <w:pPr>
              <w:pStyle w:val="TableContents"/>
              <w:bidi w:val="0"/>
              <w:spacing w:before="0" w:after="283"/>
              <w:jc w:val="right"/>
              <w:rPr>
                <w:sz w:val="20"/>
              </w:rPr>
            </w:pPr>
            <w:r>
              <w:rPr>
                <w:sz w:val="20"/>
              </w:rPr>
              <w:t>400,000</w:t>
            </w:r>
          </w:p>
        </w:tc>
        <w:tc>
          <w:tcPr>
            <w:tcW w:w="90" w:type="dxa"/>
            <w:tcBorders/>
            <w:tcMar>
              <w:bottom w:w="0" w:type="dxa"/>
            </w:tcMar>
            <w:vAlign w:val="center"/>
          </w:tcPr>
          <w:p>
            <w:pPr>
              <w:pStyle w:val="TableContents"/>
              <w:bidi w:val="0"/>
              <w:spacing w:before="0" w:after="283"/>
              <w:jc w:val="right"/>
              <w:rPr/>
            </w:pPr>
            <w:r>
              <w:rPr/>
              <w:t> </w:t>
            </w:r>
          </w:p>
        </w:tc>
        <w:tc>
          <w:tcPr>
            <w:tcW w:w="1820" w:type="dxa"/>
            <w:tcBorders/>
            <w:tcMar>
              <w:bottom w:w="0" w:type="dxa"/>
            </w:tcMar>
            <w:vAlign w:val="center"/>
          </w:tcPr>
          <w:p>
            <w:pPr>
              <w:pStyle w:val="TableContents"/>
              <w:bidi w:val="0"/>
              <w:spacing w:before="0" w:after="283"/>
              <w:jc w:val="right"/>
              <w:rPr>
                <w:sz w:val="20"/>
              </w:rPr>
            </w:pPr>
            <w:r>
              <w:rPr>
                <w:sz w:val="20"/>
              </w:rPr>
              <w:t>50%</w:t>
            </w:r>
          </w:p>
        </w:tc>
        <w:tc>
          <w:tcPr>
            <w:tcW w:w="90" w:type="dxa"/>
            <w:tcBorders/>
            <w:tcMar>
              <w:bottom w:w="0" w:type="dxa"/>
            </w:tcMar>
            <w:vAlign w:val="center"/>
          </w:tcPr>
          <w:p>
            <w:pPr>
              <w:pStyle w:val="TableContents"/>
              <w:bidi w:val="0"/>
              <w:spacing w:before="0" w:after="283"/>
              <w:jc w:val="right"/>
              <w:rPr/>
            </w:pPr>
            <w:r>
              <w:rPr/>
              <w:t> </w:t>
            </w:r>
          </w:p>
        </w:tc>
        <w:tc>
          <w:tcPr>
            <w:tcW w:w="1055" w:type="dxa"/>
            <w:tcBorders/>
            <w:tcMar>
              <w:bottom w:w="0" w:type="dxa"/>
            </w:tcMar>
            <w:vAlign w:val="center"/>
          </w:tcPr>
          <w:p>
            <w:pPr>
              <w:pStyle w:val="TableContents"/>
              <w:bidi w:val="0"/>
              <w:spacing w:before="0" w:after="283"/>
              <w:jc w:val="right"/>
              <w:rPr>
                <w:sz w:val="20"/>
              </w:rPr>
            </w:pPr>
            <w:r>
              <w:rPr>
                <w:sz w:val="20"/>
              </w:rPr>
              <w:t>200,000</w:t>
            </w:r>
          </w:p>
        </w:tc>
      </w:tr>
      <w:tr>
        <w:trPr/>
        <w:tc>
          <w:tcPr>
            <w:tcW w:w="1670" w:type="dxa"/>
            <w:tcBorders/>
            <w:shd w:fill="CCEEFF" w:val="clear"/>
            <w:tcMar>
              <w:bottom w:w="0" w:type="dxa"/>
            </w:tcMar>
            <w:vAlign w:val="center"/>
          </w:tcPr>
          <w:p>
            <w:pPr>
              <w:pStyle w:val="TableContents"/>
              <w:bidi w:val="0"/>
              <w:spacing w:before="0" w:after="283"/>
              <w:jc w:val="left"/>
              <w:rPr>
                <w:sz w:val="20"/>
              </w:rPr>
            </w:pPr>
            <w:r>
              <w:rPr>
                <w:sz w:val="20"/>
              </w:rPr>
              <w:t>Dr. Wenjuan Mattis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05" w:type="dxa"/>
            <w:tcBorders/>
            <w:shd w:fill="CCEEFF" w:val="clear"/>
            <w:tcMar>
              <w:bottom w:w="0" w:type="dxa"/>
            </w:tcMar>
            <w:vAlign w:val="center"/>
          </w:tcPr>
          <w:p>
            <w:pPr>
              <w:pStyle w:val="TableContents"/>
              <w:bidi w:val="0"/>
              <w:spacing w:before="0" w:after="283"/>
              <w:jc w:val="right"/>
              <w:rPr>
                <w:sz w:val="20"/>
              </w:rPr>
            </w:pPr>
            <w:r>
              <w:rPr>
                <w:sz w:val="20"/>
              </w:rPr>
              <w:t>400,000</w:t>
            </w:r>
          </w:p>
        </w:tc>
        <w:tc>
          <w:tcPr>
            <w:tcW w:w="90" w:type="dxa"/>
            <w:tcBorders/>
            <w:shd w:fill="CCEEFF" w:val="clear"/>
            <w:tcMar>
              <w:bottom w:w="0" w:type="dxa"/>
            </w:tcMar>
            <w:vAlign w:val="center"/>
          </w:tcPr>
          <w:p>
            <w:pPr>
              <w:pStyle w:val="TableContents"/>
              <w:bidi w:val="0"/>
              <w:spacing w:before="0" w:after="283"/>
              <w:jc w:val="right"/>
              <w:rPr/>
            </w:pPr>
            <w:r>
              <w:rPr/>
              <w:t> </w:t>
            </w:r>
          </w:p>
        </w:tc>
        <w:tc>
          <w:tcPr>
            <w:tcW w:w="1820" w:type="dxa"/>
            <w:tcBorders/>
            <w:shd w:fill="CCEEFF" w:val="clear"/>
            <w:tcMar>
              <w:bottom w:w="0" w:type="dxa"/>
            </w:tcMar>
            <w:vAlign w:val="center"/>
          </w:tcPr>
          <w:p>
            <w:pPr>
              <w:pStyle w:val="TableContents"/>
              <w:bidi w:val="0"/>
              <w:spacing w:before="0" w:after="283"/>
              <w:jc w:val="right"/>
              <w:rPr>
                <w:sz w:val="20"/>
              </w:rPr>
            </w:pPr>
            <w:r>
              <w:rPr>
                <w:sz w:val="20"/>
              </w:rPr>
              <w:t>50%</w:t>
            </w:r>
          </w:p>
        </w:tc>
        <w:tc>
          <w:tcPr>
            <w:tcW w:w="90" w:type="dxa"/>
            <w:tcBorders/>
            <w:shd w:fill="CCEEFF" w:val="clear"/>
            <w:tcMar>
              <w:bottom w:w="0" w:type="dxa"/>
            </w:tcMar>
            <w:vAlign w:val="center"/>
          </w:tcPr>
          <w:p>
            <w:pPr>
              <w:pStyle w:val="TableContents"/>
              <w:bidi w:val="0"/>
              <w:spacing w:before="0" w:after="283"/>
              <w:jc w:val="right"/>
              <w:rPr/>
            </w:pPr>
            <w:r>
              <w:rPr/>
              <w:t> </w:t>
            </w:r>
          </w:p>
        </w:tc>
        <w:tc>
          <w:tcPr>
            <w:tcW w:w="1055" w:type="dxa"/>
            <w:tcBorders/>
            <w:shd w:fill="CCEEFF" w:val="clear"/>
            <w:tcMar>
              <w:bottom w:w="0" w:type="dxa"/>
            </w:tcMar>
            <w:vAlign w:val="center"/>
          </w:tcPr>
          <w:p>
            <w:pPr>
              <w:pStyle w:val="TableContents"/>
              <w:bidi w:val="0"/>
              <w:spacing w:before="0" w:after="283"/>
              <w:jc w:val="right"/>
              <w:rPr>
                <w:sz w:val="20"/>
              </w:rPr>
            </w:pPr>
            <w:r>
              <w:rPr>
                <w:sz w:val="20"/>
              </w:rPr>
              <w:t>200,000</w:t>
            </w:r>
          </w:p>
        </w:tc>
      </w:tr>
      <w:tr>
        <w:trPr/>
        <w:tc>
          <w:tcPr>
            <w:tcW w:w="1670" w:type="dxa"/>
            <w:tcBorders/>
            <w:tcMar>
              <w:bottom w:w="0" w:type="dxa"/>
            </w:tcMar>
            <w:vAlign w:val="center"/>
          </w:tcPr>
          <w:p>
            <w:pPr>
              <w:pStyle w:val="TableContents"/>
              <w:bidi w:val="0"/>
              <w:spacing w:before="0" w:after="283"/>
              <w:jc w:val="left"/>
              <w:rPr>
                <w:sz w:val="20"/>
              </w:rPr>
            </w:pPr>
            <w:r>
              <w:rPr>
                <w:sz w:val="20"/>
              </w:rPr>
              <w:t>Carl T. Schultz</w:t>
            </w:r>
          </w:p>
        </w:tc>
        <w:tc>
          <w:tcPr>
            <w:tcW w:w="90" w:type="dxa"/>
            <w:tcBorders/>
            <w:tcMar>
              <w:bottom w:w="0" w:type="dxa"/>
            </w:tcMar>
            <w:vAlign w:val="center"/>
          </w:tcPr>
          <w:p>
            <w:pPr>
              <w:pStyle w:val="TableContents"/>
              <w:bidi w:val="0"/>
              <w:spacing w:before="0" w:after="283"/>
              <w:jc w:val="left"/>
              <w:rPr/>
            </w:pPr>
            <w:r>
              <w:rPr/>
              <w:t> </w:t>
            </w:r>
          </w:p>
        </w:tc>
        <w:tc>
          <w:tcPr>
            <w:tcW w:w="1805" w:type="dxa"/>
            <w:tcBorders/>
            <w:tcMar>
              <w:bottom w:w="0" w:type="dxa"/>
            </w:tcMar>
            <w:vAlign w:val="center"/>
          </w:tcPr>
          <w:p>
            <w:pPr>
              <w:pStyle w:val="TableContents"/>
              <w:bidi w:val="0"/>
              <w:spacing w:before="0" w:after="283"/>
              <w:jc w:val="right"/>
              <w:rPr>
                <w:sz w:val="20"/>
              </w:rPr>
            </w:pPr>
            <w:r>
              <w:rPr>
                <w:sz w:val="20"/>
              </w:rPr>
              <w:t>420,000</w:t>
            </w:r>
          </w:p>
        </w:tc>
        <w:tc>
          <w:tcPr>
            <w:tcW w:w="90" w:type="dxa"/>
            <w:tcBorders/>
            <w:tcMar>
              <w:bottom w:w="0" w:type="dxa"/>
            </w:tcMar>
            <w:vAlign w:val="center"/>
          </w:tcPr>
          <w:p>
            <w:pPr>
              <w:pStyle w:val="TableContents"/>
              <w:bidi w:val="0"/>
              <w:spacing w:before="0" w:after="283"/>
              <w:jc w:val="right"/>
              <w:rPr/>
            </w:pPr>
            <w:r>
              <w:rPr/>
              <w:t> </w:t>
            </w:r>
          </w:p>
        </w:tc>
        <w:tc>
          <w:tcPr>
            <w:tcW w:w="1820" w:type="dxa"/>
            <w:tcBorders/>
            <w:tcMar>
              <w:bottom w:w="0" w:type="dxa"/>
            </w:tcMar>
            <w:vAlign w:val="center"/>
          </w:tcPr>
          <w:p>
            <w:pPr>
              <w:pStyle w:val="TableContents"/>
              <w:bidi w:val="0"/>
              <w:spacing w:before="0" w:after="283"/>
              <w:jc w:val="right"/>
              <w:rPr>
                <w:sz w:val="20"/>
              </w:rPr>
            </w:pPr>
            <w:r>
              <w:rPr>
                <w:sz w:val="20"/>
              </w:rPr>
              <w:t>50%</w:t>
            </w:r>
          </w:p>
        </w:tc>
        <w:tc>
          <w:tcPr>
            <w:tcW w:w="90" w:type="dxa"/>
            <w:tcBorders/>
            <w:tcMar>
              <w:bottom w:w="0" w:type="dxa"/>
            </w:tcMar>
            <w:vAlign w:val="center"/>
          </w:tcPr>
          <w:p>
            <w:pPr>
              <w:pStyle w:val="TableContents"/>
              <w:bidi w:val="0"/>
              <w:spacing w:before="0" w:after="283"/>
              <w:jc w:val="right"/>
              <w:rPr/>
            </w:pPr>
            <w:r>
              <w:rPr/>
              <w:t> </w:t>
            </w:r>
          </w:p>
        </w:tc>
        <w:tc>
          <w:tcPr>
            <w:tcW w:w="1055" w:type="dxa"/>
            <w:tcBorders/>
            <w:tcMar>
              <w:bottom w:w="0" w:type="dxa"/>
            </w:tcMar>
            <w:vAlign w:val="center"/>
          </w:tcPr>
          <w:p>
            <w:pPr>
              <w:pStyle w:val="TableContents"/>
              <w:bidi w:val="0"/>
              <w:spacing w:before="0" w:after="283"/>
              <w:jc w:val="right"/>
              <w:rPr>
                <w:sz w:val="20"/>
              </w:rPr>
            </w:pPr>
            <w:r>
              <w:rPr>
                <w:sz w:val="20"/>
              </w:rPr>
              <w:t>210,000</w:t>
            </w:r>
          </w:p>
        </w:tc>
      </w:tr>
      <w:tr>
        <w:trPr/>
        <w:tc>
          <w:tcPr>
            <w:tcW w:w="1670" w:type="dxa"/>
            <w:tcBorders/>
            <w:shd w:fill="CCEEFF" w:val="clear"/>
            <w:tcMar>
              <w:bottom w:w="0" w:type="dxa"/>
            </w:tcMar>
            <w:vAlign w:val="center"/>
          </w:tcPr>
          <w:p>
            <w:pPr>
              <w:pStyle w:val="TableContents"/>
              <w:bidi w:val="0"/>
              <w:spacing w:before="0" w:after="283"/>
              <w:jc w:val="left"/>
              <w:rPr>
                <w:sz w:val="20"/>
              </w:rPr>
            </w:pPr>
            <w:r>
              <w:rPr>
                <w:sz w:val="20"/>
              </w:rPr>
              <w:t>Fariyal Khanbabi</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05" w:type="dxa"/>
            <w:tcBorders/>
            <w:shd w:fill="CCEEFF" w:val="clear"/>
            <w:tcMar>
              <w:bottom w:w="0" w:type="dxa"/>
            </w:tcMar>
            <w:vAlign w:val="center"/>
          </w:tcPr>
          <w:p>
            <w:pPr>
              <w:pStyle w:val="TableContents"/>
              <w:bidi w:val="0"/>
              <w:spacing w:before="0" w:after="283"/>
              <w:jc w:val="right"/>
              <w:rPr>
                <w:sz w:val="20"/>
              </w:rPr>
            </w:pPr>
            <w:r>
              <w:rPr>
                <w:sz w:val="20"/>
              </w:rPr>
              <w:t>400,000</w:t>
            </w:r>
          </w:p>
        </w:tc>
        <w:tc>
          <w:tcPr>
            <w:tcW w:w="90" w:type="dxa"/>
            <w:tcBorders/>
            <w:shd w:fill="CCEEFF" w:val="clear"/>
            <w:tcMar>
              <w:bottom w:w="0" w:type="dxa"/>
            </w:tcMar>
            <w:vAlign w:val="center"/>
          </w:tcPr>
          <w:p>
            <w:pPr>
              <w:pStyle w:val="TableContents"/>
              <w:bidi w:val="0"/>
              <w:spacing w:before="0" w:after="283"/>
              <w:jc w:val="right"/>
              <w:rPr/>
            </w:pPr>
            <w:r>
              <w:rPr/>
              <w:t> </w:t>
            </w:r>
          </w:p>
        </w:tc>
        <w:tc>
          <w:tcPr>
            <w:tcW w:w="1820" w:type="dxa"/>
            <w:tcBorders/>
            <w:shd w:fill="CCEEFF" w:val="clear"/>
            <w:tcMar>
              <w:bottom w:w="0" w:type="dxa"/>
            </w:tcMar>
            <w:vAlign w:val="center"/>
          </w:tcPr>
          <w:p>
            <w:pPr>
              <w:pStyle w:val="TableContents"/>
              <w:bidi w:val="0"/>
              <w:spacing w:before="0" w:after="283"/>
              <w:jc w:val="right"/>
              <w:rPr>
                <w:sz w:val="20"/>
              </w:rPr>
            </w:pPr>
            <w:r>
              <w:rPr>
                <w:sz w:val="20"/>
              </w:rPr>
              <w:t>25%</w:t>
            </w:r>
          </w:p>
        </w:tc>
        <w:tc>
          <w:tcPr>
            <w:tcW w:w="90" w:type="dxa"/>
            <w:tcBorders/>
            <w:shd w:fill="CCEEFF" w:val="clear"/>
            <w:tcMar>
              <w:bottom w:w="0" w:type="dxa"/>
            </w:tcMar>
            <w:vAlign w:val="center"/>
          </w:tcPr>
          <w:p>
            <w:pPr>
              <w:pStyle w:val="TableContents"/>
              <w:bidi w:val="0"/>
              <w:spacing w:before="0" w:after="283"/>
              <w:jc w:val="right"/>
              <w:rPr/>
            </w:pPr>
            <w:r>
              <w:rPr/>
              <w:t> </w:t>
            </w:r>
          </w:p>
        </w:tc>
        <w:tc>
          <w:tcPr>
            <w:tcW w:w="1055" w:type="dxa"/>
            <w:tcBorders/>
            <w:shd w:fill="CCEEFF" w:val="clear"/>
            <w:tcMar>
              <w:bottom w:w="0" w:type="dxa"/>
            </w:tcMar>
            <w:vAlign w:val="center"/>
          </w:tcPr>
          <w:p>
            <w:pPr>
              <w:pStyle w:val="TableContents"/>
              <w:bidi w:val="0"/>
              <w:spacing w:before="0" w:after="283"/>
              <w:jc w:val="right"/>
              <w:rPr>
                <w:sz w:val="20"/>
              </w:rPr>
            </w:pPr>
            <w:r>
              <w:rPr>
                <w:sz w:val="20"/>
              </w:rPr>
              <w:t>100,000</w:t>
            </w:r>
          </w:p>
        </w:tc>
      </w:tr>
    </w:tbl>
    <w:p>
      <w:pPr>
        <w:pStyle w:val="TextBody"/>
        <w:bidi w:val="0"/>
        <w:spacing w:before="160" w:after="160"/>
        <w:ind w:left="160" w:right="16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(1) Prior to his appointment as Interim Chief Financial Officer, Mr. Worthen’s target annual bonus opportunity was 20% of his base salary. Upon his appointment as Interim Chief Financial Officer, his target annual bonus opportunity increased to 50% of his base salary. His target bonus opportunity for 2025 was prorated to reflect the portion of the year served as Interim Chief Financial Officer.</w:t>
      </w:r>
    </w:p>
    <w:p>
      <w:pPr>
        <w:pStyle w:val="TextBody"/>
        <w:bidi w:val="0"/>
        <w:spacing w:before="120" w:after="120"/>
        <w:ind w:left="120" w:right="12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Short-term incentives pay out between 0% of target and up to a maximum of 120% of target, based on achievement of performance goals. Payouts are linearly interpolated for performance between levels. The following table provides the weight and target goal for each performance metric and our achievement of each in Fiscal 2025:</w:t>
      </w:r>
    </w:p>
    <w:tbl>
      <w:tblPr>
        <w:tblW w:w="10205" w:type="dxa"/>
        <w:jc w:val="left"/>
        <w:tblInd w:w="0" w:type="dxa"/>
        <w:tblLayout w:type="fixed"/>
        <w:tblCellMar>
          <w:top w:w="0" w:type="dxa"/>
          <w:left w:w="0" w:type="dxa"/>
          <w:bottom w:w="0" w:type="dxa"/>
          <w:right w:w="0" w:type="dxa"/>
        </w:tblCellMar>
      </w:tblPr>
      <w:tblGrid>
        <w:gridCol w:w="1769"/>
        <w:gridCol w:w="90"/>
        <w:gridCol w:w="575"/>
        <w:gridCol w:w="90"/>
        <w:gridCol w:w="1650"/>
        <w:gridCol w:w="90"/>
        <w:gridCol w:w="1055"/>
        <w:gridCol w:w="90"/>
        <w:gridCol w:w="1735"/>
        <w:gridCol w:w="90"/>
        <w:gridCol w:w="1286"/>
        <w:gridCol w:w="90"/>
        <w:gridCol w:w="1595"/>
      </w:tblGrid>
      <w:tr>
        <w:trPr/>
        <w:tc>
          <w:tcPr>
            <w:tcW w:w="176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57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4620" w:type="dxa"/>
            <w:gridSpan w:val="5"/>
            <w:tcBorders>
              <w:bottom w:val="single" w:sz="8" w:space="0" w:color="000000"/>
            </w:tcBorders>
            <w:tcMar>
              <w:bottom w:w="28" w:type="dxa"/>
            </w:tcMar>
            <w:vAlign w:val="center"/>
          </w:tcPr>
          <w:p>
            <w:pPr>
              <w:pStyle w:val="TableContents"/>
              <w:bidi w:val="0"/>
              <w:spacing w:before="0" w:after="283"/>
              <w:jc w:val="center"/>
              <w:rPr>
                <w:b/>
                <w:sz w:val="16"/>
              </w:rPr>
            </w:pPr>
            <w:r>
              <w:rPr>
                <w:b/>
                <w:sz w:val="16"/>
              </w:rPr>
              <w:t>2025 Performance Goals</w:t>
            </w:r>
          </w:p>
        </w:tc>
        <w:tc>
          <w:tcPr>
            <w:tcW w:w="90" w:type="dxa"/>
            <w:tcBorders/>
            <w:vAlign w:val="center"/>
          </w:tcPr>
          <w:p>
            <w:pPr>
              <w:pStyle w:val="TableContents"/>
              <w:bidi w:val="0"/>
              <w:spacing w:before="0" w:after="283"/>
              <w:jc w:val="center"/>
              <w:rPr/>
            </w:pPr>
            <w:r>
              <w:rPr/>
              <w:t> </w:t>
            </w:r>
          </w:p>
        </w:tc>
        <w:tc>
          <w:tcPr>
            <w:tcW w:w="1286"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595" w:type="dxa"/>
            <w:tcBorders/>
            <w:vAlign w:val="center"/>
          </w:tcPr>
          <w:p>
            <w:pPr>
              <w:pStyle w:val="TableContents"/>
              <w:bidi w:val="0"/>
              <w:spacing w:before="0" w:after="283"/>
              <w:jc w:val="center"/>
              <w:rPr/>
            </w:pPr>
            <w:r>
              <w:rPr/>
              <w:t> </w:t>
            </w:r>
          </w:p>
        </w:tc>
      </w:tr>
      <w:tr>
        <w:trPr/>
        <w:tc>
          <w:tcPr>
            <w:tcW w:w="1769" w:type="dxa"/>
            <w:tcBorders>
              <w:bottom w:val="single" w:sz="8" w:space="0" w:color="000000"/>
            </w:tcBorders>
            <w:tcMar>
              <w:bottom w:w="28" w:type="dxa"/>
            </w:tcMar>
            <w:vAlign w:val="center"/>
          </w:tcPr>
          <w:p>
            <w:pPr>
              <w:pStyle w:val="TableContents"/>
              <w:bidi w:val="0"/>
              <w:spacing w:before="0" w:after="283"/>
              <w:jc w:val="left"/>
              <w:rPr>
                <w:b/>
                <w:sz w:val="16"/>
              </w:rPr>
            </w:pPr>
            <w:r>
              <w:rPr>
                <w:b/>
                <w:sz w:val="16"/>
              </w:rPr>
              <w:t>Metric</w:t>
            </w:r>
          </w:p>
        </w:tc>
        <w:tc>
          <w:tcPr>
            <w:tcW w:w="90" w:type="dxa"/>
            <w:tcBorders/>
            <w:vAlign w:val="center"/>
          </w:tcPr>
          <w:p>
            <w:pPr>
              <w:pStyle w:val="TableContents"/>
              <w:bidi w:val="0"/>
              <w:spacing w:before="0" w:after="283"/>
              <w:jc w:val="center"/>
              <w:rPr/>
            </w:pPr>
            <w:r>
              <w:rPr/>
              <w:t> </w:t>
            </w:r>
          </w:p>
        </w:tc>
        <w:tc>
          <w:tcPr>
            <w:tcW w:w="575" w:type="dxa"/>
            <w:tcBorders>
              <w:bottom w:val="single" w:sz="8" w:space="0" w:color="000000"/>
            </w:tcBorders>
            <w:tcMar>
              <w:bottom w:w="28" w:type="dxa"/>
            </w:tcMar>
            <w:vAlign w:val="center"/>
          </w:tcPr>
          <w:p>
            <w:pPr>
              <w:pStyle w:val="TableContents"/>
              <w:bidi w:val="0"/>
              <w:spacing w:before="0" w:after="283"/>
              <w:jc w:val="center"/>
              <w:rPr>
                <w:b/>
                <w:sz w:val="16"/>
              </w:rPr>
            </w:pPr>
            <w:r>
              <w:rPr>
                <w:b/>
                <w:sz w:val="16"/>
              </w:rPr>
              <w:t>Weight</w:t>
            </w:r>
          </w:p>
        </w:tc>
        <w:tc>
          <w:tcPr>
            <w:tcW w:w="90" w:type="dxa"/>
            <w:tcBorders/>
            <w:vAlign w:val="center"/>
          </w:tcPr>
          <w:p>
            <w:pPr>
              <w:pStyle w:val="TableContents"/>
              <w:bidi w:val="0"/>
              <w:spacing w:before="0" w:after="283"/>
              <w:jc w:val="center"/>
              <w:rPr/>
            </w:pPr>
            <w:r>
              <w:rPr/>
              <w:t> </w:t>
            </w:r>
          </w:p>
        </w:tc>
        <w:tc>
          <w:tcPr>
            <w:tcW w:w="1650" w:type="dxa"/>
            <w:tcBorders>
              <w:bottom w:val="single" w:sz="8" w:space="0" w:color="000000"/>
            </w:tcBorders>
            <w:tcMar>
              <w:bottom w:w="28" w:type="dxa"/>
            </w:tcMar>
            <w:vAlign w:val="center"/>
          </w:tcPr>
          <w:p>
            <w:pPr>
              <w:pStyle w:val="TableContents"/>
              <w:bidi w:val="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Threshold</w:t>
            </w:r>
          </w:p>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(50% Payout)</w:t>
            </w:r>
          </w:p>
        </w:tc>
        <w:tc>
          <w:tcPr>
            <w:tcW w:w="90" w:type="dxa"/>
            <w:tcBorders/>
            <w:vAlign w:val="center"/>
          </w:tcPr>
          <w:p>
            <w:pPr>
              <w:pStyle w:val="TableContents"/>
              <w:bidi w:val="0"/>
              <w:spacing w:before="0" w:after="283"/>
              <w:jc w:val="center"/>
              <w:rPr/>
            </w:pPr>
            <w:r>
              <w:rPr/>
              <w:t> </w:t>
            </w:r>
          </w:p>
        </w:tc>
        <w:tc>
          <w:tcPr>
            <w:tcW w:w="1055" w:type="dxa"/>
            <w:tcBorders/>
            <w:vAlign w:val="center"/>
          </w:tcPr>
          <w:p>
            <w:pPr>
              <w:pStyle w:val="TableContents"/>
              <w:bidi w:val="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Target</w:t>
            </w:r>
          </w:p>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(100% Payout)</w:t>
            </w:r>
          </w:p>
        </w:tc>
        <w:tc>
          <w:tcPr>
            <w:tcW w:w="90" w:type="dxa"/>
            <w:tcBorders/>
            <w:vAlign w:val="center"/>
          </w:tcPr>
          <w:p>
            <w:pPr>
              <w:pStyle w:val="TableContents"/>
              <w:bidi w:val="0"/>
              <w:spacing w:before="0" w:after="283"/>
              <w:jc w:val="center"/>
              <w:rPr/>
            </w:pPr>
            <w:r>
              <w:rPr/>
              <w:t> </w:t>
            </w:r>
          </w:p>
        </w:tc>
        <w:tc>
          <w:tcPr>
            <w:tcW w:w="1735" w:type="dxa"/>
            <w:tcBorders/>
            <w:vAlign w:val="center"/>
          </w:tcPr>
          <w:p>
            <w:pPr>
              <w:pStyle w:val="TableContents"/>
              <w:bidi w:val="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Maximum</w:t>
            </w:r>
          </w:p>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(120% Payout)</w:t>
            </w:r>
          </w:p>
        </w:tc>
        <w:tc>
          <w:tcPr>
            <w:tcW w:w="90" w:type="dxa"/>
            <w:tcBorders/>
            <w:vAlign w:val="center"/>
          </w:tcPr>
          <w:p>
            <w:pPr>
              <w:pStyle w:val="TableContents"/>
              <w:bidi w:val="0"/>
              <w:spacing w:before="0" w:after="283"/>
              <w:jc w:val="center"/>
              <w:rPr/>
            </w:pPr>
            <w:r>
              <w:rPr/>
              <w:t> </w:t>
            </w:r>
          </w:p>
        </w:tc>
        <w:tc>
          <w:tcPr>
            <w:tcW w:w="1286" w:type="dxa"/>
            <w:tcBorders>
              <w:bottom w:val="single" w:sz="8" w:space="0" w:color="000000"/>
            </w:tcBorders>
            <w:tcMar>
              <w:bottom w:w="28" w:type="dxa"/>
            </w:tcMar>
            <w:vAlign w:val="center"/>
          </w:tcPr>
          <w:p>
            <w:pPr>
              <w:pStyle w:val="TableContents"/>
              <w:bidi w:val="0"/>
              <w:spacing w:before="0" w:after="283"/>
              <w:jc w:val="center"/>
              <w:rPr>
                <w:b/>
                <w:sz w:val="16"/>
              </w:rPr>
            </w:pPr>
            <w:r>
              <w:rPr>
                <w:b/>
                <w:sz w:val="16"/>
              </w:rPr>
              <w:t>2025 Actual Result</w:t>
            </w:r>
          </w:p>
        </w:tc>
        <w:tc>
          <w:tcPr>
            <w:tcW w:w="90" w:type="dxa"/>
            <w:tcBorders/>
            <w:vAlign w:val="center"/>
          </w:tcPr>
          <w:p>
            <w:pPr>
              <w:pStyle w:val="TableContents"/>
              <w:bidi w:val="0"/>
              <w:spacing w:before="0" w:after="283"/>
              <w:jc w:val="center"/>
              <w:rPr/>
            </w:pPr>
            <w:r>
              <w:rPr/>
              <w:t> </w:t>
            </w:r>
          </w:p>
        </w:tc>
        <w:tc>
          <w:tcPr>
            <w:tcW w:w="1595" w:type="dxa"/>
            <w:tcBorders>
              <w:bottom w:val="single" w:sz="8" w:space="0" w:color="000000"/>
            </w:tcBorders>
            <w:tcMar>
              <w:bottom w:w="28" w:type="dxa"/>
            </w:tcMar>
            <w:vAlign w:val="center"/>
          </w:tcPr>
          <w:p>
            <w:pPr>
              <w:pStyle w:val="TableContents"/>
              <w:bidi w:val="0"/>
              <w:spacing w:before="0" w:after="283"/>
              <w:jc w:val="center"/>
              <w:rPr>
                <w:b/>
                <w:sz w:val="16"/>
              </w:rPr>
            </w:pPr>
            <w:r>
              <w:rPr>
                <w:b/>
                <w:sz w:val="16"/>
              </w:rPr>
              <w:t>Weighted Achievement</w:t>
            </w:r>
          </w:p>
        </w:tc>
      </w:tr>
      <w:tr>
        <w:trPr/>
        <w:tc>
          <w:tcPr>
            <w:tcW w:w="1769" w:type="dxa"/>
            <w:tcBorders/>
            <w:shd w:fill="CCEEFF" w:val="clear"/>
            <w:vAlign w:val="center"/>
          </w:tcPr>
          <w:p>
            <w:pPr>
              <w:pStyle w:val="TableContents"/>
              <w:bidi w:val="0"/>
              <w:spacing w:before="0" w:after="283"/>
              <w:jc w:val="left"/>
              <w:rPr>
                <w:sz w:val="20"/>
              </w:rPr>
            </w:pPr>
            <w:r>
              <w:rPr>
                <w:sz w:val="20"/>
              </w:rPr>
              <w:t>Revenue</w:t>
            </w:r>
          </w:p>
        </w:tc>
        <w:tc>
          <w:tcPr>
            <w:tcW w:w="90" w:type="dxa"/>
            <w:tcBorders/>
            <w:shd w:fill="CCEEFF" w:val="clear"/>
            <w:vAlign w:val="center"/>
          </w:tcPr>
          <w:p>
            <w:pPr>
              <w:pStyle w:val="TableContents"/>
              <w:bidi w:val="0"/>
              <w:spacing w:before="0" w:after="283"/>
              <w:jc w:val="center"/>
              <w:rPr/>
            </w:pPr>
            <w:r>
              <w:rPr/>
              <w:t> </w:t>
            </w:r>
          </w:p>
        </w:tc>
        <w:tc>
          <w:tcPr>
            <w:tcW w:w="575" w:type="dxa"/>
            <w:tcBorders/>
            <w:shd w:fill="CCEEFF" w:val="clear"/>
            <w:vAlign w:val="center"/>
          </w:tcPr>
          <w:p>
            <w:pPr>
              <w:pStyle w:val="TableContents"/>
              <w:bidi w:val="0"/>
              <w:spacing w:before="0" w:after="283"/>
              <w:jc w:val="center"/>
              <w:rPr>
                <w:sz w:val="20"/>
              </w:rPr>
            </w:pPr>
            <w:r>
              <w:rPr>
                <w:sz w:val="20"/>
              </w:rPr>
              <w:t>40%</w:t>
            </w:r>
          </w:p>
        </w:tc>
        <w:tc>
          <w:tcPr>
            <w:tcW w:w="90" w:type="dxa"/>
            <w:tcBorders/>
            <w:shd w:fill="CCEEFF" w:val="clear"/>
            <w:vAlign w:val="center"/>
          </w:tcPr>
          <w:p>
            <w:pPr>
              <w:pStyle w:val="TableContents"/>
              <w:bidi w:val="0"/>
              <w:spacing w:before="0" w:after="283"/>
              <w:jc w:val="center"/>
              <w:rPr/>
            </w:pPr>
            <w:r>
              <w:rPr/>
              <w:t> </w:t>
            </w:r>
          </w:p>
        </w:tc>
        <w:tc>
          <w:tcPr>
            <w:tcW w:w="1650" w:type="dxa"/>
            <w:tcBorders/>
            <w:shd w:fill="CCEEFF" w:val="clear"/>
            <w:vAlign w:val="center"/>
          </w:tcPr>
          <w:p>
            <w:pPr>
              <w:pStyle w:val="TableContents"/>
              <w:bidi w:val="0"/>
              <w:spacing w:before="0" w:after="283"/>
              <w:jc w:val="center"/>
              <w:rPr>
                <w:sz w:val="20"/>
              </w:rPr>
            </w:pPr>
            <w:r>
              <w:rPr>
                <w:sz w:val="20"/>
              </w:rPr>
              <w:t>$425M (85% of target)</w:t>
            </w:r>
          </w:p>
        </w:tc>
        <w:tc>
          <w:tcPr>
            <w:tcW w:w="90" w:type="dxa"/>
            <w:tcBorders/>
            <w:shd w:fill="CCEEFF" w:val="clear"/>
            <w:vAlign w:val="center"/>
          </w:tcPr>
          <w:p>
            <w:pPr>
              <w:pStyle w:val="TableContents"/>
              <w:bidi w:val="0"/>
              <w:spacing w:before="0" w:after="283"/>
              <w:jc w:val="center"/>
              <w:rPr/>
            </w:pPr>
            <w:r>
              <w:rPr/>
              <w:t> </w:t>
            </w:r>
          </w:p>
        </w:tc>
        <w:tc>
          <w:tcPr>
            <w:tcW w:w="1055" w:type="dxa"/>
            <w:tcBorders>
              <w:top w:val="single" w:sz="8" w:space="0" w:color="000000"/>
            </w:tcBorders>
            <w:shd w:fill="CCEEFF" w:val="clear"/>
            <w:tcMar>
              <w:top w:w="28" w:type="dxa"/>
            </w:tcMar>
            <w:vAlign w:val="center"/>
          </w:tcPr>
          <w:p>
            <w:pPr>
              <w:pStyle w:val="TableContents"/>
              <w:bidi w:val="0"/>
              <w:spacing w:before="0" w:after="283"/>
              <w:jc w:val="center"/>
              <w:rPr>
                <w:sz w:val="20"/>
              </w:rPr>
            </w:pPr>
            <w:r>
              <w:rPr>
                <w:sz w:val="20"/>
              </w:rPr>
              <w:t>$500M</w:t>
            </w:r>
          </w:p>
        </w:tc>
        <w:tc>
          <w:tcPr>
            <w:tcW w:w="90" w:type="dxa"/>
            <w:tcBorders/>
            <w:shd w:fill="CCEEFF" w:val="clear"/>
            <w:vAlign w:val="center"/>
          </w:tcPr>
          <w:p>
            <w:pPr>
              <w:pStyle w:val="TableContents"/>
              <w:bidi w:val="0"/>
              <w:spacing w:before="0" w:after="283"/>
              <w:jc w:val="center"/>
              <w:rPr/>
            </w:pPr>
            <w:r>
              <w:rPr/>
              <w:t> </w:t>
            </w:r>
          </w:p>
        </w:tc>
        <w:tc>
          <w:tcPr>
            <w:tcW w:w="1735" w:type="dxa"/>
            <w:tcBorders>
              <w:top w:val="single" w:sz="8" w:space="0" w:color="000000"/>
            </w:tcBorders>
            <w:shd w:fill="CCEEFF" w:val="clear"/>
            <w:tcMar>
              <w:top w:w="28" w:type="dxa"/>
            </w:tcMar>
            <w:vAlign w:val="center"/>
          </w:tcPr>
          <w:p>
            <w:pPr>
              <w:pStyle w:val="TableContents"/>
              <w:bidi w:val="0"/>
              <w:spacing w:before="0" w:after="283"/>
              <w:jc w:val="center"/>
              <w:rPr>
                <w:sz w:val="20"/>
              </w:rPr>
            </w:pPr>
            <w:r>
              <w:rPr>
                <w:sz w:val="20"/>
              </w:rPr>
              <w:t>$600M (120% of target)</w:t>
            </w:r>
          </w:p>
        </w:tc>
        <w:tc>
          <w:tcPr>
            <w:tcW w:w="90" w:type="dxa"/>
            <w:tcBorders/>
            <w:shd w:fill="CCEEFF" w:val="clear"/>
            <w:vAlign w:val="center"/>
          </w:tcPr>
          <w:p>
            <w:pPr>
              <w:pStyle w:val="TableContents"/>
              <w:bidi w:val="0"/>
              <w:spacing w:before="0" w:after="283"/>
              <w:jc w:val="center"/>
              <w:rPr/>
            </w:pPr>
            <w:r>
              <w:rPr/>
              <w:t> </w:t>
            </w:r>
          </w:p>
        </w:tc>
        <w:tc>
          <w:tcPr>
            <w:tcW w:w="1286" w:type="dxa"/>
            <w:tcBorders/>
            <w:shd w:fill="CCEEFF" w:val="clear"/>
            <w:vAlign w:val="center"/>
          </w:tcPr>
          <w:p>
            <w:pPr>
              <w:pStyle w:val="TableContents"/>
              <w:bidi w:val="0"/>
              <w:spacing w:before="0" w:after="283"/>
              <w:jc w:val="center"/>
              <w:rPr>
                <w:sz w:val="20"/>
              </w:rPr>
            </w:pPr>
            <w:r>
              <w:rPr>
                <w:sz w:val="20"/>
              </w:rPr>
              <w:t>$427.5M</w:t>
            </w:r>
          </w:p>
        </w:tc>
        <w:tc>
          <w:tcPr>
            <w:tcW w:w="90" w:type="dxa"/>
            <w:tcBorders/>
            <w:shd w:fill="CCEEFF" w:val="clear"/>
            <w:vAlign w:val="center"/>
          </w:tcPr>
          <w:p>
            <w:pPr>
              <w:pStyle w:val="TableContents"/>
              <w:bidi w:val="0"/>
              <w:spacing w:before="0" w:after="283"/>
              <w:jc w:val="center"/>
              <w:rPr/>
            </w:pPr>
            <w:r>
              <w:rPr/>
              <w:t> </w:t>
            </w:r>
          </w:p>
        </w:tc>
        <w:tc>
          <w:tcPr>
            <w:tcW w:w="1595" w:type="dxa"/>
            <w:tcBorders/>
            <w:shd w:fill="CCEEFF" w:val="clear"/>
            <w:vAlign w:val="center"/>
          </w:tcPr>
          <w:p>
            <w:pPr>
              <w:pStyle w:val="TableContents"/>
              <w:bidi w:val="0"/>
              <w:spacing w:before="0" w:after="283"/>
              <w:jc w:val="center"/>
              <w:rPr>
                <w:sz w:val="20"/>
              </w:rPr>
            </w:pPr>
            <w:r>
              <w:rPr>
                <w:sz w:val="20"/>
              </w:rPr>
              <w:t>20.67%</w:t>
            </w:r>
          </w:p>
        </w:tc>
      </w:tr>
      <w:tr>
        <w:trPr/>
        <w:tc>
          <w:tcPr>
            <w:tcW w:w="1769" w:type="dxa"/>
            <w:tcBorders/>
            <w:vAlign w:val="center"/>
          </w:tcPr>
          <w:p>
            <w:pPr>
              <w:pStyle w:val="TableContents"/>
              <w:bidi w:val="0"/>
              <w:spacing w:before="0" w:after="283"/>
              <w:jc w:val="left"/>
              <w:rPr>
                <w:sz w:val="20"/>
              </w:rPr>
            </w:pPr>
            <w:r>
              <w:rPr>
                <w:sz w:val="20"/>
              </w:rPr>
              <w:t>Operating Profit Margin</w:t>
            </w:r>
          </w:p>
        </w:tc>
        <w:tc>
          <w:tcPr>
            <w:tcW w:w="90" w:type="dxa"/>
            <w:tcBorders/>
            <w:vAlign w:val="center"/>
          </w:tcPr>
          <w:p>
            <w:pPr>
              <w:pStyle w:val="TableContents"/>
              <w:bidi w:val="0"/>
              <w:spacing w:before="0" w:after="283"/>
              <w:jc w:val="center"/>
              <w:rPr/>
            </w:pPr>
            <w:r>
              <w:rPr/>
              <w:t> </w:t>
            </w:r>
          </w:p>
        </w:tc>
        <w:tc>
          <w:tcPr>
            <w:tcW w:w="575" w:type="dxa"/>
            <w:tcBorders/>
            <w:vAlign w:val="center"/>
          </w:tcPr>
          <w:p>
            <w:pPr>
              <w:pStyle w:val="TableContents"/>
              <w:bidi w:val="0"/>
              <w:spacing w:before="0" w:after="283"/>
              <w:jc w:val="center"/>
              <w:rPr>
                <w:sz w:val="20"/>
              </w:rPr>
            </w:pPr>
            <w:r>
              <w:rPr>
                <w:sz w:val="20"/>
              </w:rPr>
              <w:t>40%</w:t>
            </w:r>
          </w:p>
        </w:tc>
        <w:tc>
          <w:tcPr>
            <w:tcW w:w="90" w:type="dxa"/>
            <w:tcBorders/>
            <w:vAlign w:val="center"/>
          </w:tcPr>
          <w:p>
            <w:pPr>
              <w:pStyle w:val="TableContents"/>
              <w:bidi w:val="0"/>
              <w:spacing w:before="0" w:after="283"/>
              <w:jc w:val="center"/>
              <w:rPr/>
            </w:pPr>
            <w:r>
              <w:rPr/>
              <w:t> </w:t>
            </w:r>
          </w:p>
        </w:tc>
        <w:tc>
          <w:tcPr>
            <w:tcW w:w="1650" w:type="dxa"/>
            <w:tcBorders/>
            <w:vAlign w:val="center"/>
          </w:tcPr>
          <w:p>
            <w:pPr>
              <w:pStyle w:val="TableContents"/>
              <w:bidi w:val="0"/>
              <w:spacing w:before="0" w:after="283"/>
              <w:jc w:val="center"/>
              <w:rPr>
                <w:sz w:val="20"/>
              </w:rPr>
            </w:pPr>
            <w:r>
              <w:rPr>
                <w:sz w:val="20"/>
              </w:rPr>
              <w:t>4.4% (80% of target)</w:t>
            </w:r>
          </w:p>
        </w:tc>
        <w:tc>
          <w:tcPr>
            <w:tcW w:w="90" w:type="dxa"/>
            <w:tcBorders/>
            <w:vAlign w:val="center"/>
          </w:tcPr>
          <w:p>
            <w:pPr>
              <w:pStyle w:val="TableContents"/>
              <w:bidi w:val="0"/>
              <w:spacing w:before="0" w:after="283"/>
              <w:jc w:val="center"/>
              <w:rPr/>
            </w:pPr>
            <w:r>
              <w:rPr/>
              <w:t> </w:t>
            </w:r>
          </w:p>
        </w:tc>
        <w:tc>
          <w:tcPr>
            <w:tcW w:w="1055" w:type="dxa"/>
            <w:tcBorders/>
            <w:vAlign w:val="center"/>
          </w:tcPr>
          <w:p>
            <w:pPr>
              <w:pStyle w:val="TableContents"/>
              <w:bidi w:val="0"/>
              <w:spacing w:before="0" w:after="283"/>
              <w:jc w:val="center"/>
              <w:rPr>
                <w:sz w:val="20"/>
              </w:rPr>
            </w:pPr>
            <w:r>
              <w:rPr>
                <w:sz w:val="20"/>
              </w:rPr>
              <w:t>5.5%</w:t>
            </w:r>
          </w:p>
        </w:tc>
        <w:tc>
          <w:tcPr>
            <w:tcW w:w="90" w:type="dxa"/>
            <w:tcBorders/>
            <w:vAlign w:val="center"/>
          </w:tcPr>
          <w:p>
            <w:pPr>
              <w:pStyle w:val="TableContents"/>
              <w:bidi w:val="0"/>
              <w:spacing w:before="0" w:after="283"/>
              <w:jc w:val="center"/>
              <w:rPr/>
            </w:pPr>
            <w:r>
              <w:rPr/>
              <w:t> </w:t>
            </w:r>
          </w:p>
        </w:tc>
        <w:tc>
          <w:tcPr>
            <w:tcW w:w="1735" w:type="dxa"/>
            <w:tcBorders/>
            <w:vAlign w:val="center"/>
          </w:tcPr>
          <w:p>
            <w:pPr>
              <w:pStyle w:val="TableContents"/>
              <w:bidi w:val="0"/>
              <w:spacing w:before="0" w:after="283"/>
              <w:jc w:val="center"/>
              <w:rPr>
                <w:sz w:val="20"/>
              </w:rPr>
            </w:pPr>
            <w:r>
              <w:rPr>
                <w:sz w:val="20"/>
              </w:rPr>
              <w:t>6.6% (120% of target)</w:t>
            </w:r>
          </w:p>
        </w:tc>
        <w:tc>
          <w:tcPr>
            <w:tcW w:w="90" w:type="dxa"/>
            <w:tcBorders/>
            <w:vAlign w:val="center"/>
          </w:tcPr>
          <w:p>
            <w:pPr>
              <w:pStyle w:val="TableContents"/>
              <w:bidi w:val="0"/>
              <w:spacing w:before="0" w:after="283"/>
              <w:jc w:val="center"/>
              <w:rPr/>
            </w:pPr>
            <w:r>
              <w:rPr/>
              <w:t> </w:t>
            </w:r>
          </w:p>
        </w:tc>
        <w:tc>
          <w:tcPr>
            <w:tcW w:w="1286" w:type="dxa"/>
            <w:tcBorders/>
            <w:vAlign w:val="center"/>
          </w:tcPr>
          <w:p>
            <w:pPr>
              <w:pStyle w:val="TableContents"/>
              <w:bidi w:val="0"/>
              <w:spacing w:before="0" w:after="283"/>
              <w:jc w:val="center"/>
              <w:rPr>
                <w:sz w:val="20"/>
              </w:rPr>
            </w:pPr>
            <w:r>
              <w:rPr>
                <w:sz w:val="20"/>
              </w:rPr>
              <w:t>1.63%</w:t>
            </w:r>
          </w:p>
        </w:tc>
        <w:tc>
          <w:tcPr>
            <w:tcW w:w="90" w:type="dxa"/>
            <w:tcBorders/>
            <w:vAlign w:val="center"/>
          </w:tcPr>
          <w:p>
            <w:pPr>
              <w:pStyle w:val="TableContents"/>
              <w:bidi w:val="0"/>
              <w:spacing w:before="0" w:after="283"/>
              <w:jc w:val="center"/>
              <w:rPr/>
            </w:pPr>
            <w:r>
              <w:rPr/>
              <w:t> </w:t>
            </w:r>
          </w:p>
        </w:tc>
        <w:tc>
          <w:tcPr>
            <w:tcW w:w="1595" w:type="dxa"/>
            <w:tcBorders/>
            <w:vAlign w:val="center"/>
          </w:tcPr>
          <w:p>
            <w:pPr>
              <w:pStyle w:val="TableContents"/>
              <w:bidi w:val="0"/>
              <w:spacing w:before="0" w:after="283"/>
              <w:jc w:val="center"/>
              <w:rPr>
                <w:sz w:val="20"/>
              </w:rPr>
            </w:pPr>
            <w:r>
              <w:rPr>
                <w:sz w:val="20"/>
              </w:rPr>
              <w:t>0%</w:t>
            </w:r>
          </w:p>
        </w:tc>
      </w:tr>
      <w:tr>
        <w:trPr/>
        <w:tc>
          <w:tcPr>
            <w:tcW w:w="1769" w:type="dxa"/>
            <w:tcBorders/>
            <w:shd w:fill="CCEEFF" w:val="clear"/>
            <w:vAlign w:val="center"/>
          </w:tcPr>
          <w:p>
            <w:pPr>
              <w:pStyle w:val="TableContents"/>
              <w:bidi w:val="0"/>
              <w:spacing w:before="0" w:after="283"/>
              <w:jc w:val="left"/>
              <w:rPr>
                <w:sz w:val="20"/>
              </w:rPr>
            </w:pPr>
            <w:r>
              <w:rPr>
                <w:sz w:val="20"/>
              </w:rPr>
              <w:t>AR Collection</w:t>
            </w:r>
          </w:p>
        </w:tc>
        <w:tc>
          <w:tcPr>
            <w:tcW w:w="90" w:type="dxa"/>
            <w:tcBorders/>
            <w:shd w:fill="CCEEFF" w:val="clear"/>
            <w:vAlign w:val="center"/>
          </w:tcPr>
          <w:p>
            <w:pPr>
              <w:pStyle w:val="TableContents"/>
              <w:bidi w:val="0"/>
              <w:spacing w:before="0" w:after="283"/>
              <w:jc w:val="center"/>
              <w:rPr/>
            </w:pPr>
            <w:r>
              <w:rPr/>
              <w:t> </w:t>
            </w:r>
          </w:p>
        </w:tc>
        <w:tc>
          <w:tcPr>
            <w:tcW w:w="575" w:type="dxa"/>
            <w:tcBorders/>
            <w:shd w:fill="CCEEFF" w:val="clear"/>
            <w:vAlign w:val="center"/>
          </w:tcPr>
          <w:p>
            <w:pPr>
              <w:pStyle w:val="TableContents"/>
              <w:bidi w:val="0"/>
              <w:spacing w:before="0" w:after="283"/>
              <w:jc w:val="center"/>
              <w:rPr>
                <w:sz w:val="20"/>
              </w:rPr>
            </w:pPr>
            <w:r>
              <w:rPr>
                <w:sz w:val="20"/>
              </w:rPr>
              <w:t>20%</w:t>
            </w:r>
          </w:p>
        </w:tc>
        <w:tc>
          <w:tcPr>
            <w:tcW w:w="90" w:type="dxa"/>
            <w:tcBorders/>
            <w:shd w:fill="CCEEFF" w:val="clear"/>
            <w:vAlign w:val="center"/>
          </w:tcPr>
          <w:p>
            <w:pPr>
              <w:pStyle w:val="TableContents"/>
              <w:bidi w:val="0"/>
              <w:spacing w:before="0" w:after="283"/>
              <w:jc w:val="center"/>
              <w:rPr/>
            </w:pPr>
            <w:r>
              <w:rPr/>
              <w:t> </w:t>
            </w:r>
          </w:p>
        </w:tc>
        <w:tc>
          <w:tcPr>
            <w:tcW w:w="1650" w:type="dxa"/>
            <w:tcBorders/>
            <w:shd w:fill="CCEEFF" w:val="clear"/>
            <w:vAlign w:val="center"/>
          </w:tcPr>
          <w:p>
            <w:pPr>
              <w:pStyle w:val="TableContents"/>
              <w:bidi w:val="0"/>
              <w:spacing w:before="0" w:after="283"/>
              <w:jc w:val="center"/>
              <w:rPr>
                <w:sz w:val="20"/>
              </w:rPr>
            </w:pPr>
            <w:r>
              <w:rPr>
                <w:sz w:val="20"/>
              </w:rPr>
              <w:t>102 (80% of target)</w:t>
            </w:r>
          </w:p>
        </w:tc>
        <w:tc>
          <w:tcPr>
            <w:tcW w:w="90" w:type="dxa"/>
            <w:tcBorders/>
            <w:shd w:fill="CCEEFF" w:val="clear"/>
            <w:vAlign w:val="center"/>
          </w:tcPr>
          <w:p>
            <w:pPr>
              <w:pStyle w:val="TableContents"/>
              <w:bidi w:val="0"/>
              <w:spacing w:before="0" w:after="283"/>
              <w:jc w:val="center"/>
              <w:rPr/>
            </w:pPr>
            <w:r>
              <w:rPr/>
              <w:t> </w:t>
            </w:r>
          </w:p>
        </w:tc>
        <w:tc>
          <w:tcPr>
            <w:tcW w:w="1055" w:type="dxa"/>
            <w:tcBorders/>
            <w:shd w:fill="CCEEFF" w:val="clear"/>
            <w:vAlign w:val="center"/>
          </w:tcPr>
          <w:p>
            <w:pPr>
              <w:pStyle w:val="TableContents"/>
              <w:bidi w:val="0"/>
              <w:spacing w:before="0" w:after="283"/>
              <w:jc w:val="center"/>
              <w:rPr>
                <w:sz w:val="20"/>
              </w:rPr>
            </w:pPr>
            <w:r>
              <w:rPr>
                <w:sz w:val="20"/>
              </w:rPr>
              <w:t>85</w:t>
            </w:r>
          </w:p>
        </w:tc>
        <w:tc>
          <w:tcPr>
            <w:tcW w:w="90" w:type="dxa"/>
            <w:tcBorders/>
            <w:shd w:fill="CCEEFF" w:val="clear"/>
            <w:vAlign w:val="center"/>
          </w:tcPr>
          <w:p>
            <w:pPr>
              <w:pStyle w:val="TableContents"/>
              <w:bidi w:val="0"/>
              <w:spacing w:before="0" w:after="283"/>
              <w:jc w:val="center"/>
              <w:rPr/>
            </w:pPr>
            <w:r>
              <w:rPr/>
              <w:t> </w:t>
            </w:r>
          </w:p>
        </w:tc>
        <w:tc>
          <w:tcPr>
            <w:tcW w:w="1735" w:type="dxa"/>
            <w:tcBorders/>
            <w:shd w:fill="CCEEFF" w:val="clear"/>
            <w:vAlign w:val="center"/>
          </w:tcPr>
          <w:p>
            <w:pPr>
              <w:pStyle w:val="TableContents"/>
              <w:bidi w:val="0"/>
              <w:spacing w:before="0" w:after="283"/>
              <w:jc w:val="center"/>
              <w:rPr>
                <w:sz w:val="20"/>
              </w:rPr>
            </w:pPr>
            <w:r>
              <w:rPr>
                <w:sz w:val="20"/>
              </w:rPr>
              <w:t>68 (120% of target)</w:t>
            </w:r>
          </w:p>
        </w:tc>
        <w:tc>
          <w:tcPr>
            <w:tcW w:w="90" w:type="dxa"/>
            <w:tcBorders/>
            <w:shd w:fill="CCEEFF" w:val="clear"/>
            <w:vAlign w:val="center"/>
          </w:tcPr>
          <w:p>
            <w:pPr>
              <w:pStyle w:val="TableContents"/>
              <w:bidi w:val="0"/>
              <w:spacing w:before="0" w:after="283"/>
              <w:jc w:val="center"/>
              <w:rPr/>
            </w:pPr>
            <w:r>
              <w:rPr/>
              <w:t> </w:t>
            </w:r>
          </w:p>
        </w:tc>
        <w:tc>
          <w:tcPr>
            <w:tcW w:w="1286" w:type="dxa"/>
            <w:tcBorders/>
            <w:shd w:fill="CCEEFF" w:val="clear"/>
            <w:vAlign w:val="center"/>
          </w:tcPr>
          <w:p>
            <w:pPr>
              <w:pStyle w:val="TableContents"/>
              <w:bidi w:val="0"/>
              <w:spacing w:before="0" w:after="283"/>
              <w:jc w:val="center"/>
              <w:rPr>
                <w:sz w:val="20"/>
              </w:rPr>
            </w:pPr>
            <w:r>
              <w:rPr>
                <w:sz w:val="20"/>
              </w:rPr>
              <w:t>156</w:t>
            </w:r>
          </w:p>
        </w:tc>
        <w:tc>
          <w:tcPr>
            <w:tcW w:w="90" w:type="dxa"/>
            <w:tcBorders/>
            <w:shd w:fill="CCEEFF" w:val="clear"/>
            <w:vAlign w:val="center"/>
          </w:tcPr>
          <w:p>
            <w:pPr>
              <w:pStyle w:val="TableContents"/>
              <w:bidi w:val="0"/>
              <w:spacing w:before="0" w:after="283"/>
              <w:jc w:val="center"/>
              <w:rPr/>
            </w:pPr>
            <w:r>
              <w:rPr/>
              <w:t> </w:t>
            </w:r>
          </w:p>
        </w:tc>
        <w:tc>
          <w:tcPr>
            <w:tcW w:w="1595" w:type="dxa"/>
            <w:tcBorders/>
            <w:shd w:fill="CCEEFF" w:val="clear"/>
            <w:vAlign w:val="center"/>
          </w:tcPr>
          <w:p>
            <w:pPr>
              <w:pStyle w:val="TableContents"/>
              <w:bidi w:val="0"/>
              <w:spacing w:before="0" w:after="283"/>
              <w:jc w:val="center"/>
              <w:rPr>
                <w:sz w:val="20"/>
              </w:rPr>
            </w:pPr>
            <w:r>
              <w:rPr>
                <w:sz w:val="20"/>
              </w:rPr>
              <w:t>0%</w:t>
            </w:r>
          </w:p>
        </w:tc>
      </w:tr>
    </w:tbl>
    <w:p>
      <w:pPr>
        <w:pStyle w:val="TextBody"/>
        <w:bidi w:val="0"/>
        <w:spacing w:before="60" w:after="60"/>
        <w:ind w:left="60" w:right="60" w:hanging="0"/>
        <w:jc w:val="both"/>
        <w:rPr>
          <w:caps w:val="false"/>
          <w:smallCaps w:val="false"/>
          <w:shd w:fill="FFFFFF" w:val="clear"/>
        </w:rPr>
      </w:pPr>
      <w:r>
        <w:rPr>
          <w:caps w:val="false"/>
          <w:smallCaps w:val="false"/>
          <w:shd w:fill="FFFFFF" w:val="clear"/>
        </w:rPr>
        <w:t> </w:t>
      </w:r>
    </w:p>
    <w:p>
      <w:pPr>
        <w:pStyle w:val="TextBody"/>
        <w:bidi w:val="0"/>
        <w:spacing w:before="240" w:after="240"/>
        <w:ind w:left="240" w:right="24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Overall performance under the 2025 AIP, determined based on actual performance for each metric and relative weighting of each such metric, was achieved at 20.67% of target. As their employment ceased during Fiscal 2025, Mr. Schultz and Ms. Khanbabi were not eligible to receive a payout. Below are the payouts under the 2025 AIP for each NEO based on the performance results:</w:t>
      </w:r>
    </w:p>
    <w:tbl>
      <w:tblPr>
        <w:tblW w:w="10035" w:type="dxa"/>
        <w:jc w:val="left"/>
        <w:tblInd w:w="0" w:type="dxa"/>
        <w:tblLayout w:type="fixed"/>
        <w:tblCellMar>
          <w:top w:w="0" w:type="dxa"/>
          <w:left w:w="0" w:type="dxa"/>
          <w:bottom w:w="28" w:type="dxa"/>
          <w:right w:w="0" w:type="dxa"/>
        </w:tblCellMar>
      </w:tblPr>
      <w:tblGrid>
        <w:gridCol w:w="1655"/>
        <w:gridCol w:w="90"/>
        <w:gridCol w:w="1535"/>
        <w:gridCol w:w="90"/>
        <w:gridCol w:w="1235"/>
        <w:gridCol w:w="90"/>
        <w:gridCol w:w="1010"/>
        <w:gridCol w:w="90"/>
        <w:gridCol w:w="2015"/>
        <w:gridCol w:w="90"/>
        <w:gridCol w:w="2000"/>
        <w:gridCol w:w="135"/>
      </w:tblGrid>
      <w:tr>
        <w:trPr/>
        <w:tc>
          <w:tcPr>
            <w:tcW w:w="1655" w:type="dxa"/>
            <w:tcBorders>
              <w:bottom w:val="single" w:sz="8" w:space="0" w:color="000000"/>
            </w:tcBorders>
            <w:vAlign w:val="center"/>
          </w:tcPr>
          <w:p>
            <w:pPr>
              <w:pStyle w:val="TableContents"/>
              <w:bidi w:val="0"/>
              <w:spacing w:before="0" w:after="283"/>
              <w:jc w:val="left"/>
              <w:rPr>
                <w:b/>
                <w:sz w:val="20"/>
              </w:rPr>
            </w:pPr>
            <w:r>
              <w:rPr>
                <w:b/>
                <w:sz w:val="20"/>
              </w:rPr>
              <w:t>Name</w:t>
            </w:r>
          </w:p>
        </w:tc>
        <w:tc>
          <w:tcPr>
            <w:tcW w:w="90" w:type="dxa"/>
            <w:tcBorders/>
            <w:tcMar>
              <w:bottom w:w="0" w:type="dxa"/>
            </w:tcMar>
            <w:vAlign w:val="center"/>
          </w:tcPr>
          <w:p>
            <w:pPr>
              <w:pStyle w:val="TableContents"/>
              <w:bidi w:val="0"/>
              <w:spacing w:before="0" w:after="283"/>
              <w:jc w:val="left"/>
              <w:rPr/>
            </w:pPr>
            <w:r>
              <w:rPr/>
              <w:t> </w:t>
            </w:r>
          </w:p>
        </w:tc>
        <w:tc>
          <w:tcPr>
            <w:tcW w:w="1535" w:type="dxa"/>
            <w:tcBorders>
              <w:bottom w:val="single" w:sz="8" w:space="0" w:color="000000"/>
            </w:tcBorders>
            <w:vAlign w:val="center"/>
          </w:tcPr>
          <w:p>
            <w:pPr>
              <w:pStyle w:val="TableContents"/>
              <w:bidi w:val="0"/>
              <w:spacing w:before="0" w:after="283"/>
              <w:jc w:val="center"/>
              <w:rPr>
                <w:b/>
                <w:sz w:val="20"/>
              </w:rPr>
            </w:pPr>
            <w:r>
              <w:rPr>
                <w:b/>
                <w:sz w:val="20"/>
              </w:rPr>
              <w:t>2025 Base Salary</w:t>
            </w:r>
          </w:p>
        </w:tc>
        <w:tc>
          <w:tcPr>
            <w:tcW w:w="90" w:type="dxa"/>
            <w:tcBorders/>
            <w:tcMar>
              <w:bottom w:w="0" w:type="dxa"/>
            </w:tcMar>
            <w:vAlign w:val="center"/>
          </w:tcPr>
          <w:p>
            <w:pPr>
              <w:pStyle w:val="TableContents"/>
              <w:bidi w:val="0"/>
              <w:spacing w:before="0" w:after="283"/>
              <w:jc w:val="left"/>
              <w:rPr/>
            </w:pPr>
            <w:r>
              <w:rPr/>
              <w:t> </w:t>
            </w:r>
          </w:p>
        </w:tc>
        <w:tc>
          <w:tcPr>
            <w:tcW w:w="1235" w:type="dxa"/>
            <w:tcBorders>
              <w:bottom w:val="single" w:sz="8" w:space="0" w:color="000000"/>
            </w:tcBorders>
            <w:vAlign w:val="center"/>
          </w:tcPr>
          <w:p>
            <w:pPr>
              <w:pStyle w:val="TableContents"/>
              <w:bidi w:val="0"/>
              <w:spacing w:before="45" w:after="45"/>
              <w:ind w:left="45" w:right="45"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Target</w:t>
            </w:r>
          </w:p>
          <w:p>
            <w:pPr>
              <w:pStyle w:val="TableContents"/>
              <w:bidi w:val="0"/>
              <w:spacing w:before="45" w:after="45"/>
              <w:ind w:left="45" w:right="45"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of Salary)</w:t>
            </w:r>
          </w:p>
        </w:tc>
        <w:tc>
          <w:tcPr>
            <w:tcW w:w="90" w:type="dxa"/>
            <w:tcBorders/>
            <w:tcMar>
              <w:bottom w:w="0" w:type="dxa"/>
            </w:tcMar>
            <w:vAlign w:val="center"/>
          </w:tcPr>
          <w:p>
            <w:pPr>
              <w:pStyle w:val="TableContents"/>
              <w:bidi w:val="0"/>
              <w:spacing w:before="0" w:after="283"/>
              <w:jc w:val="left"/>
              <w:rPr/>
            </w:pPr>
            <w:r>
              <w:rPr/>
              <w:t> </w:t>
            </w:r>
          </w:p>
        </w:tc>
        <w:tc>
          <w:tcPr>
            <w:tcW w:w="1010" w:type="dxa"/>
            <w:tcBorders>
              <w:bottom w:val="single" w:sz="8" w:space="0" w:color="000000"/>
            </w:tcBorders>
            <w:vAlign w:val="center"/>
          </w:tcPr>
          <w:p>
            <w:pPr>
              <w:pStyle w:val="TableContents"/>
              <w:bidi w:val="0"/>
              <w:spacing w:before="0" w:after="283"/>
              <w:jc w:val="center"/>
              <w:rPr>
                <w:b/>
                <w:sz w:val="20"/>
              </w:rPr>
            </w:pPr>
            <w:r>
              <w:rPr>
                <w:b/>
                <w:sz w:val="20"/>
              </w:rPr>
              <w:t>AIP Target</w:t>
            </w:r>
          </w:p>
        </w:tc>
        <w:tc>
          <w:tcPr>
            <w:tcW w:w="90" w:type="dxa"/>
            <w:tcBorders/>
            <w:tcMar>
              <w:bottom w:w="0" w:type="dxa"/>
            </w:tcMar>
            <w:vAlign w:val="center"/>
          </w:tcPr>
          <w:p>
            <w:pPr>
              <w:pStyle w:val="TableContents"/>
              <w:bidi w:val="0"/>
              <w:spacing w:before="0" w:after="283"/>
              <w:jc w:val="left"/>
              <w:rPr/>
            </w:pPr>
            <w:r>
              <w:rPr/>
              <w:t> </w:t>
            </w:r>
          </w:p>
        </w:tc>
        <w:tc>
          <w:tcPr>
            <w:tcW w:w="2015" w:type="dxa"/>
            <w:tcBorders>
              <w:bottom w:val="single" w:sz="8" w:space="0" w:color="000000"/>
            </w:tcBorders>
            <w:vAlign w:val="center"/>
          </w:tcPr>
          <w:p>
            <w:pPr>
              <w:pStyle w:val="TableContents"/>
              <w:bidi w:val="0"/>
              <w:spacing w:before="0" w:after="283"/>
              <w:jc w:val="center"/>
              <w:rPr>
                <w:b/>
                <w:sz w:val="20"/>
              </w:rPr>
            </w:pPr>
            <w:r>
              <w:rPr>
                <w:b/>
                <w:sz w:val="20"/>
              </w:rPr>
              <w:t>Company Achievement</w:t>
            </w:r>
          </w:p>
        </w:tc>
        <w:tc>
          <w:tcPr>
            <w:tcW w:w="90" w:type="dxa"/>
            <w:tcBorders/>
            <w:tcMar>
              <w:bottom w:w="0" w:type="dxa"/>
            </w:tcMar>
            <w:vAlign w:val="center"/>
          </w:tcPr>
          <w:p>
            <w:pPr>
              <w:pStyle w:val="TableContents"/>
              <w:bidi w:val="0"/>
              <w:spacing w:before="0" w:after="283"/>
              <w:jc w:val="left"/>
              <w:rPr/>
            </w:pPr>
            <w:r>
              <w:rPr/>
              <w:t> </w:t>
            </w:r>
          </w:p>
        </w:tc>
        <w:tc>
          <w:tcPr>
            <w:tcW w:w="2000" w:type="dxa"/>
            <w:tcBorders>
              <w:bottom w:val="single" w:sz="8" w:space="0" w:color="000000"/>
            </w:tcBorders>
            <w:vAlign w:val="center"/>
          </w:tcPr>
          <w:p>
            <w:pPr>
              <w:pStyle w:val="TableContents"/>
              <w:bidi w:val="0"/>
              <w:spacing w:before="0" w:after="283"/>
              <w:jc w:val="center"/>
              <w:rPr>
                <w:b/>
                <w:sz w:val="20"/>
              </w:rPr>
            </w:pPr>
            <w:r>
              <w:rPr>
                <w:b/>
                <w:sz w:val="20"/>
              </w:rPr>
              <w:t>Total 2025 AIP Payout</w:t>
            </w:r>
          </w:p>
        </w:tc>
        <w:tc>
          <w:tcPr>
            <w:tcW w:w="135" w:type="dxa"/>
            <w:tcBorders/>
            <w:tcMar>
              <w:bottom w:w="0" w:type="dxa"/>
            </w:tcMar>
            <w:vAlign w:val="center"/>
          </w:tcPr>
          <w:p>
            <w:pPr>
              <w:pStyle w:val="TableContents"/>
              <w:bidi w:val="0"/>
              <w:spacing w:before="0" w:after="283"/>
              <w:jc w:val="left"/>
              <w:rPr/>
            </w:pPr>
            <w:r>
              <w:rPr/>
              <w:t> </w:t>
            </w:r>
          </w:p>
        </w:tc>
      </w:tr>
      <w:tr>
        <w:trPr/>
        <w:tc>
          <w:tcPr>
            <w:tcW w:w="1655" w:type="dxa"/>
            <w:tcBorders/>
            <w:shd w:fill="CCEEFF" w:val="clear"/>
            <w:tcMar>
              <w:bottom w:w="0" w:type="dxa"/>
            </w:tcMar>
            <w:vAlign w:val="center"/>
          </w:tcPr>
          <w:p>
            <w:pPr>
              <w:pStyle w:val="TableContents"/>
              <w:bidi w:val="0"/>
              <w:spacing w:before="0" w:after="283"/>
              <w:jc w:val="left"/>
              <w:rPr>
                <w:sz w:val="20"/>
              </w:rPr>
            </w:pPr>
            <w:r>
              <w:rPr>
                <w:sz w:val="20"/>
              </w:rPr>
              <w:t>Yang Wu</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1535" w:type="dxa"/>
            <w:tcBorders/>
            <w:shd w:fill="CCEEFF" w:val="clear"/>
            <w:tcMar>
              <w:bottom w:w="0" w:type="dxa"/>
            </w:tcMar>
            <w:vAlign w:val="center"/>
          </w:tcPr>
          <w:p>
            <w:pPr>
              <w:pStyle w:val="TableContents"/>
              <w:bidi w:val="0"/>
              <w:spacing w:before="0" w:after="283"/>
              <w:jc w:val="center"/>
              <w:rPr>
                <w:sz w:val="20"/>
              </w:rPr>
            </w:pPr>
            <w:r>
              <w:rPr>
                <w:sz w:val="20"/>
              </w:rPr>
              <w:t>580,000</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1235" w:type="dxa"/>
            <w:tcBorders/>
            <w:shd w:fill="CCEEFF" w:val="clear"/>
            <w:tcMar>
              <w:bottom w:w="0" w:type="dxa"/>
            </w:tcMar>
            <w:vAlign w:val="center"/>
          </w:tcPr>
          <w:p>
            <w:pPr>
              <w:pStyle w:val="TableContents"/>
              <w:bidi w:val="0"/>
              <w:spacing w:before="0" w:after="283"/>
              <w:jc w:val="center"/>
              <w:rPr>
                <w:sz w:val="20"/>
              </w:rPr>
            </w:pPr>
            <w:r>
              <w:rPr>
                <w:sz w:val="20"/>
              </w:rPr>
              <w:t>85%</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1010" w:type="dxa"/>
            <w:tcBorders/>
            <w:shd w:fill="CCEEFF" w:val="clear"/>
            <w:tcMar>
              <w:bottom w:w="0" w:type="dxa"/>
            </w:tcMar>
            <w:vAlign w:val="center"/>
          </w:tcPr>
          <w:p>
            <w:pPr>
              <w:pStyle w:val="TableContents"/>
              <w:bidi w:val="0"/>
              <w:spacing w:before="0" w:after="283"/>
              <w:jc w:val="center"/>
              <w:rPr>
                <w:sz w:val="20"/>
              </w:rPr>
            </w:pPr>
            <w:r>
              <w:rPr>
                <w:sz w:val="20"/>
              </w:rPr>
              <w:t>493,000</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2015" w:type="dxa"/>
            <w:tcBorders/>
            <w:shd w:fill="CCEEFF" w:val="clear"/>
            <w:tcMar>
              <w:bottom w:w="0" w:type="dxa"/>
            </w:tcMar>
            <w:vAlign w:val="center"/>
          </w:tcPr>
          <w:p>
            <w:pPr>
              <w:pStyle w:val="TableContents"/>
              <w:bidi w:val="0"/>
              <w:spacing w:before="0" w:after="283"/>
              <w:jc w:val="center"/>
              <w:rPr>
                <w:sz w:val="20"/>
              </w:rPr>
            </w:pPr>
            <w:r>
              <w:rPr>
                <w:sz w:val="20"/>
              </w:rPr>
              <w:t>20.67%</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2000" w:type="dxa"/>
            <w:tcBorders/>
            <w:shd w:fill="CCEEFF" w:val="clear"/>
            <w:tcMar>
              <w:bottom w:w="0" w:type="dxa"/>
            </w:tcMar>
            <w:vAlign w:val="center"/>
          </w:tcPr>
          <w:p>
            <w:pPr>
              <w:pStyle w:val="TableContents"/>
              <w:bidi w:val="0"/>
              <w:spacing w:before="0" w:after="283"/>
              <w:jc w:val="center"/>
              <w:rPr>
                <w:sz w:val="20"/>
              </w:rPr>
            </w:pPr>
            <w:r>
              <w:rPr>
                <w:sz w:val="20"/>
              </w:rPr>
              <w:t>101,903</w:t>
            </w:r>
          </w:p>
        </w:tc>
        <w:tc>
          <w:tcPr>
            <w:tcW w:w="135" w:type="dxa"/>
            <w:tcBorders/>
            <w:tcMar>
              <w:bottom w:w="0" w:type="dxa"/>
            </w:tcMar>
            <w:vAlign w:val="center"/>
          </w:tcPr>
          <w:p>
            <w:pPr>
              <w:pStyle w:val="TableContents"/>
              <w:bidi w:val="0"/>
              <w:spacing w:before="0" w:after="283"/>
              <w:jc w:val="left"/>
              <w:rPr/>
            </w:pPr>
            <w:r>
              <w:rPr/>
              <w:t> </w:t>
            </w:r>
          </w:p>
        </w:tc>
      </w:tr>
      <w:tr>
        <w:trPr/>
        <w:tc>
          <w:tcPr>
            <w:tcW w:w="1655" w:type="dxa"/>
            <w:tcBorders/>
            <w:tcMar>
              <w:bottom w:w="0" w:type="dxa"/>
            </w:tcMar>
            <w:vAlign w:val="center"/>
          </w:tcPr>
          <w:p>
            <w:pPr>
              <w:pStyle w:val="TableContents"/>
              <w:bidi w:val="0"/>
              <w:spacing w:before="0" w:after="283"/>
              <w:jc w:val="left"/>
              <w:rPr>
                <w:sz w:val="20"/>
              </w:rPr>
            </w:pPr>
            <w:r>
              <w:rPr>
                <w:sz w:val="20"/>
              </w:rPr>
              <w:t>Rodney Worthen</w:t>
            </w:r>
          </w:p>
        </w:tc>
        <w:tc>
          <w:tcPr>
            <w:tcW w:w="90" w:type="dxa"/>
            <w:tcBorders/>
            <w:tcMar>
              <w:bottom w:w="0" w:type="dxa"/>
            </w:tcMar>
            <w:vAlign w:val="center"/>
          </w:tcPr>
          <w:p>
            <w:pPr>
              <w:pStyle w:val="TableContents"/>
              <w:bidi w:val="0"/>
              <w:spacing w:before="0" w:after="283"/>
              <w:jc w:val="center"/>
              <w:rPr/>
            </w:pPr>
            <w:r>
              <w:rPr/>
              <w:t> </w:t>
            </w:r>
          </w:p>
        </w:tc>
        <w:tc>
          <w:tcPr>
            <w:tcW w:w="1535" w:type="dxa"/>
            <w:tcBorders/>
            <w:tcMar>
              <w:bottom w:w="0" w:type="dxa"/>
            </w:tcMar>
            <w:vAlign w:val="center"/>
          </w:tcPr>
          <w:p>
            <w:pPr>
              <w:pStyle w:val="TableContents"/>
              <w:bidi w:val="0"/>
              <w:spacing w:before="0" w:after="283"/>
              <w:jc w:val="center"/>
              <w:rPr>
                <w:sz w:val="20"/>
              </w:rPr>
            </w:pPr>
            <w:r>
              <w:rPr>
                <w:sz w:val="20"/>
              </w:rPr>
              <w:t>210,000</w:t>
            </w:r>
          </w:p>
        </w:tc>
        <w:tc>
          <w:tcPr>
            <w:tcW w:w="90" w:type="dxa"/>
            <w:tcBorders/>
            <w:tcMar>
              <w:bottom w:w="0" w:type="dxa"/>
            </w:tcMar>
            <w:vAlign w:val="center"/>
          </w:tcPr>
          <w:p>
            <w:pPr>
              <w:pStyle w:val="TableContents"/>
              <w:bidi w:val="0"/>
              <w:spacing w:before="0" w:after="283"/>
              <w:jc w:val="center"/>
              <w:rPr/>
            </w:pPr>
            <w:r>
              <w:rPr/>
              <w:t> </w:t>
            </w:r>
          </w:p>
        </w:tc>
        <w:tc>
          <w:tcPr>
            <w:tcW w:w="1235" w:type="dxa"/>
            <w:tcBorders/>
            <w:tcMar>
              <w:bottom w:w="0" w:type="dxa"/>
            </w:tcMar>
            <w:vAlign w:val="center"/>
          </w:tcPr>
          <w:p>
            <w:pPr>
              <w:pStyle w:val="TableContents"/>
              <w:bidi w:val="0"/>
              <w:spacing w:before="0" w:after="283"/>
              <w:jc w:val="center"/>
              <w:rPr>
                <w:sz w:val="20"/>
              </w:rPr>
            </w:pPr>
            <w:r>
              <w:rPr>
                <w:sz w:val="20"/>
              </w:rPr>
              <w:t>20%/50%</w:t>
            </w:r>
          </w:p>
        </w:tc>
        <w:tc>
          <w:tcPr>
            <w:tcW w:w="90" w:type="dxa"/>
            <w:tcBorders/>
            <w:tcMar>
              <w:bottom w:w="0" w:type="dxa"/>
            </w:tcMar>
            <w:vAlign w:val="center"/>
          </w:tcPr>
          <w:p>
            <w:pPr>
              <w:pStyle w:val="TableContents"/>
              <w:bidi w:val="0"/>
              <w:spacing w:before="0" w:after="283"/>
              <w:jc w:val="center"/>
              <w:rPr/>
            </w:pPr>
            <w:r>
              <w:rPr/>
              <w:t> </w:t>
            </w:r>
          </w:p>
        </w:tc>
        <w:tc>
          <w:tcPr>
            <w:tcW w:w="1010" w:type="dxa"/>
            <w:tcBorders/>
            <w:tcMar>
              <w:bottom w:w="0" w:type="dxa"/>
            </w:tcMar>
            <w:vAlign w:val="center"/>
          </w:tcPr>
          <w:p>
            <w:pPr>
              <w:pStyle w:val="TableContents"/>
              <w:bidi w:val="0"/>
              <w:spacing w:before="0" w:after="283"/>
              <w:jc w:val="center"/>
              <w:rPr>
                <w:sz w:val="20"/>
              </w:rPr>
            </w:pPr>
            <w:r>
              <w:rPr>
                <w:sz w:val="20"/>
              </w:rPr>
              <w:t>104,702</w:t>
            </w:r>
          </w:p>
        </w:tc>
        <w:tc>
          <w:tcPr>
            <w:tcW w:w="90" w:type="dxa"/>
            <w:tcBorders/>
            <w:tcMar>
              <w:bottom w:w="0" w:type="dxa"/>
            </w:tcMar>
            <w:vAlign w:val="center"/>
          </w:tcPr>
          <w:p>
            <w:pPr>
              <w:pStyle w:val="TableContents"/>
              <w:bidi w:val="0"/>
              <w:spacing w:before="0" w:after="283"/>
              <w:jc w:val="center"/>
              <w:rPr/>
            </w:pPr>
            <w:r>
              <w:rPr/>
              <w:t> </w:t>
            </w:r>
          </w:p>
        </w:tc>
        <w:tc>
          <w:tcPr>
            <w:tcW w:w="2015" w:type="dxa"/>
            <w:tcBorders/>
            <w:tcMar>
              <w:bottom w:w="0" w:type="dxa"/>
            </w:tcMar>
            <w:vAlign w:val="center"/>
          </w:tcPr>
          <w:p>
            <w:pPr>
              <w:pStyle w:val="TableContents"/>
              <w:bidi w:val="0"/>
              <w:spacing w:before="0" w:after="283"/>
              <w:jc w:val="center"/>
              <w:rPr>
                <w:sz w:val="20"/>
              </w:rPr>
            </w:pPr>
            <w:r>
              <w:rPr>
                <w:sz w:val="20"/>
              </w:rPr>
              <w:t>20.67%</w:t>
            </w:r>
          </w:p>
        </w:tc>
        <w:tc>
          <w:tcPr>
            <w:tcW w:w="90" w:type="dxa"/>
            <w:tcBorders/>
            <w:tcMar>
              <w:bottom w:w="0" w:type="dxa"/>
            </w:tcMar>
            <w:vAlign w:val="center"/>
          </w:tcPr>
          <w:p>
            <w:pPr>
              <w:pStyle w:val="TableContents"/>
              <w:bidi w:val="0"/>
              <w:spacing w:before="0" w:after="283"/>
              <w:jc w:val="center"/>
              <w:rPr/>
            </w:pPr>
            <w:r>
              <w:rPr/>
              <w:t> </w:t>
            </w:r>
          </w:p>
        </w:tc>
        <w:tc>
          <w:tcPr>
            <w:tcW w:w="2135" w:type="dxa"/>
            <w:gridSpan w:val="2"/>
            <w:tcBorders/>
            <w:tcMar>
              <w:bottom w:w="0" w:type="dxa"/>
            </w:tcMar>
            <w:vAlign w:val="center"/>
          </w:tcPr>
          <w:p>
            <w:pPr>
              <w:pStyle w:val="TableContents"/>
              <w:bidi w:val="0"/>
              <w:spacing w:before="0" w:after="283"/>
              <w:jc w:val="center"/>
              <w:rPr>
                <w:sz w:val="20"/>
              </w:rPr>
            </w:pPr>
            <w:r>
              <w:rPr>
                <w:sz w:val="20"/>
              </w:rPr>
              <w:t>21,642</w:t>
            </w:r>
          </w:p>
        </w:tc>
      </w:tr>
      <w:tr>
        <w:trPr/>
        <w:tc>
          <w:tcPr>
            <w:tcW w:w="1655" w:type="dxa"/>
            <w:tcBorders/>
            <w:shd w:fill="CCEEFF" w:val="clear"/>
            <w:tcMar>
              <w:bottom w:w="0" w:type="dxa"/>
            </w:tcMar>
            <w:vAlign w:val="center"/>
          </w:tcPr>
          <w:p>
            <w:pPr>
              <w:pStyle w:val="TableContents"/>
              <w:bidi w:val="0"/>
              <w:spacing w:before="0" w:after="283"/>
              <w:jc w:val="left"/>
              <w:rPr>
                <w:sz w:val="20"/>
              </w:rPr>
            </w:pPr>
            <w:r>
              <w:rPr>
                <w:sz w:val="20"/>
              </w:rPr>
              <w:t>Isida Tushe</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1535" w:type="dxa"/>
            <w:tcBorders/>
            <w:shd w:fill="CCEEFF" w:val="clear"/>
            <w:tcMar>
              <w:bottom w:w="0" w:type="dxa"/>
            </w:tcMar>
            <w:vAlign w:val="center"/>
          </w:tcPr>
          <w:p>
            <w:pPr>
              <w:pStyle w:val="TableContents"/>
              <w:bidi w:val="0"/>
              <w:spacing w:before="0" w:after="283"/>
              <w:jc w:val="center"/>
              <w:rPr>
                <w:sz w:val="20"/>
              </w:rPr>
            </w:pPr>
            <w:r>
              <w:rPr>
                <w:sz w:val="20"/>
              </w:rPr>
              <w:t>450,000</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1235" w:type="dxa"/>
            <w:tcBorders/>
            <w:shd w:fill="CCEEFF" w:val="clear"/>
            <w:tcMar>
              <w:bottom w:w="0" w:type="dxa"/>
            </w:tcMar>
            <w:vAlign w:val="center"/>
          </w:tcPr>
          <w:p>
            <w:pPr>
              <w:pStyle w:val="TableContents"/>
              <w:bidi w:val="0"/>
              <w:spacing w:before="0" w:after="283"/>
              <w:jc w:val="center"/>
              <w:rPr>
                <w:sz w:val="20"/>
              </w:rPr>
            </w:pPr>
            <w:r>
              <w:rPr>
                <w:sz w:val="20"/>
              </w:rPr>
              <w:t>50%</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1010" w:type="dxa"/>
            <w:tcBorders/>
            <w:shd w:fill="CCEEFF" w:val="clear"/>
            <w:tcMar>
              <w:bottom w:w="0" w:type="dxa"/>
            </w:tcMar>
            <w:vAlign w:val="center"/>
          </w:tcPr>
          <w:p>
            <w:pPr>
              <w:pStyle w:val="TableContents"/>
              <w:bidi w:val="0"/>
              <w:spacing w:before="0" w:after="283"/>
              <w:jc w:val="center"/>
              <w:rPr>
                <w:sz w:val="20"/>
              </w:rPr>
            </w:pPr>
            <w:r>
              <w:rPr>
                <w:sz w:val="20"/>
              </w:rPr>
              <w:t>225,000</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2015" w:type="dxa"/>
            <w:tcBorders/>
            <w:shd w:fill="CCEEFF" w:val="clear"/>
            <w:tcMar>
              <w:bottom w:w="0" w:type="dxa"/>
            </w:tcMar>
            <w:vAlign w:val="center"/>
          </w:tcPr>
          <w:p>
            <w:pPr>
              <w:pStyle w:val="TableContents"/>
              <w:bidi w:val="0"/>
              <w:spacing w:before="0" w:after="283"/>
              <w:jc w:val="center"/>
              <w:rPr>
                <w:sz w:val="20"/>
              </w:rPr>
            </w:pPr>
            <w:r>
              <w:rPr>
                <w:sz w:val="20"/>
              </w:rPr>
              <w:t>20.67%</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2135" w:type="dxa"/>
            <w:gridSpan w:val="2"/>
            <w:tcBorders/>
            <w:shd w:fill="CCEEFF" w:val="clear"/>
            <w:tcMar>
              <w:bottom w:w="0" w:type="dxa"/>
            </w:tcMar>
            <w:vAlign w:val="center"/>
          </w:tcPr>
          <w:p>
            <w:pPr>
              <w:pStyle w:val="TableContents"/>
              <w:bidi w:val="0"/>
              <w:spacing w:before="0" w:after="283"/>
              <w:jc w:val="center"/>
              <w:rPr>
                <w:sz w:val="20"/>
              </w:rPr>
            </w:pPr>
            <w:r>
              <w:rPr>
                <w:sz w:val="20"/>
              </w:rPr>
              <w:t>46,508</w:t>
            </w:r>
          </w:p>
        </w:tc>
      </w:tr>
      <w:tr>
        <w:trPr/>
        <w:tc>
          <w:tcPr>
            <w:tcW w:w="1655" w:type="dxa"/>
            <w:tcBorders/>
            <w:tcMar>
              <w:bottom w:w="0" w:type="dxa"/>
            </w:tcMar>
            <w:vAlign w:val="center"/>
          </w:tcPr>
          <w:p>
            <w:pPr>
              <w:pStyle w:val="TableContents"/>
              <w:bidi w:val="0"/>
              <w:spacing w:before="0" w:after="283"/>
              <w:jc w:val="left"/>
              <w:rPr>
                <w:sz w:val="20"/>
              </w:rPr>
            </w:pPr>
            <w:r>
              <w:rPr>
                <w:sz w:val="20"/>
              </w:rPr>
              <w:t>Dr. Shengxian Wu</w:t>
            </w:r>
          </w:p>
        </w:tc>
        <w:tc>
          <w:tcPr>
            <w:tcW w:w="90" w:type="dxa"/>
            <w:tcBorders/>
            <w:tcMar>
              <w:bottom w:w="0" w:type="dxa"/>
            </w:tcMar>
            <w:vAlign w:val="center"/>
          </w:tcPr>
          <w:p>
            <w:pPr>
              <w:pStyle w:val="TableContents"/>
              <w:bidi w:val="0"/>
              <w:spacing w:before="0" w:after="283"/>
              <w:jc w:val="center"/>
              <w:rPr/>
            </w:pPr>
            <w:r>
              <w:rPr/>
              <w:t> </w:t>
            </w:r>
          </w:p>
        </w:tc>
        <w:tc>
          <w:tcPr>
            <w:tcW w:w="1535" w:type="dxa"/>
            <w:tcBorders/>
            <w:tcMar>
              <w:bottom w:w="0" w:type="dxa"/>
            </w:tcMar>
            <w:vAlign w:val="center"/>
          </w:tcPr>
          <w:p>
            <w:pPr>
              <w:pStyle w:val="TableContents"/>
              <w:bidi w:val="0"/>
              <w:spacing w:before="0" w:after="283"/>
              <w:jc w:val="center"/>
              <w:rPr>
                <w:sz w:val="20"/>
              </w:rPr>
            </w:pPr>
            <w:r>
              <w:rPr>
                <w:sz w:val="20"/>
              </w:rPr>
              <w:t>400,000</w:t>
            </w:r>
          </w:p>
        </w:tc>
        <w:tc>
          <w:tcPr>
            <w:tcW w:w="90" w:type="dxa"/>
            <w:tcBorders/>
            <w:tcMar>
              <w:bottom w:w="0" w:type="dxa"/>
            </w:tcMar>
            <w:vAlign w:val="center"/>
          </w:tcPr>
          <w:p>
            <w:pPr>
              <w:pStyle w:val="TableContents"/>
              <w:bidi w:val="0"/>
              <w:spacing w:before="0" w:after="283"/>
              <w:jc w:val="center"/>
              <w:rPr/>
            </w:pPr>
            <w:r>
              <w:rPr/>
              <w:t> </w:t>
            </w:r>
          </w:p>
        </w:tc>
        <w:tc>
          <w:tcPr>
            <w:tcW w:w="1235" w:type="dxa"/>
            <w:tcBorders/>
            <w:tcMar>
              <w:bottom w:w="0" w:type="dxa"/>
            </w:tcMar>
            <w:vAlign w:val="center"/>
          </w:tcPr>
          <w:p>
            <w:pPr>
              <w:pStyle w:val="TableContents"/>
              <w:bidi w:val="0"/>
              <w:spacing w:before="0" w:after="283"/>
              <w:jc w:val="center"/>
              <w:rPr>
                <w:sz w:val="20"/>
              </w:rPr>
            </w:pPr>
            <w:r>
              <w:rPr>
                <w:sz w:val="20"/>
              </w:rPr>
              <w:t>50%</w:t>
            </w:r>
          </w:p>
        </w:tc>
        <w:tc>
          <w:tcPr>
            <w:tcW w:w="90" w:type="dxa"/>
            <w:tcBorders/>
            <w:tcMar>
              <w:bottom w:w="0" w:type="dxa"/>
            </w:tcMar>
            <w:vAlign w:val="center"/>
          </w:tcPr>
          <w:p>
            <w:pPr>
              <w:pStyle w:val="TableContents"/>
              <w:bidi w:val="0"/>
              <w:spacing w:before="0" w:after="283"/>
              <w:jc w:val="center"/>
              <w:rPr/>
            </w:pPr>
            <w:r>
              <w:rPr/>
              <w:t> </w:t>
            </w:r>
          </w:p>
        </w:tc>
        <w:tc>
          <w:tcPr>
            <w:tcW w:w="1010" w:type="dxa"/>
            <w:tcBorders/>
            <w:tcMar>
              <w:bottom w:w="0" w:type="dxa"/>
            </w:tcMar>
            <w:vAlign w:val="center"/>
          </w:tcPr>
          <w:p>
            <w:pPr>
              <w:pStyle w:val="TableContents"/>
              <w:bidi w:val="0"/>
              <w:spacing w:before="0" w:after="283"/>
              <w:jc w:val="center"/>
              <w:rPr>
                <w:sz w:val="20"/>
              </w:rPr>
            </w:pPr>
            <w:r>
              <w:rPr>
                <w:sz w:val="20"/>
              </w:rPr>
              <w:t>200,000</w:t>
            </w:r>
          </w:p>
        </w:tc>
        <w:tc>
          <w:tcPr>
            <w:tcW w:w="90" w:type="dxa"/>
            <w:tcBorders/>
            <w:tcMar>
              <w:bottom w:w="0" w:type="dxa"/>
            </w:tcMar>
            <w:vAlign w:val="center"/>
          </w:tcPr>
          <w:p>
            <w:pPr>
              <w:pStyle w:val="TableContents"/>
              <w:bidi w:val="0"/>
              <w:spacing w:before="0" w:after="283"/>
              <w:jc w:val="center"/>
              <w:rPr/>
            </w:pPr>
            <w:r>
              <w:rPr/>
              <w:t> </w:t>
            </w:r>
          </w:p>
        </w:tc>
        <w:tc>
          <w:tcPr>
            <w:tcW w:w="2015" w:type="dxa"/>
            <w:tcBorders/>
            <w:tcMar>
              <w:bottom w:w="0" w:type="dxa"/>
            </w:tcMar>
            <w:vAlign w:val="center"/>
          </w:tcPr>
          <w:p>
            <w:pPr>
              <w:pStyle w:val="TableContents"/>
              <w:bidi w:val="0"/>
              <w:spacing w:before="0" w:after="283"/>
              <w:jc w:val="center"/>
              <w:rPr>
                <w:sz w:val="20"/>
              </w:rPr>
            </w:pPr>
            <w:r>
              <w:rPr>
                <w:sz w:val="20"/>
              </w:rPr>
              <w:t>20.67%</w:t>
            </w:r>
          </w:p>
        </w:tc>
        <w:tc>
          <w:tcPr>
            <w:tcW w:w="90" w:type="dxa"/>
            <w:tcBorders/>
            <w:tcMar>
              <w:bottom w:w="0" w:type="dxa"/>
            </w:tcMar>
            <w:vAlign w:val="center"/>
          </w:tcPr>
          <w:p>
            <w:pPr>
              <w:pStyle w:val="TableContents"/>
              <w:bidi w:val="0"/>
              <w:spacing w:before="0" w:after="283"/>
              <w:jc w:val="center"/>
              <w:rPr/>
            </w:pPr>
            <w:r>
              <w:rPr/>
              <w:t> </w:t>
            </w:r>
          </w:p>
        </w:tc>
        <w:tc>
          <w:tcPr>
            <w:tcW w:w="2135" w:type="dxa"/>
            <w:gridSpan w:val="2"/>
            <w:tcBorders/>
            <w:tcMar>
              <w:bottom w:w="0" w:type="dxa"/>
            </w:tcMar>
            <w:vAlign w:val="center"/>
          </w:tcPr>
          <w:p>
            <w:pPr>
              <w:pStyle w:val="TableContents"/>
              <w:bidi w:val="0"/>
              <w:spacing w:before="0" w:after="283"/>
              <w:jc w:val="center"/>
              <w:rPr>
                <w:sz w:val="20"/>
              </w:rPr>
            </w:pPr>
            <w:r>
              <w:rPr>
                <w:sz w:val="20"/>
              </w:rPr>
              <w:t>41,340</w:t>
            </w:r>
          </w:p>
        </w:tc>
      </w:tr>
      <w:tr>
        <w:trPr/>
        <w:tc>
          <w:tcPr>
            <w:tcW w:w="1655" w:type="dxa"/>
            <w:tcBorders/>
            <w:shd w:fill="CCEEFF" w:val="clear"/>
            <w:tcMar>
              <w:bottom w:w="0" w:type="dxa"/>
            </w:tcMar>
            <w:vAlign w:val="center"/>
          </w:tcPr>
          <w:p>
            <w:pPr>
              <w:pStyle w:val="TableContents"/>
              <w:bidi w:val="0"/>
              <w:spacing w:before="0" w:after="283"/>
              <w:jc w:val="left"/>
              <w:rPr>
                <w:sz w:val="20"/>
              </w:rPr>
            </w:pPr>
            <w:r>
              <w:rPr>
                <w:sz w:val="20"/>
              </w:rPr>
              <w:t>Dr. Wenjuan Mattis</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1535" w:type="dxa"/>
            <w:tcBorders/>
            <w:shd w:fill="CCEEFF" w:val="clear"/>
            <w:tcMar>
              <w:bottom w:w="0" w:type="dxa"/>
            </w:tcMar>
            <w:vAlign w:val="center"/>
          </w:tcPr>
          <w:p>
            <w:pPr>
              <w:pStyle w:val="TableContents"/>
              <w:bidi w:val="0"/>
              <w:spacing w:before="0" w:after="283"/>
              <w:jc w:val="center"/>
              <w:rPr>
                <w:sz w:val="20"/>
              </w:rPr>
            </w:pPr>
            <w:r>
              <w:rPr>
                <w:sz w:val="20"/>
              </w:rPr>
              <w:t>400,000</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1235" w:type="dxa"/>
            <w:tcBorders/>
            <w:shd w:fill="CCEEFF" w:val="clear"/>
            <w:tcMar>
              <w:bottom w:w="0" w:type="dxa"/>
            </w:tcMar>
            <w:vAlign w:val="center"/>
          </w:tcPr>
          <w:p>
            <w:pPr>
              <w:pStyle w:val="TableContents"/>
              <w:bidi w:val="0"/>
              <w:spacing w:before="0" w:after="283"/>
              <w:jc w:val="center"/>
              <w:rPr>
                <w:sz w:val="20"/>
              </w:rPr>
            </w:pPr>
            <w:r>
              <w:rPr>
                <w:sz w:val="20"/>
              </w:rPr>
              <w:t>50%</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1010" w:type="dxa"/>
            <w:tcBorders/>
            <w:shd w:fill="CCEEFF" w:val="clear"/>
            <w:tcMar>
              <w:bottom w:w="0" w:type="dxa"/>
            </w:tcMar>
            <w:vAlign w:val="center"/>
          </w:tcPr>
          <w:p>
            <w:pPr>
              <w:pStyle w:val="TableContents"/>
              <w:bidi w:val="0"/>
              <w:spacing w:before="0" w:after="283"/>
              <w:jc w:val="center"/>
              <w:rPr>
                <w:sz w:val="20"/>
              </w:rPr>
            </w:pPr>
            <w:r>
              <w:rPr>
                <w:sz w:val="20"/>
              </w:rPr>
              <w:t>200,000</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2015" w:type="dxa"/>
            <w:tcBorders/>
            <w:shd w:fill="CCEEFF" w:val="clear"/>
            <w:tcMar>
              <w:bottom w:w="0" w:type="dxa"/>
            </w:tcMar>
            <w:vAlign w:val="center"/>
          </w:tcPr>
          <w:p>
            <w:pPr>
              <w:pStyle w:val="TableContents"/>
              <w:bidi w:val="0"/>
              <w:spacing w:before="0" w:after="283"/>
              <w:jc w:val="center"/>
              <w:rPr>
                <w:sz w:val="20"/>
              </w:rPr>
            </w:pPr>
            <w:r>
              <w:rPr>
                <w:sz w:val="20"/>
              </w:rPr>
              <w:t>20.67%</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2135" w:type="dxa"/>
            <w:gridSpan w:val="2"/>
            <w:tcBorders/>
            <w:shd w:fill="CCEEFF" w:val="clear"/>
            <w:tcMar>
              <w:bottom w:w="0" w:type="dxa"/>
            </w:tcMar>
            <w:vAlign w:val="center"/>
          </w:tcPr>
          <w:p>
            <w:pPr>
              <w:pStyle w:val="TableContents"/>
              <w:bidi w:val="0"/>
              <w:spacing w:before="0" w:after="283"/>
              <w:jc w:val="center"/>
              <w:rPr>
                <w:sz w:val="20"/>
              </w:rPr>
            </w:pPr>
            <w:r>
              <w:rPr>
                <w:sz w:val="20"/>
              </w:rPr>
              <w:t>41,340</w:t>
            </w:r>
          </w:p>
        </w:tc>
      </w:tr>
      <w:tr>
        <w:trPr/>
        <w:tc>
          <w:tcPr>
            <w:tcW w:w="1655" w:type="dxa"/>
            <w:tcBorders/>
            <w:tcMar>
              <w:bottom w:w="0" w:type="dxa"/>
            </w:tcMar>
            <w:vAlign w:val="center"/>
          </w:tcPr>
          <w:p>
            <w:pPr>
              <w:pStyle w:val="TableContents"/>
              <w:bidi w:val="0"/>
              <w:spacing w:before="0" w:after="283"/>
              <w:jc w:val="left"/>
              <w:rPr>
                <w:sz w:val="20"/>
              </w:rPr>
            </w:pPr>
            <w:r>
              <w:rPr>
                <w:sz w:val="20"/>
              </w:rPr>
              <w:t>Carl T. Schultz</w:t>
            </w:r>
            <w:r>
              <w:rPr>
                <w:position w:val="7"/>
                <w:sz w:val="16"/>
                <w:sz w:val="20"/>
              </w:rPr>
              <w:t>(1)</w:t>
            </w:r>
          </w:p>
        </w:tc>
        <w:tc>
          <w:tcPr>
            <w:tcW w:w="90" w:type="dxa"/>
            <w:tcBorders/>
            <w:tcMar>
              <w:bottom w:w="0" w:type="dxa"/>
            </w:tcMar>
            <w:vAlign w:val="center"/>
          </w:tcPr>
          <w:p>
            <w:pPr>
              <w:pStyle w:val="TableContents"/>
              <w:bidi w:val="0"/>
              <w:spacing w:before="0" w:after="283"/>
              <w:jc w:val="center"/>
              <w:rPr/>
            </w:pPr>
            <w:r>
              <w:rPr/>
              <w:t> </w:t>
            </w:r>
          </w:p>
        </w:tc>
        <w:tc>
          <w:tcPr>
            <w:tcW w:w="1535" w:type="dxa"/>
            <w:tcBorders/>
            <w:tcMar>
              <w:bottom w:w="0" w:type="dxa"/>
            </w:tcMar>
            <w:vAlign w:val="center"/>
          </w:tcPr>
          <w:p>
            <w:pPr>
              <w:pStyle w:val="TableContents"/>
              <w:bidi w:val="0"/>
              <w:spacing w:before="0" w:after="283"/>
              <w:jc w:val="center"/>
              <w:rPr>
                <w:sz w:val="20"/>
              </w:rPr>
            </w:pPr>
            <w:r>
              <w:rPr>
                <w:sz w:val="20"/>
              </w:rPr>
              <w:t>420,000</w:t>
            </w:r>
          </w:p>
        </w:tc>
        <w:tc>
          <w:tcPr>
            <w:tcW w:w="90" w:type="dxa"/>
            <w:tcBorders/>
            <w:tcMar>
              <w:bottom w:w="0" w:type="dxa"/>
            </w:tcMar>
            <w:vAlign w:val="center"/>
          </w:tcPr>
          <w:p>
            <w:pPr>
              <w:pStyle w:val="TableContents"/>
              <w:bidi w:val="0"/>
              <w:spacing w:before="0" w:after="283"/>
              <w:jc w:val="center"/>
              <w:rPr/>
            </w:pPr>
            <w:r>
              <w:rPr/>
              <w:t> </w:t>
            </w:r>
          </w:p>
        </w:tc>
        <w:tc>
          <w:tcPr>
            <w:tcW w:w="1235" w:type="dxa"/>
            <w:tcBorders/>
            <w:tcMar>
              <w:bottom w:w="0" w:type="dxa"/>
            </w:tcMar>
            <w:vAlign w:val="center"/>
          </w:tcPr>
          <w:p>
            <w:pPr>
              <w:pStyle w:val="TableContents"/>
              <w:bidi w:val="0"/>
              <w:spacing w:before="0" w:after="283"/>
              <w:jc w:val="center"/>
              <w:rPr>
                <w:sz w:val="20"/>
              </w:rPr>
            </w:pPr>
            <w:r>
              <w:rPr>
                <w:sz w:val="20"/>
              </w:rPr>
              <w:t>50%</w:t>
            </w:r>
          </w:p>
        </w:tc>
        <w:tc>
          <w:tcPr>
            <w:tcW w:w="90" w:type="dxa"/>
            <w:tcBorders/>
            <w:tcMar>
              <w:bottom w:w="0" w:type="dxa"/>
            </w:tcMar>
            <w:vAlign w:val="center"/>
          </w:tcPr>
          <w:p>
            <w:pPr>
              <w:pStyle w:val="TableContents"/>
              <w:bidi w:val="0"/>
              <w:spacing w:before="0" w:after="283"/>
              <w:jc w:val="center"/>
              <w:rPr/>
            </w:pPr>
            <w:r>
              <w:rPr/>
              <w:t> </w:t>
            </w:r>
          </w:p>
        </w:tc>
        <w:tc>
          <w:tcPr>
            <w:tcW w:w="1010" w:type="dxa"/>
            <w:tcBorders/>
            <w:tcMar>
              <w:bottom w:w="0" w:type="dxa"/>
            </w:tcMar>
            <w:vAlign w:val="center"/>
          </w:tcPr>
          <w:p>
            <w:pPr>
              <w:pStyle w:val="TableContents"/>
              <w:bidi w:val="0"/>
              <w:spacing w:before="0" w:after="283"/>
              <w:jc w:val="center"/>
              <w:rPr>
                <w:sz w:val="20"/>
              </w:rPr>
            </w:pPr>
            <w:r>
              <w:rPr>
                <w:sz w:val="20"/>
              </w:rPr>
              <w:t>210,000</w:t>
            </w:r>
          </w:p>
        </w:tc>
        <w:tc>
          <w:tcPr>
            <w:tcW w:w="90" w:type="dxa"/>
            <w:tcBorders/>
            <w:tcMar>
              <w:bottom w:w="0" w:type="dxa"/>
            </w:tcMar>
            <w:vAlign w:val="center"/>
          </w:tcPr>
          <w:p>
            <w:pPr>
              <w:pStyle w:val="TableContents"/>
              <w:bidi w:val="0"/>
              <w:spacing w:before="0" w:after="283"/>
              <w:jc w:val="center"/>
              <w:rPr/>
            </w:pPr>
            <w:r>
              <w:rPr/>
              <w:t> </w:t>
            </w:r>
          </w:p>
        </w:tc>
        <w:tc>
          <w:tcPr>
            <w:tcW w:w="2015" w:type="dxa"/>
            <w:tcBorders/>
            <w:tcMar>
              <w:bottom w:w="0" w:type="dxa"/>
            </w:tcMar>
            <w:vAlign w:val="center"/>
          </w:tcPr>
          <w:p>
            <w:pPr>
              <w:pStyle w:val="TableContents"/>
              <w:bidi w:val="0"/>
              <w:spacing w:before="0" w:after="283"/>
              <w:jc w:val="center"/>
              <w:rPr/>
            </w:pPr>
            <w:r>
              <w:rPr/>
              <w:t>—</w:t>
            </w:r>
          </w:p>
        </w:tc>
        <w:tc>
          <w:tcPr>
            <w:tcW w:w="90" w:type="dxa"/>
            <w:tcBorders/>
            <w:tcMar>
              <w:bottom w:w="0" w:type="dxa"/>
            </w:tcMar>
            <w:vAlign w:val="center"/>
          </w:tcPr>
          <w:p>
            <w:pPr>
              <w:pStyle w:val="TableContents"/>
              <w:bidi w:val="0"/>
              <w:spacing w:before="0" w:after="283"/>
              <w:jc w:val="center"/>
              <w:rPr/>
            </w:pPr>
            <w:r>
              <w:rPr/>
              <w:t> </w:t>
            </w:r>
          </w:p>
        </w:tc>
        <w:tc>
          <w:tcPr>
            <w:tcW w:w="2135" w:type="dxa"/>
            <w:gridSpan w:val="2"/>
            <w:tcBorders/>
            <w:tcMar>
              <w:bottom w:w="0" w:type="dxa"/>
            </w:tcMar>
            <w:vAlign w:val="center"/>
          </w:tcPr>
          <w:p>
            <w:pPr>
              <w:pStyle w:val="TableContents"/>
              <w:bidi w:val="0"/>
              <w:spacing w:before="0" w:after="283"/>
              <w:jc w:val="center"/>
              <w:rPr>
                <w:sz w:val="20"/>
              </w:rPr>
            </w:pPr>
            <w:r>
              <w:rPr>
                <w:sz w:val="20"/>
              </w:rPr>
              <w:t>0</w:t>
            </w:r>
          </w:p>
        </w:tc>
      </w:tr>
    </w:tbl>
    <w:p>
      <w:pPr>
        <w:pStyle w:val="TextBody"/>
        <w:bidi w:val="0"/>
        <w:jc w:val="left"/>
        <w:rPr>
          <w:caps w:val="false"/>
          <w:smallCaps w:val="false"/>
        </w:rPr>
      </w:pPr>
      <w:r>
        <w:rPr>
          <w:caps w:val="false"/>
          <w:smallCaps w:val="false"/>
        </w:rPr>
        <w:t> </w:t>
      </w:r>
    </w:p>
    <w:tbl>
      <w:tblPr>
        <w:tblW w:w="590" w:type="dxa"/>
        <w:jc w:val="left"/>
        <w:tblInd w:w="0" w:type="dxa"/>
        <w:tblLayout w:type="fixed"/>
        <w:tblCellMar>
          <w:top w:w="0" w:type="dxa"/>
          <w:left w:w="0" w:type="dxa"/>
          <w:bottom w:w="0" w:type="dxa"/>
          <w:right w:w="0" w:type="dxa"/>
        </w:tblCellMar>
      </w:tblPr>
      <w:tblGrid>
        <w:gridCol w:w="105"/>
        <w:gridCol w:w="350"/>
        <w:gridCol w:w="135"/>
      </w:tblGrid>
      <w:tr>
        <w:trPr/>
        <w:tc>
          <w:tcPr>
            <w:tcW w:w="10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 </w:t>
            </w:r>
            <w:r>
              <w:rPr/>
              <w:t>25</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tbl>
      <w:tblPr>
        <w:tblW w:w="4500" w:type="dxa"/>
        <w:jc w:val="left"/>
        <w:tblInd w:w="0" w:type="dxa"/>
        <w:tblLayout w:type="fixed"/>
        <w:tblCellMar>
          <w:top w:w="0" w:type="dxa"/>
          <w:left w:w="0" w:type="dxa"/>
          <w:bottom w:w="0" w:type="dxa"/>
          <w:right w:w="0" w:type="dxa"/>
        </w:tblCellMar>
      </w:tblPr>
      <w:tblGrid>
        <w:gridCol w:w="1685"/>
        <w:gridCol w:w="90"/>
        <w:gridCol w:w="725"/>
        <w:gridCol w:w="90"/>
        <w:gridCol w:w="425"/>
        <w:gridCol w:w="90"/>
        <w:gridCol w:w="725"/>
        <w:gridCol w:w="90"/>
        <w:gridCol w:w="290"/>
        <w:gridCol w:w="90"/>
        <w:gridCol w:w="200"/>
      </w:tblGrid>
      <w:tr>
        <w:trPr/>
        <w:tc>
          <w:tcPr>
            <w:tcW w:w="1685" w:type="dxa"/>
            <w:tcBorders/>
            <w:vAlign w:val="center"/>
          </w:tcPr>
          <w:p>
            <w:pPr>
              <w:pStyle w:val="TableContents"/>
              <w:bidi w:val="0"/>
              <w:spacing w:before="0" w:after="283"/>
              <w:jc w:val="left"/>
              <w:rPr>
                <w:sz w:val="20"/>
              </w:rPr>
            </w:pPr>
            <w:r>
              <w:rPr>
                <w:sz w:val="20"/>
              </w:rPr>
              <w:t>Fariyal Khanbabi</w:t>
            </w:r>
            <w:r>
              <w:rPr>
                <w:position w:val="7"/>
                <w:sz w:val="16"/>
                <w:sz w:val="20"/>
              </w:rPr>
              <w:t>(1)</w:t>
            </w:r>
          </w:p>
        </w:tc>
        <w:tc>
          <w:tcPr>
            <w:tcW w:w="90" w:type="dxa"/>
            <w:tcBorders/>
            <w:vAlign w:val="center"/>
          </w:tcPr>
          <w:p>
            <w:pPr>
              <w:pStyle w:val="TableContents"/>
              <w:bidi w:val="0"/>
              <w:spacing w:before="0" w:after="283"/>
              <w:jc w:val="center"/>
              <w:rPr/>
            </w:pPr>
            <w:r>
              <w:rPr/>
              <w:t> </w:t>
            </w:r>
          </w:p>
        </w:tc>
        <w:tc>
          <w:tcPr>
            <w:tcW w:w="725" w:type="dxa"/>
            <w:tcBorders/>
            <w:vAlign w:val="center"/>
          </w:tcPr>
          <w:p>
            <w:pPr>
              <w:pStyle w:val="TableContents"/>
              <w:bidi w:val="0"/>
              <w:spacing w:before="0" w:after="283"/>
              <w:jc w:val="center"/>
              <w:rPr>
                <w:sz w:val="20"/>
              </w:rPr>
            </w:pPr>
            <w:r>
              <w:rPr>
                <w:sz w:val="20"/>
              </w:rPr>
              <w:t>400,000</w:t>
            </w:r>
          </w:p>
        </w:tc>
        <w:tc>
          <w:tcPr>
            <w:tcW w:w="90" w:type="dxa"/>
            <w:tcBorders/>
            <w:vAlign w:val="center"/>
          </w:tcPr>
          <w:p>
            <w:pPr>
              <w:pStyle w:val="TableContents"/>
              <w:bidi w:val="0"/>
              <w:spacing w:before="0" w:after="283"/>
              <w:jc w:val="center"/>
              <w:rPr/>
            </w:pPr>
            <w:r>
              <w:rPr/>
              <w:t> </w:t>
            </w:r>
          </w:p>
        </w:tc>
        <w:tc>
          <w:tcPr>
            <w:tcW w:w="425" w:type="dxa"/>
            <w:tcBorders/>
            <w:vAlign w:val="center"/>
          </w:tcPr>
          <w:p>
            <w:pPr>
              <w:pStyle w:val="TableContents"/>
              <w:bidi w:val="0"/>
              <w:spacing w:before="0" w:after="283"/>
              <w:jc w:val="center"/>
              <w:rPr>
                <w:sz w:val="20"/>
              </w:rPr>
            </w:pPr>
            <w:r>
              <w:rPr>
                <w:sz w:val="20"/>
              </w:rPr>
              <w:t>25%</w:t>
            </w:r>
          </w:p>
        </w:tc>
        <w:tc>
          <w:tcPr>
            <w:tcW w:w="90" w:type="dxa"/>
            <w:tcBorders/>
            <w:vAlign w:val="center"/>
          </w:tcPr>
          <w:p>
            <w:pPr>
              <w:pStyle w:val="TableContents"/>
              <w:bidi w:val="0"/>
              <w:spacing w:before="0" w:after="283"/>
              <w:jc w:val="center"/>
              <w:rPr/>
            </w:pPr>
            <w:r>
              <w:rPr/>
              <w:t> </w:t>
            </w:r>
          </w:p>
        </w:tc>
        <w:tc>
          <w:tcPr>
            <w:tcW w:w="725" w:type="dxa"/>
            <w:tcBorders/>
            <w:vAlign w:val="center"/>
          </w:tcPr>
          <w:p>
            <w:pPr>
              <w:pStyle w:val="TableContents"/>
              <w:bidi w:val="0"/>
              <w:spacing w:before="0" w:after="283"/>
              <w:jc w:val="center"/>
              <w:rPr>
                <w:sz w:val="20"/>
              </w:rPr>
            </w:pPr>
            <w:r>
              <w:rPr>
                <w:sz w:val="20"/>
              </w:rPr>
              <w:t>100,000</w:t>
            </w:r>
          </w:p>
        </w:tc>
        <w:tc>
          <w:tcPr>
            <w:tcW w:w="90" w:type="dxa"/>
            <w:tcBorders/>
            <w:vAlign w:val="center"/>
          </w:tcPr>
          <w:p>
            <w:pPr>
              <w:pStyle w:val="TableContents"/>
              <w:bidi w:val="0"/>
              <w:spacing w:before="0" w:after="283"/>
              <w:jc w:val="center"/>
              <w:rPr/>
            </w:pPr>
            <w:r>
              <w:rPr/>
              <w:t> </w:t>
            </w:r>
          </w:p>
        </w:tc>
        <w:tc>
          <w:tcPr>
            <w:tcW w:w="290" w:type="dxa"/>
            <w:tcBorders/>
            <w:vAlign w:val="center"/>
          </w:tcPr>
          <w:p>
            <w:pPr>
              <w:pStyle w:val="TableContents"/>
              <w:bidi w:val="0"/>
              <w:spacing w:before="0" w:after="283"/>
              <w:jc w:val="center"/>
              <w:rPr/>
            </w:pPr>
            <w:r>
              <w:rPr/>
              <w:t>—</w:t>
            </w:r>
          </w:p>
        </w:tc>
        <w:tc>
          <w:tcPr>
            <w:tcW w:w="90" w:type="dxa"/>
            <w:tcBorders/>
            <w:vAlign w:val="center"/>
          </w:tcPr>
          <w:p>
            <w:pPr>
              <w:pStyle w:val="TableContents"/>
              <w:bidi w:val="0"/>
              <w:spacing w:before="0" w:after="283"/>
              <w:jc w:val="center"/>
              <w:rPr/>
            </w:pPr>
            <w:r>
              <w:rPr/>
              <w:t> </w:t>
            </w:r>
          </w:p>
        </w:tc>
        <w:tc>
          <w:tcPr>
            <w:tcW w:w="200" w:type="dxa"/>
            <w:tcBorders/>
            <w:vAlign w:val="center"/>
          </w:tcPr>
          <w:p>
            <w:pPr>
              <w:pStyle w:val="TableContents"/>
              <w:bidi w:val="0"/>
              <w:spacing w:before="0" w:after="283"/>
              <w:jc w:val="center"/>
              <w:rPr>
                <w:sz w:val="20"/>
              </w:rPr>
            </w:pPr>
            <w:r>
              <w:rPr>
                <w:sz w:val="20"/>
              </w:rPr>
              <w:t>0</w:t>
            </w:r>
          </w:p>
        </w:tc>
      </w:tr>
    </w:tbl>
    <w:p>
      <w:pPr>
        <w:pStyle w:val="TextBody"/>
        <w:bidi w:val="0"/>
        <w:ind w:left="36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64"/>
        <w:gridCol w:w="9874"/>
      </w:tblGrid>
      <w:tr>
        <w:trPr/>
        <w:tc>
          <w:tcPr>
            <w:tcW w:w="67"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20"/>
              </w:rPr>
            </w:pPr>
            <w:r>
              <w:rPr>
                <w:sz w:val="20"/>
              </w:rPr>
              <w:t>(1)</w:t>
            </w:r>
          </w:p>
        </w:tc>
        <w:tc>
          <w:tcPr>
            <w:tcW w:w="9874" w:type="dxa"/>
            <w:tcBorders/>
            <w:vAlign w:val="center"/>
          </w:tcPr>
          <w:p>
            <w:pPr>
              <w:pStyle w:val="TableContents"/>
              <w:bidi w:val="0"/>
              <w:spacing w:before="0" w:after="283"/>
              <w:jc w:val="both"/>
              <w:rPr>
                <w:sz w:val="20"/>
              </w:rPr>
            </w:pPr>
            <w:r>
              <w:rPr>
                <w:sz w:val="20"/>
              </w:rPr>
              <w:t>Mr. Schultz and Ms. Khanbabi were not eligible to receive a 2025 AIP payout following the cessation of their employment during the fiscal year.</w:t>
            </w:r>
          </w:p>
        </w:tc>
      </w:tr>
    </w:tbl>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Long-Term Incentives</w:t>
      </w:r>
    </w:p>
    <w:p>
      <w:pPr>
        <w:pStyle w:val="TextBody"/>
        <w:bidi w:val="0"/>
        <w:spacing w:before="240" w:after="240"/>
        <w:ind w:left="240" w:right="24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We provide equity incentive awards to our NEOs to support retention and focus on building long-term stockholder value through their future performance. During Fiscal 2025, we granted annual equity awards in the form of service-based restricted stock units (“RSUs”) and performance-based restricted stock units (“PSUs”) to our NEOs. For our NEOs, the equity awards were allocated 50% to PSUs and 50% to RSUs. Due to his appointment as Interim Chief Financial Officer in August 2025, Mr. Worthen did not receive an annual equity award for Fiscal 2025. Because her employment terminated before the Fiscal 2025 annual equity awards were granted, Ms. Khanbabi did not receive an annual equity award for Fiscal 2025. In Fiscal 2025, the Compensation Committee approved the following annual equity awards:</w:t>
      </w:r>
    </w:p>
    <w:tbl>
      <w:tblPr>
        <w:tblW w:w="7100" w:type="dxa"/>
        <w:jc w:val="left"/>
        <w:tblInd w:w="0" w:type="dxa"/>
        <w:tblLayout w:type="fixed"/>
        <w:tblCellMar>
          <w:top w:w="0" w:type="dxa"/>
          <w:left w:w="0" w:type="dxa"/>
          <w:bottom w:w="28" w:type="dxa"/>
          <w:right w:w="0" w:type="dxa"/>
        </w:tblCellMar>
      </w:tblPr>
      <w:tblGrid>
        <w:gridCol w:w="1655"/>
        <w:gridCol w:w="90"/>
        <w:gridCol w:w="1340"/>
        <w:gridCol w:w="90"/>
        <w:gridCol w:w="1325"/>
        <w:gridCol w:w="90"/>
        <w:gridCol w:w="2510"/>
      </w:tblGrid>
      <w:tr>
        <w:trPr/>
        <w:tc>
          <w:tcPr>
            <w:tcW w:w="1655" w:type="dxa"/>
            <w:tcBorders>
              <w:bottom w:val="single" w:sz="8" w:space="0" w:color="000000"/>
            </w:tcBorders>
            <w:vAlign w:val="center"/>
          </w:tcPr>
          <w:p>
            <w:pPr>
              <w:pStyle w:val="TableContents"/>
              <w:bidi w:val="0"/>
              <w:spacing w:before="0" w:after="283"/>
              <w:jc w:val="left"/>
              <w:rPr>
                <w:b/>
                <w:sz w:val="20"/>
              </w:rPr>
            </w:pPr>
            <w:r>
              <w:rPr>
                <w:b/>
                <w:sz w:val="20"/>
              </w:rPr>
              <w:t>Name</w:t>
            </w:r>
          </w:p>
        </w:tc>
        <w:tc>
          <w:tcPr>
            <w:tcW w:w="90" w:type="dxa"/>
            <w:tcBorders/>
            <w:tcMar>
              <w:bottom w:w="0" w:type="dxa"/>
            </w:tcMar>
            <w:vAlign w:val="center"/>
          </w:tcPr>
          <w:p>
            <w:pPr>
              <w:pStyle w:val="TableContents"/>
              <w:bidi w:val="0"/>
              <w:spacing w:before="0" w:after="283"/>
              <w:jc w:val="left"/>
              <w:rPr/>
            </w:pPr>
            <w:r>
              <w:rPr/>
              <w:t> </w:t>
            </w:r>
          </w:p>
        </w:tc>
        <w:tc>
          <w:tcPr>
            <w:tcW w:w="1340" w:type="dxa"/>
            <w:tcBorders>
              <w:bottom w:val="single" w:sz="8" w:space="0" w:color="000000"/>
            </w:tcBorders>
            <w:vAlign w:val="center"/>
          </w:tcPr>
          <w:p>
            <w:pPr>
              <w:pStyle w:val="TableContents"/>
              <w:bidi w:val="0"/>
              <w:spacing w:before="0" w:after="283"/>
              <w:jc w:val="center"/>
              <w:rPr>
                <w:b/>
                <w:sz w:val="20"/>
              </w:rPr>
            </w:pPr>
            <w:r>
              <w:rPr>
                <w:b/>
                <w:sz w:val="20"/>
              </w:rPr>
              <w:t>RSUs (50%) (#)</w:t>
            </w:r>
          </w:p>
        </w:tc>
        <w:tc>
          <w:tcPr>
            <w:tcW w:w="90" w:type="dxa"/>
            <w:tcBorders/>
            <w:tcMar>
              <w:bottom w:w="0" w:type="dxa"/>
            </w:tcMar>
            <w:vAlign w:val="center"/>
          </w:tcPr>
          <w:p>
            <w:pPr>
              <w:pStyle w:val="TableContents"/>
              <w:bidi w:val="0"/>
              <w:spacing w:before="0" w:after="283"/>
              <w:jc w:val="left"/>
              <w:rPr/>
            </w:pPr>
            <w:r>
              <w:rPr/>
              <w:t> </w:t>
            </w:r>
          </w:p>
        </w:tc>
        <w:tc>
          <w:tcPr>
            <w:tcW w:w="1325" w:type="dxa"/>
            <w:tcBorders>
              <w:bottom w:val="single" w:sz="8" w:space="0" w:color="000000"/>
            </w:tcBorders>
            <w:vAlign w:val="center"/>
          </w:tcPr>
          <w:p>
            <w:pPr>
              <w:pStyle w:val="TableContents"/>
              <w:bidi w:val="0"/>
              <w:spacing w:before="0" w:after="283"/>
              <w:jc w:val="center"/>
              <w:rPr>
                <w:b/>
                <w:sz w:val="20"/>
              </w:rPr>
            </w:pPr>
            <w:r>
              <w:rPr>
                <w:b/>
                <w:sz w:val="20"/>
              </w:rPr>
              <w:t>PSUs (50%) (#)</w:t>
            </w:r>
          </w:p>
        </w:tc>
        <w:tc>
          <w:tcPr>
            <w:tcW w:w="90" w:type="dxa"/>
            <w:tcBorders/>
            <w:tcMar>
              <w:bottom w:w="0" w:type="dxa"/>
            </w:tcMar>
            <w:vAlign w:val="center"/>
          </w:tcPr>
          <w:p>
            <w:pPr>
              <w:pStyle w:val="TableContents"/>
              <w:bidi w:val="0"/>
              <w:spacing w:before="0" w:after="283"/>
              <w:jc w:val="center"/>
              <w:rPr/>
            </w:pPr>
            <w:r>
              <w:rPr/>
              <w:t> </w:t>
            </w:r>
          </w:p>
        </w:tc>
        <w:tc>
          <w:tcPr>
            <w:tcW w:w="2510" w:type="dxa"/>
            <w:tcBorders>
              <w:bottom w:val="single" w:sz="8" w:space="0" w:color="000000"/>
            </w:tcBorders>
            <w:vAlign w:val="center"/>
          </w:tcPr>
          <w:p>
            <w:pPr>
              <w:pStyle w:val="TableContents"/>
              <w:bidi w:val="0"/>
              <w:spacing w:before="0" w:after="283"/>
              <w:jc w:val="center"/>
              <w:rPr>
                <w:b/>
                <w:sz w:val="20"/>
              </w:rPr>
            </w:pPr>
            <w:r>
              <w:rPr>
                <w:b/>
                <w:sz w:val="20"/>
              </w:rPr>
              <w:t>Total Grant Date Fair Value</w:t>
            </w:r>
          </w:p>
        </w:tc>
      </w:tr>
      <w:tr>
        <w:trPr/>
        <w:tc>
          <w:tcPr>
            <w:tcW w:w="1655" w:type="dxa"/>
            <w:tcBorders/>
            <w:shd w:fill="CCEEFF" w:val="clear"/>
            <w:tcMar>
              <w:bottom w:w="0" w:type="dxa"/>
            </w:tcMar>
            <w:vAlign w:val="center"/>
          </w:tcPr>
          <w:p>
            <w:pPr>
              <w:pStyle w:val="TableContents"/>
              <w:bidi w:val="0"/>
              <w:spacing w:before="0" w:after="283"/>
              <w:jc w:val="left"/>
              <w:rPr>
                <w:sz w:val="20"/>
              </w:rPr>
            </w:pPr>
            <w:r>
              <w:rPr>
                <w:sz w:val="20"/>
              </w:rPr>
              <w:t>Yang Wu</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40" w:type="dxa"/>
            <w:tcBorders/>
            <w:shd w:fill="CCEEFF" w:val="clear"/>
            <w:tcMar>
              <w:bottom w:w="0" w:type="dxa"/>
            </w:tcMar>
            <w:vAlign w:val="center"/>
          </w:tcPr>
          <w:p>
            <w:pPr>
              <w:pStyle w:val="TableContents"/>
              <w:bidi w:val="0"/>
              <w:spacing w:before="0" w:after="283"/>
              <w:jc w:val="right"/>
              <w:rPr>
                <w:sz w:val="20"/>
              </w:rPr>
            </w:pPr>
            <w:r>
              <w:rPr>
                <w:sz w:val="20"/>
              </w:rPr>
              <w:t>450,581</w:t>
            </w:r>
          </w:p>
        </w:tc>
        <w:tc>
          <w:tcPr>
            <w:tcW w:w="90" w:type="dxa"/>
            <w:tcBorders/>
            <w:shd w:fill="CCEEFF" w:val="clear"/>
            <w:tcMar>
              <w:bottom w:w="0" w:type="dxa"/>
            </w:tcMar>
            <w:vAlign w:val="center"/>
          </w:tcPr>
          <w:p>
            <w:pPr>
              <w:pStyle w:val="TableContents"/>
              <w:bidi w:val="0"/>
              <w:spacing w:before="0" w:after="283"/>
              <w:jc w:val="right"/>
              <w:rPr/>
            </w:pPr>
            <w:r>
              <w:rPr/>
              <w:t> </w:t>
            </w:r>
          </w:p>
        </w:tc>
        <w:tc>
          <w:tcPr>
            <w:tcW w:w="1325" w:type="dxa"/>
            <w:tcBorders/>
            <w:shd w:fill="CCEEFF" w:val="clear"/>
            <w:tcMar>
              <w:bottom w:w="0" w:type="dxa"/>
            </w:tcMar>
            <w:vAlign w:val="center"/>
          </w:tcPr>
          <w:p>
            <w:pPr>
              <w:pStyle w:val="TableContents"/>
              <w:bidi w:val="0"/>
              <w:spacing w:before="0" w:after="283"/>
              <w:jc w:val="right"/>
              <w:rPr>
                <w:sz w:val="20"/>
              </w:rPr>
            </w:pPr>
            <w:r>
              <w:rPr>
                <w:sz w:val="20"/>
              </w:rPr>
              <w:t>450,581</w:t>
            </w:r>
          </w:p>
        </w:tc>
        <w:tc>
          <w:tcPr>
            <w:tcW w:w="90" w:type="dxa"/>
            <w:tcBorders/>
            <w:shd w:fill="CCEEFF" w:val="clear"/>
            <w:tcMar>
              <w:bottom w:w="0" w:type="dxa"/>
            </w:tcMar>
            <w:vAlign w:val="center"/>
          </w:tcPr>
          <w:p>
            <w:pPr>
              <w:pStyle w:val="TableContents"/>
              <w:bidi w:val="0"/>
              <w:spacing w:before="0" w:after="283"/>
              <w:jc w:val="right"/>
              <w:rPr/>
            </w:pPr>
            <w:r>
              <w:rPr/>
              <w:t> </w:t>
            </w:r>
          </w:p>
        </w:tc>
        <w:tc>
          <w:tcPr>
            <w:tcW w:w="2510" w:type="dxa"/>
            <w:tcBorders/>
            <w:shd w:fill="CCEEFF" w:val="clear"/>
            <w:tcMar>
              <w:bottom w:w="0" w:type="dxa"/>
            </w:tcMar>
            <w:vAlign w:val="center"/>
          </w:tcPr>
          <w:p>
            <w:pPr>
              <w:pStyle w:val="TableContents"/>
              <w:bidi w:val="0"/>
              <w:spacing w:before="0" w:after="283"/>
              <w:jc w:val="right"/>
              <w:rPr>
                <w:sz w:val="20"/>
              </w:rPr>
            </w:pPr>
            <w:r>
              <w:rPr>
                <w:sz w:val="20"/>
              </w:rPr>
              <w:t>3,099,998</w:t>
            </w:r>
          </w:p>
        </w:tc>
      </w:tr>
      <w:tr>
        <w:trPr/>
        <w:tc>
          <w:tcPr>
            <w:tcW w:w="1655" w:type="dxa"/>
            <w:tcBorders/>
            <w:shd w:fill="FFFFFF" w:val="clear"/>
            <w:tcMar>
              <w:bottom w:w="0" w:type="dxa"/>
            </w:tcMar>
            <w:vAlign w:val="center"/>
          </w:tcPr>
          <w:p>
            <w:pPr>
              <w:pStyle w:val="TableContents"/>
              <w:bidi w:val="0"/>
              <w:spacing w:before="0" w:after="283"/>
              <w:jc w:val="left"/>
              <w:rPr>
                <w:sz w:val="20"/>
              </w:rPr>
            </w:pPr>
            <w:r>
              <w:rPr>
                <w:sz w:val="20"/>
              </w:rPr>
              <w:t>Rodney Worthen</w:t>
            </w:r>
          </w:p>
        </w:tc>
        <w:tc>
          <w:tcPr>
            <w:tcW w:w="90" w:type="dxa"/>
            <w:tcBorders/>
            <w:shd w:fill="FFFFFF" w:val="clear"/>
            <w:tcMar>
              <w:bottom w:w="0" w:type="dxa"/>
            </w:tcMar>
            <w:vAlign w:val="center"/>
          </w:tcPr>
          <w:p>
            <w:pPr>
              <w:pStyle w:val="TableContents"/>
              <w:bidi w:val="0"/>
              <w:spacing w:before="0" w:after="283"/>
              <w:jc w:val="left"/>
              <w:rPr/>
            </w:pPr>
            <w:r>
              <w:rPr/>
              <w:t> </w:t>
            </w:r>
          </w:p>
        </w:tc>
        <w:tc>
          <w:tcPr>
            <w:tcW w:w="1340" w:type="dxa"/>
            <w:tcBorders/>
            <w:shd w:fill="FFFFFF" w:val="clear"/>
            <w:tcMar>
              <w:bottom w:w="0" w:type="dxa"/>
            </w:tcMar>
            <w:vAlign w:val="center"/>
          </w:tcPr>
          <w:p>
            <w:pPr>
              <w:pStyle w:val="TableContents"/>
              <w:bidi w:val="0"/>
              <w:spacing w:before="0" w:after="283"/>
              <w:jc w:val="right"/>
              <w:rPr/>
            </w:pPr>
            <w:r>
              <w:rPr/>
              <w:t>—</w:t>
            </w:r>
          </w:p>
        </w:tc>
        <w:tc>
          <w:tcPr>
            <w:tcW w:w="90" w:type="dxa"/>
            <w:tcBorders/>
            <w:shd w:fill="FFFFFF" w:val="clear"/>
            <w:tcMar>
              <w:bottom w:w="0" w:type="dxa"/>
            </w:tcMar>
            <w:vAlign w:val="center"/>
          </w:tcPr>
          <w:p>
            <w:pPr>
              <w:pStyle w:val="TableContents"/>
              <w:bidi w:val="0"/>
              <w:spacing w:before="0" w:after="283"/>
              <w:jc w:val="right"/>
              <w:rPr/>
            </w:pPr>
            <w:r>
              <w:rPr/>
              <w:t> </w:t>
            </w:r>
          </w:p>
        </w:tc>
        <w:tc>
          <w:tcPr>
            <w:tcW w:w="1325" w:type="dxa"/>
            <w:tcBorders/>
            <w:shd w:fill="FFFFFF" w:val="clear"/>
            <w:tcMar>
              <w:bottom w:w="0" w:type="dxa"/>
            </w:tcMar>
            <w:vAlign w:val="center"/>
          </w:tcPr>
          <w:p>
            <w:pPr>
              <w:pStyle w:val="TableContents"/>
              <w:bidi w:val="0"/>
              <w:spacing w:before="0" w:after="283"/>
              <w:jc w:val="right"/>
              <w:rPr/>
            </w:pPr>
            <w:r>
              <w:rPr/>
              <w:t>—</w:t>
            </w:r>
          </w:p>
        </w:tc>
        <w:tc>
          <w:tcPr>
            <w:tcW w:w="90" w:type="dxa"/>
            <w:tcBorders/>
            <w:shd w:fill="FFFFFF" w:val="clear"/>
            <w:tcMar>
              <w:bottom w:w="0" w:type="dxa"/>
            </w:tcMar>
            <w:vAlign w:val="center"/>
          </w:tcPr>
          <w:p>
            <w:pPr>
              <w:pStyle w:val="TableContents"/>
              <w:bidi w:val="0"/>
              <w:spacing w:before="0" w:after="283"/>
              <w:jc w:val="right"/>
              <w:rPr/>
            </w:pPr>
            <w:r>
              <w:rPr/>
              <w:t> </w:t>
            </w:r>
          </w:p>
        </w:tc>
        <w:tc>
          <w:tcPr>
            <w:tcW w:w="2510" w:type="dxa"/>
            <w:tcBorders/>
            <w:shd w:fill="FFFFFF" w:val="clear"/>
            <w:tcMar>
              <w:bottom w:w="0" w:type="dxa"/>
            </w:tcMar>
            <w:vAlign w:val="center"/>
          </w:tcPr>
          <w:p>
            <w:pPr>
              <w:pStyle w:val="TableContents"/>
              <w:bidi w:val="0"/>
              <w:spacing w:before="0" w:after="283"/>
              <w:jc w:val="right"/>
              <w:rPr/>
            </w:pPr>
            <w:r>
              <w:rPr/>
              <w:t>—</w:t>
            </w:r>
          </w:p>
        </w:tc>
      </w:tr>
      <w:tr>
        <w:trPr/>
        <w:tc>
          <w:tcPr>
            <w:tcW w:w="1655" w:type="dxa"/>
            <w:tcBorders/>
            <w:shd w:fill="CCEEFF" w:val="clear"/>
            <w:tcMar>
              <w:bottom w:w="0" w:type="dxa"/>
            </w:tcMar>
            <w:vAlign w:val="center"/>
          </w:tcPr>
          <w:p>
            <w:pPr>
              <w:pStyle w:val="TableContents"/>
              <w:bidi w:val="0"/>
              <w:spacing w:before="0" w:after="283"/>
              <w:jc w:val="left"/>
              <w:rPr>
                <w:sz w:val="20"/>
              </w:rPr>
            </w:pPr>
            <w:r>
              <w:rPr>
                <w:sz w:val="20"/>
              </w:rPr>
              <w:t>Isida Tushe</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40" w:type="dxa"/>
            <w:tcBorders/>
            <w:shd w:fill="CCEEFF" w:val="clear"/>
            <w:tcMar>
              <w:bottom w:w="0" w:type="dxa"/>
            </w:tcMar>
            <w:vAlign w:val="center"/>
          </w:tcPr>
          <w:p>
            <w:pPr>
              <w:pStyle w:val="TableContents"/>
              <w:bidi w:val="0"/>
              <w:spacing w:before="0" w:after="283"/>
              <w:jc w:val="right"/>
              <w:rPr>
                <w:sz w:val="20"/>
              </w:rPr>
            </w:pPr>
            <w:r>
              <w:rPr>
                <w:sz w:val="20"/>
              </w:rPr>
              <w:t>75,000</w:t>
            </w:r>
          </w:p>
        </w:tc>
        <w:tc>
          <w:tcPr>
            <w:tcW w:w="90" w:type="dxa"/>
            <w:tcBorders/>
            <w:shd w:fill="CCEEFF" w:val="clear"/>
            <w:tcMar>
              <w:bottom w:w="0" w:type="dxa"/>
            </w:tcMar>
            <w:vAlign w:val="center"/>
          </w:tcPr>
          <w:p>
            <w:pPr>
              <w:pStyle w:val="TableContents"/>
              <w:bidi w:val="0"/>
              <w:spacing w:before="0" w:after="283"/>
              <w:jc w:val="right"/>
              <w:rPr/>
            </w:pPr>
            <w:r>
              <w:rPr/>
              <w:t> </w:t>
            </w:r>
          </w:p>
        </w:tc>
        <w:tc>
          <w:tcPr>
            <w:tcW w:w="1325" w:type="dxa"/>
            <w:tcBorders/>
            <w:shd w:fill="CCEEFF" w:val="clear"/>
            <w:tcMar>
              <w:bottom w:w="0" w:type="dxa"/>
            </w:tcMar>
            <w:vAlign w:val="center"/>
          </w:tcPr>
          <w:p>
            <w:pPr>
              <w:pStyle w:val="TableContents"/>
              <w:bidi w:val="0"/>
              <w:spacing w:before="0" w:after="283"/>
              <w:jc w:val="right"/>
              <w:rPr>
                <w:sz w:val="20"/>
              </w:rPr>
            </w:pPr>
            <w:r>
              <w:rPr>
                <w:sz w:val="20"/>
              </w:rPr>
              <w:t>75,000</w:t>
            </w:r>
          </w:p>
        </w:tc>
        <w:tc>
          <w:tcPr>
            <w:tcW w:w="90" w:type="dxa"/>
            <w:tcBorders/>
            <w:shd w:fill="CCEEFF" w:val="clear"/>
            <w:tcMar>
              <w:bottom w:w="0" w:type="dxa"/>
            </w:tcMar>
            <w:vAlign w:val="center"/>
          </w:tcPr>
          <w:p>
            <w:pPr>
              <w:pStyle w:val="TableContents"/>
              <w:bidi w:val="0"/>
              <w:spacing w:before="0" w:after="283"/>
              <w:jc w:val="right"/>
              <w:rPr/>
            </w:pPr>
            <w:r>
              <w:rPr/>
              <w:t> </w:t>
            </w:r>
          </w:p>
        </w:tc>
        <w:tc>
          <w:tcPr>
            <w:tcW w:w="2510" w:type="dxa"/>
            <w:tcBorders/>
            <w:shd w:fill="CCEEFF" w:val="clear"/>
            <w:tcMar>
              <w:bottom w:w="0" w:type="dxa"/>
            </w:tcMar>
            <w:vAlign w:val="center"/>
          </w:tcPr>
          <w:p>
            <w:pPr>
              <w:pStyle w:val="TableContents"/>
              <w:bidi w:val="0"/>
              <w:spacing w:before="0" w:after="283"/>
              <w:jc w:val="right"/>
              <w:rPr>
                <w:sz w:val="20"/>
              </w:rPr>
            </w:pPr>
            <w:r>
              <w:rPr>
                <w:sz w:val="20"/>
              </w:rPr>
              <w:t>516,000</w:t>
            </w:r>
          </w:p>
        </w:tc>
      </w:tr>
      <w:tr>
        <w:trPr/>
        <w:tc>
          <w:tcPr>
            <w:tcW w:w="1655" w:type="dxa"/>
            <w:tcBorders/>
            <w:tcMar>
              <w:bottom w:w="0" w:type="dxa"/>
            </w:tcMar>
            <w:vAlign w:val="center"/>
          </w:tcPr>
          <w:p>
            <w:pPr>
              <w:pStyle w:val="TableContents"/>
              <w:bidi w:val="0"/>
              <w:spacing w:before="0" w:after="283"/>
              <w:jc w:val="left"/>
              <w:rPr>
                <w:sz w:val="20"/>
              </w:rPr>
            </w:pPr>
            <w:r>
              <w:rPr>
                <w:sz w:val="20"/>
              </w:rPr>
              <w:t>Dr. Shengxian Wu</w:t>
            </w:r>
          </w:p>
        </w:tc>
        <w:tc>
          <w:tcPr>
            <w:tcW w:w="90" w:type="dxa"/>
            <w:tcBorders/>
            <w:tcMar>
              <w:bottom w:w="0" w:type="dxa"/>
            </w:tcMar>
            <w:vAlign w:val="center"/>
          </w:tcPr>
          <w:p>
            <w:pPr>
              <w:pStyle w:val="TableContents"/>
              <w:bidi w:val="0"/>
              <w:spacing w:before="0" w:after="283"/>
              <w:jc w:val="left"/>
              <w:rPr/>
            </w:pPr>
            <w:r>
              <w:rPr/>
              <w:t> </w:t>
            </w:r>
          </w:p>
        </w:tc>
        <w:tc>
          <w:tcPr>
            <w:tcW w:w="1340" w:type="dxa"/>
            <w:tcBorders/>
            <w:tcMar>
              <w:bottom w:w="0" w:type="dxa"/>
            </w:tcMar>
            <w:vAlign w:val="center"/>
          </w:tcPr>
          <w:p>
            <w:pPr>
              <w:pStyle w:val="TableContents"/>
              <w:bidi w:val="0"/>
              <w:spacing w:before="0" w:after="283"/>
              <w:jc w:val="right"/>
              <w:rPr>
                <w:sz w:val="20"/>
              </w:rPr>
            </w:pPr>
            <w:r>
              <w:rPr>
                <w:sz w:val="20"/>
              </w:rPr>
              <w:t>75,000</w:t>
            </w:r>
          </w:p>
        </w:tc>
        <w:tc>
          <w:tcPr>
            <w:tcW w:w="90" w:type="dxa"/>
            <w:tcBorders/>
            <w:tcMar>
              <w:bottom w:w="0" w:type="dxa"/>
            </w:tcMar>
            <w:vAlign w:val="center"/>
          </w:tcPr>
          <w:p>
            <w:pPr>
              <w:pStyle w:val="TableContents"/>
              <w:bidi w:val="0"/>
              <w:spacing w:before="0" w:after="283"/>
              <w:jc w:val="right"/>
              <w:rPr/>
            </w:pPr>
            <w:r>
              <w:rPr/>
              <w:t> </w:t>
            </w:r>
          </w:p>
        </w:tc>
        <w:tc>
          <w:tcPr>
            <w:tcW w:w="1325" w:type="dxa"/>
            <w:tcBorders/>
            <w:tcMar>
              <w:bottom w:w="0" w:type="dxa"/>
            </w:tcMar>
            <w:vAlign w:val="center"/>
          </w:tcPr>
          <w:p>
            <w:pPr>
              <w:pStyle w:val="TableContents"/>
              <w:bidi w:val="0"/>
              <w:spacing w:before="0" w:after="283"/>
              <w:jc w:val="right"/>
              <w:rPr>
                <w:sz w:val="20"/>
              </w:rPr>
            </w:pPr>
            <w:r>
              <w:rPr>
                <w:sz w:val="20"/>
              </w:rPr>
              <w:t>75,000</w:t>
            </w:r>
          </w:p>
        </w:tc>
        <w:tc>
          <w:tcPr>
            <w:tcW w:w="90" w:type="dxa"/>
            <w:tcBorders/>
            <w:tcMar>
              <w:bottom w:w="0" w:type="dxa"/>
            </w:tcMar>
            <w:vAlign w:val="center"/>
          </w:tcPr>
          <w:p>
            <w:pPr>
              <w:pStyle w:val="TableContents"/>
              <w:bidi w:val="0"/>
              <w:spacing w:before="0" w:after="283"/>
              <w:jc w:val="right"/>
              <w:rPr/>
            </w:pPr>
            <w:r>
              <w:rPr/>
              <w:t> </w:t>
            </w:r>
          </w:p>
        </w:tc>
        <w:tc>
          <w:tcPr>
            <w:tcW w:w="2510" w:type="dxa"/>
            <w:tcBorders/>
            <w:tcMar>
              <w:bottom w:w="0" w:type="dxa"/>
            </w:tcMar>
            <w:vAlign w:val="center"/>
          </w:tcPr>
          <w:p>
            <w:pPr>
              <w:pStyle w:val="TableContents"/>
              <w:bidi w:val="0"/>
              <w:spacing w:before="0" w:after="283"/>
              <w:jc w:val="right"/>
              <w:rPr>
                <w:sz w:val="20"/>
              </w:rPr>
            </w:pPr>
            <w:r>
              <w:rPr>
                <w:sz w:val="20"/>
              </w:rPr>
              <w:t>516,000</w:t>
            </w:r>
          </w:p>
        </w:tc>
      </w:tr>
      <w:tr>
        <w:trPr/>
        <w:tc>
          <w:tcPr>
            <w:tcW w:w="1655" w:type="dxa"/>
            <w:tcBorders/>
            <w:shd w:fill="CCEEFF" w:val="clear"/>
            <w:tcMar>
              <w:bottom w:w="0" w:type="dxa"/>
            </w:tcMar>
            <w:vAlign w:val="center"/>
          </w:tcPr>
          <w:p>
            <w:pPr>
              <w:pStyle w:val="TableContents"/>
              <w:bidi w:val="0"/>
              <w:spacing w:before="0" w:after="283"/>
              <w:jc w:val="left"/>
              <w:rPr>
                <w:sz w:val="20"/>
              </w:rPr>
            </w:pPr>
            <w:r>
              <w:rPr>
                <w:sz w:val="20"/>
              </w:rPr>
              <w:t>Dr. Wenjuan Mattis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40" w:type="dxa"/>
            <w:tcBorders/>
            <w:shd w:fill="CCEEFF" w:val="clear"/>
            <w:tcMar>
              <w:bottom w:w="0" w:type="dxa"/>
            </w:tcMar>
            <w:vAlign w:val="center"/>
          </w:tcPr>
          <w:p>
            <w:pPr>
              <w:pStyle w:val="TableContents"/>
              <w:bidi w:val="0"/>
              <w:spacing w:before="0" w:after="283"/>
              <w:jc w:val="right"/>
              <w:rPr>
                <w:sz w:val="20"/>
              </w:rPr>
            </w:pPr>
            <w:r>
              <w:rPr>
                <w:sz w:val="20"/>
              </w:rPr>
              <w:t>50,000</w:t>
            </w:r>
          </w:p>
        </w:tc>
        <w:tc>
          <w:tcPr>
            <w:tcW w:w="90" w:type="dxa"/>
            <w:tcBorders/>
            <w:shd w:fill="CCEEFF" w:val="clear"/>
            <w:tcMar>
              <w:bottom w:w="0" w:type="dxa"/>
            </w:tcMar>
            <w:vAlign w:val="center"/>
          </w:tcPr>
          <w:p>
            <w:pPr>
              <w:pStyle w:val="TableContents"/>
              <w:bidi w:val="0"/>
              <w:spacing w:before="0" w:after="283"/>
              <w:jc w:val="right"/>
              <w:rPr/>
            </w:pPr>
            <w:r>
              <w:rPr/>
              <w:t> </w:t>
            </w:r>
          </w:p>
        </w:tc>
        <w:tc>
          <w:tcPr>
            <w:tcW w:w="1325" w:type="dxa"/>
            <w:tcBorders/>
            <w:shd w:fill="CCEEFF" w:val="clear"/>
            <w:tcMar>
              <w:bottom w:w="0" w:type="dxa"/>
            </w:tcMar>
            <w:vAlign w:val="center"/>
          </w:tcPr>
          <w:p>
            <w:pPr>
              <w:pStyle w:val="TableContents"/>
              <w:bidi w:val="0"/>
              <w:spacing w:before="0" w:after="283"/>
              <w:jc w:val="right"/>
              <w:rPr>
                <w:sz w:val="20"/>
              </w:rPr>
            </w:pPr>
            <w:r>
              <w:rPr>
                <w:sz w:val="20"/>
              </w:rPr>
              <w:t>50,000</w:t>
            </w:r>
          </w:p>
        </w:tc>
        <w:tc>
          <w:tcPr>
            <w:tcW w:w="90" w:type="dxa"/>
            <w:tcBorders/>
            <w:shd w:fill="CCEEFF" w:val="clear"/>
            <w:tcMar>
              <w:bottom w:w="0" w:type="dxa"/>
            </w:tcMar>
            <w:vAlign w:val="center"/>
          </w:tcPr>
          <w:p>
            <w:pPr>
              <w:pStyle w:val="TableContents"/>
              <w:bidi w:val="0"/>
              <w:spacing w:before="0" w:after="283"/>
              <w:jc w:val="right"/>
              <w:rPr/>
            </w:pPr>
            <w:r>
              <w:rPr/>
              <w:t> </w:t>
            </w:r>
          </w:p>
        </w:tc>
        <w:tc>
          <w:tcPr>
            <w:tcW w:w="2510" w:type="dxa"/>
            <w:tcBorders/>
            <w:shd w:fill="CCEEFF" w:val="clear"/>
            <w:tcMar>
              <w:bottom w:w="0" w:type="dxa"/>
            </w:tcMar>
            <w:vAlign w:val="center"/>
          </w:tcPr>
          <w:p>
            <w:pPr>
              <w:pStyle w:val="TableContents"/>
              <w:bidi w:val="0"/>
              <w:spacing w:before="0" w:after="283"/>
              <w:jc w:val="right"/>
              <w:rPr>
                <w:sz w:val="20"/>
              </w:rPr>
            </w:pPr>
            <w:r>
              <w:rPr>
                <w:sz w:val="20"/>
              </w:rPr>
              <w:t>344,000</w:t>
            </w:r>
          </w:p>
        </w:tc>
      </w:tr>
      <w:tr>
        <w:trPr/>
        <w:tc>
          <w:tcPr>
            <w:tcW w:w="1655" w:type="dxa"/>
            <w:tcBorders/>
            <w:tcMar>
              <w:bottom w:w="0" w:type="dxa"/>
            </w:tcMar>
            <w:vAlign w:val="center"/>
          </w:tcPr>
          <w:p>
            <w:pPr>
              <w:pStyle w:val="TableContents"/>
              <w:bidi w:val="0"/>
              <w:spacing w:before="0" w:after="283"/>
              <w:jc w:val="left"/>
              <w:rPr>
                <w:sz w:val="20"/>
              </w:rPr>
            </w:pPr>
            <w:r>
              <w:rPr>
                <w:sz w:val="20"/>
              </w:rPr>
              <w:t>Carl T. Schultz</w:t>
            </w:r>
          </w:p>
        </w:tc>
        <w:tc>
          <w:tcPr>
            <w:tcW w:w="90" w:type="dxa"/>
            <w:tcBorders/>
            <w:tcMar>
              <w:bottom w:w="0" w:type="dxa"/>
            </w:tcMar>
            <w:vAlign w:val="center"/>
          </w:tcPr>
          <w:p>
            <w:pPr>
              <w:pStyle w:val="TableContents"/>
              <w:bidi w:val="0"/>
              <w:spacing w:before="0" w:after="283"/>
              <w:jc w:val="left"/>
              <w:rPr/>
            </w:pPr>
            <w:r>
              <w:rPr/>
              <w:t> </w:t>
            </w:r>
          </w:p>
        </w:tc>
        <w:tc>
          <w:tcPr>
            <w:tcW w:w="1340" w:type="dxa"/>
            <w:tcBorders/>
            <w:tcMar>
              <w:bottom w:w="0" w:type="dxa"/>
            </w:tcMar>
            <w:vAlign w:val="center"/>
          </w:tcPr>
          <w:p>
            <w:pPr>
              <w:pStyle w:val="TableContents"/>
              <w:bidi w:val="0"/>
              <w:spacing w:before="0" w:after="283"/>
              <w:jc w:val="right"/>
              <w:rPr>
                <w:sz w:val="20"/>
              </w:rPr>
            </w:pPr>
            <w:r>
              <w:rPr>
                <w:sz w:val="20"/>
              </w:rPr>
              <w:t>35,000</w:t>
            </w:r>
          </w:p>
        </w:tc>
        <w:tc>
          <w:tcPr>
            <w:tcW w:w="90" w:type="dxa"/>
            <w:tcBorders/>
            <w:tcMar>
              <w:bottom w:w="0" w:type="dxa"/>
            </w:tcMar>
            <w:vAlign w:val="center"/>
          </w:tcPr>
          <w:p>
            <w:pPr>
              <w:pStyle w:val="TableContents"/>
              <w:bidi w:val="0"/>
              <w:spacing w:before="0" w:after="283"/>
              <w:jc w:val="right"/>
              <w:rPr/>
            </w:pPr>
            <w:r>
              <w:rPr/>
              <w:t> </w:t>
            </w:r>
          </w:p>
        </w:tc>
        <w:tc>
          <w:tcPr>
            <w:tcW w:w="1325" w:type="dxa"/>
            <w:tcBorders/>
            <w:tcMar>
              <w:bottom w:w="0" w:type="dxa"/>
            </w:tcMar>
            <w:vAlign w:val="center"/>
          </w:tcPr>
          <w:p>
            <w:pPr>
              <w:pStyle w:val="TableContents"/>
              <w:bidi w:val="0"/>
              <w:spacing w:before="0" w:after="283"/>
              <w:jc w:val="right"/>
              <w:rPr>
                <w:sz w:val="20"/>
              </w:rPr>
            </w:pPr>
            <w:r>
              <w:rPr>
                <w:sz w:val="20"/>
              </w:rPr>
              <w:t>35,000</w:t>
            </w:r>
          </w:p>
        </w:tc>
        <w:tc>
          <w:tcPr>
            <w:tcW w:w="90" w:type="dxa"/>
            <w:tcBorders/>
            <w:tcMar>
              <w:bottom w:w="0" w:type="dxa"/>
            </w:tcMar>
            <w:vAlign w:val="center"/>
          </w:tcPr>
          <w:p>
            <w:pPr>
              <w:pStyle w:val="TableContents"/>
              <w:bidi w:val="0"/>
              <w:spacing w:before="0" w:after="283"/>
              <w:jc w:val="right"/>
              <w:rPr/>
            </w:pPr>
            <w:r>
              <w:rPr/>
              <w:t> </w:t>
            </w:r>
          </w:p>
        </w:tc>
        <w:tc>
          <w:tcPr>
            <w:tcW w:w="2510" w:type="dxa"/>
            <w:tcBorders/>
            <w:tcMar>
              <w:bottom w:w="0" w:type="dxa"/>
            </w:tcMar>
            <w:vAlign w:val="center"/>
          </w:tcPr>
          <w:p>
            <w:pPr>
              <w:pStyle w:val="TableContents"/>
              <w:bidi w:val="0"/>
              <w:spacing w:before="0" w:after="283"/>
              <w:jc w:val="right"/>
              <w:rPr>
                <w:sz w:val="20"/>
              </w:rPr>
            </w:pPr>
            <w:r>
              <w:rPr>
                <w:sz w:val="20"/>
              </w:rPr>
              <w:t>240,800</w:t>
            </w:r>
          </w:p>
        </w:tc>
      </w:tr>
      <w:tr>
        <w:trPr/>
        <w:tc>
          <w:tcPr>
            <w:tcW w:w="1655" w:type="dxa"/>
            <w:tcBorders/>
            <w:shd w:fill="CCEEFF" w:val="clear"/>
            <w:tcMar>
              <w:bottom w:w="0" w:type="dxa"/>
            </w:tcMar>
            <w:vAlign w:val="center"/>
          </w:tcPr>
          <w:p>
            <w:pPr>
              <w:pStyle w:val="TableContents"/>
              <w:bidi w:val="0"/>
              <w:spacing w:before="0" w:after="283"/>
              <w:jc w:val="left"/>
              <w:rPr>
                <w:sz w:val="20"/>
              </w:rPr>
            </w:pPr>
            <w:r>
              <w:rPr>
                <w:sz w:val="20"/>
              </w:rPr>
              <w:t>Fariyal Khanbabi</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40"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right"/>
              <w:rPr/>
            </w:pPr>
            <w:r>
              <w:rPr/>
              <w:t> </w:t>
            </w:r>
          </w:p>
        </w:tc>
        <w:tc>
          <w:tcPr>
            <w:tcW w:w="1325"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right"/>
              <w:rPr/>
            </w:pPr>
            <w:r>
              <w:rPr/>
              <w:t> </w:t>
            </w:r>
          </w:p>
        </w:tc>
        <w:tc>
          <w:tcPr>
            <w:tcW w:w="2510" w:type="dxa"/>
            <w:tcBorders/>
            <w:shd w:fill="CCEEFF" w:val="clear"/>
            <w:tcMar>
              <w:bottom w:w="0" w:type="dxa"/>
            </w:tcMar>
            <w:vAlign w:val="center"/>
          </w:tcPr>
          <w:p>
            <w:pPr>
              <w:pStyle w:val="TableContents"/>
              <w:bidi w:val="0"/>
              <w:spacing w:before="0" w:after="283"/>
              <w:jc w:val="right"/>
              <w:rPr/>
            </w:pPr>
            <w:r>
              <w:rPr/>
              <w:t>—</w:t>
            </w:r>
          </w:p>
        </w:tc>
      </w:tr>
    </w:tbl>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2025 RSU Annual Awards</w:t>
      </w:r>
    </w:p>
    <w:p>
      <w:pPr>
        <w:pStyle w:val="TextBody"/>
        <w:bidi w:val="0"/>
        <w:spacing w:before="240" w:after="240"/>
        <w:ind w:left="240" w:right="24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annual RSU award granted in Fiscal 2025 will vest ratably in annual installments over three years, subject to the NEO’s continued service through the applicable vesting date.</w:t>
      </w:r>
    </w:p>
    <w:p>
      <w:pPr>
        <w:pStyle w:val="TextBody"/>
        <w:bidi w:val="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2025 PSU Annual Awards</w:t>
      </w:r>
    </w:p>
    <w:p>
      <w:pPr>
        <w:pStyle w:val="TextBody"/>
        <w:bidi w:val="0"/>
        <w:spacing w:before="240" w:after="240"/>
        <w:ind w:left="240" w:right="24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annual PSU awards granted in Fiscal 2025 provide the opportunity to earn and vest in a number of PSUs, based on the Company’s attainment of the same annual performance goals (revenue, operating profit margin, AR collection) as the 2025 AIP. While the PSUs have a one-year performance period, vesting requires NEO’s continued service through the end of the vesting period, which is the third anniversary of the grant date (assuming threshold performance goals are achieved). Based on the performance of the 2025 goals, as described above, 20.67% of the NEOs’ target PSUs granted in </w:t>
      </w:r>
      <w:r>
        <w:rPr>
          <w:rFonts w:ascii="Times New Roman;Times;Serif" w:hAnsi="Times New Roman;Times;Serif"/>
          <w:b w:val="false"/>
          <w:i w:val="false"/>
          <w:caps w:val="false"/>
          <w:smallCaps w:val="false"/>
          <w:sz w:val="20"/>
          <w:shd w:fill="FFFFFF" w:val="clear"/>
        </w:rPr>
        <w:t xml:space="preserve">Fiscal </w:t>
      </w:r>
      <w:r>
        <w:rPr>
          <w:rFonts w:ascii="Times New Roman;Times;Serif" w:hAnsi="Times New Roman;Times;Serif"/>
          <w:b w:val="false"/>
          <w:i w:val="false"/>
          <w:caps w:val="false"/>
          <w:smallCaps w:val="false"/>
          <w:sz w:val="20"/>
        </w:rPr>
        <w:t>2025 will vest on the third anniversary of the grant date, subject to continued service through the vesting date.</w:t>
      </w:r>
    </w:p>
    <w:p>
      <w:pPr>
        <w:pStyle w:val="TextBody"/>
        <w:bidi w:val="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One-Time RSU Awards</w:t>
      </w:r>
    </w:p>
    <w:p>
      <w:pPr>
        <w:pStyle w:val="TextBody"/>
        <w:bidi w:val="0"/>
        <w:spacing w:before="240" w:after="240"/>
        <w:ind w:left="240" w:right="24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January 2025, Drs. Wu and Mattis and Ms. Tushe were each granted 100,000 RSUs. These RSUs vest in near equal installments on each of December 31, 2025, 2026, and 2027, subject to continued employment with or services to us or one of our affiliates through the vesting date.</w:t>
      </w:r>
    </w:p>
    <w:p>
      <w:pPr>
        <w:pStyle w:val="TextBody"/>
        <w:bidi w:val="0"/>
        <w:spacing w:before="240" w:after="240"/>
        <w:ind w:left="240" w:right="24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his appointment as Chief Financial Officer in April 2025, Mr. Schultz received new-hire equity awards consisting of 35,000 RSUs and an option to purchase 300,000 shares of the Company’s common stock. Both awards vest in equal annual installments over three years, subject to Mr. Schultz’s continued employment through each applicable vesting date. Upon the termination of his employment, the awards were forfeited in full.</w:t>
      </w:r>
    </w:p>
    <w:p>
      <w:pPr>
        <w:pStyle w:val="TextBody"/>
        <w:bidi w:val="0"/>
        <w:spacing w:before="240" w:after="240"/>
        <w:ind w:left="240" w:right="24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connection with his appointment as </w:t>
      </w:r>
      <w:r>
        <w:rPr>
          <w:rFonts w:ascii="Times New Roman;Times;Serif" w:hAnsi="Times New Roman;Times;Serif"/>
          <w:b w:val="false"/>
          <w:i w:val="false"/>
          <w:caps w:val="false"/>
          <w:smallCaps w:val="false"/>
          <w:sz w:val="20"/>
          <w:shd w:fill="FFFFFF" w:val="clear"/>
        </w:rPr>
        <w:t>Vice President of Corporate Strategy</w:t>
      </w:r>
      <w:r>
        <w:rPr>
          <w:rFonts w:ascii="Times New Roman;Times;Serif" w:hAnsi="Times New Roman;Times;Serif"/>
          <w:b w:val="false"/>
          <w:i w:val="false"/>
          <w:caps w:val="false"/>
          <w:smallCaps w:val="false"/>
          <w:sz w:val="20"/>
        </w:rPr>
        <w:t xml:space="preserve"> in July 2025, Mr. Worthen received an equity award of 15,000 RSUs. The RSUs vest in equal annual installments over three years, subject to his continued employment through each applicable vesting date.</w:t>
      </w:r>
    </w:p>
    <w:p>
      <w:pPr>
        <w:pStyle w:val="TextBody"/>
        <w:bidi w:val="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2023-2025 PSUs Performance Goals and Results</w:t>
      </w:r>
    </w:p>
    <w:p>
      <w:pPr>
        <w:pStyle w:val="TextBody"/>
        <w:bidi w:val="0"/>
        <w:jc w:val="left"/>
        <w:rPr>
          <w:caps w:val="false"/>
          <w:smallCaps w:val="false"/>
        </w:rPr>
      </w:pPr>
      <w:r>
        <w:rPr>
          <w:caps w:val="false"/>
          <w:smallCaps w:val="false"/>
        </w:rPr>
        <w:t> </w:t>
      </w:r>
    </w:p>
    <w:tbl>
      <w:tblPr>
        <w:tblW w:w="590" w:type="dxa"/>
        <w:jc w:val="left"/>
        <w:tblInd w:w="0" w:type="dxa"/>
        <w:tblLayout w:type="fixed"/>
        <w:tblCellMar>
          <w:top w:w="0" w:type="dxa"/>
          <w:left w:w="0" w:type="dxa"/>
          <w:bottom w:w="0" w:type="dxa"/>
          <w:right w:w="0" w:type="dxa"/>
        </w:tblCellMar>
      </w:tblPr>
      <w:tblGrid>
        <w:gridCol w:w="105"/>
        <w:gridCol w:w="350"/>
        <w:gridCol w:w="135"/>
      </w:tblGrid>
      <w:tr>
        <w:trPr/>
        <w:tc>
          <w:tcPr>
            <w:tcW w:w="10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 </w:t>
            </w:r>
            <w:r>
              <w:rPr/>
              <w:t>26</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240" w:after="240"/>
        <w:ind w:left="240" w:right="24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Wu received PSUs in 2023, which will vest, if at all, based on the Company’s achievement of TSR targets during the performance period from January 1, 2023 through December 31, 2025, provided that the recipient continues to provide services to the Company through the date achievement is certified by the Compensation Committee. Relative TSR is measured based on stock price appreciation (including reinvested dividends) of constituent companies in a predetermined peer group during the performance period. Companies in the peer group are ranked based on their TSR during the performance period and PSUs are earned based on the percentile rank of the Company’s TSR during the performance period relative to the TSR of the members of the comparator peer group. The PSUs are earned at 50% of target if the Company TSR performance is achieved at the 25th percentile and 150% of target if the Company TSR performance is achieved at the 75th percentile or higher, with payouts linearly interpolated for performance between levels, and there is 0% payout for Company TSR performance below the 25th percentile.</w:t>
      </w:r>
    </w:p>
    <w:p>
      <w:pPr>
        <w:pStyle w:val="TextBody"/>
        <w:bidi w:val="0"/>
        <w:spacing w:before="240" w:after="240"/>
        <w:ind w:left="240" w:right="24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reviewed the Company’s relative TSR and determined that the 2023 PSUs were earned at 150% of target.</w:t>
      </w:r>
    </w:p>
    <w:p>
      <w:pPr>
        <w:pStyle w:val="TextBody"/>
        <w:bidi w:val="0"/>
        <w:jc w:val="left"/>
        <w:rPr>
          <w:caps w:val="false"/>
          <w:smallCaps w:val="false"/>
        </w:rPr>
      </w:pPr>
      <w:r>
        <w:rPr>
          <w:caps w:val="false"/>
          <w:smallCaps w:val="false"/>
        </w:rPr>
        <w:t> </w:t>
      </w:r>
    </w:p>
    <w:tbl>
      <w:tblPr>
        <w:tblW w:w="10205" w:type="dxa"/>
        <w:jc w:val="left"/>
        <w:tblInd w:w="-10" w:type="dxa"/>
        <w:tblLayout w:type="fixed"/>
        <w:tblCellMar>
          <w:top w:w="28" w:type="dxa"/>
          <w:left w:w="53" w:type="dxa"/>
          <w:bottom w:w="28" w:type="dxa"/>
          <w:right w:w="0" w:type="dxa"/>
        </w:tblCellMar>
      </w:tblPr>
      <w:tblGrid>
        <w:gridCol w:w="1865"/>
        <w:gridCol w:w="1233"/>
        <w:gridCol w:w="1256"/>
        <w:gridCol w:w="1273"/>
        <w:gridCol w:w="1277"/>
        <w:gridCol w:w="2108"/>
        <w:gridCol w:w="1193"/>
      </w:tblGrid>
      <w:tr>
        <w:trPr/>
        <w:tc>
          <w:tcPr>
            <w:tcW w:w="1865" w:type="dxa"/>
            <w:tcBorders>
              <w:top w:val="single" w:sz="8" w:space="0" w:color="000000"/>
              <w:left w:val="single" w:sz="8" w:space="0" w:color="000000"/>
              <w:bottom w:val="single" w:sz="8" w:space="0" w:color="000000"/>
            </w:tcBorders>
            <w:vAlign w:val="center"/>
          </w:tcPr>
          <w:p>
            <w:pPr>
              <w:pStyle w:val="TableContents"/>
              <w:bidi w:val="0"/>
              <w:spacing w:lineRule="auto" w:line="268" w:before="45" w:after="45"/>
              <w:ind w:left="45" w:right="45"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Measurement</w:t>
            </w:r>
          </w:p>
          <w:p>
            <w:pPr>
              <w:pStyle w:val="TableContents"/>
              <w:bidi w:val="0"/>
              <w:spacing w:lineRule="auto" w:line="268" w:before="0" w:after="2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Period</w:t>
            </w:r>
          </w:p>
        </w:tc>
        <w:tc>
          <w:tcPr>
            <w:tcW w:w="1233" w:type="dxa"/>
            <w:tcBorders>
              <w:top w:val="single" w:sz="8" w:space="0" w:color="000000"/>
              <w:left w:val="single" w:sz="8" w:space="0" w:color="000000"/>
              <w:bottom w:val="single" w:sz="8" w:space="0" w:color="000000"/>
            </w:tcBorders>
            <w:vAlign w:val="center"/>
          </w:tcPr>
          <w:p>
            <w:pPr>
              <w:pStyle w:val="TableContents"/>
              <w:bidi w:val="0"/>
              <w:spacing w:lineRule="auto" w:line="268" w:before="45" w:after="45"/>
              <w:ind w:left="45" w:right="45"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Threshold</w:t>
            </w:r>
          </w:p>
          <w:p>
            <w:pPr>
              <w:pStyle w:val="TableContents"/>
              <w:bidi w:val="0"/>
              <w:spacing w:lineRule="auto" w:line="268" w:before="0" w:after="2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(50% Payout)</w:t>
            </w:r>
          </w:p>
        </w:tc>
        <w:tc>
          <w:tcPr>
            <w:tcW w:w="1256" w:type="dxa"/>
            <w:tcBorders>
              <w:top w:val="single" w:sz="8" w:space="0" w:color="000000"/>
              <w:left w:val="single" w:sz="8" w:space="0" w:color="000000"/>
              <w:bottom w:val="single" w:sz="8" w:space="0" w:color="000000"/>
            </w:tcBorders>
            <w:vAlign w:val="center"/>
          </w:tcPr>
          <w:p>
            <w:pPr>
              <w:pStyle w:val="TableContents"/>
              <w:bidi w:val="0"/>
              <w:spacing w:lineRule="auto" w:line="268" w:before="45" w:after="45"/>
              <w:ind w:left="45" w:right="45"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Target</w:t>
            </w:r>
          </w:p>
          <w:p>
            <w:pPr>
              <w:pStyle w:val="TableContents"/>
              <w:bidi w:val="0"/>
              <w:spacing w:lineRule="auto" w:line="268" w:before="0" w:after="2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(100% Payout)</w:t>
            </w:r>
          </w:p>
        </w:tc>
        <w:tc>
          <w:tcPr>
            <w:tcW w:w="1273" w:type="dxa"/>
            <w:tcBorders>
              <w:top w:val="single" w:sz="8" w:space="0" w:color="000000"/>
              <w:left w:val="single" w:sz="8" w:space="0" w:color="000000"/>
              <w:bottom w:val="single" w:sz="8" w:space="0" w:color="000000"/>
            </w:tcBorders>
            <w:vAlign w:val="center"/>
          </w:tcPr>
          <w:p>
            <w:pPr>
              <w:pStyle w:val="TableContents"/>
              <w:bidi w:val="0"/>
              <w:spacing w:lineRule="auto" w:line="268" w:before="45" w:after="45"/>
              <w:ind w:left="45" w:right="45"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Maximum</w:t>
            </w:r>
          </w:p>
          <w:p>
            <w:pPr>
              <w:pStyle w:val="TableContents"/>
              <w:bidi w:val="0"/>
              <w:spacing w:lineRule="auto" w:line="268" w:before="0" w:after="2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(150% Payout)</w:t>
            </w:r>
          </w:p>
        </w:tc>
        <w:tc>
          <w:tcPr>
            <w:tcW w:w="1277" w:type="dxa"/>
            <w:tcBorders>
              <w:top w:val="single" w:sz="8" w:space="0" w:color="000000"/>
              <w:left w:val="single" w:sz="8" w:space="0" w:color="000000"/>
              <w:bottom w:val="single" w:sz="8" w:space="0" w:color="000000"/>
            </w:tcBorders>
            <w:tcMar>
              <w:top w:w="45" w:type="dxa"/>
              <w:left w:w="28" w:type="dxa"/>
            </w:tcMar>
            <w:vAlign w:val="center"/>
          </w:tcPr>
          <w:p>
            <w:pPr>
              <w:pStyle w:val="TableContents"/>
              <w:bidi w:val="0"/>
              <w:spacing w:lineRule="auto" w:line="268" w:before="0" w:after="283"/>
              <w:jc w:val="center"/>
              <w:rPr>
                <w:b/>
                <w:sz w:val="20"/>
              </w:rPr>
            </w:pPr>
            <w:r>
              <w:rPr>
                <w:b/>
                <w:sz w:val="20"/>
              </w:rPr>
              <w:t>Microvast TSR</w:t>
            </w:r>
          </w:p>
        </w:tc>
        <w:tc>
          <w:tcPr>
            <w:tcW w:w="2108" w:type="dxa"/>
            <w:tcBorders>
              <w:top w:val="single" w:sz="8" w:space="0" w:color="000000"/>
              <w:left w:val="single" w:sz="8" w:space="0" w:color="000000"/>
              <w:bottom w:val="single" w:sz="8" w:space="0" w:color="000000"/>
            </w:tcBorders>
            <w:tcMar>
              <w:top w:w="45" w:type="dxa"/>
              <w:left w:w="28" w:type="dxa"/>
            </w:tcMar>
            <w:vAlign w:val="center"/>
          </w:tcPr>
          <w:p>
            <w:pPr>
              <w:pStyle w:val="TableContents"/>
              <w:bidi w:val="0"/>
              <w:spacing w:lineRule="auto" w:line="268" w:before="0" w:after="283"/>
              <w:jc w:val="center"/>
              <w:rPr>
                <w:b/>
                <w:sz w:val="20"/>
              </w:rPr>
            </w:pPr>
            <w:r>
              <w:rPr>
                <w:b/>
                <w:sz w:val="20"/>
              </w:rPr>
              <w:t>Microvast Percentile Rank</w:t>
            </w:r>
          </w:p>
        </w:tc>
        <w:tc>
          <w:tcPr>
            <w:tcW w:w="1193" w:type="dxa"/>
            <w:tcBorders>
              <w:top w:val="single" w:sz="8" w:space="0" w:color="000000"/>
              <w:left w:val="single" w:sz="8" w:space="0" w:color="000000"/>
              <w:bottom w:val="single" w:sz="8" w:space="0" w:color="000000"/>
              <w:right w:val="single" w:sz="8" w:space="0" w:color="000000"/>
            </w:tcBorders>
            <w:tcMar>
              <w:top w:w="45" w:type="dxa"/>
              <w:left w:w="28" w:type="dxa"/>
              <w:right w:w="28" w:type="dxa"/>
            </w:tcMar>
            <w:vAlign w:val="center"/>
          </w:tcPr>
          <w:p>
            <w:pPr>
              <w:pStyle w:val="TableContents"/>
              <w:bidi w:val="0"/>
              <w:spacing w:lineRule="auto" w:line="268" w:before="0" w:after="283"/>
              <w:jc w:val="center"/>
              <w:rPr>
                <w:b/>
                <w:sz w:val="20"/>
              </w:rPr>
            </w:pPr>
            <w:r>
              <w:rPr>
                <w:b/>
                <w:sz w:val="20"/>
              </w:rPr>
              <w:t>Achievement</w:t>
            </w:r>
          </w:p>
        </w:tc>
      </w:tr>
      <w:tr>
        <w:trPr/>
        <w:tc>
          <w:tcPr>
            <w:tcW w:w="1865" w:type="dxa"/>
            <w:tcBorders>
              <w:left w:val="single" w:sz="8" w:space="0" w:color="000000"/>
              <w:bottom w:val="single" w:sz="8" w:space="0" w:color="000000"/>
            </w:tcBorders>
            <w:tcMar>
              <w:top w:w="0" w:type="dxa"/>
              <w:left w:w="28" w:type="dxa"/>
            </w:tcMar>
            <w:vAlign w:val="center"/>
          </w:tcPr>
          <w:p>
            <w:pPr>
              <w:pStyle w:val="TableContents"/>
              <w:bidi w:val="0"/>
              <w:spacing w:lineRule="auto" w:line="268" w:before="0" w:after="283"/>
              <w:jc w:val="center"/>
              <w:rPr>
                <w:sz w:val="20"/>
              </w:rPr>
            </w:pPr>
            <w:r>
              <w:rPr>
                <w:sz w:val="20"/>
              </w:rPr>
              <w:t>1/1/2023 – 12/31/2025</w:t>
            </w:r>
          </w:p>
        </w:tc>
        <w:tc>
          <w:tcPr>
            <w:tcW w:w="1233" w:type="dxa"/>
            <w:tcBorders>
              <w:left w:val="single" w:sz="8" w:space="0" w:color="000000"/>
              <w:bottom w:val="single" w:sz="8" w:space="0" w:color="000000"/>
            </w:tcBorders>
            <w:tcMar>
              <w:top w:w="0" w:type="dxa"/>
              <w:left w:w="28" w:type="dxa"/>
            </w:tcMar>
            <w:vAlign w:val="center"/>
          </w:tcPr>
          <w:p>
            <w:pPr>
              <w:pStyle w:val="TableContents"/>
              <w:bidi w:val="0"/>
              <w:spacing w:lineRule="auto" w:line="268" w:before="0" w:after="283"/>
              <w:jc w:val="center"/>
              <w:rPr>
                <w:sz w:val="20"/>
              </w:rPr>
            </w:pPr>
            <w:r>
              <w:rPr>
                <w:sz w:val="20"/>
              </w:rPr>
              <w:t>25th percentile</w:t>
            </w:r>
          </w:p>
        </w:tc>
        <w:tc>
          <w:tcPr>
            <w:tcW w:w="1256" w:type="dxa"/>
            <w:tcBorders>
              <w:left w:val="single" w:sz="8" w:space="0" w:color="000000"/>
              <w:bottom w:val="single" w:sz="8" w:space="0" w:color="000000"/>
            </w:tcBorders>
            <w:tcMar>
              <w:top w:w="0" w:type="dxa"/>
              <w:left w:w="28" w:type="dxa"/>
            </w:tcMar>
            <w:vAlign w:val="center"/>
          </w:tcPr>
          <w:p>
            <w:pPr>
              <w:pStyle w:val="TableContents"/>
              <w:bidi w:val="0"/>
              <w:spacing w:lineRule="auto" w:line="268" w:before="0" w:after="283"/>
              <w:jc w:val="center"/>
              <w:rPr>
                <w:sz w:val="20"/>
              </w:rPr>
            </w:pPr>
            <w:r>
              <w:rPr>
                <w:sz w:val="20"/>
              </w:rPr>
              <w:t>50th percentile</w:t>
            </w:r>
          </w:p>
        </w:tc>
        <w:tc>
          <w:tcPr>
            <w:tcW w:w="1273" w:type="dxa"/>
            <w:tcBorders>
              <w:left w:val="single" w:sz="8" w:space="0" w:color="000000"/>
              <w:bottom w:val="single" w:sz="8" w:space="0" w:color="000000"/>
            </w:tcBorders>
            <w:tcMar>
              <w:top w:w="0" w:type="dxa"/>
              <w:left w:w="28" w:type="dxa"/>
            </w:tcMar>
            <w:vAlign w:val="center"/>
          </w:tcPr>
          <w:p>
            <w:pPr>
              <w:pStyle w:val="TableContents"/>
              <w:bidi w:val="0"/>
              <w:spacing w:lineRule="auto" w:line="268" w:before="0" w:after="283"/>
              <w:jc w:val="center"/>
              <w:rPr>
                <w:sz w:val="20"/>
              </w:rPr>
            </w:pPr>
            <w:r>
              <w:rPr>
                <w:sz w:val="20"/>
              </w:rPr>
              <w:t>75th percentile</w:t>
            </w:r>
          </w:p>
        </w:tc>
        <w:tc>
          <w:tcPr>
            <w:tcW w:w="1277" w:type="dxa"/>
            <w:tcBorders>
              <w:left w:val="single" w:sz="8" w:space="0" w:color="000000"/>
              <w:bottom w:val="single" w:sz="8" w:space="0" w:color="000000"/>
            </w:tcBorders>
            <w:tcMar>
              <w:top w:w="0" w:type="dxa"/>
              <w:left w:w="28" w:type="dxa"/>
            </w:tcMar>
            <w:vAlign w:val="center"/>
          </w:tcPr>
          <w:p>
            <w:pPr>
              <w:pStyle w:val="TableContents"/>
              <w:bidi w:val="0"/>
              <w:spacing w:lineRule="auto" w:line="268" w:before="0" w:after="283"/>
              <w:jc w:val="center"/>
              <w:rPr>
                <w:sz w:val="20"/>
              </w:rPr>
            </w:pPr>
            <w:r>
              <w:rPr>
                <w:sz w:val="20"/>
              </w:rPr>
              <w:t>74%</w:t>
            </w:r>
          </w:p>
        </w:tc>
        <w:tc>
          <w:tcPr>
            <w:tcW w:w="2108" w:type="dxa"/>
            <w:tcBorders>
              <w:left w:val="single" w:sz="8" w:space="0" w:color="000000"/>
              <w:bottom w:val="single" w:sz="8" w:space="0" w:color="000000"/>
            </w:tcBorders>
            <w:tcMar>
              <w:top w:w="0" w:type="dxa"/>
              <w:left w:w="28" w:type="dxa"/>
            </w:tcMar>
            <w:vAlign w:val="center"/>
          </w:tcPr>
          <w:p>
            <w:pPr>
              <w:pStyle w:val="TableContents"/>
              <w:bidi w:val="0"/>
              <w:spacing w:lineRule="auto" w:line="268" w:before="0" w:after="283"/>
              <w:jc w:val="center"/>
              <w:rPr>
                <w:sz w:val="20"/>
              </w:rPr>
            </w:pPr>
            <w:r>
              <w:rPr>
                <w:sz w:val="20"/>
              </w:rPr>
              <w:t>80th Percentile</w:t>
            </w:r>
          </w:p>
        </w:tc>
        <w:tc>
          <w:tcPr>
            <w:tcW w:w="1193" w:type="dxa"/>
            <w:tcBorders>
              <w:left w:val="single" w:sz="8" w:space="0" w:color="000000"/>
              <w:bottom w:val="single" w:sz="8" w:space="0" w:color="000000"/>
              <w:right w:val="single" w:sz="8" w:space="0" w:color="000000"/>
            </w:tcBorders>
            <w:tcMar>
              <w:top w:w="0" w:type="dxa"/>
              <w:left w:w="28" w:type="dxa"/>
              <w:right w:w="28" w:type="dxa"/>
            </w:tcMar>
            <w:vAlign w:val="center"/>
          </w:tcPr>
          <w:p>
            <w:pPr>
              <w:pStyle w:val="TableContents"/>
              <w:bidi w:val="0"/>
              <w:spacing w:lineRule="auto" w:line="268" w:before="0" w:after="283"/>
              <w:jc w:val="center"/>
              <w:rPr>
                <w:sz w:val="20"/>
              </w:rPr>
            </w:pPr>
            <w:r>
              <w:rPr>
                <w:sz w:val="20"/>
              </w:rPr>
              <w:t>150%</w:t>
            </w:r>
          </w:p>
        </w:tc>
      </w:tr>
    </w:tbl>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Compensation Recovery Policy</w:t>
      </w:r>
    </w:p>
    <w:p>
      <w:pPr>
        <w:pStyle w:val="TextBody"/>
        <w:bidi w:val="0"/>
        <w:spacing w:before="240" w:after="240"/>
        <w:ind w:left="240" w:right="24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adopted a compensation recovery policy in accordance with the listing standards and rules of the Nasdaq Stock Market, that requires the Board to recoup excess compensation paid to our executive officers as a result of a financial statement restatement, regardless of any misconduct, fault or illegal activity on the part of the executive officer. The clawback policy applies in the case of an accounting restatement due to the material noncompliance of the Company with any financial reporting requirement under the securities laws. The clawback policy applies to all incentive-based compensation, which is any compensation that is granted, earned, or vested based wholly or in part upon the attainment of a financial reporting measure, received by our executive officers.</w:t>
      </w:r>
    </w:p>
    <w:p>
      <w:pPr>
        <w:pStyle w:val="TextBody"/>
        <w:bidi w:val="0"/>
        <w:jc w:val="left"/>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Equity Award Policies and Practices</w:t>
      </w:r>
    </w:p>
    <w:p>
      <w:pPr>
        <w:pStyle w:val="TextBody"/>
        <w:bidi w:val="0"/>
        <w:spacing w:before="240" w:after="240"/>
        <w:ind w:left="240" w:right="24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have not adopted a formal policy pertaining to the timing of stock option grants to our NEOs, it is our practice not to time the grant of equity awards, including stock options, in relation to the release of material non-public information. Similarly, the Company does not time the disclosure of material nonpublic information for the purpose of affecting the value of executive compensation. In Fiscal 2025, we did not grant any stock options or stock appreciation rights during the period beginning four business days before, and ending one business day after, the filing of a Form 10-Q, Form 10-K, or Form 8-K.</w:t>
      </w:r>
    </w:p>
    <w:p>
      <w:pPr>
        <w:pStyle w:val="TextBody"/>
        <w:bidi w:val="0"/>
        <w:jc w:val="left"/>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Transition and Separation Agreements</w:t>
      </w:r>
    </w:p>
    <w:p>
      <w:pPr>
        <w:pStyle w:val="TextBody"/>
        <w:bidi w:val="0"/>
        <w:spacing w:before="240" w:after="240"/>
        <w:ind w:left="240" w:right="24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 termination by the Company or the executive for any reason, Mr. Wu and Dr. Mattis (or their estate upon a termination due to their death) will receive all accrued salary through and including the date of termination and any bonus earned, but unpaid, for the year prior to the year in which the termination or separation occurred. Following a termination due to death or disability of Mr. Wu or Dr. Mattis, the executive (or their estate) will also receive: (i) a pro rata bonus for the annual bonus that the executive would have earned for the fiscal year in which the death or disability occurs based on performance as determined by the Board, prorated for the period of time during the fiscal year worked by the executive; and (ii) if the death or disability occurs within the three-year term, full acceleration of any equity awards or other long-term incentive awards held by the executive as of the effective time of the applicable Employment Agreement (as defined below) that were granted to the executive prior to such effective time. Any other outstanding equity awards or long-term incentive awards granted to the executive following the effective time of the applicable Employment Agreement will be treated in accordance with the terms of the applicable plans and award agreements.</w:t>
      </w:r>
    </w:p>
    <w:p>
      <w:pPr>
        <w:pStyle w:val="TextBody"/>
        <w:bidi w:val="0"/>
        <w:spacing w:before="240" w:after="240"/>
        <w:ind w:left="240" w:right="24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a termination of employment by the Company without Cause (as defined in the applicable Employment Agreement) or due to resignation by the executive for Good Reason (as defined in the applicable Employment Agreement), in either case, prior to a Change in Control (as defined in the applicable Employment Agreement), subject to the execution and non-revocation by the executive of a general release of claims in favor of the Company, the executive will be entitled to:</w:t>
      </w:r>
    </w:p>
    <w:tbl>
      <w:tblPr>
        <w:tblW w:w="590" w:type="dxa"/>
        <w:jc w:val="left"/>
        <w:tblInd w:w="0" w:type="dxa"/>
        <w:tblLayout w:type="fixed"/>
        <w:tblCellMar>
          <w:top w:w="0" w:type="dxa"/>
          <w:left w:w="0" w:type="dxa"/>
          <w:bottom w:w="0" w:type="dxa"/>
          <w:right w:w="0" w:type="dxa"/>
        </w:tblCellMar>
      </w:tblPr>
      <w:tblGrid>
        <w:gridCol w:w="105"/>
        <w:gridCol w:w="350"/>
        <w:gridCol w:w="135"/>
      </w:tblGrid>
      <w:tr>
        <w:trPr/>
        <w:tc>
          <w:tcPr>
            <w:tcW w:w="10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 </w:t>
            </w:r>
            <w:r>
              <w:rPr/>
              <w:t>27</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240" w:after="240"/>
        <w:ind w:left="240" w:right="24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 amount equal to two and a half times (one and a half times for Dr. Mattis) the sum of (x) the executive’s then-current base salary plus (y) the greater of (A) the average amount of the annual bonus paid to the executive for each of the three fiscal years immediately prior to the fiscal year in which the termination or resignation occurs or (B) the target annual bonus for the fiscal year in which the termination or resignation occurs, payable in substantially equal monthly installments over a period of thirty (30) months (payable in equal monthly installments over a period of eighteen (18) months for Dr. Mattis); and (ii) if the termination without Cause or resignation for Good Reason occurs within three years following the effective time of the applicable Employment Agreement, full acceleration of any equity awards or other long-term incentive awards held by the executive as of the effective time of the applicable Employment Agreement that were granted to the executive prior to such effective time. Any other outstanding equity awards or long-term incentive awards granted to the executive following the effective time of the applicable Employment Agreement will be treated in accordance with the terms of the applicable plans and award agreements.</w:t>
      </w:r>
    </w:p>
    <w:p>
      <w:pPr>
        <w:pStyle w:val="TextBody"/>
        <w:bidi w:val="0"/>
        <w:spacing w:before="240" w:after="240"/>
        <w:ind w:left="240" w:right="24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a termination by the Company without Cause or due to resignation by the executive for Good Reason on or within two years following the closing of a Change in Control, subject to the execution and non-revocation by the executive of a general release of claims in favor of the Company, the executive will be entitled to: (i) an amount equal to three times (two times for Dr. Mattis) the sum of (x) the executive’s then-current base salary plus (y) the greater of (A) the average amount of the annual bonus paid to the executive for each of the three fiscal years immediately prior to the fiscal year in which the termination or resignation occurs or (B) the target annual bonus for the fiscal year in which the termination or resignation occurs, payable in a single lump sum within seventy-five (75) days of the termination or resignation; (ii) a pro rata bonus equal to the greater of (A) the average amount of the annual bonus paid to the executive for each of the three fiscal years immediately prior to the fiscal year in which the termination or resignation occurs or (B) the annual bonus the executive would have earned for the fiscal year in which the termination or resignation occurs based on performance as determined through the date of termination or resignation, prorated for the period of time during the fiscal year worked by the executive, payable in a single lump sum within seventy-five (75) days of the termination or resignation; and (iii) full acceleration of all outstanding equity awards held by the executive as of the date of termination or resignation.</w:t>
      </w:r>
    </w:p>
    <w:p>
      <w:pPr>
        <w:pStyle w:val="TextBody"/>
        <w:bidi w:val="0"/>
        <w:spacing w:before="240" w:after="240"/>
        <w:ind w:left="240" w:right="24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Wu and Dr. Mattis are each subject to restrictive covenants as follows: (i) a post-termination non-compete covenant for a period of eighteen (18) months following their termination or resignation for any reason; (ii) confidentiality restrictions through the time period such confidential information remains not generally known to the public; and (iii) customer and employee non-solicitation and non-interference for a period of eighteen (18) months following their termination or resignation for any reason.</w:t>
      </w:r>
    </w:p>
    <w:p>
      <w:pPr>
        <w:pStyle w:val="TextBody"/>
        <w:bidi w:val="0"/>
        <w:spacing w:before="240" w:after="240"/>
        <w:ind w:left="240" w:right="24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Wu is party to a standard Chinese law employment agreement with Microvast Power Systems, pursuant to which he would be entitled to one month of base salary if his employment were terminated under certain specified circumstances. The agreement also contains customary post-termination covenants prohibiting Dr. Wu from soliciting employees and customers following the end of his employment.</w:t>
      </w:r>
    </w:p>
    <w:p>
      <w:pPr>
        <w:pStyle w:val="TextBody"/>
        <w:bidi w:val="0"/>
        <w:jc w:val="left"/>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Retirement Plans</w:t>
      </w:r>
    </w:p>
    <w:p>
      <w:pPr>
        <w:pStyle w:val="TextBody"/>
        <w:bidi w:val="0"/>
        <w:spacing w:before="240" w:after="240"/>
        <w:ind w:left="240" w:right="24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sponsor a 401(k) plan covering substantially all our employees, including our NEOs. Eligible employees may elect to make pre-tax contributions to the plan, subject to limitations set forth by the plan and the Code. All eligible employees, including our NEOs, may participate in the plan on substantially the same terms. We do not provide matching employer contributions to employees’ accounts under the plan.</w:t>
      </w:r>
    </w:p>
    <w:p>
      <w:pPr>
        <w:pStyle w:val="TextBody"/>
        <w:bidi w:val="0"/>
        <w:spacing w:before="240" w:after="240"/>
        <w:ind w:left="240" w:right="240" w:hanging="0"/>
        <w:jc w:val="both"/>
        <w:rPr>
          <w:caps w:val="false"/>
          <w:smallCaps w:val="false"/>
        </w:rPr>
      </w:pPr>
      <w:r>
        <w:rPr>
          <w:caps w:val="false"/>
          <w:smallCaps w:val="false"/>
        </w:rPr>
        <w:t> </w:t>
      </w:r>
    </w:p>
    <w:p>
      <w:pPr>
        <w:pStyle w:val="TextBody"/>
        <w:bidi w:val="0"/>
        <w:spacing w:before="240" w:after="240"/>
        <w:ind w:left="240" w:right="240" w:hanging="0"/>
        <w:jc w:val="both"/>
        <w:rPr>
          <w:caps w:val="false"/>
          <w:smallCaps w:val="false"/>
        </w:rPr>
      </w:pPr>
      <w:r>
        <w:rPr>
          <w:caps w:val="false"/>
          <w:smallCaps w:val="false"/>
        </w:rPr>
        <w:t> </w:t>
      </w:r>
    </w:p>
    <w:p>
      <w:pPr>
        <w:pStyle w:val="TextBody"/>
        <w:bidi w:val="0"/>
        <w:spacing w:before="240" w:after="240"/>
        <w:ind w:left="240" w:right="240" w:hanging="0"/>
        <w:jc w:val="both"/>
        <w:rPr>
          <w:caps w:val="false"/>
          <w:smallCaps w:val="false"/>
        </w:rPr>
      </w:pPr>
      <w:r>
        <w:rPr>
          <w:caps w:val="false"/>
          <w:smallCaps w:val="false"/>
        </w:rPr>
        <w:t> </w:t>
      </w:r>
    </w:p>
    <w:p>
      <w:pPr>
        <w:pStyle w:val="TextBody"/>
        <w:bidi w:val="0"/>
        <w:spacing w:before="240" w:after="240"/>
        <w:ind w:left="240" w:right="240" w:hanging="0"/>
        <w:jc w:val="both"/>
        <w:rPr>
          <w:caps w:val="false"/>
          <w:smallCaps w:val="false"/>
        </w:rPr>
      </w:pPr>
      <w:r>
        <w:rPr>
          <w:caps w:val="false"/>
          <w:smallCaps w:val="false"/>
        </w:rPr>
        <w:t> </w:t>
      </w:r>
    </w:p>
    <w:p>
      <w:pPr>
        <w:pStyle w:val="TextBody"/>
        <w:bidi w:val="0"/>
        <w:spacing w:before="240" w:after="240"/>
        <w:ind w:left="240" w:right="240" w:hanging="0"/>
        <w:jc w:val="both"/>
        <w:rPr>
          <w:caps w:val="false"/>
          <w:smallCaps w:val="false"/>
        </w:rPr>
      </w:pPr>
      <w:r>
        <w:rPr>
          <w:caps w:val="false"/>
          <w:smallCaps w:val="false"/>
        </w:rPr>
        <w:t> </w:t>
      </w:r>
    </w:p>
    <w:tbl>
      <w:tblPr>
        <w:tblW w:w="590" w:type="dxa"/>
        <w:jc w:val="left"/>
        <w:tblInd w:w="0" w:type="dxa"/>
        <w:tblLayout w:type="fixed"/>
        <w:tblCellMar>
          <w:top w:w="0" w:type="dxa"/>
          <w:left w:w="0" w:type="dxa"/>
          <w:bottom w:w="0" w:type="dxa"/>
          <w:right w:w="0" w:type="dxa"/>
        </w:tblCellMar>
      </w:tblPr>
      <w:tblGrid>
        <w:gridCol w:w="105"/>
        <w:gridCol w:w="350"/>
        <w:gridCol w:w="135"/>
      </w:tblGrid>
      <w:tr>
        <w:trPr/>
        <w:tc>
          <w:tcPr>
            <w:tcW w:w="10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 </w:t>
            </w:r>
            <w:r>
              <w:rPr/>
              <w:t>28</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left"/>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COMPENSATION COMMITTEE REPORT</w:t>
      </w:r>
    </w:p>
    <w:p>
      <w:pPr>
        <w:pStyle w:val="TextBody"/>
        <w:bidi w:val="0"/>
        <w:spacing w:before="240" w:after="240"/>
        <w:ind w:left="240" w:right="24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Compensation Committee members and other individuals who participated in compensation decisions of our NEOs for Fiscal 2025 are listed below. Each has reviewed and discussed with management the foregoing Compensation Discussion and Analysis and, based on such review and discussion, has determined that the Compensation Discussion and Analysis should be included in this Proxy Statement.</w:t>
      </w:r>
    </w:p>
    <w:p>
      <w:pPr>
        <w:pStyle w:val="TextBody"/>
        <w:bidi w:val="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Yixin Pan, Chair</w:t>
      </w:r>
    </w:p>
    <w:p>
      <w:pPr>
        <w:pStyle w:val="TextBody"/>
        <w:bidi w:val="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Arthur Wong</w:t>
      </w:r>
    </w:p>
    <w:p>
      <w:pPr>
        <w:pStyle w:val="TextBody"/>
        <w:bidi w:val="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 Ying</w:t>
      </w:r>
    </w:p>
    <w:p>
      <w:pPr>
        <w:pStyle w:val="TextBody"/>
        <w:bidi w:val="0"/>
        <w:jc w:val="right"/>
        <w:rPr>
          <w:caps w:val="false"/>
          <w:smallCaps w:val="false"/>
        </w:rPr>
      </w:pPr>
      <w:r>
        <w:rPr>
          <w:caps w:val="false"/>
          <w:smallCaps w:val="false"/>
        </w:rPr>
        <w:t> </w:t>
      </w:r>
    </w:p>
    <w:p>
      <w:pPr>
        <w:pStyle w:val="TextBody"/>
        <w:bidi w:val="0"/>
        <w:jc w:val="right"/>
        <w:rPr>
          <w:caps w:val="false"/>
          <w:smallCaps w:val="false"/>
        </w:rPr>
      </w:pPr>
      <w:r>
        <w:rPr>
          <w:caps w:val="false"/>
          <w:smallCaps w:val="false"/>
        </w:rPr>
        <w:t> </w:t>
      </w:r>
    </w:p>
    <w:p>
      <w:pPr>
        <w:pStyle w:val="TextBody"/>
        <w:bidi w:val="0"/>
        <w:jc w:val="right"/>
        <w:rPr>
          <w:caps w:val="false"/>
          <w:smallCaps w:val="false"/>
        </w:rPr>
      </w:pPr>
      <w:r>
        <w:rPr>
          <w:caps w:val="false"/>
          <w:smallCaps w:val="false"/>
        </w:rPr>
        <w:t> </w:t>
      </w:r>
    </w:p>
    <w:p>
      <w:pPr>
        <w:pStyle w:val="TextBody"/>
        <w:bidi w:val="0"/>
        <w:jc w:val="right"/>
        <w:rPr>
          <w:caps w:val="false"/>
          <w:smallCaps w:val="false"/>
        </w:rPr>
      </w:pPr>
      <w:r>
        <w:rPr>
          <w:caps w:val="false"/>
          <w:smallCaps w:val="false"/>
        </w:rPr>
        <w:t> </w:t>
      </w:r>
    </w:p>
    <w:p>
      <w:pPr>
        <w:pStyle w:val="TextBody"/>
        <w:bidi w:val="0"/>
        <w:jc w:val="right"/>
        <w:rPr>
          <w:caps w:val="false"/>
          <w:smallCaps w:val="false"/>
        </w:rPr>
      </w:pPr>
      <w:r>
        <w:rPr>
          <w:caps w:val="false"/>
          <w:smallCaps w:val="false"/>
        </w:rPr>
        <w:t> </w:t>
      </w:r>
    </w:p>
    <w:p>
      <w:pPr>
        <w:pStyle w:val="TextBody"/>
        <w:bidi w:val="0"/>
        <w:jc w:val="right"/>
        <w:rPr>
          <w:caps w:val="false"/>
          <w:smallCaps w:val="false"/>
        </w:rPr>
      </w:pPr>
      <w:r>
        <w:rPr>
          <w:caps w:val="false"/>
          <w:smallCaps w:val="false"/>
        </w:rPr>
        <w:t> </w:t>
      </w:r>
    </w:p>
    <w:p>
      <w:pPr>
        <w:pStyle w:val="TextBody"/>
        <w:bidi w:val="0"/>
        <w:jc w:val="right"/>
        <w:rPr>
          <w:caps w:val="false"/>
          <w:smallCaps w:val="false"/>
        </w:rPr>
      </w:pPr>
      <w:r>
        <w:rPr>
          <w:caps w:val="false"/>
          <w:smallCaps w:val="false"/>
        </w:rPr>
        <w:t> </w:t>
      </w:r>
    </w:p>
    <w:p>
      <w:pPr>
        <w:pStyle w:val="TextBody"/>
        <w:bidi w:val="0"/>
        <w:jc w:val="right"/>
        <w:rPr>
          <w:caps w:val="false"/>
          <w:smallCaps w:val="false"/>
        </w:rPr>
      </w:pPr>
      <w:r>
        <w:rPr>
          <w:caps w:val="false"/>
          <w:smallCaps w:val="false"/>
        </w:rPr>
        <w:t> </w:t>
      </w:r>
    </w:p>
    <w:p>
      <w:pPr>
        <w:pStyle w:val="TextBody"/>
        <w:bidi w:val="0"/>
        <w:jc w:val="right"/>
        <w:rPr>
          <w:caps w:val="false"/>
          <w:smallCaps w:val="false"/>
        </w:rPr>
      </w:pPr>
      <w:r>
        <w:rPr>
          <w:caps w:val="false"/>
          <w:smallCaps w:val="false"/>
        </w:rPr>
        <w:t> </w:t>
      </w:r>
    </w:p>
    <w:p>
      <w:pPr>
        <w:pStyle w:val="TextBody"/>
        <w:bidi w:val="0"/>
        <w:jc w:val="right"/>
        <w:rPr>
          <w:caps w:val="false"/>
          <w:smallCaps w:val="false"/>
        </w:rPr>
      </w:pPr>
      <w:r>
        <w:rPr>
          <w:caps w:val="false"/>
          <w:smallCaps w:val="false"/>
        </w:rPr>
        <w:t> </w:t>
      </w:r>
    </w:p>
    <w:p>
      <w:pPr>
        <w:pStyle w:val="TextBody"/>
        <w:bidi w:val="0"/>
        <w:jc w:val="right"/>
        <w:rPr>
          <w:caps w:val="false"/>
          <w:smallCaps w:val="false"/>
        </w:rPr>
      </w:pPr>
      <w:r>
        <w:rPr>
          <w:caps w:val="false"/>
          <w:smallCaps w:val="false"/>
        </w:rPr>
        <w:t> </w:t>
      </w:r>
    </w:p>
    <w:p>
      <w:pPr>
        <w:pStyle w:val="TextBody"/>
        <w:bidi w:val="0"/>
        <w:jc w:val="right"/>
        <w:rPr>
          <w:caps w:val="false"/>
          <w:smallCaps w:val="false"/>
        </w:rPr>
      </w:pPr>
      <w:r>
        <w:rPr>
          <w:caps w:val="false"/>
          <w:smallCaps w:val="false"/>
        </w:rPr>
        <w:t> </w:t>
      </w:r>
    </w:p>
    <w:p>
      <w:pPr>
        <w:pStyle w:val="TextBody"/>
        <w:bidi w:val="0"/>
        <w:jc w:val="right"/>
        <w:rPr>
          <w:caps w:val="false"/>
          <w:smallCaps w:val="false"/>
        </w:rPr>
      </w:pPr>
      <w:r>
        <w:rPr>
          <w:caps w:val="false"/>
          <w:smallCaps w:val="false"/>
        </w:rPr>
        <w:t> </w:t>
      </w:r>
    </w:p>
    <w:p>
      <w:pPr>
        <w:pStyle w:val="TextBody"/>
        <w:bidi w:val="0"/>
        <w:jc w:val="right"/>
        <w:rPr>
          <w:caps w:val="false"/>
          <w:smallCaps w:val="false"/>
        </w:rPr>
      </w:pPr>
      <w:r>
        <w:rPr>
          <w:caps w:val="false"/>
          <w:smallCaps w:val="false"/>
        </w:rPr>
        <w:t> </w:t>
      </w:r>
    </w:p>
    <w:p>
      <w:pPr>
        <w:pStyle w:val="TextBody"/>
        <w:bidi w:val="0"/>
        <w:jc w:val="right"/>
        <w:rPr>
          <w:caps w:val="false"/>
          <w:smallCaps w:val="false"/>
        </w:rPr>
      </w:pPr>
      <w:r>
        <w:rPr>
          <w:caps w:val="false"/>
          <w:smallCaps w:val="false"/>
        </w:rPr>
        <w:t> </w:t>
      </w:r>
    </w:p>
    <w:p>
      <w:pPr>
        <w:pStyle w:val="TextBody"/>
        <w:bidi w:val="0"/>
        <w:jc w:val="right"/>
        <w:rPr>
          <w:caps w:val="false"/>
          <w:smallCaps w:val="false"/>
        </w:rPr>
      </w:pPr>
      <w:r>
        <w:rPr>
          <w:caps w:val="false"/>
          <w:smallCaps w:val="false"/>
        </w:rPr>
        <w:t> </w:t>
      </w:r>
    </w:p>
    <w:p>
      <w:pPr>
        <w:pStyle w:val="TextBody"/>
        <w:bidi w:val="0"/>
        <w:jc w:val="right"/>
        <w:rPr>
          <w:caps w:val="false"/>
          <w:smallCaps w:val="false"/>
        </w:rPr>
      </w:pPr>
      <w:r>
        <w:rPr>
          <w:caps w:val="false"/>
          <w:smallCaps w:val="false"/>
        </w:rPr>
        <w:t> </w:t>
      </w:r>
    </w:p>
    <w:p>
      <w:pPr>
        <w:pStyle w:val="TextBody"/>
        <w:bidi w:val="0"/>
        <w:jc w:val="right"/>
        <w:rPr>
          <w:caps w:val="false"/>
          <w:smallCaps w:val="false"/>
        </w:rPr>
      </w:pPr>
      <w:r>
        <w:rPr>
          <w:caps w:val="false"/>
          <w:smallCaps w:val="false"/>
        </w:rPr>
        <w:t> </w:t>
      </w:r>
    </w:p>
    <w:p>
      <w:pPr>
        <w:pStyle w:val="TextBody"/>
        <w:bidi w:val="0"/>
        <w:jc w:val="right"/>
        <w:rPr>
          <w:caps w:val="false"/>
          <w:smallCaps w:val="false"/>
        </w:rPr>
      </w:pPr>
      <w:r>
        <w:rPr>
          <w:caps w:val="false"/>
          <w:smallCaps w:val="false"/>
        </w:rPr>
        <w:t> </w:t>
      </w:r>
    </w:p>
    <w:p>
      <w:pPr>
        <w:pStyle w:val="TextBody"/>
        <w:bidi w:val="0"/>
        <w:jc w:val="right"/>
        <w:rPr>
          <w:caps w:val="false"/>
          <w:smallCaps w:val="false"/>
        </w:rPr>
      </w:pPr>
      <w:r>
        <w:rPr>
          <w:caps w:val="false"/>
          <w:smallCaps w:val="false"/>
        </w:rPr>
        <w:t> </w:t>
      </w:r>
    </w:p>
    <w:tbl>
      <w:tblPr>
        <w:tblW w:w="590" w:type="dxa"/>
        <w:jc w:val="left"/>
        <w:tblInd w:w="0" w:type="dxa"/>
        <w:tblLayout w:type="fixed"/>
        <w:tblCellMar>
          <w:top w:w="0" w:type="dxa"/>
          <w:left w:w="0" w:type="dxa"/>
          <w:bottom w:w="0" w:type="dxa"/>
          <w:right w:w="0" w:type="dxa"/>
        </w:tblCellMar>
      </w:tblPr>
      <w:tblGrid>
        <w:gridCol w:w="105"/>
        <w:gridCol w:w="350"/>
        <w:gridCol w:w="135"/>
      </w:tblGrid>
      <w:tr>
        <w:trPr/>
        <w:tc>
          <w:tcPr>
            <w:tcW w:w="10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 </w:t>
            </w:r>
            <w:r>
              <w:rPr/>
              <w:t>29</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left"/>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EXECUTIVE COMPENSATION TABLES</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Summary Compensation Table</w:t>
      </w:r>
    </w:p>
    <w:p>
      <w:pPr>
        <w:pStyle w:val="TextBody"/>
        <w:bidi w:val="0"/>
        <w:spacing w:before="240" w:after="240"/>
        <w:ind w:left="240" w:right="2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compensation of our NEOs for the years ended December 31, 2025, 2024 and 2023. Dr. Wu and Ms. Tushe were not NEOs in 2023, and Mr. Worthen, Dr. Mattis, Mr. Schultz, and Ms. Khanbabi were not NEOs prior to 2025.</w:t>
      </w:r>
    </w:p>
    <w:tbl>
      <w:tblPr>
        <w:tblW w:w="10205" w:type="dxa"/>
        <w:jc w:val="left"/>
        <w:tblInd w:w="0" w:type="dxa"/>
        <w:tblLayout w:type="fixed"/>
        <w:tblCellMar>
          <w:top w:w="0" w:type="dxa"/>
          <w:left w:w="0" w:type="dxa"/>
          <w:bottom w:w="28" w:type="dxa"/>
          <w:right w:w="0" w:type="dxa"/>
        </w:tblCellMar>
      </w:tblPr>
      <w:tblGrid>
        <w:gridCol w:w="1843"/>
        <w:gridCol w:w="90"/>
        <w:gridCol w:w="425"/>
        <w:gridCol w:w="90"/>
        <w:gridCol w:w="635"/>
        <w:gridCol w:w="90"/>
        <w:gridCol w:w="641"/>
        <w:gridCol w:w="90"/>
        <w:gridCol w:w="768"/>
        <w:gridCol w:w="104"/>
        <w:gridCol w:w="90"/>
        <w:gridCol w:w="770"/>
        <w:gridCol w:w="90"/>
        <w:gridCol w:w="1962"/>
        <w:gridCol w:w="90"/>
        <w:gridCol w:w="1115"/>
        <w:gridCol w:w="90"/>
        <w:gridCol w:w="1222"/>
      </w:tblGrid>
      <w:tr>
        <w:trPr/>
        <w:tc>
          <w:tcPr>
            <w:tcW w:w="1843" w:type="dxa"/>
            <w:tcBorders>
              <w:bottom w:val="single" w:sz="8" w:space="0" w:color="000000"/>
            </w:tcBorders>
            <w:vAlign w:val="center"/>
          </w:tcPr>
          <w:p>
            <w:pPr>
              <w:pStyle w:val="TableContents"/>
              <w:bidi w:val="0"/>
              <w:spacing w:before="0" w:after="283"/>
              <w:jc w:val="left"/>
              <w:rPr>
                <w:b/>
                <w:sz w:val="18"/>
              </w:rPr>
            </w:pPr>
            <w:r>
              <w:rPr>
                <w:b/>
                <w:sz w:val="18"/>
              </w:rPr>
              <w:t>Name and Principal Position</w:t>
            </w:r>
          </w:p>
        </w:tc>
        <w:tc>
          <w:tcPr>
            <w:tcW w:w="90" w:type="dxa"/>
            <w:tcBorders/>
            <w:tcMar>
              <w:bottom w:w="0" w:type="dxa"/>
            </w:tcMar>
            <w:vAlign w:val="center"/>
          </w:tcPr>
          <w:p>
            <w:pPr>
              <w:pStyle w:val="TableContents"/>
              <w:bidi w:val="0"/>
              <w:spacing w:before="0" w:after="283"/>
              <w:jc w:val="left"/>
              <w:rPr/>
            </w:pPr>
            <w:r>
              <w:rPr/>
              <w:t> </w:t>
            </w:r>
          </w:p>
        </w:tc>
        <w:tc>
          <w:tcPr>
            <w:tcW w:w="425" w:type="dxa"/>
            <w:tcBorders>
              <w:bottom w:val="single" w:sz="8" w:space="0" w:color="000000"/>
            </w:tcBorders>
            <w:vAlign w:val="center"/>
          </w:tcPr>
          <w:p>
            <w:pPr>
              <w:pStyle w:val="TableContents"/>
              <w:bidi w:val="0"/>
              <w:spacing w:before="0" w:after="283"/>
              <w:jc w:val="center"/>
              <w:rPr>
                <w:b/>
                <w:sz w:val="18"/>
              </w:rPr>
            </w:pPr>
            <w:r>
              <w:rPr>
                <w:b/>
                <w:sz w:val="18"/>
              </w:rPr>
              <w:t>Year</w:t>
            </w:r>
          </w:p>
        </w:tc>
        <w:tc>
          <w:tcPr>
            <w:tcW w:w="90" w:type="dxa"/>
            <w:tcBorders/>
            <w:tcMar>
              <w:bottom w:w="0" w:type="dxa"/>
            </w:tcMar>
            <w:vAlign w:val="center"/>
          </w:tcPr>
          <w:p>
            <w:pPr>
              <w:pStyle w:val="TableContents"/>
              <w:bidi w:val="0"/>
              <w:spacing w:before="0" w:after="283"/>
              <w:jc w:val="left"/>
              <w:rPr/>
            </w:pPr>
            <w:r>
              <w:rPr/>
              <w:t> </w:t>
            </w:r>
          </w:p>
        </w:tc>
        <w:tc>
          <w:tcPr>
            <w:tcW w:w="635" w:type="dxa"/>
            <w:tcBorders>
              <w:bottom w:val="single" w:sz="8" w:space="0" w:color="000000"/>
            </w:tcBorders>
            <w:vAlign w:val="center"/>
          </w:tcPr>
          <w:p>
            <w:pPr>
              <w:pStyle w:val="TableContents"/>
              <w:bidi w:val="0"/>
              <w:spacing w:before="65" w:after="65"/>
              <w:ind w:left="65" w:right="65" w:hanging="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Salary</w:t>
            </w:r>
          </w:p>
          <w:p>
            <w:pPr>
              <w:pStyle w:val="TableContents"/>
              <w:bidi w:val="0"/>
              <w:spacing w:before="0" w:after="20"/>
              <w:jc w:val="center"/>
              <w:rPr>
                <w:rFonts w:ascii="Times New Roman;Times;Serif" w:hAnsi="Times New Roman;Times;Serif"/>
                <w:b w:val="false"/>
                <w:i w:val="false"/>
                <w:caps w:val="false"/>
                <w:smallCaps w:val="false"/>
                <w:sz w:val="18"/>
              </w:rPr>
            </w:pPr>
            <w:r>
              <w:rPr>
                <w:rFonts w:ascii="Times New Roman;Times;Serif" w:hAnsi="Times New Roman;Times;Serif"/>
                <w:b/>
                <w:i w:val="false"/>
                <w:caps w:val="false"/>
                <w:smallCaps w:val="false"/>
                <w:sz w:val="18"/>
              </w:rPr>
              <w:t>($)</w:t>
            </w:r>
            <w:r>
              <w:rPr>
                <w:rFonts w:ascii="Times New Roman;Times;Serif" w:hAnsi="Times New Roman;Times;Serif"/>
                <w:b w:val="false"/>
                <w:i w:val="false"/>
                <w:caps w:val="false"/>
                <w:smallCaps w:val="false"/>
                <w:position w:val="6"/>
                <w:sz w:val="14"/>
                <w:sz w:val="18"/>
              </w:rPr>
              <w:t>(1)</w:t>
            </w:r>
          </w:p>
        </w:tc>
        <w:tc>
          <w:tcPr>
            <w:tcW w:w="90" w:type="dxa"/>
            <w:tcBorders/>
            <w:tcMar>
              <w:bottom w:w="0" w:type="dxa"/>
            </w:tcMar>
            <w:vAlign w:val="center"/>
          </w:tcPr>
          <w:p>
            <w:pPr>
              <w:pStyle w:val="TableContents"/>
              <w:bidi w:val="0"/>
              <w:spacing w:before="0" w:after="283"/>
              <w:jc w:val="left"/>
              <w:rPr/>
            </w:pPr>
            <w:r>
              <w:rPr/>
              <w:t> </w:t>
            </w:r>
          </w:p>
        </w:tc>
        <w:tc>
          <w:tcPr>
            <w:tcW w:w="641" w:type="dxa"/>
            <w:tcBorders>
              <w:bottom w:val="single" w:sz="8" w:space="0" w:color="000000"/>
            </w:tcBorders>
            <w:vAlign w:val="center"/>
          </w:tcPr>
          <w:p>
            <w:pPr>
              <w:pStyle w:val="TableContents"/>
              <w:bidi w:val="0"/>
              <w:spacing w:before="65" w:after="65"/>
              <w:ind w:left="65" w:right="65" w:hanging="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 xml:space="preserve">Bonus </w:t>
            </w:r>
          </w:p>
          <w:p>
            <w:pPr>
              <w:pStyle w:val="TableContents"/>
              <w:bidi w:val="0"/>
              <w:spacing w:before="0" w:after="2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w:t>
            </w:r>
          </w:p>
        </w:tc>
        <w:tc>
          <w:tcPr>
            <w:tcW w:w="90" w:type="dxa"/>
            <w:tcBorders/>
            <w:tcMar>
              <w:bottom w:w="0" w:type="dxa"/>
            </w:tcMar>
            <w:vAlign w:val="center"/>
          </w:tcPr>
          <w:p>
            <w:pPr>
              <w:pStyle w:val="TableContents"/>
              <w:bidi w:val="0"/>
              <w:spacing w:before="0" w:after="283"/>
              <w:jc w:val="left"/>
              <w:rPr/>
            </w:pPr>
            <w:r>
              <w:rPr/>
              <w:t> </w:t>
            </w:r>
          </w:p>
        </w:tc>
        <w:tc>
          <w:tcPr>
            <w:tcW w:w="872" w:type="dxa"/>
            <w:gridSpan w:val="2"/>
            <w:tcBorders>
              <w:bottom w:val="single" w:sz="8" w:space="0" w:color="000000"/>
            </w:tcBorders>
            <w:vAlign w:val="center"/>
          </w:tcPr>
          <w:p>
            <w:pPr>
              <w:pStyle w:val="TableContents"/>
              <w:bidi w:val="0"/>
              <w:spacing w:before="65" w:after="65"/>
              <w:ind w:left="65" w:right="65" w:hanging="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Stock</w:t>
            </w:r>
          </w:p>
          <w:p>
            <w:pPr>
              <w:pStyle w:val="TableContents"/>
              <w:bidi w:val="0"/>
              <w:spacing w:before="0" w:after="20"/>
              <w:jc w:val="center"/>
              <w:rPr>
                <w:rFonts w:ascii="Times New Roman;Times;Serif" w:hAnsi="Times New Roman;Times;Serif"/>
                <w:b w:val="false"/>
                <w:i w:val="false"/>
                <w:caps w:val="false"/>
                <w:smallCaps w:val="false"/>
                <w:sz w:val="18"/>
              </w:rPr>
            </w:pPr>
            <w:r>
              <w:rPr>
                <w:rFonts w:ascii="Times New Roman;Times;Serif" w:hAnsi="Times New Roman;Times;Serif"/>
                <w:b/>
                <w:i w:val="false"/>
                <w:caps w:val="false"/>
                <w:smallCaps w:val="false"/>
                <w:sz w:val="18"/>
              </w:rPr>
              <w:t>Awards ($)</w:t>
            </w:r>
            <w:r>
              <w:rPr>
                <w:rFonts w:ascii="Times New Roman;Times;Serif" w:hAnsi="Times New Roman;Times;Serif"/>
                <w:b w:val="false"/>
                <w:i w:val="false"/>
                <w:caps w:val="false"/>
                <w:smallCaps w:val="false"/>
                <w:position w:val="6"/>
                <w:sz w:val="14"/>
                <w:sz w:val="18"/>
              </w:rPr>
              <w:t>(2)</w:t>
            </w:r>
          </w:p>
        </w:tc>
        <w:tc>
          <w:tcPr>
            <w:tcW w:w="90" w:type="dxa"/>
            <w:tcBorders/>
            <w:tcMar>
              <w:bottom w:w="0" w:type="dxa"/>
            </w:tcMar>
            <w:vAlign w:val="center"/>
          </w:tcPr>
          <w:p>
            <w:pPr>
              <w:pStyle w:val="TableContents"/>
              <w:bidi w:val="0"/>
              <w:spacing w:before="0" w:after="283"/>
              <w:jc w:val="left"/>
              <w:rPr/>
            </w:pPr>
            <w:r>
              <w:rPr/>
              <w:t> </w:t>
            </w:r>
          </w:p>
        </w:tc>
        <w:tc>
          <w:tcPr>
            <w:tcW w:w="770" w:type="dxa"/>
            <w:tcBorders>
              <w:bottom w:val="single" w:sz="8" w:space="0" w:color="000000"/>
            </w:tcBorders>
            <w:vAlign w:val="center"/>
          </w:tcPr>
          <w:p>
            <w:pPr>
              <w:pStyle w:val="TableContents"/>
              <w:bidi w:val="0"/>
              <w:spacing w:before="65" w:after="65"/>
              <w:ind w:left="65" w:right="65" w:hanging="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Option</w:t>
            </w:r>
          </w:p>
          <w:p>
            <w:pPr>
              <w:pStyle w:val="TableContents"/>
              <w:bidi w:val="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Awards</w:t>
            </w:r>
          </w:p>
          <w:p>
            <w:pPr>
              <w:pStyle w:val="TableContents"/>
              <w:bidi w:val="0"/>
              <w:spacing w:before="0" w:after="20"/>
              <w:jc w:val="center"/>
              <w:rPr>
                <w:rFonts w:ascii="Times New Roman;Times;Serif" w:hAnsi="Times New Roman;Times;Serif"/>
                <w:b w:val="false"/>
                <w:i w:val="false"/>
                <w:caps w:val="false"/>
                <w:smallCaps w:val="false"/>
                <w:sz w:val="18"/>
              </w:rPr>
            </w:pPr>
            <w:r>
              <w:rPr>
                <w:rFonts w:ascii="Times New Roman;Times;Serif" w:hAnsi="Times New Roman;Times;Serif"/>
                <w:b/>
                <w:i w:val="false"/>
                <w:caps w:val="false"/>
                <w:smallCaps w:val="false"/>
                <w:sz w:val="18"/>
              </w:rPr>
              <w:t>($)</w:t>
            </w:r>
            <w:r>
              <w:rPr>
                <w:rFonts w:ascii="Times New Roman;Times;Serif" w:hAnsi="Times New Roman;Times;Serif"/>
                <w:b w:val="false"/>
                <w:i w:val="false"/>
                <w:caps w:val="false"/>
                <w:smallCaps w:val="false"/>
                <w:position w:val="6"/>
                <w:sz w:val="14"/>
                <w:sz w:val="18"/>
              </w:rPr>
              <w:t>(3)</w:t>
            </w:r>
          </w:p>
        </w:tc>
        <w:tc>
          <w:tcPr>
            <w:tcW w:w="90" w:type="dxa"/>
            <w:tcBorders/>
            <w:tcMar>
              <w:bottom w:w="0" w:type="dxa"/>
            </w:tcMar>
            <w:vAlign w:val="center"/>
          </w:tcPr>
          <w:p>
            <w:pPr>
              <w:pStyle w:val="TableContents"/>
              <w:bidi w:val="0"/>
              <w:spacing w:before="0" w:after="283"/>
              <w:jc w:val="left"/>
              <w:rPr/>
            </w:pPr>
            <w:r>
              <w:rPr/>
              <w:t> </w:t>
            </w:r>
          </w:p>
        </w:tc>
        <w:tc>
          <w:tcPr>
            <w:tcW w:w="1962" w:type="dxa"/>
            <w:tcBorders>
              <w:bottom w:val="single" w:sz="8" w:space="0" w:color="000000"/>
            </w:tcBorders>
            <w:vAlign w:val="center"/>
          </w:tcPr>
          <w:p>
            <w:pPr>
              <w:pStyle w:val="TableContents"/>
              <w:bidi w:val="0"/>
              <w:spacing w:before="0" w:after="283"/>
              <w:jc w:val="center"/>
              <w:rPr>
                <w:sz w:val="18"/>
              </w:rPr>
            </w:pPr>
            <w:r>
              <w:rPr>
                <w:b/>
                <w:sz w:val="18"/>
              </w:rPr>
              <w:t>Nonequity Incentive Plan Compensation ($)</w:t>
            </w:r>
            <w:r>
              <w:rPr>
                <w:position w:val="6"/>
                <w:sz w:val="14"/>
                <w:sz w:val="18"/>
              </w:rPr>
              <w:t>(4)</w:t>
            </w:r>
          </w:p>
        </w:tc>
        <w:tc>
          <w:tcPr>
            <w:tcW w:w="90" w:type="dxa"/>
            <w:tcBorders/>
            <w:tcMar>
              <w:bottom w:w="0" w:type="dxa"/>
            </w:tcMar>
            <w:vAlign w:val="center"/>
          </w:tcPr>
          <w:p>
            <w:pPr>
              <w:pStyle w:val="TableContents"/>
              <w:bidi w:val="0"/>
              <w:spacing w:before="0" w:after="283"/>
              <w:jc w:val="left"/>
              <w:rPr/>
            </w:pPr>
            <w:r>
              <w:rPr/>
              <w:t> </w:t>
            </w:r>
          </w:p>
        </w:tc>
        <w:tc>
          <w:tcPr>
            <w:tcW w:w="1115" w:type="dxa"/>
            <w:tcBorders>
              <w:bottom w:val="single" w:sz="8" w:space="0" w:color="000000"/>
            </w:tcBorders>
            <w:vAlign w:val="center"/>
          </w:tcPr>
          <w:p>
            <w:pPr>
              <w:pStyle w:val="TableContents"/>
              <w:bidi w:val="0"/>
              <w:spacing w:before="65" w:after="65"/>
              <w:ind w:left="65" w:right="65" w:hanging="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All other</w:t>
            </w:r>
          </w:p>
          <w:p>
            <w:pPr>
              <w:pStyle w:val="TableContents"/>
              <w:bidi w:val="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compensation</w:t>
            </w:r>
          </w:p>
          <w:p>
            <w:pPr>
              <w:pStyle w:val="TableContents"/>
              <w:bidi w:val="0"/>
              <w:spacing w:before="0" w:after="2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w:t>
            </w:r>
          </w:p>
        </w:tc>
        <w:tc>
          <w:tcPr>
            <w:tcW w:w="90" w:type="dxa"/>
            <w:tcBorders/>
            <w:tcMar>
              <w:bottom w:w="0" w:type="dxa"/>
            </w:tcMar>
            <w:vAlign w:val="center"/>
          </w:tcPr>
          <w:p>
            <w:pPr>
              <w:pStyle w:val="TableContents"/>
              <w:bidi w:val="0"/>
              <w:spacing w:before="0" w:after="283"/>
              <w:jc w:val="left"/>
              <w:rPr/>
            </w:pPr>
            <w:r>
              <w:rPr/>
              <w:t> </w:t>
            </w:r>
          </w:p>
        </w:tc>
        <w:tc>
          <w:tcPr>
            <w:tcW w:w="1222" w:type="dxa"/>
            <w:tcBorders>
              <w:bottom w:val="single" w:sz="8" w:space="0" w:color="000000"/>
            </w:tcBorders>
            <w:vAlign w:val="center"/>
          </w:tcPr>
          <w:p>
            <w:pPr>
              <w:pStyle w:val="TableContents"/>
              <w:bidi w:val="0"/>
              <w:spacing w:before="65" w:after="65"/>
              <w:ind w:left="65" w:right="65" w:hanging="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Total</w:t>
            </w:r>
          </w:p>
          <w:p>
            <w:pPr>
              <w:pStyle w:val="TableContents"/>
              <w:bidi w:val="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Compensation</w:t>
            </w:r>
          </w:p>
          <w:p>
            <w:pPr>
              <w:pStyle w:val="TableContents"/>
              <w:bidi w:val="0"/>
              <w:spacing w:before="0" w:after="2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w:t>
            </w:r>
          </w:p>
        </w:tc>
      </w:tr>
      <w:tr>
        <w:trPr/>
        <w:tc>
          <w:tcPr>
            <w:tcW w:w="1843" w:type="dxa"/>
            <w:vMerge w:val="restart"/>
            <w:tcBorders/>
            <w:shd w:fill="CCEEFF" w:val="clear"/>
            <w:tcMar>
              <w:bottom w:w="0" w:type="dxa"/>
            </w:tcMar>
            <w:vAlign w:val="center"/>
          </w:tcPr>
          <w:p>
            <w:pPr>
              <w:pStyle w:val="TableContents"/>
              <w:bidi w:val="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Yang Wu</w:t>
            </w:r>
          </w:p>
          <w:p>
            <w:pPr>
              <w:pStyle w:val="TableContents"/>
              <w:bidi w:val="0"/>
              <w:spacing w:before="0" w:after="283"/>
              <w:jc w:val="left"/>
              <w:rPr>
                <w:rFonts w:ascii="Times New Roman;Times;Serif" w:hAnsi="Times New Roman;Times;Serif"/>
                <w:b w:val="false"/>
                <w:i/>
                <w:caps w:val="false"/>
                <w:smallCaps w:val="false"/>
                <w:sz w:val="18"/>
              </w:rPr>
            </w:pPr>
            <w:r>
              <w:rPr>
                <w:rFonts w:ascii="Times New Roman;Times;Serif" w:hAnsi="Times New Roman;Times;Serif"/>
                <w:b w:val="false"/>
                <w:i/>
                <w:caps w:val="false"/>
                <w:smallCaps w:val="false"/>
                <w:sz w:val="18"/>
              </w:rPr>
              <w:t>Chairman and Chief Executive Officer</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425" w:type="dxa"/>
            <w:tcBorders/>
            <w:shd w:fill="CCEEFF" w:val="clear"/>
            <w:tcMar>
              <w:bottom w:w="0" w:type="dxa"/>
            </w:tcMar>
            <w:vAlign w:val="center"/>
          </w:tcPr>
          <w:p>
            <w:pPr>
              <w:pStyle w:val="TableContents"/>
              <w:bidi w:val="0"/>
              <w:spacing w:before="0" w:after="283"/>
              <w:jc w:val="center"/>
              <w:rPr>
                <w:sz w:val="18"/>
              </w:rPr>
            </w:pPr>
            <w:r>
              <w:rPr>
                <w:sz w:val="18"/>
              </w:rPr>
              <w:t>2025</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635" w:type="dxa"/>
            <w:tcBorders/>
            <w:shd w:fill="CCEEFF" w:val="clear"/>
            <w:tcMar>
              <w:bottom w:w="0" w:type="dxa"/>
            </w:tcMar>
            <w:vAlign w:val="center"/>
          </w:tcPr>
          <w:p>
            <w:pPr>
              <w:pStyle w:val="TableContents"/>
              <w:bidi w:val="0"/>
              <w:spacing w:before="0" w:after="283"/>
              <w:jc w:val="center"/>
              <w:rPr>
                <w:sz w:val="18"/>
              </w:rPr>
            </w:pPr>
            <w:r>
              <w:rPr>
                <w:sz w:val="18"/>
              </w:rPr>
              <w:t>573,409</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641" w:type="dxa"/>
            <w:tcBorders/>
            <w:shd w:fill="CCEEFF" w:val="clear"/>
            <w:tcMar>
              <w:bottom w:w="0" w:type="dxa"/>
            </w:tcMar>
            <w:vAlign w:val="center"/>
          </w:tcPr>
          <w:p>
            <w:pPr>
              <w:pStyle w:val="TableContents"/>
              <w:bidi w:val="0"/>
              <w:spacing w:before="0" w:after="283"/>
              <w:jc w:val="center"/>
              <w:rPr/>
            </w:pPr>
            <w:r>
              <w:rPr/>
              <w:t>—</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872" w:type="dxa"/>
            <w:gridSpan w:val="2"/>
            <w:tcBorders/>
            <w:shd w:fill="CCEEFF" w:val="clear"/>
            <w:tcMar>
              <w:bottom w:w="0" w:type="dxa"/>
            </w:tcMar>
            <w:vAlign w:val="center"/>
          </w:tcPr>
          <w:p>
            <w:pPr>
              <w:pStyle w:val="TableContents"/>
              <w:bidi w:val="0"/>
              <w:spacing w:before="0" w:after="283"/>
              <w:jc w:val="center"/>
              <w:rPr>
                <w:sz w:val="18"/>
              </w:rPr>
            </w:pPr>
            <w:r>
              <w:rPr>
                <w:sz w:val="18"/>
              </w:rPr>
              <w:t>3,099,998</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770" w:type="dxa"/>
            <w:tcBorders/>
            <w:shd w:fill="CCEEFF" w:val="clear"/>
            <w:tcMar>
              <w:bottom w:w="0" w:type="dxa"/>
            </w:tcMar>
            <w:vAlign w:val="center"/>
          </w:tcPr>
          <w:p>
            <w:pPr>
              <w:pStyle w:val="TableContents"/>
              <w:bidi w:val="0"/>
              <w:spacing w:before="0" w:after="283"/>
              <w:jc w:val="center"/>
              <w:rPr/>
            </w:pPr>
            <w:r>
              <w:rPr/>
              <w:t>—</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1962" w:type="dxa"/>
            <w:tcBorders/>
            <w:shd w:fill="CCEEFF" w:val="clear"/>
            <w:tcMar>
              <w:bottom w:w="0" w:type="dxa"/>
            </w:tcMar>
            <w:vAlign w:val="center"/>
          </w:tcPr>
          <w:p>
            <w:pPr>
              <w:pStyle w:val="TableContents"/>
              <w:bidi w:val="0"/>
              <w:spacing w:before="0" w:after="283"/>
              <w:jc w:val="center"/>
              <w:rPr>
                <w:sz w:val="18"/>
              </w:rPr>
            </w:pPr>
            <w:r>
              <w:rPr>
                <w:sz w:val="18"/>
              </w:rPr>
              <w:t>101,903</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1115" w:type="dxa"/>
            <w:tcBorders/>
            <w:shd w:fill="CCEEFF" w:val="clear"/>
            <w:tcMar>
              <w:bottom w:w="0" w:type="dxa"/>
            </w:tcMar>
            <w:vAlign w:val="center"/>
          </w:tcPr>
          <w:p>
            <w:pPr>
              <w:pStyle w:val="TableContents"/>
              <w:bidi w:val="0"/>
              <w:spacing w:before="0" w:after="283"/>
              <w:jc w:val="center"/>
              <w:rPr/>
            </w:pPr>
            <w:r>
              <w:rPr/>
              <w:t>—</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1222" w:type="dxa"/>
            <w:tcBorders/>
            <w:shd w:fill="CCEEFF" w:val="clear"/>
            <w:tcMar>
              <w:bottom w:w="0" w:type="dxa"/>
            </w:tcMar>
            <w:vAlign w:val="center"/>
          </w:tcPr>
          <w:p>
            <w:pPr>
              <w:pStyle w:val="TableContents"/>
              <w:bidi w:val="0"/>
              <w:spacing w:before="0" w:after="283"/>
              <w:jc w:val="center"/>
              <w:rPr>
                <w:sz w:val="18"/>
              </w:rPr>
            </w:pPr>
            <w:r>
              <w:rPr>
                <w:sz w:val="18"/>
              </w:rPr>
              <w:t>3,775,310</w:t>
            </w:r>
          </w:p>
        </w:tc>
      </w:tr>
      <w:tr>
        <w:trPr/>
        <w:tc>
          <w:tcPr>
            <w:tcW w:w="1843" w:type="dxa"/>
            <w:vMerge w:val="continue"/>
            <w:tcBorders/>
            <w:shd w:fill="CCEEFF" w:val="clear"/>
            <w:tcMar>
              <w:bottom w:w="0" w:type="dxa"/>
            </w:tcMar>
            <w:vAlign w:val="center"/>
          </w:tcPr>
          <w:p>
            <w:pPr>
              <w:pStyle w:val="Normal"/>
              <w:bidi w:val="0"/>
              <w:jc w:val="left"/>
              <w:rPr/>
            </w:pPr>
            <w:r>
              <w:rPr/>
            </w:r>
          </w:p>
        </w:tc>
        <w:tc>
          <w:tcPr>
            <w:tcW w:w="90" w:type="dxa"/>
            <w:tcBorders/>
            <w:shd w:fill="CCEEFF" w:val="clear"/>
            <w:tcMar>
              <w:bottom w:w="0" w:type="dxa"/>
            </w:tcMar>
            <w:vAlign w:val="center"/>
          </w:tcPr>
          <w:p>
            <w:pPr>
              <w:pStyle w:val="TableContents"/>
              <w:bidi w:val="0"/>
              <w:spacing w:before="0" w:after="283"/>
              <w:jc w:val="center"/>
              <w:rPr/>
            </w:pPr>
            <w:r>
              <w:rPr/>
              <w:t> </w:t>
            </w:r>
          </w:p>
        </w:tc>
        <w:tc>
          <w:tcPr>
            <w:tcW w:w="425" w:type="dxa"/>
            <w:tcBorders/>
            <w:shd w:fill="CCEEFF" w:val="clear"/>
            <w:tcMar>
              <w:bottom w:w="0" w:type="dxa"/>
            </w:tcMar>
            <w:vAlign w:val="center"/>
          </w:tcPr>
          <w:p>
            <w:pPr>
              <w:pStyle w:val="TableContents"/>
              <w:bidi w:val="0"/>
              <w:spacing w:before="0" w:after="283"/>
              <w:jc w:val="center"/>
              <w:rPr>
                <w:sz w:val="18"/>
              </w:rPr>
            </w:pPr>
            <w:r>
              <w:rPr>
                <w:sz w:val="18"/>
              </w:rPr>
              <w:t>2024</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635" w:type="dxa"/>
            <w:tcBorders/>
            <w:shd w:fill="CCEEFF" w:val="clear"/>
            <w:tcMar>
              <w:bottom w:w="0" w:type="dxa"/>
            </w:tcMar>
            <w:vAlign w:val="center"/>
          </w:tcPr>
          <w:p>
            <w:pPr>
              <w:pStyle w:val="TableContents"/>
              <w:bidi w:val="0"/>
              <w:spacing w:before="0" w:after="283"/>
              <w:jc w:val="center"/>
              <w:rPr>
                <w:sz w:val="18"/>
              </w:rPr>
            </w:pPr>
            <w:r>
              <w:rPr>
                <w:sz w:val="18"/>
              </w:rPr>
              <w:t>551,226</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641" w:type="dxa"/>
            <w:tcBorders/>
            <w:shd w:fill="CCEEFF" w:val="clear"/>
            <w:tcMar>
              <w:bottom w:w="0" w:type="dxa"/>
            </w:tcMar>
            <w:vAlign w:val="center"/>
          </w:tcPr>
          <w:p>
            <w:pPr>
              <w:pStyle w:val="TableContents"/>
              <w:bidi w:val="0"/>
              <w:spacing w:before="0" w:after="283"/>
              <w:jc w:val="center"/>
              <w:rPr/>
            </w:pPr>
            <w:r>
              <w:rPr/>
              <w:t>—</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872" w:type="dxa"/>
            <w:gridSpan w:val="2"/>
            <w:tcBorders/>
            <w:shd w:fill="CCEEFF" w:val="clear"/>
            <w:tcMar>
              <w:bottom w:w="0" w:type="dxa"/>
            </w:tcMar>
            <w:vAlign w:val="center"/>
          </w:tcPr>
          <w:p>
            <w:pPr>
              <w:pStyle w:val="TableContents"/>
              <w:bidi w:val="0"/>
              <w:spacing w:before="0" w:after="283"/>
              <w:jc w:val="center"/>
              <w:rPr>
                <w:sz w:val="18"/>
              </w:rPr>
            </w:pPr>
            <w:r>
              <w:rPr>
                <w:sz w:val="18"/>
              </w:rPr>
              <w:t>590,000</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770" w:type="dxa"/>
            <w:tcBorders/>
            <w:shd w:fill="CCEEFF" w:val="clear"/>
            <w:tcMar>
              <w:bottom w:w="0" w:type="dxa"/>
            </w:tcMar>
            <w:vAlign w:val="center"/>
          </w:tcPr>
          <w:p>
            <w:pPr>
              <w:pStyle w:val="TableContents"/>
              <w:bidi w:val="0"/>
              <w:spacing w:before="0" w:after="283"/>
              <w:jc w:val="center"/>
              <w:rPr/>
            </w:pPr>
            <w:r>
              <w:rPr/>
              <w:t>—</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1962" w:type="dxa"/>
            <w:tcBorders/>
            <w:shd w:fill="CCEEFF" w:val="clear"/>
            <w:tcMar>
              <w:bottom w:w="0" w:type="dxa"/>
            </w:tcMar>
            <w:vAlign w:val="center"/>
          </w:tcPr>
          <w:p>
            <w:pPr>
              <w:pStyle w:val="TableContents"/>
              <w:bidi w:val="0"/>
              <w:spacing w:before="0" w:after="283"/>
              <w:jc w:val="center"/>
              <w:rPr/>
            </w:pPr>
            <w:r>
              <w:rPr/>
              <w:t>—</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1115" w:type="dxa"/>
            <w:tcBorders/>
            <w:shd w:fill="CCEEFF" w:val="clear"/>
            <w:tcMar>
              <w:bottom w:w="0" w:type="dxa"/>
            </w:tcMar>
            <w:vAlign w:val="center"/>
          </w:tcPr>
          <w:p>
            <w:pPr>
              <w:pStyle w:val="TableContents"/>
              <w:bidi w:val="0"/>
              <w:spacing w:before="0" w:after="283"/>
              <w:jc w:val="center"/>
              <w:rPr/>
            </w:pPr>
            <w:r>
              <w:rPr/>
              <w:t>—</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1222" w:type="dxa"/>
            <w:tcBorders/>
            <w:shd w:fill="CCEEFF" w:val="clear"/>
            <w:tcMar>
              <w:bottom w:w="0" w:type="dxa"/>
            </w:tcMar>
            <w:vAlign w:val="center"/>
          </w:tcPr>
          <w:p>
            <w:pPr>
              <w:pStyle w:val="TableContents"/>
              <w:bidi w:val="0"/>
              <w:spacing w:before="0" w:after="283"/>
              <w:jc w:val="center"/>
              <w:rPr>
                <w:sz w:val="18"/>
              </w:rPr>
            </w:pPr>
            <w:r>
              <w:rPr>
                <w:sz w:val="18"/>
              </w:rPr>
              <w:t>1,141,226</w:t>
            </w:r>
          </w:p>
        </w:tc>
      </w:tr>
      <w:tr>
        <w:trPr/>
        <w:tc>
          <w:tcPr>
            <w:tcW w:w="1843" w:type="dxa"/>
            <w:vMerge w:val="continue"/>
            <w:tcBorders/>
            <w:shd w:fill="CCEEFF" w:val="clear"/>
            <w:tcMar>
              <w:bottom w:w="0" w:type="dxa"/>
            </w:tcMar>
            <w:vAlign w:val="center"/>
          </w:tcPr>
          <w:p>
            <w:pPr>
              <w:pStyle w:val="Normal"/>
              <w:bidi w:val="0"/>
              <w:jc w:val="left"/>
              <w:rPr/>
            </w:pPr>
            <w:r>
              <w:rPr/>
            </w:r>
          </w:p>
        </w:tc>
        <w:tc>
          <w:tcPr>
            <w:tcW w:w="90" w:type="dxa"/>
            <w:tcBorders/>
            <w:shd w:fill="CCEEFF" w:val="clear"/>
            <w:tcMar>
              <w:bottom w:w="0" w:type="dxa"/>
            </w:tcMar>
            <w:vAlign w:val="center"/>
          </w:tcPr>
          <w:p>
            <w:pPr>
              <w:pStyle w:val="TableContents"/>
              <w:bidi w:val="0"/>
              <w:spacing w:before="0" w:after="283"/>
              <w:jc w:val="center"/>
              <w:rPr/>
            </w:pPr>
            <w:r>
              <w:rPr/>
              <w:t> </w:t>
            </w:r>
          </w:p>
        </w:tc>
        <w:tc>
          <w:tcPr>
            <w:tcW w:w="425" w:type="dxa"/>
            <w:tcBorders/>
            <w:shd w:fill="CCEEFF" w:val="clear"/>
            <w:tcMar>
              <w:bottom w:w="0" w:type="dxa"/>
            </w:tcMar>
            <w:vAlign w:val="center"/>
          </w:tcPr>
          <w:p>
            <w:pPr>
              <w:pStyle w:val="TableContents"/>
              <w:bidi w:val="0"/>
              <w:spacing w:before="0" w:after="283"/>
              <w:jc w:val="center"/>
              <w:rPr>
                <w:sz w:val="18"/>
              </w:rPr>
            </w:pPr>
            <w:r>
              <w:rPr>
                <w:sz w:val="18"/>
              </w:rPr>
              <w:t>2023</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635" w:type="dxa"/>
            <w:tcBorders/>
            <w:shd w:fill="CCEEFF" w:val="clear"/>
            <w:tcMar>
              <w:bottom w:w="0" w:type="dxa"/>
            </w:tcMar>
            <w:vAlign w:val="center"/>
          </w:tcPr>
          <w:p>
            <w:pPr>
              <w:pStyle w:val="TableContents"/>
              <w:bidi w:val="0"/>
              <w:spacing w:before="0" w:after="283"/>
              <w:jc w:val="center"/>
              <w:rPr>
                <w:sz w:val="18"/>
              </w:rPr>
            </w:pPr>
            <w:r>
              <w:rPr>
                <w:sz w:val="18"/>
              </w:rPr>
              <w:t>550,008</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641" w:type="dxa"/>
            <w:tcBorders/>
            <w:shd w:fill="CCEEFF" w:val="clear"/>
            <w:tcMar>
              <w:bottom w:w="0" w:type="dxa"/>
            </w:tcMar>
            <w:vAlign w:val="center"/>
          </w:tcPr>
          <w:p>
            <w:pPr>
              <w:pStyle w:val="TableContents"/>
              <w:bidi w:val="0"/>
              <w:spacing w:before="0" w:after="283"/>
              <w:jc w:val="center"/>
              <w:rPr/>
            </w:pPr>
            <w:r>
              <w:rPr/>
              <w:t>—</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872" w:type="dxa"/>
            <w:gridSpan w:val="2"/>
            <w:tcBorders/>
            <w:shd w:fill="CCEEFF" w:val="clear"/>
            <w:tcMar>
              <w:bottom w:w="0" w:type="dxa"/>
            </w:tcMar>
            <w:vAlign w:val="center"/>
          </w:tcPr>
          <w:p>
            <w:pPr>
              <w:pStyle w:val="TableContents"/>
              <w:bidi w:val="0"/>
              <w:spacing w:before="0" w:after="283"/>
              <w:jc w:val="center"/>
              <w:rPr/>
            </w:pPr>
            <w:r>
              <w:rPr/>
              <w:t>—</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770" w:type="dxa"/>
            <w:tcBorders/>
            <w:shd w:fill="CCEEFF" w:val="clear"/>
            <w:tcMar>
              <w:bottom w:w="0" w:type="dxa"/>
            </w:tcMar>
            <w:vAlign w:val="center"/>
          </w:tcPr>
          <w:p>
            <w:pPr>
              <w:pStyle w:val="TableContents"/>
              <w:bidi w:val="0"/>
              <w:spacing w:before="0" w:after="283"/>
              <w:jc w:val="center"/>
              <w:rPr/>
            </w:pPr>
            <w:r>
              <w:rPr/>
              <w:t>—</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1962" w:type="dxa"/>
            <w:tcBorders/>
            <w:shd w:fill="CCEEFF" w:val="clear"/>
            <w:tcMar>
              <w:bottom w:w="0" w:type="dxa"/>
            </w:tcMar>
            <w:vAlign w:val="center"/>
          </w:tcPr>
          <w:p>
            <w:pPr>
              <w:pStyle w:val="TableContents"/>
              <w:bidi w:val="0"/>
              <w:spacing w:before="0" w:after="283"/>
              <w:jc w:val="center"/>
              <w:rPr>
                <w:sz w:val="18"/>
              </w:rPr>
            </w:pPr>
            <w:r>
              <w:rPr>
                <w:sz w:val="18"/>
              </w:rPr>
              <w:t>99,000</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1115" w:type="dxa"/>
            <w:tcBorders/>
            <w:shd w:fill="CCEEFF" w:val="clear"/>
            <w:tcMar>
              <w:bottom w:w="0" w:type="dxa"/>
            </w:tcMar>
            <w:vAlign w:val="center"/>
          </w:tcPr>
          <w:p>
            <w:pPr>
              <w:pStyle w:val="TableContents"/>
              <w:bidi w:val="0"/>
              <w:spacing w:before="0" w:after="283"/>
              <w:jc w:val="center"/>
              <w:rPr/>
            </w:pPr>
            <w:r>
              <w:rPr/>
              <w:t>—</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1222" w:type="dxa"/>
            <w:tcBorders/>
            <w:shd w:fill="CCEEFF" w:val="clear"/>
            <w:tcMar>
              <w:bottom w:w="0" w:type="dxa"/>
            </w:tcMar>
            <w:vAlign w:val="center"/>
          </w:tcPr>
          <w:p>
            <w:pPr>
              <w:pStyle w:val="TableContents"/>
              <w:bidi w:val="0"/>
              <w:spacing w:before="0" w:after="283"/>
              <w:jc w:val="center"/>
              <w:rPr>
                <w:sz w:val="18"/>
              </w:rPr>
            </w:pPr>
            <w:r>
              <w:rPr>
                <w:sz w:val="18"/>
              </w:rPr>
              <w:t>649,008</w:t>
            </w:r>
          </w:p>
        </w:tc>
      </w:tr>
      <w:tr>
        <w:trPr/>
        <w:tc>
          <w:tcPr>
            <w:tcW w:w="1843" w:type="dxa"/>
            <w:vMerge w:val="restart"/>
            <w:tcBorders/>
            <w:tcMar>
              <w:bottom w:w="0" w:type="dxa"/>
            </w:tcMar>
            <w:vAlign w:val="center"/>
          </w:tcPr>
          <w:p>
            <w:pPr>
              <w:pStyle w:val="TableContents"/>
              <w:bidi w:val="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Rodney Worthen</w:t>
            </w:r>
          </w:p>
          <w:p>
            <w:pPr>
              <w:pStyle w:val="TableContents"/>
              <w:bidi w:val="0"/>
              <w:spacing w:before="0" w:after="283"/>
              <w:jc w:val="left"/>
              <w:rPr>
                <w:rFonts w:ascii="Times New Roman;Times;Serif" w:hAnsi="Times New Roman;Times;Serif"/>
                <w:b w:val="false"/>
                <w:i/>
                <w:caps w:val="false"/>
                <w:smallCaps w:val="false"/>
                <w:sz w:val="18"/>
              </w:rPr>
            </w:pPr>
            <w:r>
              <w:rPr>
                <w:rFonts w:ascii="Times New Roman;Times;Serif" w:hAnsi="Times New Roman;Times;Serif"/>
                <w:b w:val="false"/>
                <w:i/>
                <w:caps w:val="false"/>
                <w:smallCaps w:val="false"/>
                <w:sz w:val="18"/>
              </w:rPr>
              <w:t>Chief Financial Officer</w:t>
            </w:r>
          </w:p>
        </w:tc>
        <w:tc>
          <w:tcPr>
            <w:tcW w:w="90" w:type="dxa"/>
            <w:tcBorders/>
            <w:tcMar>
              <w:bottom w:w="0" w:type="dxa"/>
            </w:tcMar>
            <w:vAlign w:val="center"/>
          </w:tcPr>
          <w:p>
            <w:pPr>
              <w:pStyle w:val="TableContents"/>
              <w:bidi w:val="0"/>
              <w:spacing w:before="0" w:after="283"/>
              <w:jc w:val="center"/>
              <w:rPr/>
            </w:pPr>
            <w:r>
              <w:rPr/>
              <w:t> </w:t>
            </w:r>
          </w:p>
        </w:tc>
        <w:tc>
          <w:tcPr>
            <w:tcW w:w="425" w:type="dxa"/>
            <w:tcBorders/>
            <w:tcMar>
              <w:bottom w:w="0" w:type="dxa"/>
            </w:tcMar>
            <w:vAlign w:val="center"/>
          </w:tcPr>
          <w:p>
            <w:pPr>
              <w:pStyle w:val="TableContents"/>
              <w:bidi w:val="0"/>
              <w:spacing w:before="0" w:after="283"/>
              <w:jc w:val="center"/>
              <w:rPr>
                <w:sz w:val="18"/>
              </w:rPr>
            </w:pPr>
            <w:r>
              <w:rPr>
                <w:sz w:val="18"/>
              </w:rPr>
              <w:t>2025</w:t>
            </w:r>
          </w:p>
        </w:tc>
        <w:tc>
          <w:tcPr>
            <w:tcW w:w="90" w:type="dxa"/>
            <w:tcBorders/>
            <w:tcMar>
              <w:bottom w:w="0" w:type="dxa"/>
            </w:tcMar>
            <w:vAlign w:val="center"/>
          </w:tcPr>
          <w:p>
            <w:pPr>
              <w:pStyle w:val="TableContents"/>
              <w:bidi w:val="0"/>
              <w:spacing w:before="0" w:after="283"/>
              <w:jc w:val="center"/>
              <w:rPr/>
            </w:pPr>
            <w:r>
              <w:rPr/>
              <w:t> </w:t>
            </w:r>
          </w:p>
        </w:tc>
        <w:tc>
          <w:tcPr>
            <w:tcW w:w="635" w:type="dxa"/>
            <w:tcBorders/>
            <w:tcMar>
              <w:bottom w:w="0" w:type="dxa"/>
            </w:tcMar>
            <w:vAlign w:val="center"/>
          </w:tcPr>
          <w:p>
            <w:pPr>
              <w:pStyle w:val="TableContents"/>
              <w:bidi w:val="0"/>
              <w:spacing w:before="0" w:after="283"/>
              <w:jc w:val="center"/>
              <w:rPr>
                <w:sz w:val="18"/>
              </w:rPr>
            </w:pPr>
            <w:r>
              <w:rPr>
                <w:sz w:val="18"/>
              </w:rPr>
              <w:t>204,685</w:t>
            </w:r>
          </w:p>
        </w:tc>
        <w:tc>
          <w:tcPr>
            <w:tcW w:w="90" w:type="dxa"/>
            <w:tcBorders/>
            <w:tcMar>
              <w:bottom w:w="0" w:type="dxa"/>
            </w:tcMar>
            <w:vAlign w:val="center"/>
          </w:tcPr>
          <w:p>
            <w:pPr>
              <w:pStyle w:val="TableContents"/>
              <w:bidi w:val="0"/>
              <w:spacing w:before="0" w:after="283"/>
              <w:jc w:val="center"/>
              <w:rPr/>
            </w:pPr>
            <w:r>
              <w:rPr/>
              <w:t> </w:t>
            </w:r>
          </w:p>
        </w:tc>
        <w:tc>
          <w:tcPr>
            <w:tcW w:w="641" w:type="dxa"/>
            <w:tcBorders/>
            <w:tcMar>
              <w:bottom w:w="0" w:type="dxa"/>
            </w:tcMar>
            <w:vAlign w:val="center"/>
          </w:tcPr>
          <w:p>
            <w:pPr>
              <w:pStyle w:val="TableContents"/>
              <w:bidi w:val="0"/>
              <w:spacing w:before="0" w:after="283"/>
              <w:jc w:val="center"/>
              <w:rPr/>
            </w:pPr>
            <w:r>
              <w:rPr/>
              <w:t>—</w:t>
            </w:r>
          </w:p>
        </w:tc>
        <w:tc>
          <w:tcPr>
            <w:tcW w:w="90" w:type="dxa"/>
            <w:tcBorders/>
            <w:tcMar>
              <w:bottom w:w="0" w:type="dxa"/>
            </w:tcMar>
            <w:vAlign w:val="center"/>
          </w:tcPr>
          <w:p>
            <w:pPr>
              <w:pStyle w:val="TableContents"/>
              <w:bidi w:val="0"/>
              <w:spacing w:before="0" w:after="283"/>
              <w:jc w:val="center"/>
              <w:rPr/>
            </w:pPr>
            <w:r>
              <w:rPr/>
              <w:t> </w:t>
            </w:r>
          </w:p>
        </w:tc>
        <w:tc>
          <w:tcPr>
            <w:tcW w:w="872" w:type="dxa"/>
            <w:gridSpan w:val="2"/>
            <w:tcBorders/>
            <w:tcMar>
              <w:bottom w:w="0" w:type="dxa"/>
            </w:tcMar>
            <w:vAlign w:val="center"/>
          </w:tcPr>
          <w:p>
            <w:pPr>
              <w:pStyle w:val="TableContents"/>
              <w:bidi w:val="0"/>
              <w:spacing w:before="0" w:after="283"/>
              <w:jc w:val="center"/>
              <w:rPr>
                <w:sz w:val="18"/>
              </w:rPr>
            </w:pPr>
            <w:r>
              <w:rPr>
                <w:sz w:val="18"/>
              </w:rPr>
              <w:t>43,350</w:t>
            </w:r>
          </w:p>
        </w:tc>
        <w:tc>
          <w:tcPr>
            <w:tcW w:w="90" w:type="dxa"/>
            <w:tcBorders/>
            <w:tcMar>
              <w:bottom w:w="0" w:type="dxa"/>
            </w:tcMar>
            <w:vAlign w:val="center"/>
          </w:tcPr>
          <w:p>
            <w:pPr>
              <w:pStyle w:val="TableContents"/>
              <w:bidi w:val="0"/>
              <w:spacing w:before="0" w:after="283"/>
              <w:jc w:val="center"/>
              <w:rPr/>
            </w:pPr>
            <w:r>
              <w:rPr/>
              <w:t> </w:t>
            </w:r>
          </w:p>
        </w:tc>
        <w:tc>
          <w:tcPr>
            <w:tcW w:w="770" w:type="dxa"/>
            <w:tcBorders/>
            <w:tcMar>
              <w:bottom w:w="0" w:type="dxa"/>
            </w:tcMar>
            <w:vAlign w:val="center"/>
          </w:tcPr>
          <w:p>
            <w:pPr>
              <w:pStyle w:val="TableContents"/>
              <w:bidi w:val="0"/>
              <w:spacing w:before="0" w:after="283"/>
              <w:jc w:val="center"/>
              <w:rPr/>
            </w:pPr>
            <w:r>
              <w:rPr/>
              <w:t>—</w:t>
            </w:r>
          </w:p>
        </w:tc>
        <w:tc>
          <w:tcPr>
            <w:tcW w:w="90" w:type="dxa"/>
            <w:tcBorders/>
            <w:tcMar>
              <w:bottom w:w="0" w:type="dxa"/>
            </w:tcMar>
            <w:vAlign w:val="center"/>
          </w:tcPr>
          <w:p>
            <w:pPr>
              <w:pStyle w:val="TableContents"/>
              <w:bidi w:val="0"/>
              <w:spacing w:before="0" w:after="283"/>
              <w:jc w:val="center"/>
              <w:rPr/>
            </w:pPr>
            <w:r>
              <w:rPr/>
              <w:t> </w:t>
            </w:r>
          </w:p>
        </w:tc>
        <w:tc>
          <w:tcPr>
            <w:tcW w:w="1962" w:type="dxa"/>
            <w:tcBorders/>
            <w:tcMar>
              <w:bottom w:w="0" w:type="dxa"/>
            </w:tcMar>
            <w:vAlign w:val="center"/>
          </w:tcPr>
          <w:p>
            <w:pPr>
              <w:pStyle w:val="TableContents"/>
              <w:bidi w:val="0"/>
              <w:jc w:val="center"/>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21,642</w:t>
            </w:r>
          </w:p>
          <w:p>
            <w:pPr>
              <w:pStyle w:val="TableContents"/>
              <w:bidi w:val="0"/>
              <w:spacing w:before="0" w:after="283"/>
              <w:jc w:val="center"/>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center"/>
              <w:rPr/>
            </w:pPr>
            <w:r>
              <w:rPr/>
              <w:t> </w:t>
            </w:r>
          </w:p>
        </w:tc>
        <w:tc>
          <w:tcPr>
            <w:tcW w:w="1115" w:type="dxa"/>
            <w:tcBorders/>
            <w:tcMar>
              <w:bottom w:w="0" w:type="dxa"/>
            </w:tcMar>
            <w:vAlign w:val="center"/>
          </w:tcPr>
          <w:p>
            <w:pPr>
              <w:pStyle w:val="TableContents"/>
              <w:bidi w:val="0"/>
              <w:spacing w:before="0" w:after="283"/>
              <w:jc w:val="center"/>
              <w:rPr/>
            </w:pPr>
            <w:r>
              <w:rPr/>
              <w:t>—</w:t>
            </w:r>
          </w:p>
        </w:tc>
        <w:tc>
          <w:tcPr>
            <w:tcW w:w="90" w:type="dxa"/>
            <w:tcBorders/>
            <w:tcMar>
              <w:bottom w:w="0" w:type="dxa"/>
            </w:tcMar>
            <w:vAlign w:val="center"/>
          </w:tcPr>
          <w:p>
            <w:pPr>
              <w:pStyle w:val="TableContents"/>
              <w:bidi w:val="0"/>
              <w:spacing w:before="0" w:after="283"/>
              <w:jc w:val="center"/>
              <w:rPr/>
            </w:pPr>
            <w:r>
              <w:rPr/>
              <w:t> </w:t>
            </w:r>
          </w:p>
        </w:tc>
        <w:tc>
          <w:tcPr>
            <w:tcW w:w="1222" w:type="dxa"/>
            <w:tcBorders/>
            <w:tcMar>
              <w:bottom w:w="0" w:type="dxa"/>
            </w:tcMar>
            <w:vAlign w:val="center"/>
          </w:tcPr>
          <w:p>
            <w:pPr>
              <w:pStyle w:val="TableContents"/>
              <w:bidi w:val="0"/>
              <w:spacing w:before="0" w:after="283"/>
              <w:jc w:val="center"/>
              <w:rPr>
                <w:sz w:val="18"/>
              </w:rPr>
            </w:pPr>
            <w:r>
              <w:rPr>
                <w:sz w:val="18"/>
              </w:rPr>
              <w:t>269,677</w:t>
            </w:r>
          </w:p>
        </w:tc>
      </w:tr>
      <w:tr>
        <w:trPr/>
        <w:tc>
          <w:tcPr>
            <w:tcW w:w="1843" w:type="dxa"/>
            <w:vMerge w:val="continue"/>
            <w:tcBorders/>
            <w:tcMar>
              <w:bottom w:w="0" w:type="dxa"/>
            </w:tcMar>
            <w:vAlign w:val="center"/>
          </w:tcPr>
          <w:p>
            <w:pPr>
              <w:pStyle w:val="Normal"/>
              <w:bidi w:val="0"/>
              <w:jc w:val="left"/>
              <w:rPr/>
            </w:pPr>
            <w:r>
              <w:rPr/>
            </w:r>
          </w:p>
        </w:tc>
        <w:tc>
          <w:tcPr>
            <w:tcW w:w="90" w:type="dxa"/>
            <w:tcBorders/>
            <w:tcMar>
              <w:bottom w:w="0" w:type="dxa"/>
            </w:tcMar>
            <w:vAlign w:val="center"/>
          </w:tcPr>
          <w:p>
            <w:pPr>
              <w:pStyle w:val="TableContents"/>
              <w:bidi w:val="0"/>
              <w:spacing w:before="0" w:after="283"/>
              <w:jc w:val="center"/>
              <w:rPr/>
            </w:pPr>
            <w:r>
              <w:rPr/>
              <w:t> </w:t>
            </w:r>
          </w:p>
        </w:tc>
        <w:tc>
          <w:tcPr>
            <w:tcW w:w="425"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center"/>
              <w:rPr/>
            </w:pPr>
            <w:r>
              <w:rPr/>
              <w:t> </w:t>
            </w:r>
          </w:p>
        </w:tc>
        <w:tc>
          <w:tcPr>
            <w:tcW w:w="635"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center"/>
              <w:rPr/>
            </w:pPr>
            <w:r>
              <w:rPr/>
              <w:t> </w:t>
            </w:r>
          </w:p>
        </w:tc>
        <w:tc>
          <w:tcPr>
            <w:tcW w:w="641"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center"/>
              <w:rPr/>
            </w:pPr>
            <w:r>
              <w:rPr/>
              <w:t> </w:t>
            </w:r>
          </w:p>
        </w:tc>
        <w:tc>
          <w:tcPr>
            <w:tcW w:w="872" w:type="dxa"/>
            <w:gridSpan w:val="2"/>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center"/>
              <w:rPr/>
            </w:pPr>
            <w:r>
              <w:rPr/>
              <w:t> </w:t>
            </w:r>
          </w:p>
        </w:tc>
        <w:tc>
          <w:tcPr>
            <w:tcW w:w="770"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center"/>
              <w:rPr/>
            </w:pPr>
            <w:r>
              <w:rPr/>
              <w:t> </w:t>
            </w:r>
          </w:p>
        </w:tc>
        <w:tc>
          <w:tcPr>
            <w:tcW w:w="1962"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center"/>
              <w:rPr/>
            </w:pPr>
            <w:r>
              <w:rPr/>
              <w:t> </w:t>
            </w:r>
          </w:p>
        </w:tc>
        <w:tc>
          <w:tcPr>
            <w:tcW w:w="1115"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center"/>
              <w:rPr/>
            </w:pPr>
            <w:r>
              <w:rPr/>
              <w:t> </w:t>
            </w:r>
          </w:p>
        </w:tc>
        <w:tc>
          <w:tcPr>
            <w:tcW w:w="1222" w:type="dxa"/>
            <w:tcBorders/>
            <w:tcMar>
              <w:bottom w:w="0" w:type="dxa"/>
            </w:tcMar>
            <w:vAlign w:val="center"/>
          </w:tcPr>
          <w:p>
            <w:pPr>
              <w:pStyle w:val="TableContents"/>
              <w:bidi w:val="0"/>
              <w:spacing w:before="0" w:after="283"/>
              <w:jc w:val="center"/>
              <w:rPr/>
            </w:pPr>
            <w:r>
              <w:rPr/>
              <w:t> </w:t>
            </w:r>
          </w:p>
        </w:tc>
      </w:tr>
      <w:tr>
        <w:trPr/>
        <w:tc>
          <w:tcPr>
            <w:tcW w:w="1843" w:type="dxa"/>
            <w:vMerge w:val="restart"/>
            <w:tcBorders/>
            <w:shd w:fill="CCEEFF" w:val="clear"/>
            <w:tcMar>
              <w:bottom w:w="0" w:type="dxa"/>
            </w:tcMar>
            <w:vAlign w:val="center"/>
          </w:tcPr>
          <w:p>
            <w:pPr>
              <w:pStyle w:val="TableContents"/>
              <w:bidi w:val="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Isida Tushe</w:t>
            </w:r>
          </w:p>
          <w:p>
            <w:pPr>
              <w:pStyle w:val="TableContents"/>
              <w:bidi w:val="0"/>
              <w:spacing w:before="0" w:after="283"/>
              <w:jc w:val="left"/>
              <w:rPr>
                <w:rFonts w:ascii="Times New Roman;Times;Serif" w:hAnsi="Times New Roman;Times;Serif"/>
                <w:b w:val="false"/>
                <w:i/>
                <w:caps w:val="false"/>
                <w:smallCaps w:val="false"/>
                <w:sz w:val="18"/>
              </w:rPr>
            </w:pPr>
            <w:r>
              <w:rPr>
                <w:rFonts w:ascii="Times New Roman;Times;Serif" w:hAnsi="Times New Roman;Times;Serif"/>
                <w:b w:val="false"/>
                <w:i/>
                <w:caps w:val="false"/>
                <w:smallCaps w:val="false"/>
                <w:sz w:val="18"/>
              </w:rPr>
              <w:t>President, General Counsel and Company Secretary</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425" w:type="dxa"/>
            <w:tcBorders/>
            <w:shd w:fill="CCEEFF" w:val="clear"/>
            <w:tcMar>
              <w:bottom w:w="0" w:type="dxa"/>
            </w:tcMar>
            <w:vAlign w:val="center"/>
          </w:tcPr>
          <w:p>
            <w:pPr>
              <w:pStyle w:val="TableContents"/>
              <w:bidi w:val="0"/>
              <w:spacing w:before="0" w:after="283"/>
              <w:jc w:val="center"/>
              <w:rPr>
                <w:sz w:val="18"/>
              </w:rPr>
            </w:pPr>
            <w:r>
              <w:rPr>
                <w:sz w:val="18"/>
              </w:rPr>
              <w:t>2025</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635" w:type="dxa"/>
            <w:tcBorders/>
            <w:shd w:fill="CCEEFF" w:val="clear"/>
            <w:tcMar>
              <w:bottom w:w="0" w:type="dxa"/>
            </w:tcMar>
            <w:vAlign w:val="center"/>
          </w:tcPr>
          <w:p>
            <w:pPr>
              <w:pStyle w:val="TableContents"/>
              <w:bidi w:val="0"/>
              <w:spacing w:before="0" w:after="283"/>
              <w:jc w:val="center"/>
              <w:rPr>
                <w:sz w:val="18"/>
              </w:rPr>
            </w:pPr>
            <w:r>
              <w:rPr>
                <w:sz w:val="18"/>
              </w:rPr>
              <w:t>450,000</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641" w:type="dxa"/>
            <w:tcBorders/>
            <w:shd w:fill="CCEEFF" w:val="clear"/>
            <w:tcMar>
              <w:bottom w:w="0" w:type="dxa"/>
            </w:tcMar>
            <w:vAlign w:val="center"/>
          </w:tcPr>
          <w:p>
            <w:pPr>
              <w:pStyle w:val="TableContents"/>
              <w:bidi w:val="0"/>
              <w:spacing w:before="0" w:after="283"/>
              <w:jc w:val="center"/>
              <w:rPr/>
            </w:pPr>
            <w:r>
              <w:rPr/>
              <w:t>—</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768" w:type="dxa"/>
            <w:tcBorders/>
            <w:shd w:fill="CCEEFF" w:val="clear"/>
            <w:tcMar>
              <w:bottom w:w="0" w:type="dxa"/>
            </w:tcMar>
            <w:vAlign w:val="center"/>
          </w:tcPr>
          <w:p>
            <w:pPr>
              <w:pStyle w:val="TableContents"/>
              <w:bidi w:val="0"/>
              <w:spacing w:before="0" w:after="283"/>
              <w:jc w:val="center"/>
              <w:rPr>
                <w:sz w:val="18"/>
              </w:rPr>
            </w:pPr>
            <w:r>
              <w:rPr>
                <w:sz w:val="18"/>
              </w:rPr>
              <w:t>715,000</w:t>
            </w:r>
          </w:p>
        </w:tc>
        <w:tc>
          <w:tcPr>
            <w:tcW w:w="194" w:type="dxa"/>
            <w:gridSpan w:val="2"/>
            <w:tcBorders/>
            <w:shd w:fill="CCEEFF" w:val="clear"/>
            <w:tcMar>
              <w:bottom w:w="0" w:type="dxa"/>
            </w:tcMar>
            <w:vAlign w:val="center"/>
          </w:tcPr>
          <w:p>
            <w:pPr>
              <w:pStyle w:val="TableContents"/>
              <w:bidi w:val="0"/>
              <w:spacing w:before="0" w:after="283"/>
              <w:jc w:val="center"/>
              <w:rPr/>
            </w:pPr>
            <w:r>
              <w:rPr/>
              <w:t> </w:t>
            </w:r>
          </w:p>
        </w:tc>
        <w:tc>
          <w:tcPr>
            <w:tcW w:w="770" w:type="dxa"/>
            <w:tcBorders/>
            <w:shd w:fill="CCEEFF" w:val="clear"/>
            <w:tcMar>
              <w:bottom w:w="0" w:type="dxa"/>
            </w:tcMar>
            <w:vAlign w:val="center"/>
          </w:tcPr>
          <w:p>
            <w:pPr>
              <w:pStyle w:val="TableContents"/>
              <w:bidi w:val="0"/>
              <w:spacing w:before="0" w:after="283"/>
              <w:jc w:val="center"/>
              <w:rPr/>
            </w:pPr>
            <w:r>
              <w:rPr/>
              <w:t>—</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1962" w:type="dxa"/>
            <w:tcBorders/>
            <w:shd w:fill="CCEEFF" w:val="clear"/>
            <w:tcMar>
              <w:bottom w:w="0" w:type="dxa"/>
            </w:tcMar>
            <w:vAlign w:val="center"/>
          </w:tcPr>
          <w:p>
            <w:pPr>
              <w:pStyle w:val="TableContents"/>
              <w:bidi w:val="0"/>
              <w:spacing w:before="0" w:after="283"/>
              <w:jc w:val="center"/>
              <w:rPr>
                <w:sz w:val="18"/>
              </w:rPr>
            </w:pPr>
            <w:r>
              <w:rPr>
                <w:sz w:val="18"/>
              </w:rPr>
              <w:t>46,508</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1115" w:type="dxa"/>
            <w:tcBorders/>
            <w:shd w:fill="CCEEFF" w:val="clear"/>
            <w:tcMar>
              <w:bottom w:w="0" w:type="dxa"/>
            </w:tcMar>
            <w:vAlign w:val="center"/>
          </w:tcPr>
          <w:p>
            <w:pPr>
              <w:pStyle w:val="TableContents"/>
              <w:bidi w:val="0"/>
              <w:spacing w:before="0" w:after="283"/>
              <w:jc w:val="center"/>
              <w:rPr/>
            </w:pPr>
            <w:r>
              <w:rPr/>
              <w:t>—</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1222" w:type="dxa"/>
            <w:tcBorders/>
            <w:shd w:fill="CCEEFF" w:val="clear"/>
            <w:tcMar>
              <w:bottom w:w="0" w:type="dxa"/>
            </w:tcMar>
            <w:vAlign w:val="center"/>
          </w:tcPr>
          <w:p>
            <w:pPr>
              <w:pStyle w:val="TableContents"/>
              <w:bidi w:val="0"/>
              <w:spacing w:before="0" w:after="283"/>
              <w:jc w:val="center"/>
              <w:rPr>
                <w:sz w:val="18"/>
              </w:rPr>
            </w:pPr>
            <w:r>
              <w:rPr>
                <w:sz w:val="18"/>
              </w:rPr>
              <w:t>1,211,508</w:t>
            </w:r>
          </w:p>
        </w:tc>
      </w:tr>
      <w:tr>
        <w:trPr/>
        <w:tc>
          <w:tcPr>
            <w:tcW w:w="1843" w:type="dxa"/>
            <w:vMerge w:val="continue"/>
            <w:tcBorders/>
            <w:shd w:fill="CCEEFF" w:val="clear"/>
            <w:tcMar>
              <w:bottom w:w="0" w:type="dxa"/>
            </w:tcMar>
            <w:vAlign w:val="center"/>
          </w:tcPr>
          <w:p>
            <w:pPr>
              <w:pStyle w:val="Normal"/>
              <w:bidi w:val="0"/>
              <w:jc w:val="left"/>
              <w:rPr/>
            </w:pPr>
            <w:r>
              <w:rPr/>
            </w:r>
          </w:p>
        </w:tc>
        <w:tc>
          <w:tcPr>
            <w:tcW w:w="90" w:type="dxa"/>
            <w:tcBorders/>
            <w:shd w:fill="CCEEFF" w:val="clear"/>
            <w:tcMar>
              <w:bottom w:w="0" w:type="dxa"/>
            </w:tcMar>
            <w:vAlign w:val="center"/>
          </w:tcPr>
          <w:p>
            <w:pPr>
              <w:pStyle w:val="TableContents"/>
              <w:bidi w:val="0"/>
              <w:spacing w:before="0" w:after="283"/>
              <w:jc w:val="center"/>
              <w:rPr/>
            </w:pPr>
            <w:r>
              <w:rPr/>
              <w:t> </w:t>
            </w:r>
          </w:p>
        </w:tc>
        <w:tc>
          <w:tcPr>
            <w:tcW w:w="425" w:type="dxa"/>
            <w:tcBorders/>
            <w:shd w:fill="CCEEFF" w:val="clear"/>
            <w:tcMar>
              <w:bottom w:w="0" w:type="dxa"/>
            </w:tcMar>
            <w:vAlign w:val="center"/>
          </w:tcPr>
          <w:p>
            <w:pPr>
              <w:pStyle w:val="TableContents"/>
              <w:bidi w:val="0"/>
              <w:spacing w:before="0" w:after="283"/>
              <w:jc w:val="center"/>
              <w:rPr>
                <w:sz w:val="18"/>
              </w:rPr>
            </w:pPr>
            <w:r>
              <w:rPr>
                <w:sz w:val="18"/>
              </w:rPr>
              <w:t>2024</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635" w:type="dxa"/>
            <w:tcBorders/>
            <w:shd w:fill="CCEEFF" w:val="clear"/>
            <w:tcMar>
              <w:bottom w:w="0" w:type="dxa"/>
            </w:tcMar>
            <w:vAlign w:val="center"/>
          </w:tcPr>
          <w:p>
            <w:pPr>
              <w:pStyle w:val="TableContents"/>
              <w:bidi w:val="0"/>
              <w:spacing w:before="0" w:after="283"/>
              <w:jc w:val="center"/>
              <w:rPr>
                <w:sz w:val="18"/>
              </w:rPr>
            </w:pPr>
            <w:r>
              <w:rPr>
                <w:sz w:val="18"/>
              </w:rPr>
              <w:t>266,940</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641" w:type="dxa"/>
            <w:tcBorders/>
            <w:shd w:fill="CCEEFF" w:val="clear"/>
            <w:tcMar>
              <w:bottom w:w="0" w:type="dxa"/>
            </w:tcMar>
            <w:vAlign w:val="center"/>
          </w:tcPr>
          <w:p>
            <w:pPr>
              <w:pStyle w:val="TableContents"/>
              <w:bidi w:val="0"/>
              <w:spacing w:before="0" w:after="283"/>
              <w:jc w:val="center"/>
              <w:rPr>
                <w:sz w:val="18"/>
              </w:rPr>
            </w:pPr>
            <w:r>
              <w:rPr>
                <w:sz w:val="18"/>
              </w:rPr>
              <w:t>125,000</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768" w:type="dxa"/>
            <w:tcBorders/>
            <w:shd w:fill="CCEEFF" w:val="clear"/>
            <w:tcMar>
              <w:bottom w:w="0" w:type="dxa"/>
            </w:tcMar>
            <w:vAlign w:val="center"/>
          </w:tcPr>
          <w:p>
            <w:pPr>
              <w:pStyle w:val="TableContents"/>
              <w:bidi w:val="0"/>
              <w:spacing w:before="0" w:after="283"/>
              <w:jc w:val="center"/>
              <w:rPr/>
            </w:pPr>
            <w:r>
              <w:rPr/>
              <w:t>—</w:t>
            </w:r>
          </w:p>
        </w:tc>
        <w:tc>
          <w:tcPr>
            <w:tcW w:w="194" w:type="dxa"/>
            <w:gridSpan w:val="2"/>
            <w:tcBorders/>
            <w:shd w:fill="CCEEFF" w:val="clear"/>
            <w:tcMar>
              <w:bottom w:w="0" w:type="dxa"/>
            </w:tcMar>
            <w:vAlign w:val="center"/>
          </w:tcPr>
          <w:p>
            <w:pPr>
              <w:pStyle w:val="TableContents"/>
              <w:bidi w:val="0"/>
              <w:spacing w:before="0" w:after="283"/>
              <w:jc w:val="center"/>
              <w:rPr/>
            </w:pPr>
            <w:r>
              <w:rPr/>
              <w:t> </w:t>
            </w:r>
          </w:p>
        </w:tc>
        <w:tc>
          <w:tcPr>
            <w:tcW w:w="770" w:type="dxa"/>
            <w:tcBorders/>
            <w:shd w:fill="CCEEFF" w:val="clear"/>
            <w:tcMar>
              <w:bottom w:w="0" w:type="dxa"/>
            </w:tcMar>
            <w:vAlign w:val="center"/>
          </w:tcPr>
          <w:p>
            <w:pPr>
              <w:pStyle w:val="TableContents"/>
              <w:bidi w:val="0"/>
              <w:spacing w:before="0" w:after="283"/>
              <w:jc w:val="center"/>
              <w:rPr>
                <w:sz w:val="18"/>
              </w:rPr>
            </w:pPr>
            <w:r>
              <w:rPr>
                <w:sz w:val="18"/>
              </w:rPr>
              <w:t>890,000</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1962" w:type="dxa"/>
            <w:tcBorders/>
            <w:shd w:fill="CCEEFF" w:val="clear"/>
            <w:tcMar>
              <w:bottom w:w="0" w:type="dxa"/>
            </w:tcMar>
            <w:vAlign w:val="center"/>
          </w:tcPr>
          <w:p>
            <w:pPr>
              <w:pStyle w:val="TableContents"/>
              <w:bidi w:val="0"/>
              <w:spacing w:before="0" w:after="283"/>
              <w:jc w:val="center"/>
              <w:rPr/>
            </w:pPr>
            <w:r>
              <w:rPr/>
              <w:t>—</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1115" w:type="dxa"/>
            <w:tcBorders/>
            <w:shd w:fill="CCEEFF" w:val="clear"/>
            <w:tcMar>
              <w:bottom w:w="0" w:type="dxa"/>
            </w:tcMar>
            <w:vAlign w:val="center"/>
          </w:tcPr>
          <w:p>
            <w:pPr>
              <w:pStyle w:val="TableContents"/>
              <w:bidi w:val="0"/>
              <w:spacing w:before="0" w:after="283"/>
              <w:jc w:val="center"/>
              <w:rPr/>
            </w:pPr>
            <w:r>
              <w:rPr/>
              <w:t>—</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1222" w:type="dxa"/>
            <w:tcBorders/>
            <w:shd w:fill="CCEEFF" w:val="clear"/>
            <w:tcMar>
              <w:bottom w:w="0" w:type="dxa"/>
            </w:tcMar>
            <w:vAlign w:val="center"/>
          </w:tcPr>
          <w:p>
            <w:pPr>
              <w:pStyle w:val="TableContents"/>
              <w:bidi w:val="0"/>
              <w:spacing w:before="0" w:after="283"/>
              <w:jc w:val="center"/>
              <w:rPr>
                <w:sz w:val="18"/>
              </w:rPr>
            </w:pPr>
            <w:r>
              <w:rPr>
                <w:sz w:val="18"/>
              </w:rPr>
              <w:t>1,281,940</w:t>
            </w:r>
          </w:p>
        </w:tc>
      </w:tr>
      <w:tr>
        <w:trPr/>
        <w:tc>
          <w:tcPr>
            <w:tcW w:w="1843" w:type="dxa"/>
            <w:vMerge w:val="continue"/>
            <w:tcBorders/>
            <w:shd w:fill="CCEEFF" w:val="clear"/>
            <w:tcMar>
              <w:bottom w:w="0" w:type="dxa"/>
            </w:tcMar>
            <w:vAlign w:val="center"/>
          </w:tcPr>
          <w:p>
            <w:pPr>
              <w:pStyle w:val="Normal"/>
              <w:bidi w:val="0"/>
              <w:jc w:val="left"/>
              <w:rPr/>
            </w:pPr>
            <w:r>
              <w:rPr/>
            </w:r>
          </w:p>
        </w:tc>
        <w:tc>
          <w:tcPr>
            <w:tcW w:w="90" w:type="dxa"/>
            <w:tcBorders/>
            <w:shd w:fill="CCEEFF" w:val="clear"/>
            <w:tcMar>
              <w:bottom w:w="0" w:type="dxa"/>
            </w:tcMar>
            <w:vAlign w:val="center"/>
          </w:tcPr>
          <w:p>
            <w:pPr>
              <w:pStyle w:val="TableContents"/>
              <w:bidi w:val="0"/>
              <w:spacing w:before="0" w:after="283"/>
              <w:jc w:val="center"/>
              <w:rPr/>
            </w:pPr>
            <w:r>
              <w:rPr/>
              <w:t> </w:t>
            </w:r>
          </w:p>
        </w:tc>
        <w:tc>
          <w:tcPr>
            <w:tcW w:w="425" w:type="dxa"/>
            <w:tcBorders/>
            <w:shd w:fill="CCEEFF" w:val="clear"/>
            <w:tcMar>
              <w:bottom w:w="0" w:type="dxa"/>
            </w:tcMar>
            <w:vAlign w:val="center"/>
          </w:tcPr>
          <w:p>
            <w:pPr>
              <w:pStyle w:val="TableContents"/>
              <w:bidi w:val="0"/>
              <w:spacing w:before="0" w:after="283"/>
              <w:jc w:val="center"/>
              <w:rPr>
                <w:sz w:val="18"/>
              </w:rPr>
            </w:pPr>
            <w:r>
              <w:rPr>
                <w:sz w:val="18"/>
              </w:rPr>
              <w:t>2023</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635" w:type="dxa"/>
            <w:tcBorders/>
            <w:shd w:fill="CCEEFF" w:val="clear"/>
            <w:tcMar>
              <w:bottom w:w="0" w:type="dxa"/>
            </w:tcMar>
            <w:vAlign w:val="center"/>
          </w:tcPr>
          <w:p>
            <w:pPr>
              <w:pStyle w:val="TableContents"/>
              <w:bidi w:val="0"/>
              <w:spacing w:before="0" w:after="283"/>
              <w:jc w:val="center"/>
              <w:rPr/>
            </w:pPr>
            <w:r>
              <w:rPr/>
              <w:t>—</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641" w:type="dxa"/>
            <w:tcBorders/>
            <w:shd w:fill="CCEEFF" w:val="clear"/>
            <w:tcMar>
              <w:bottom w:w="0" w:type="dxa"/>
            </w:tcMar>
            <w:vAlign w:val="center"/>
          </w:tcPr>
          <w:p>
            <w:pPr>
              <w:pStyle w:val="TableContents"/>
              <w:bidi w:val="0"/>
              <w:spacing w:before="0" w:after="283"/>
              <w:jc w:val="center"/>
              <w:rPr/>
            </w:pPr>
            <w:r>
              <w:rPr/>
              <w:t>—</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768" w:type="dxa"/>
            <w:tcBorders/>
            <w:shd w:fill="CCEEFF" w:val="clear"/>
            <w:tcMar>
              <w:bottom w:w="0" w:type="dxa"/>
            </w:tcMar>
            <w:vAlign w:val="center"/>
          </w:tcPr>
          <w:p>
            <w:pPr>
              <w:pStyle w:val="TableContents"/>
              <w:bidi w:val="0"/>
              <w:spacing w:before="0" w:after="283"/>
              <w:jc w:val="center"/>
              <w:rPr/>
            </w:pPr>
            <w:r>
              <w:rPr/>
              <w:t>—</w:t>
            </w:r>
          </w:p>
        </w:tc>
        <w:tc>
          <w:tcPr>
            <w:tcW w:w="194" w:type="dxa"/>
            <w:gridSpan w:val="2"/>
            <w:tcBorders/>
            <w:shd w:fill="CCEEFF" w:val="clear"/>
            <w:tcMar>
              <w:bottom w:w="0" w:type="dxa"/>
            </w:tcMar>
            <w:vAlign w:val="center"/>
          </w:tcPr>
          <w:p>
            <w:pPr>
              <w:pStyle w:val="TableContents"/>
              <w:bidi w:val="0"/>
              <w:spacing w:before="0" w:after="283"/>
              <w:jc w:val="center"/>
              <w:rPr/>
            </w:pPr>
            <w:r>
              <w:rPr/>
              <w:t> </w:t>
            </w:r>
          </w:p>
        </w:tc>
        <w:tc>
          <w:tcPr>
            <w:tcW w:w="770" w:type="dxa"/>
            <w:tcBorders/>
            <w:shd w:fill="CCEEFF" w:val="clear"/>
            <w:tcMar>
              <w:bottom w:w="0" w:type="dxa"/>
            </w:tcMar>
            <w:vAlign w:val="center"/>
          </w:tcPr>
          <w:p>
            <w:pPr>
              <w:pStyle w:val="TableContents"/>
              <w:bidi w:val="0"/>
              <w:spacing w:before="0" w:after="283"/>
              <w:jc w:val="center"/>
              <w:rPr/>
            </w:pPr>
            <w:r>
              <w:rPr/>
              <w:t>—</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1962" w:type="dxa"/>
            <w:tcBorders/>
            <w:shd w:fill="CCEEFF" w:val="clear"/>
            <w:tcMar>
              <w:bottom w:w="0" w:type="dxa"/>
            </w:tcMar>
            <w:vAlign w:val="center"/>
          </w:tcPr>
          <w:p>
            <w:pPr>
              <w:pStyle w:val="TableContents"/>
              <w:bidi w:val="0"/>
              <w:spacing w:before="0" w:after="283"/>
              <w:jc w:val="center"/>
              <w:rPr/>
            </w:pPr>
            <w:r>
              <w:rPr/>
              <w:t>—</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1115" w:type="dxa"/>
            <w:tcBorders/>
            <w:shd w:fill="CCEEFF" w:val="clear"/>
            <w:tcMar>
              <w:bottom w:w="0" w:type="dxa"/>
            </w:tcMar>
            <w:vAlign w:val="center"/>
          </w:tcPr>
          <w:p>
            <w:pPr>
              <w:pStyle w:val="TableContents"/>
              <w:bidi w:val="0"/>
              <w:spacing w:before="0" w:after="283"/>
              <w:jc w:val="center"/>
              <w:rPr/>
            </w:pPr>
            <w:r>
              <w:rPr/>
              <w:t>—</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1222" w:type="dxa"/>
            <w:tcBorders/>
            <w:shd w:fill="CCEEFF" w:val="clear"/>
            <w:tcMar>
              <w:bottom w:w="0" w:type="dxa"/>
            </w:tcMar>
            <w:vAlign w:val="center"/>
          </w:tcPr>
          <w:p>
            <w:pPr>
              <w:pStyle w:val="TableContents"/>
              <w:bidi w:val="0"/>
              <w:spacing w:before="0" w:after="283"/>
              <w:jc w:val="center"/>
              <w:rPr/>
            </w:pPr>
            <w:r>
              <w:rPr/>
              <w:t>—</w:t>
            </w:r>
          </w:p>
        </w:tc>
      </w:tr>
      <w:tr>
        <w:trPr/>
        <w:tc>
          <w:tcPr>
            <w:tcW w:w="1843" w:type="dxa"/>
            <w:vMerge w:val="restart"/>
            <w:tcBorders/>
            <w:tcMar>
              <w:bottom w:w="0" w:type="dxa"/>
            </w:tcMar>
            <w:vAlign w:val="center"/>
          </w:tcPr>
          <w:p>
            <w:pPr>
              <w:pStyle w:val="TableContents"/>
              <w:bidi w:val="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Dr. Shengxian Wu</w:t>
            </w:r>
          </w:p>
          <w:p>
            <w:pPr>
              <w:pStyle w:val="TableContents"/>
              <w:bidi w:val="0"/>
              <w:spacing w:before="0" w:after="283"/>
              <w:jc w:val="left"/>
              <w:rPr>
                <w:rFonts w:ascii="Times New Roman;Times;Serif" w:hAnsi="Times New Roman;Times;Serif"/>
                <w:b w:val="false"/>
                <w:i/>
                <w:caps w:val="false"/>
                <w:smallCaps w:val="false"/>
                <w:sz w:val="18"/>
              </w:rPr>
            </w:pPr>
            <w:r>
              <w:rPr>
                <w:rFonts w:ascii="Times New Roman;Times;Serif" w:hAnsi="Times New Roman;Times;Serif"/>
                <w:b w:val="false"/>
                <w:i/>
                <w:caps w:val="false"/>
                <w:smallCaps w:val="false"/>
                <w:sz w:val="18"/>
              </w:rPr>
              <w:t>Chief Operating Officer</w:t>
            </w:r>
          </w:p>
        </w:tc>
        <w:tc>
          <w:tcPr>
            <w:tcW w:w="90" w:type="dxa"/>
            <w:tcBorders/>
            <w:tcMar>
              <w:bottom w:w="0" w:type="dxa"/>
            </w:tcMar>
            <w:vAlign w:val="center"/>
          </w:tcPr>
          <w:p>
            <w:pPr>
              <w:pStyle w:val="TableContents"/>
              <w:bidi w:val="0"/>
              <w:spacing w:before="0" w:after="283"/>
              <w:jc w:val="center"/>
              <w:rPr/>
            </w:pPr>
            <w:r>
              <w:rPr/>
              <w:t> </w:t>
            </w:r>
          </w:p>
        </w:tc>
        <w:tc>
          <w:tcPr>
            <w:tcW w:w="425" w:type="dxa"/>
            <w:tcBorders/>
            <w:tcMar>
              <w:bottom w:w="0" w:type="dxa"/>
            </w:tcMar>
            <w:vAlign w:val="center"/>
          </w:tcPr>
          <w:p>
            <w:pPr>
              <w:pStyle w:val="TableContents"/>
              <w:bidi w:val="0"/>
              <w:spacing w:before="0" w:after="283"/>
              <w:jc w:val="center"/>
              <w:rPr>
                <w:sz w:val="18"/>
              </w:rPr>
            </w:pPr>
            <w:r>
              <w:rPr>
                <w:sz w:val="18"/>
              </w:rPr>
              <w:t>2025</w:t>
            </w:r>
          </w:p>
        </w:tc>
        <w:tc>
          <w:tcPr>
            <w:tcW w:w="90" w:type="dxa"/>
            <w:tcBorders/>
            <w:tcMar>
              <w:bottom w:w="0" w:type="dxa"/>
            </w:tcMar>
            <w:vAlign w:val="center"/>
          </w:tcPr>
          <w:p>
            <w:pPr>
              <w:pStyle w:val="TableContents"/>
              <w:bidi w:val="0"/>
              <w:spacing w:before="0" w:after="283"/>
              <w:jc w:val="center"/>
              <w:rPr/>
            </w:pPr>
            <w:r>
              <w:rPr/>
              <w:t> </w:t>
            </w:r>
          </w:p>
        </w:tc>
        <w:tc>
          <w:tcPr>
            <w:tcW w:w="635" w:type="dxa"/>
            <w:tcBorders/>
            <w:tcMar>
              <w:bottom w:w="0" w:type="dxa"/>
            </w:tcMar>
            <w:vAlign w:val="center"/>
          </w:tcPr>
          <w:p>
            <w:pPr>
              <w:pStyle w:val="TableContents"/>
              <w:bidi w:val="0"/>
              <w:spacing w:before="0" w:after="283"/>
              <w:jc w:val="center"/>
              <w:rPr>
                <w:sz w:val="18"/>
              </w:rPr>
            </w:pPr>
            <w:r>
              <w:rPr>
                <w:sz w:val="18"/>
              </w:rPr>
              <w:t>400,000</w:t>
            </w:r>
          </w:p>
        </w:tc>
        <w:tc>
          <w:tcPr>
            <w:tcW w:w="90" w:type="dxa"/>
            <w:tcBorders/>
            <w:tcMar>
              <w:bottom w:w="0" w:type="dxa"/>
            </w:tcMar>
            <w:vAlign w:val="center"/>
          </w:tcPr>
          <w:p>
            <w:pPr>
              <w:pStyle w:val="TableContents"/>
              <w:bidi w:val="0"/>
              <w:spacing w:before="0" w:after="283"/>
              <w:jc w:val="center"/>
              <w:rPr/>
            </w:pPr>
            <w:r>
              <w:rPr/>
              <w:t> </w:t>
            </w:r>
          </w:p>
        </w:tc>
        <w:tc>
          <w:tcPr>
            <w:tcW w:w="641" w:type="dxa"/>
            <w:tcBorders/>
            <w:tcMar>
              <w:bottom w:w="0" w:type="dxa"/>
            </w:tcMar>
            <w:vAlign w:val="center"/>
          </w:tcPr>
          <w:p>
            <w:pPr>
              <w:pStyle w:val="TableContents"/>
              <w:bidi w:val="0"/>
              <w:spacing w:before="0" w:after="283"/>
              <w:jc w:val="center"/>
              <w:rPr/>
            </w:pPr>
            <w:r>
              <w:rPr/>
              <w:t>—</w:t>
            </w:r>
          </w:p>
        </w:tc>
        <w:tc>
          <w:tcPr>
            <w:tcW w:w="90" w:type="dxa"/>
            <w:tcBorders/>
            <w:tcMar>
              <w:bottom w:w="0" w:type="dxa"/>
            </w:tcMar>
            <w:vAlign w:val="center"/>
          </w:tcPr>
          <w:p>
            <w:pPr>
              <w:pStyle w:val="TableContents"/>
              <w:bidi w:val="0"/>
              <w:spacing w:before="0" w:after="283"/>
              <w:jc w:val="center"/>
              <w:rPr/>
            </w:pPr>
            <w:r>
              <w:rPr/>
              <w:t> </w:t>
            </w:r>
          </w:p>
        </w:tc>
        <w:tc>
          <w:tcPr>
            <w:tcW w:w="872" w:type="dxa"/>
            <w:gridSpan w:val="2"/>
            <w:tcBorders/>
            <w:tcMar>
              <w:bottom w:w="0" w:type="dxa"/>
            </w:tcMar>
            <w:vAlign w:val="center"/>
          </w:tcPr>
          <w:p>
            <w:pPr>
              <w:pStyle w:val="TableContents"/>
              <w:bidi w:val="0"/>
              <w:spacing w:before="0" w:after="283"/>
              <w:jc w:val="center"/>
              <w:rPr>
                <w:sz w:val="18"/>
              </w:rPr>
            </w:pPr>
            <w:r>
              <w:rPr>
                <w:sz w:val="18"/>
              </w:rPr>
              <w:t>715,000</w:t>
            </w:r>
          </w:p>
        </w:tc>
        <w:tc>
          <w:tcPr>
            <w:tcW w:w="90" w:type="dxa"/>
            <w:tcBorders/>
            <w:tcMar>
              <w:bottom w:w="0" w:type="dxa"/>
            </w:tcMar>
            <w:vAlign w:val="center"/>
          </w:tcPr>
          <w:p>
            <w:pPr>
              <w:pStyle w:val="TableContents"/>
              <w:bidi w:val="0"/>
              <w:spacing w:before="0" w:after="283"/>
              <w:jc w:val="center"/>
              <w:rPr/>
            </w:pPr>
            <w:r>
              <w:rPr/>
              <w:t> </w:t>
            </w:r>
          </w:p>
        </w:tc>
        <w:tc>
          <w:tcPr>
            <w:tcW w:w="770" w:type="dxa"/>
            <w:tcBorders/>
            <w:tcMar>
              <w:bottom w:w="0" w:type="dxa"/>
            </w:tcMar>
            <w:vAlign w:val="center"/>
          </w:tcPr>
          <w:p>
            <w:pPr>
              <w:pStyle w:val="TableContents"/>
              <w:bidi w:val="0"/>
              <w:spacing w:before="0" w:after="283"/>
              <w:jc w:val="center"/>
              <w:rPr/>
            </w:pPr>
            <w:r>
              <w:rPr/>
              <w:t>—</w:t>
            </w:r>
          </w:p>
        </w:tc>
        <w:tc>
          <w:tcPr>
            <w:tcW w:w="90" w:type="dxa"/>
            <w:tcBorders/>
            <w:tcMar>
              <w:bottom w:w="0" w:type="dxa"/>
            </w:tcMar>
            <w:vAlign w:val="center"/>
          </w:tcPr>
          <w:p>
            <w:pPr>
              <w:pStyle w:val="TableContents"/>
              <w:bidi w:val="0"/>
              <w:spacing w:before="0" w:after="283"/>
              <w:jc w:val="center"/>
              <w:rPr/>
            </w:pPr>
            <w:r>
              <w:rPr/>
              <w:t> </w:t>
            </w:r>
          </w:p>
        </w:tc>
        <w:tc>
          <w:tcPr>
            <w:tcW w:w="1962" w:type="dxa"/>
            <w:tcBorders/>
            <w:tcMar>
              <w:bottom w:w="0" w:type="dxa"/>
            </w:tcMar>
            <w:vAlign w:val="center"/>
          </w:tcPr>
          <w:p>
            <w:pPr>
              <w:pStyle w:val="TableContents"/>
              <w:bidi w:val="0"/>
              <w:spacing w:before="0" w:after="283"/>
              <w:jc w:val="center"/>
              <w:rPr>
                <w:sz w:val="18"/>
              </w:rPr>
            </w:pPr>
            <w:r>
              <w:rPr>
                <w:sz w:val="18"/>
              </w:rPr>
              <w:t>41,340</w:t>
            </w:r>
          </w:p>
        </w:tc>
        <w:tc>
          <w:tcPr>
            <w:tcW w:w="90" w:type="dxa"/>
            <w:tcBorders/>
            <w:tcMar>
              <w:bottom w:w="0" w:type="dxa"/>
            </w:tcMar>
            <w:vAlign w:val="center"/>
          </w:tcPr>
          <w:p>
            <w:pPr>
              <w:pStyle w:val="TableContents"/>
              <w:bidi w:val="0"/>
              <w:spacing w:before="0" w:after="283"/>
              <w:jc w:val="center"/>
              <w:rPr/>
            </w:pPr>
            <w:r>
              <w:rPr/>
              <w:t> </w:t>
            </w:r>
          </w:p>
        </w:tc>
        <w:tc>
          <w:tcPr>
            <w:tcW w:w="1115" w:type="dxa"/>
            <w:tcBorders/>
            <w:tcMar>
              <w:bottom w:w="0" w:type="dxa"/>
            </w:tcMar>
            <w:vAlign w:val="center"/>
          </w:tcPr>
          <w:p>
            <w:pPr>
              <w:pStyle w:val="TableContents"/>
              <w:bidi w:val="0"/>
              <w:spacing w:before="0" w:after="283"/>
              <w:jc w:val="center"/>
              <w:rPr/>
            </w:pPr>
            <w:r>
              <w:rPr/>
              <w:t>—</w:t>
            </w:r>
          </w:p>
        </w:tc>
        <w:tc>
          <w:tcPr>
            <w:tcW w:w="90" w:type="dxa"/>
            <w:tcBorders/>
            <w:tcMar>
              <w:bottom w:w="0" w:type="dxa"/>
            </w:tcMar>
            <w:vAlign w:val="center"/>
          </w:tcPr>
          <w:p>
            <w:pPr>
              <w:pStyle w:val="TableContents"/>
              <w:bidi w:val="0"/>
              <w:spacing w:before="0" w:after="283"/>
              <w:jc w:val="center"/>
              <w:rPr/>
            </w:pPr>
            <w:r>
              <w:rPr/>
              <w:t> </w:t>
            </w:r>
          </w:p>
        </w:tc>
        <w:tc>
          <w:tcPr>
            <w:tcW w:w="1222" w:type="dxa"/>
            <w:tcBorders/>
            <w:tcMar>
              <w:bottom w:w="0" w:type="dxa"/>
            </w:tcMar>
            <w:vAlign w:val="center"/>
          </w:tcPr>
          <w:p>
            <w:pPr>
              <w:pStyle w:val="TableContents"/>
              <w:bidi w:val="0"/>
              <w:spacing w:before="0" w:after="283"/>
              <w:jc w:val="center"/>
              <w:rPr>
                <w:sz w:val="18"/>
              </w:rPr>
            </w:pPr>
            <w:r>
              <w:rPr>
                <w:sz w:val="18"/>
              </w:rPr>
              <w:t>1,156,340</w:t>
            </w:r>
          </w:p>
        </w:tc>
      </w:tr>
      <w:tr>
        <w:trPr/>
        <w:tc>
          <w:tcPr>
            <w:tcW w:w="1843" w:type="dxa"/>
            <w:vMerge w:val="continue"/>
            <w:tcBorders/>
            <w:tcMar>
              <w:bottom w:w="0" w:type="dxa"/>
            </w:tcMar>
            <w:vAlign w:val="center"/>
          </w:tcPr>
          <w:p>
            <w:pPr>
              <w:pStyle w:val="Normal"/>
              <w:bidi w:val="0"/>
              <w:jc w:val="left"/>
              <w:rPr/>
            </w:pPr>
            <w:r>
              <w:rPr/>
            </w:r>
          </w:p>
        </w:tc>
        <w:tc>
          <w:tcPr>
            <w:tcW w:w="90" w:type="dxa"/>
            <w:tcBorders/>
            <w:tcMar>
              <w:bottom w:w="0" w:type="dxa"/>
            </w:tcMar>
            <w:vAlign w:val="center"/>
          </w:tcPr>
          <w:p>
            <w:pPr>
              <w:pStyle w:val="TableContents"/>
              <w:bidi w:val="0"/>
              <w:spacing w:before="0" w:after="283"/>
              <w:jc w:val="center"/>
              <w:rPr/>
            </w:pPr>
            <w:r>
              <w:rPr/>
              <w:t> </w:t>
            </w:r>
          </w:p>
        </w:tc>
        <w:tc>
          <w:tcPr>
            <w:tcW w:w="425" w:type="dxa"/>
            <w:tcBorders/>
            <w:tcMar>
              <w:bottom w:w="0" w:type="dxa"/>
            </w:tcMar>
            <w:vAlign w:val="center"/>
          </w:tcPr>
          <w:p>
            <w:pPr>
              <w:pStyle w:val="TableContents"/>
              <w:bidi w:val="0"/>
              <w:spacing w:before="0" w:after="283"/>
              <w:jc w:val="center"/>
              <w:rPr>
                <w:sz w:val="18"/>
              </w:rPr>
            </w:pPr>
            <w:r>
              <w:rPr>
                <w:sz w:val="18"/>
              </w:rPr>
              <w:t>2024</w:t>
            </w:r>
          </w:p>
        </w:tc>
        <w:tc>
          <w:tcPr>
            <w:tcW w:w="90" w:type="dxa"/>
            <w:tcBorders/>
            <w:tcMar>
              <w:bottom w:w="0" w:type="dxa"/>
            </w:tcMar>
            <w:vAlign w:val="center"/>
          </w:tcPr>
          <w:p>
            <w:pPr>
              <w:pStyle w:val="TableContents"/>
              <w:bidi w:val="0"/>
              <w:spacing w:before="0" w:after="283"/>
              <w:jc w:val="center"/>
              <w:rPr/>
            </w:pPr>
            <w:r>
              <w:rPr/>
              <w:t> </w:t>
            </w:r>
          </w:p>
        </w:tc>
        <w:tc>
          <w:tcPr>
            <w:tcW w:w="635" w:type="dxa"/>
            <w:tcBorders/>
            <w:tcMar>
              <w:bottom w:w="0" w:type="dxa"/>
            </w:tcMar>
            <w:vAlign w:val="center"/>
          </w:tcPr>
          <w:p>
            <w:pPr>
              <w:pStyle w:val="TableContents"/>
              <w:bidi w:val="0"/>
              <w:spacing w:before="0" w:after="283"/>
              <w:jc w:val="center"/>
              <w:rPr>
                <w:sz w:val="18"/>
              </w:rPr>
            </w:pPr>
            <w:r>
              <w:rPr>
                <w:sz w:val="18"/>
              </w:rPr>
              <w:t>216,940</w:t>
            </w:r>
          </w:p>
        </w:tc>
        <w:tc>
          <w:tcPr>
            <w:tcW w:w="90" w:type="dxa"/>
            <w:tcBorders/>
            <w:tcMar>
              <w:bottom w:w="0" w:type="dxa"/>
            </w:tcMar>
            <w:vAlign w:val="center"/>
          </w:tcPr>
          <w:p>
            <w:pPr>
              <w:pStyle w:val="TableContents"/>
              <w:bidi w:val="0"/>
              <w:spacing w:before="0" w:after="283"/>
              <w:jc w:val="center"/>
              <w:rPr/>
            </w:pPr>
            <w:r>
              <w:rPr/>
              <w:t> </w:t>
            </w:r>
          </w:p>
        </w:tc>
        <w:tc>
          <w:tcPr>
            <w:tcW w:w="641" w:type="dxa"/>
            <w:tcBorders/>
            <w:tcMar>
              <w:bottom w:w="0" w:type="dxa"/>
            </w:tcMar>
            <w:vAlign w:val="center"/>
          </w:tcPr>
          <w:p>
            <w:pPr>
              <w:pStyle w:val="TableContents"/>
              <w:bidi w:val="0"/>
              <w:spacing w:before="0" w:after="283"/>
              <w:jc w:val="center"/>
              <w:rPr>
                <w:sz w:val="18"/>
              </w:rPr>
            </w:pPr>
            <w:r>
              <w:rPr>
                <w:sz w:val="18"/>
              </w:rPr>
              <w:t>93,750</w:t>
            </w:r>
          </w:p>
        </w:tc>
        <w:tc>
          <w:tcPr>
            <w:tcW w:w="90" w:type="dxa"/>
            <w:tcBorders/>
            <w:tcMar>
              <w:bottom w:w="0" w:type="dxa"/>
            </w:tcMar>
            <w:vAlign w:val="center"/>
          </w:tcPr>
          <w:p>
            <w:pPr>
              <w:pStyle w:val="TableContents"/>
              <w:bidi w:val="0"/>
              <w:spacing w:before="0" w:after="283"/>
              <w:jc w:val="center"/>
              <w:rPr/>
            </w:pPr>
            <w:r>
              <w:rPr/>
              <w:t> </w:t>
            </w:r>
          </w:p>
        </w:tc>
        <w:tc>
          <w:tcPr>
            <w:tcW w:w="872" w:type="dxa"/>
            <w:gridSpan w:val="2"/>
            <w:tcBorders/>
            <w:tcMar>
              <w:bottom w:w="0" w:type="dxa"/>
            </w:tcMar>
            <w:vAlign w:val="center"/>
          </w:tcPr>
          <w:p>
            <w:pPr>
              <w:pStyle w:val="TableContents"/>
              <w:bidi w:val="0"/>
              <w:spacing w:before="0" w:after="283"/>
              <w:jc w:val="center"/>
              <w:rPr/>
            </w:pPr>
            <w:r>
              <w:rPr/>
              <w:t>—</w:t>
            </w:r>
          </w:p>
        </w:tc>
        <w:tc>
          <w:tcPr>
            <w:tcW w:w="90" w:type="dxa"/>
            <w:tcBorders/>
            <w:tcMar>
              <w:bottom w:w="0" w:type="dxa"/>
            </w:tcMar>
            <w:vAlign w:val="center"/>
          </w:tcPr>
          <w:p>
            <w:pPr>
              <w:pStyle w:val="TableContents"/>
              <w:bidi w:val="0"/>
              <w:spacing w:before="0" w:after="283"/>
              <w:jc w:val="center"/>
              <w:rPr/>
            </w:pPr>
            <w:r>
              <w:rPr/>
              <w:t> </w:t>
            </w:r>
          </w:p>
        </w:tc>
        <w:tc>
          <w:tcPr>
            <w:tcW w:w="770" w:type="dxa"/>
            <w:tcBorders/>
            <w:tcMar>
              <w:bottom w:w="0" w:type="dxa"/>
            </w:tcMar>
            <w:vAlign w:val="center"/>
          </w:tcPr>
          <w:p>
            <w:pPr>
              <w:pStyle w:val="TableContents"/>
              <w:bidi w:val="0"/>
              <w:spacing w:before="0" w:after="283"/>
              <w:jc w:val="center"/>
              <w:rPr>
                <w:sz w:val="18"/>
              </w:rPr>
            </w:pPr>
            <w:r>
              <w:rPr>
                <w:sz w:val="18"/>
              </w:rPr>
              <w:t>890,000</w:t>
            </w:r>
          </w:p>
        </w:tc>
        <w:tc>
          <w:tcPr>
            <w:tcW w:w="90" w:type="dxa"/>
            <w:tcBorders/>
            <w:tcMar>
              <w:bottom w:w="0" w:type="dxa"/>
            </w:tcMar>
            <w:vAlign w:val="center"/>
          </w:tcPr>
          <w:p>
            <w:pPr>
              <w:pStyle w:val="TableContents"/>
              <w:bidi w:val="0"/>
              <w:spacing w:before="0" w:after="283"/>
              <w:jc w:val="center"/>
              <w:rPr/>
            </w:pPr>
            <w:r>
              <w:rPr/>
              <w:t> </w:t>
            </w:r>
          </w:p>
        </w:tc>
        <w:tc>
          <w:tcPr>
            <w:tcW w:w="1962" w:type="dxa"/>
            <w:tcBorders/>
            <w:tcMar>
              <w:bottom w:w="0" w:type="dxa"/>
            </w:tcMar>
            <w:vAlign w:val="center"/>
          </w:tcPr>
          <w:p>
            <w:pPr>
              <w:pStyle w:val="TableContents"/>
              <w:bidi w:val="0"/>
              <w:spacing w:before="0" w:after="283"/>
              <w:jc w:val="center"/>
              <w:rPr/>
            </w:pPr>
            <w:r>
              <w:rPr/>
              <w:t>—</w:t>
            </w:r>
          </w:p>
        </w:tc>
        <w:tc>
          <w:tcPr>
            <w:tcW w:w="90" w:type="dxa"/>
            <w:tcBorders/>
            <w:tcMar>
              <w:bottom w:w="0" w:type="dxa"/>
            </w:tcMar>
            <w:vAlign w:val="center"/>
          </w:tcPr>
          <w:p>
            <w:pPr>
              <w:pStyle w:val="TableContents"/>
              <w:bidi w:val="0"/>
              <w:spacing w:before="0" w:after="283"/>
              <w:jc w:val="center"/>
              <w:rPr/>
            </w:pPr>
            <w:r>
              <w:rPr/>
              <w:t> </w:t>
            </w:r>
          </w:p>
        </w:tc>
        <w:tc>
          <w:tcPr>
            <w:tcW w:w="1115" w:type="dxa"/>
            <w:tcBorders/>
            <w:tcMar>
              <w:bottom w:w="0" w:type="dxa"/>
            </w:tcMar>
            <w:vAlign w:val="center"/>
          </w:tcPr>
          <w:p>
            <w:pPr>
              <w:pStyle w:val="TableContents"/>
              <w:bidi w:val="0"/>
              <w:spacing w:before="0" w:after="283"/>
              <w:jc w:val="center"/>
              <w:rPr/>
            </w:pPr>
            <w:r>
              <w:rPr/>
              <w:t>—</w:t>
            </w:r>
          </w:p>
        </w:tc>
        <w:tc>
          <w:tcPr>
            <w:tcW w:w="90" w:type="dxa"/>
            <w:tcBorders/>
            <w:tcMar>
              <w:bottom w:w="0" w:type="dxa"/>
            </w:tcMar>
            <w:vAlign w:val="center"/>
          </w:tcPr>
          <w:p>
            <w:pPr>
              <w:pStyle w:val="TableContents"/>
              <w:bidi w:val="0"/>
              <w:spacing w:before="0" w:after="283"/>
              <w:jc w:val="center"/>
              <w:rPr/>
            </w:pPr>
            <w:r>
              <w:rPr/>
              <w:t> </w:t>
            </w:r>
          </w:p>
        </w:tc>
        <w:tc>
          <w:tcPr>
            <w:tcW w:w="1222" w:type="dxa"/>
            <w:tcBorders/>
            <w:tcMar>
              <w:bottom w:w="0" w:type="dxa"/>
            </w:tcMar>
            <w:vAlign w:val="center"/>
          </w:tcPr>
          <w:p>
            <w:pPr>
              <w:pStyle w:val="TableContents"/>
              <w:bidi w:val="0"/>
              <w:spacing w:before="0" w:after="283"/>
              <w:jc w:val="center"/>
              <w:rPr>
                <w:sz w:val="18"/>
              </w:rPr>
            </w:pPr>
            <w:r>
              <w:rPr>
                <w:sz w:val="18"/>
              </w:rPr>
              <w:t>1,200,690</w:t>
            </w:r>
          </w:p>
        </w:tc>
      </w:tr>
      <w:tr>
        <w:trPr/>
        <w:tc>
          <w:tcPr>
            <w:tcW w:w="1843" w:type="dxa"/>
            <w:vMerge w:val="continue"/>
            <w:tcBorders/>
            <w:tcMar>
              <w:bottom w:w="0" w:type="dxa"/>
            </w:tcMar>
            <w:vAlign w:val="center"/>
          </w:tcPr>
          <w:p>
            <w:pPr>
              <w:pStyle w:val="Normal"/>
              <w:bidi w:val="0"/>
              <w:jc w:val="left"/>
              <w:rPr/>
            </w:pPr>
            <w:r>
              <w:rPr/>
            </w:r>
          </w:p>
        </w:tc>
        <w:tc>
          <w:tcPr>
            <w:tcW w:w="90" w:type="dxa"/>
            <w:tcBorders/>
            <w:tcMar>
              <w:bottom w:w="0" w:type="dxa"/>
            </w:tcMar>
            <w:vAlign w:val="center"/>
          </w:tcPr>
          <w:p>
            <w:pPr>
              <w:pStyle w:val="TableContents"/>
              <w:bidi w:val="0"/>
              <w:spacing w:before="0" w:after="283"/>
              <w:jc w:val="center"/>
              <w:rPr/>
            </w:pPr>
            <w:r>
              <w:rPr/>
              <w:t> </w:t>
            </w:r>
          </w:p>
        </w:tc>
        <w:tc>
          <w:tcPr>
            <w:tcW w:w="425" w:type="dxa"/>
            <w:tcBorders/>
            <w:tcMar>
              <w:bottom w:w="0" w:type="dxa"/>
            </w:tcMar>
            <w:vAlign w:val="center"/>
          </w:tcPr>
          <w:p>
            <w:pPr>
              <w:pStyle w:val="TableContents"/>
              <w:bidi w:val="0"/>
              <w:spacing w:before="0" w:after="283"/>
              <w:jc w:val="center"/>
              <w:rPr>
                <w:sz w:val="18"/>
              </w:rPr>
            </w:pPr>
            <w:r>
              <w:rPr>
                <w:sz w:val="18"/>
              </w:rPr>
              <w:t>2023</w:t>
            </w:r>
          </w:p>
        </w:tc>
        <w:tc>
          <w:tcPr>
            <w:tcW w:w="90" w:type="dxa"/>
            <w:tcBorders/>
            <w:tcMar>
              <w:bottom w:w="0" w:type="dxa"/>
            </w:tcMar>
            <w:vAlign w:val="center"/>
          </w:tcPr>
          <w:p>
            <w:pPr>
              <w:pStyle w:val="TableContents"/>
              <w:bidi w:val="0"/>
              <w:spacing w:before="0" w:after="283"/>
              <w:jc w:val="center"/>
              <w:rPr/>
            </w:pPr>
            <w:r>
              <w:rPr/>
              <w:t> </w:t>
            </w:r>
          </w:p>
        </w:tc>
        <w:tc>
          <w:tcPr>
            <w:tcW w:w="635" w:type="dxa"/>
            <w:tcBorders/>
            <w:tcMar>
              <w:bottom w:w="0" w:type="dxa"/>
            </w:tcMar>
            <w:vAlign w:val="center"/>
          </w:tcPr>
          <w:p>
            <w:pPr>
              <w:pStyle w:val="TableContents"/>
              <w:bidi w:val="0"/>
              <w:spacing w:before="0" w:after="283"/>
              <w:jc w:val="center"/>
              <w:rPr/>
            </w:pPr>
            <w:r>
              <w:rPr/>
              <w:t>—</w:t>
            </w:r>
          </w:p>
        </w:tc>
        <w:tc>
          <w:tcPr>
            <w:tcW w:w="90" w:type="dxa"/>
            <w:tcBorders/>
            <w:tcMar>
              <w:bottom w:w="0" w:type="dxa"/>
            </w:tcMar>
            <w:vAlign w:val="center"/>
          </w:tcPr>
          <w:p>
            <w:pPr>
              <w:pStyle w:val="TableContents"/>
              <w:bidi w:val="0"/>
              <w:spacing w:before="0" w:after="283"/>
              <w:jc w:val="center"/>
              <w:rPr/>
            </w:pPr>
            <w:r>
              <w:rPr/>
              <w:t> </w:t>
            </w:r>
          </w:p>
        </w:tc>
        <w:tc>
          <w:tcPr>
            <w:tcW w:w="641" w:type="dxa"/>
            <w:tcBorders/>
            <w:tcMar>
              <w:bottom w:w="0" w:type="dxa"/>
            </w:tcMar>
            <w:vAlign w:val="center"/>
          </w:tcPr>
          <w:p>
            <w:pPr>
              <w:pStyle w:val="TableContents"/>
              <w:bidi w:val="0"/>
              <w:spacing w:before="0" w:after="283"/>
              <w:jc w:val="center"/>
              <w:rPr/>
            </w:pPr>
            <w:r>
              <w:rPr/>
              <w:t>—</w:t>
            </w:r>
          </w:p>
        </w:tc>
        <w:tc>
          <w:tcPr>
            <w:tcW w:w="90" w:type="dxa"/>
            <w:tcBorders/>
            <w:tcMar>
              <w:bottom w:w="0" w:type="dxa"/>
            </w:tcMar>
            <w:vAlign w:val="center"/>
          </w:tcPr>
          <w:p>
            <w:pPr>
              <w:pStyle w:val="TableContents"/>
              <w:bidi w:val="0"/>
              <w:spacing w:before="0" w:after="283"/>
              <w:jc w:val="center"/>
              <w:rPr/>
            </w:pPr>
            <w:r>
              <w:rPr/>
              <w:t> </w:t>
            </w:r>
          </w:p>
        </w:tc>
        <w:tc>
          <w:tcPr>
            <w:tcW w:w="872" w:type="dxa"/>
            <w:gridSpan w:val="2"/>
            <w:tcBorders/>
            <w:tcMar>
              <w:bottom w:w="0" w:type="dxa"/>
            </w:tcMar>
            <w:vAlign w:val="center"/>
          </w:tcPr>
          <w:p>
            <w:pPr>
              <w:pStyle w:val="TableContents"/>
              <w:bidi w:val="0"/>
              <w:spacing w:before="0" w:after="283"/>
              <w:jc w:val="center"/>
              <w:rPr/>
            </w:pPr>
            <w:r>
              <w:rPr/>
              <w:t>—</w:t>
            </w:r>
          </w:p>
        </w:tc>
        <w:tc>
          <w:tcPr>
            <w:tcW w:w="90" w:type="dxa"/>
            <w:tcBorders/>
            <w:tcMar>
              <w:bottom w:w="0" w:type="dxa"/>
            </w:tcMar>
            <w:vAlign w:val="center"/>
          </w:tcPr>
          <w:p>
            <w:pPr>
              <w:pStyle w:val="TableContents"/>
              <w:bidi w:val="0"/>
              <w:spacing w:before="0" w:after="283"/>
              <w:jc w:val="center"/>
              <w:rPr/>
            </w:pPr>
            <w:r>
              <w:rPr/>
              <w:t> </w:t>
            </w:r>
          </w:p>
        </w:tc>
        <w:tc>
          <w:tcPr>
            <w:tcW w:w="770" w:type="dxa"/>
            <w:tcBorders/>
            <w:tcMar>
              <w:bottom w:w="0" w:type="dxa"/>
            </w:tcMar>
            <w:vAlign w:val="center"/>
          </w:tcPr>
          <w:p>
            <w:pPr>
              <w:pStyle w:val="TableContents"/>
              <w:bidi w:val="0"/>
              <w:spacing w:before="0" w:after="283"/>
              <w:jc w:val="center"/>
              <w:rPr/>
            </w:pPr>
            <w:r>
              <w:rPr/>
              <w:t>—</w:t>
            </w:r>
          </w:p>
        </w:tc>
        <w:tc>
          <w:tcPr>
            <w:tcW w:w="90" w:type="dxa"/>
            <w:tcBorders/>
            <w:tcMar>
              <w:bottom w:w="0" w:type="dxa"/>
            </w:tcMar>
            <w:vAlign w:val="center"/>
          </w:tcPr>
          <w:p>
            <w:pPr>
              <w:pStyle w:val="TableContents"/>
              <w:bidi w:val="0"/>
              <w:spacing w:before="0" w:after="283"/>
              <w:jc w:val="center"/>
              <w:rPr/>
            </w:pPr>
            <w:r>
              <w:rPr/>
              <w:t> </w:t>
            </w:r>
          </w:p>
        </w:tc>
        <w:tc>
          <w:tcPr>
            <w:tcW w:w="1962" w:type="dxa"/>
            <w:tcBorders/>
            <w:tcMar>
              <w:bottom w:w="0" w:type="dxa"/>
            </w:tcMar>
            <w:vAlign w:val="center"/>
          </w:tcPr>
          <w:p>
            <w:pPr>
              <w:pStyle w:val="TableContents"/>
              <w:bidi w:val="0"/>
              <w:spacing w:before="0" w:after="283"/>
              <w:jc w:val="center"/>
              <w:rPr/>
            </w:pPr>
            <w:r>
              <w:rPr/>
              <w:t>—</w:t>
            </w:r>
          </w:p>
        </w:tc>
        <w:tc>
          <w:tcPr>
            <w:tcW w:w="90" w:type="dxa"/>
            <w:tcBorders/>
            <w:tcMar>
              <w:bottom w:w="0" w:type="dxa"/>
            </w:tcMar>
            <w:vAlign w:val="center"/>
          </w:tcPr>
          <w:p>
            <w:pPr>
              <w:pStyle w:val="TableContents"/>
              <w:bidi w:val="0"/>
              <w:spacing w:before="0" w:after="283"/>
              <w:jc w:val="center"/>
              <w:rPr/>
            </w:pPr>
            <w:r>
              <w:rPr/>
              <w:t> </w:t>
            </w:r>
          </w:p>
        </w:tc>
        <w:tc>
          <w:tcPr>
            <w:tcW w:w="1115" w:type="dxa"/>
            <w:tcBorders/>
            <w:tcMar>
              <w:bottom w:w="0" w:type="dxa"/>
            </w:tcMar>
            <w:vAlign w:val="center"/>
          </w:tcPr>
          <w:p>
            <w:pPr>
              <w:pStyle w:val="TableContents"/>
              <w:bidi w:val="0"/>
              <w:spacing w:before="0" w:after="283"/>
              <w:jc w:val="center"/>
              <w:rPr/>
            </w:pPr>
            <w:r>
              <w:rPr/>
              <w:t>—</w:t>
            </w:r>
          </w:p>
        </w:tc>
        <w:tc>
          <w:tcPr>
            <w:tcW w:w="90" w:type="dxa"/>
            <w:tcBorders/>
            <w:tcMar>
              <w:bottom w:w="0" w:type="dxa"/>
            </w:tcMar>
            <w:vAlign w:val="center"/>
          </w:tcPr>
          <w:p>
            <w:pPr>
              <w:pStyle w:val="TableContents"/>
              <w:bidi w:val="0"/>
              <w:spacing w:before="0" w:after="283"/>
              <w:jc w:val="center"/>
              <w:rPr/>
            </w:pPr>
            <w:r>
              <w:rPr/>
              <w:t> </w:t>
            </w:r>
          </w:p>
        </w:tc>
        <w:tc>
          <w:tcPr>
            <w:tcW w:w="1222" w:type="dxa"/>
            <w:tcBorders/>
            <w:tcMar>
              <w:bottom w:w="0" w:type="dxa"/>
            </w:tcMar>
            <w:vAlign w:val="center"/>
          </w:tcPr>
          <w:p>
            <w:pPr>
              <w:pStyle w:val="TableContents"/>
              <w:bidi w:val="0"/>
              <w:spacing w:before="0" w:after="283"/>
              <w:jc w:val="center"/>
              <w:rPr/>
            </w:pPr>
            <w:r>
              <w:rPr/>
              <w:t>—</w:t>
            </w:r>
          </w:p>
        </w:tc>
      </w:tr>
      <w:tr>
        <w:trPr/>
        <w:tc>
          <w:tcPr>
            <w:tcW w:w="1843" w:type="dxa"/>
            <w:vMerge w:val="restart"/>
            <w:tcBorders/>
            <w:shd w:fill="CCEEFF" w:val="clear"/>
            <w:tcMar>
              <w:bottom w:w="0" w:type="dxa"/>
            </w:tcMar>
            <w:vAlign w:val="center"/>
          </w:tcPr>
          <w:p>
            <w:pPr>
              <w:pStyle w:val="TableContents"/>
              <w:bidi w:val="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Dr. Wenjuan Mattis</w:t>
            </w:r>
          </w:p>
          <w:p>
            <w:pPr>
              <w:pStyle w:val="TableContents"/>
              <w:bidi w:val="0"/>
              <w:spacing w:before="0" w:after="283"/>
              <w:jc w:val="left"/>
              <w:rPr>
                <w:rFonts w:ascii="Times New Roman;Times;Serif" w:hAnsi="Times New Roman;Times;Serif"/>
                <w:b w:val="false"/>
                <w:i/>
                <w:caps w:val="false"/>
                <w:smallCaps w:val="false"/>
                <w:sz w:val="18"/>
              </w:rPr>
            </w:pPr>
            <w:r>
              <w:rPr>
                <w:rFonts w:ascii="Times New Roman;Times;Serif" w:hAnsi="Times New Roman;Times;Serif"/>
                <w:b w:val="false"/>
                <w:i/>
                <w:caps w:val="false"/>
                <w:smallCaps w:val="false"/>
                <w:sz w:val="18"/>
              </w:rPr>
              <w:t>Chief Technology Officer</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425" w:type="dxa"/>
            <w:tcBorders/>
            <w:shd w:fill="CCEEFF" w:val="clear"/>
            <w:tcMar>
              <w:bottom w:w="0" w:type="dxa"/>
            </w:tcMar>
            <w:vAlign w:val="center"/>
          </w:tcPr>
          <w:p>
            <w:pPr>
              <w:pStyle w:val="TableContents"/>
              <w:bidi w:val="0"/>
              <w:spacing w:before="0" w:after="283"/>
              <w:jc w:val="center"/>
              <w:rPr>
                <w:sz w:val="18"/>
              </w:rPr>
            </w:pPr>
            <w:r>
              <w:rPr>
                <w:sz w:val="18"/>
              </w:rPr>
              <w:t>2025</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635" w:type="dxa"/>
            <w:tcBorders/>
            <w:shd w:fill="CCEEFF" w:val="clear"/>
            <w:tcMar>
              <w:bottom w:w="0" w:type="dxa"/>
            </w:tcMar>
            <w:vAlign w:val="center"/>
          </w:tcPr>
          <w:p>
            <w:pPr>
              <w:pStyle w:val="TableContents"/>
              <w:bidi w:val="0"/>
              <w:spacing w:before="0" w:after="283"/>
              <w:jc w:val="center"/>
              <w:rPr>
                <w:sz w:val="18"/>
              </w:rPr>
            </w:pPr>
            <w:r>
              <w:rPr>
                <w:sz w:val="18"/>
              </w:rPr>
              <w:t>400,000</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641" w:type="dxa"/>
            <w:tcBorders/>
            <w:shd w:fill="CCEEFF" w:val="clear"/>
            <w:tcMar>
              <w:bottom w:w="0" w:type="dxa"/>
            </w:tcMar>
            <w:vAlign w:val="center"/>
          </w:tcPr>
          <w:p>
            <w:pPr>
              <w:pStyle w:val="TableContents"/>
              <w:bidi w:val="0"/>
              <w:spacing w:before="0" w:after="283"/>
              <w:jc w:val="center"/>
              <w:rPr/>
            </w:pPr>
            <w:r>
              <w:rPr/>
              <w:t>—</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872" w:type="dxa"/>
            <w:gridSpan w:val="2"/>
            <w:tcBorders/>
            <w:shd w:fill="CCEEFF" w:val="clear"/>
            <w:tcMar>
              <w:bottom w:w="0" w:type="dxa"/>
            </w:tcMar>
            <w:vAlign w:val="center"/>
          </w:tcPr>
          <w:p>
            <w:pPr>
              <w:pStyle w:val="TableContents"/>
              <w:bidi w:val="0"/>
              <w:spacing w:before="0" w:after="283"/>
              <w:jc w:val="center"/>
              <w:rPr>
                <w:sz w:val="18"/>
              </w:rPr>
            </w:pPr>
            <w:r>
              <w:rPr>
                <w:sz w:val="18"/>
              </w:rPr>
              <w:t>543,000</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770" w:type="dxa"/>
            <w:tcBorders/>
            <w:shd w:fill="CCEEFF" w:val="clear"/>
            <w:tcMar>
              <w:bottom w:w="0" w:type="dxa"/>
            </w:tcMar>
            <w:vAlign w:val="center"/>
          </w:tcPr>
          <w:p>
            <w:pPr>
              <w:pStyle w:val="TableContents"/>
              <w:bidi w:val="0"/>
              <w:spacing w:before="0" w:after="283"/>
              <w:jc w:val="center"/>
              <w:rPr/>
            </w:pPr>
            <w:r>
              <w:rPr/>
              <w:t>—</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1962" w:type="dxa"/>
            <w:tcBorders/>
            <w:shd w:fill="CCEEFF" w:val="clear"/>
            <w:tcMar>
              <w:bottom w:w="0" w:type="dxa"/>
            </w:tcMar>
            <w:vAlign w:val="center"/>
          </w:tcPr>
          <w:p>
            <w:pPr>
              <w:pStyle w:val="TableContents"/>
              <w:bidi w:val="0"/>
              <w:spacing w:before="0" w:after="283"/>
              <w:jc w:val="center"/>
              <w:rPr>
                <w:sz w:val="18"/>
              </w:rPr>
            </w:pPr>
            <w:r>
              <w:rPr>
                <w:sz w:val="18"/>
              </w:rPr>
              <w:t>41,340</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1115" w:type="dxa"/>
            <w:tcBorders/>
            <w:shd w:fill="CCEEFF" w:val="clear"/>
            <w:tcMar>
              <w:bottom w:w="0" w:type="dxa"/>
            </w:tcMar>
            <w:vAlign w:val="center"/>
          </w:tcPr>
          <w:p>
            <w:pPr>
              <w:pStyle w:val="TableContents"/>
              <w:bidi w:val="0"/>
              <w:spacing w:before="0" w:after="283"/>
              <w:jc w:val="center"/>
              <w:rPr/>
            </w:pPr>
            <w:r>
              <w:rPr/>
              <w:t>—</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1222" w:type="dxa"/>
            <w:tcBorders/>
            <w:shd w:fill="CCEEFF" w:val="clear"/>
            <w:tcMar>
              <w:bottom w:w="0" w:type="dxa"/>
            </w:tcMar>
            <w:vAlign w:val="center"/>
          </w:tcPr>
          <w:p>
            <w:pPr>
              <w:pStyle w:val="TableContents"/>
              <w:bidi w:val="0"/>
              <w:spacing w:before="0" w:after="283"/>
              <w:jc w:val="center"/>
              <w:rPr>
                <w:sz w:val="18"/>
              </w:rPr>
            </w:pPr>
            <w:r>
              <w:rPr>
                <w:sz w:val="18"/>
              </w:rPr>
              <w:t>984,340</w:t>
            </w:r>
          </w:p>
        </w:tc>
      </w:tr>
      <w:tr>
        <w:trPr/>
        <w:tc>
          <w:tcPr>
            <w:tcW w:w="1843" w:type="dxa"/>
            <w:vMerge w:val="continue"/>
            <w:tcBorders/>
            <w:shd w:fill="CCEEFF" w:val="clear"/>
            <w:tcMar>
              <w:bottom w:w="0" w:type="dxa"/>
            </w:tcMar>
            <w:vAlign w:val="center"/>
          </w:tcPr>
          <w:p>
            <w:pPr>
              <w:pStyle w:val="Normal"/>
              <w:bidi w:val="0"/>
              <w:jc w:val="left"/>
              <w:rPr/>
            </w:pPr>
            <w:r>
              <w:rPr/>
            </w:r>
          </w:p>
        </w:tc>
        <w:tc>
          <w:tcPr>
            <w:tcW w:w="90" w:type="dxa"/>
            <w:tcBorders/>
            <w:shd w:fill="CCEEFF" w:val="clear"/>
            <w:tcMar>
              <w:bottom w:w="0" w:type="dxa"/>
            </w:tcMar>
            <w:vAlign w:val="center"/>
          </w:tcPr>
          <w:p>
            <w:pPr>
              <w:pStyle w:val="TableContents"/>
              <w:bidi w:val="0"/>
              <w:spacing w:before="0" w:after="283"/>
              <w:jc w:val="center"/>
              <w:rPr/>
            </w:pPr>
            <w:r>
              <w:rPr/>
              <w:t> </w:t>
            </w:r>
          </w:p>
        </w:tc>
        <w:tc>
          <w:tcPr>
            <w:tcW w:w="425"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635"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641"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872" w:type="dxa"/>
            <w:gridSpan w:val="2"/>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770"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1962"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1115"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1222" w:type="dxa"/>
            <w:tcBorders/>
            <w:shd w:fill="CCEEFF" w:val="clear"/>
            <w:tcMar>
              <w:bottom w:w="0" w:type="dxa"/>
            </w:tcMar>
            <w:vAlign w:val="center"/>
          </w:tcPr>
          <w:p>
            <w:pPr>
              <w:pStyle w:val="TableContents"/>
              <w:bidi w:val="0"/>
              <w:spacing w:before="0" w:after="283"/>
              <w:jc w:val="center"/>
              <w:rPr/>
            </w:pPr>
            <w:r>
              <w:rPr/>
              <w:t> </w:t>
            </w:r>
          </w:p>
        </w:tc>
      </w:tr>
      <w:tr>
        <w:trPr/>
        <w:tc>
          <w:tcPr>
            <w:tcW w:w="1843" w:type="dxa"/>
            <w:vMerge w:val="restart"/>
            <w:tcBorders/>
            <w:tcMar>
              <w:bottom w:w="0" w:type="dxa"/>
            </w:tcMar>
            <w:vAlign w:val="center"/>
          </w:tcPr>
          <w:p>
            <w:pPr>
              <w:pStyle w:val="TableContents"/>
              <w:bidi w:val="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Carl T. Schultz</w:t>
            </w:r>
          </w:p>
          <w:p>
            <w:pPr>
              <w:pStyle w:val="TableContents"/>
              <w:bidi w:val="0"/>
              <w:spacing w:before="0" w:after="283"/>
              <w:jc w:val="left"/>
              <w:rPr>
                <w:rFonts w:ascii="Times New Roman;Times;Serif" w:hAnsi="Times New Roman;Times;Serif"/>
                <w:b w:val="false"/>
                <w:i/>
                <w:caps w:val="false"/>
                <w:smallCaps w:val="false"/>
                <w:sz w:val="18"/>
              </w:rPr>
            </w:pPr>
            <w:r>
              <w:rPr>
                <w:rFonts w:ascii="Times New Roman;Times;Serif" w:hAnsi="Times New Roman;Times;Serif"/>
                <w:b w:val="false"/>
                <w:i/>
                <w:caps w:val="false"/>
                <w:smallCaps w:val="false"/>
                <w:sz w:val="18"/>
              </w:rPr>
              <w:t>Former Chief Financial Officer</w:t>
            </w:r>
          </w:p>
        </w:tc>
        <w:tc>
          <w:tcPr>
            <w:tcW w:w="90" w:type="dxa"/>
            <w:tcBorders/>
            <w:tcMar>
              <w:bottom w:w="0" w:type="dxa"/>
            </w:tcMar>
            <w:vAlign w:val="center"/>
          </w:tcPr>
          <w:p>
            <w:pPr>
              <w:pStyle w:val="TableContents"/>
              <w:bidi w:val="0"/>
              <w:spacing w:before="0" w:after="283"/>
              <w:jc w:val="center"/>
              <w:rPr/>
            </w:pPr>
            <w:r>
              <w:rPr/>
              <w:t> </w:t>
            </w:r>
          </w:p>
        </w:tc>
        <w:tc>
          <w:tcPr>
            <w:tcW w:w="425" w:type="dxa"/>
            <w:tcBorders/>
            <w:tcMar>
              <w:bottom w:w="0" w:type="dxa"/>
            </w:tcMar>
            <w:vAlign w:val="center"/>
          </w:tcPr>
          <w:p>
            <w:pPr>
              <w:pStyle w:val="TableContents"/>
              <w:bidi w:val="0"/>
              <w:spacing w:before="0" w:after="283"/>
              <w:jc w:val="center"/>
              <w:rPr>
                <w:sz w:val="18"/>
              </w:rPr>
            </w:pPr>
            <w:r>
              <w:rPr>
                <w:sz w:val="18"/>
              </w:rPr>
              <w:t>2025</w:t>
            </w:r>
          </w:p>
        </w:tc>
        <w:tc>
          <w:tcPr>
            <w:tcW w:w="90" w:type="dxa"/>
            <w:tcBorders/>
            <w:tcMar>
              <w:bottom w:w="0" w:type="dxa"/>
            </w:tcMar>
            <w:vAlign w:val="center"/>
          </w:tcPr>
          <w:p>
            <w:pPr>
              <w:pStyle w:val="TableContents"/>
              <w:bidi w:val="0"/>
              <w:spacing w:before="0" w:after="283"/>
              <w:jc w:val="center"/>
              <w:rPr/>
            </w:pPr>
            <w:r>
              <w:rPr/>
              <w:t> </w:t>
            </w:r>
          </w:p>
        </w:tc>
        <w:tc>
          <w:tcPr>
            <w:tcW w:w="635" w:type="dxa"/>
            <w:tcBorders/>
            <w:tcMar>
              <w:bottom w:w="0" w:type="dxa"/>
            </w:tcMar>
            <w:vAlign w:val="center"/>
          </w:tcPr>
          <w:p>
            <w:pPr>
              <w:pStyle w:val="TableContents"/>
              <w:bidi w:val="0"/>
              <w:spacing w:before="0" w:after="283"/>
              <w:jc w:val="center"/>
              <w:rPr>
                <w:sz w:val="18"/>
              </w:rPr>
            </w:pPr>
            <w:r>
              <w:rPr>
                <w:sz w:val="18"/>
              </w:rPr>
              <w:t>122,818</w:t>
            </w:r>
          </w:p>
        </w:tc>
        <w:tc>
          <w:tcPr>
            <w:tcW w:w="90" w:type="dxa"/>
            <w:tcBorders/>
            <w:tcMar>
              <w:bottom w:w="0" w:type="dxa"/>
            </w:tcMar>
            <w:vAlign w:val="center"/>
          </w:tcPr>
          <w:p>
            <w:pPr>
              <w:pStyle w:val="TableContents"/>
              <w:bidi w:val="0"/>
              <w:spacing w:before="0" w:after="283"/>
              <w:jc w:val="center"/>
              <w:rPr/>
            </w:pPr>
            <w:r>
              <w:rPr/>
              <w:t> </w:t>
            </w:r>
          </w:p>
        </w:tc>
        <w:tc>
          <w:tcPr>
            <w:tcW w:w="641" w:type="dxa"/>
            <w:tcBorders/>
            <w:tcMar>
              <w:bottom w:w="0" w:type="dxa"/>
            </w:tcMar>
            <w:vAlign w:val="center"/>
          </w:tcPr>
          <w:p>
            <w:pPr>
              <w:pStyle w:val="TableContents"/>
              <w:bidi w:val="0"/>
              <w:spacing w:before="0" w:after="283"/>
              <w:jc w:val="center"/>
              <w:rPr/>
            </w:pPr>
            <w:r>
              <w:rPr/>
              <w:t>—</w:t>
            </w:r>
          </w:p>
        </w:tc>
        <w:tc>
          <w:tcPr>
            <w:tcW w:w="90" w:type="dxa"/>
            <w:tcBorders/>
            <w:tcMar>
              <w:bottom w:w="0" w:type="dxa"/>
            </w:tcMar>
            <w:vAlign w:val="center"/>
          </w:tcPr>
          <w:p>
            <w:pPr>
              <w:pStyle w:val="TableContents"/>
              <w:bidi w:val="0"/>
              <w:spacing w:before="0" w:after="283"/>
              <w:jc w:val="center"/>
              <w:rPr/>
            </w:pPr>
            <w:r>
              <w:rPr/>
              <w:t> </w:t>
            </w:r>
          </w:p>
        </w:tc>
        <w:tc>
          <w:tcPr>
            <w:tcW w:w="872" w:type="dxa"/>
            <w:gridSpan w:val="2"/>
            <w:tcBorders/>
            <w:tcMar>
              <w:bottom w:w="0" w:type="dxa"/>
            </w:tcMar>
            <w:vAlign w:val="center"/>
          </w:tcPr>
          <w:p>
            <w:pPr>
              <w:pStyle w:val="TableContents"/>
              <w:bidi w:val="0"/>
              <w:spacing w:before="0" w:after="283"/>
              <w:jc w:val="center"/>
              <w:rPr>
                <w:sz w:val="18"/>
              </w:rPr>
            </w:pPr>
            <w:r>
              <w:rPr>
                <w:sz w:val="18"/>
              </w:rPr>
              <w:t>365,750</w:t>
            </w:r>
          </w:p>
        </w:tc>
        <w:tc>
          <w:tcPr>
            <w:tcW w:w="90" w:type="dxa"/>
            <w:tcBorders/>
            <w:tcMar>
              <w:bottom w:w="0" w:type="dxa"/>
            </w:tcMar>
            <w:vAlign w:val="center"/>
          </w:tcPr>
          <w:p>
            <w:pPr>
              <w:pStyle w:val="TableContents"/>
              <w:bidi w:val="0"/>
              <w:spacing w:before="0" w:after="283"/>
              <w:jc w:val="center"/>
              <w:rPr/>
            </w:pPr>
            <w:r>
              <w:rPr/>
              <w:t> </w:t>
            </w:r>
          </w:p>
        </w:tc>
        <w:tc>
          <w:tcPr>
            <w:tcW w:w="770" w:type="dxa"/>
            <w:tcBorders/>
            <w:tcMar>
              <w:bottom w:w="0" w:type="dxa"/>
            </w:tcMar>
            <w:vAlign w:val="center"/>
          </w:tcPr>
          <w:p>
            <w:pPr>
              <w:pStyle w:val="TableContents"/>
              <w:bidi w:val="0"/>
              <w:spacing w:before="0" w:after="283"/>
              <w:jc w:val="center"/>
              <w:rPr>
                <w:sz w:val="18"/>
              </w:rPr>
            </w:pPr>
            <w:r>
              <w:rPr>
                <w:sz w:val="18"/>
              </w:rPr>
              <w:t>1,071,000</w:t>
            </w:r>
          </w:p>
        </w:tc>
        <w:tc>
          <w:tcPr>
            <w:tcW w:w="90" w:type="dxa"/>
            <w:tcBorders/>
            <w:tcMar>
              <w:bottom w:w="0" w:type="dxa"/>
            </w:tcMar>
            <w:vAlign w:val="center"/>
          </w:tcPr>
          <w:p>
            <w:pPr>
              <w:pStyle w:val="TableContents"/>
              <w:bidi w:val="0"/>
              <w:spacing w:before="0" w:after="283"/>
              <w:jc w:val="center"/>
              <w:rPr/>
            </w:pPr>
            <w:r>
              <w:rPr/>
              <w:t> </w:t>
            </w:r>
          </w:p>
        </w:tc>
        <w:tc>
          <w:tcPr>
            <w:tcW w:w="1962" w:type="dxa"/>
            <w:tcBorders/>
            <w:tcMar>
              <w:bottom w:w="0" w:type="dxa"/>
            </w:tcMar>
            <w:vAlign w:val="center"/>
          </w:tcPr>
          <w:p>
            <w:pPr>
              <w:pStyle w:val="TableContents"/>
              <w:bidi w:val="0"/>
              <w:spacing w:before="0" w:after="283"/>
              <w:jc w:val="center"/>
              <w:rPr/>
            </w:pPr>
            <w:r>
              <w:rPr/>
              <w:t>—</w:t>
            </w:r>
          </w:p>
        </w:tc>
        <w:tc>
          <w:tcPr>
            <w:tcW w:w="90" w:type="dxa"/>
            <w:tcBorders/>
            <w:tcMar>
              <w:bottom w:w="0" w:type="dxa"/>
            </w:tcMar>
            <w:vAlign w:val="center"/>
          </w:tcPr>
          <w:p>
            <w:pPr>
              <w:pStyle w:val="TableContents"/>
              <w:bidi w:val="0"/>
              <w:spacing w:before="0" w:after="283"/>
              <w:jc w:val="center"/>
              <w:rPr/>
            </w:pPr>
            <w:r>
              <w:rPr/>
              <w:t> </w:t>
            </w:r>
          </w:p>
        </w:tc>
        <w:tc>
          <w:tcPr>
            <w:tcW w:w="1115" w:type="dxa"/>
            <w:tcBorders/>
            <w:tcMar>
              <w:bottom w:w="0" w:type="dxa"/>
            </w:tcMar>
            <w:vAlign w:val="center"/>
          </w:tcPr>
          <w:p>
            <w:pPr>
              <w:pStyle w:val="TableContents"/>
              <w:bidi w:val="0"/>
              <w:spacing w:before="0" w:after="283"/>
              <w:jc w:val="center"/>
              <w:rPr/>
            </w:pPr>
            <w:r>
              <w:rPr/>
              <w:t>—</w:t>
            </w:r>
          </w:p>
        </w:tc>
        <w:tc>
          <w:tcPr>
            <w:tcW w:w="90" w:type="dxa"/>
            <w:tcBorders/>
            <w:tcMar>
              <w:bottom w:w="0" w:type="dxa"/>
            </w:tcMar>
            <w:vAlign w:val="center"/>
          </w:tcPr>
          <w:p>
            <w:pPr>
              <w:pStyle w:val="TableContents"/>
              <w:bidi w:val="0"/>
              <w:spacing w:before="0" w:after="283"/>
              <w:jc w:val="center"/>
              <w:rPr/>
            </w:pPr>
            <w:r>
              <w:rPr/>
              <w:t> </w:t>
            </w:r>
          </w:p>
        </w:tc>
        <w:tc>
          <w:tcPr>
            <w:tcW w:w="1222" w:type="dxa"/>
            <w:tcBorders/>
            <w:tcMar>
              <w:bottom w:w="0" w:type="dxa"/>
            </w:tcMar>
            <w:vAlign w:val="center"/>
          </w:tcPr>
          <w:p>
            <w:pPr>
              <w:pStyle w:val="TableContents"/>
              <w:bidi w:val="0"/>
              <w:spacing w:before="0" w:after="283"/>
              <w:jc w:val="center"/>
              <w:rPr>
                <w:sz w:val="18"/>
              </w:rPr>
            </w:pPr>
            <w:r>
              <w:rPr>
                <w:sz w:val="18"/>
              </w:rPr>
              <w:t>1,559,568</w:t>
            </w:r>
          </w:p>
        </w:tc>
      </w:tr>
      <w:tr>
        <w:trPr/>
        <w:tc>
          <w:tcPr>
            <w:tcW w:w="1843" w:type="dxa"/>
            <w:vMerge w:val="continue"/>
            <w:tcBorders/>
            <w:tcMar>
              <w:bottom w:w="0" w:type="dxa"/>
            </w:tcMar>
            <w:vAlign w:val="center"/>
          </w:tcPr>
          <w:p>
            <w:pPr>
              <w:pStyle w:val="Normal"/>
              <w:bidi w:val="0"/>
              <w:jc w:val="left"/>
              <w:rPr/>
            </w:pPr>
            <w:r>
              <w:rPr/>
            </w:r>
          </w:p>
        </w:tc>
        <w:tc>
          <w:tcPr>
            <w:tcW w:w="90" w:type="dxa"/>
            <w:tcBorders/>
            <w:tcMar>
              <w:bottom w:w="0" w:type="dxa"/>
            </w:tcMar>
            <w:vAlign w:val="center"/>
          </w:tcPr>
          <w:p>
            <w:pPr>
              <w:pStyle w:val="TableContents"/>
              <w:bidi w:val="0"/>
              <w:spacing w:before="0" w:after="283"/>
              <w:jc w:val="center"/>
              <w:rPr/>
            </w:pPr>
            <w:r>
              <w:rPr/>
              <w:t> </w:t>
            </w:r>
          </w:p>
        </w:tc>
        <w:tc>
          <w:tcPr>
            <w:tcW w:w="425"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center"/>
              <w:rPr/>
            </w:pPr>
            <w:r>
              <w:rPr/>
              <w:t> </w:t>
            </w:r>
          </w:p>
        </w:tc>
        <w:tc>
          <w:tcPr>
            <w:tcW w:w="635"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center"/>
              <w:rPr/>
            </w:pPr>
            <w:r>
              <w:rPr/>
              <w:t> </w:t>
            </w:r>
          </w:p>
        </w:tc>
        <w:tc>
          <w:tcPr>
            <w:tcW w:w="641"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center"/>
              <w:rPr/>
            </w:pPr>
            <w:r>
              <w:rPr/>
              <w:t> </w:t>
            </w:r>
          </w:p>
        </w:tc>
        <w:tc>
          <w:tcPr>
            <w:tcW w:w="872" w:type="dxa"/>
            <w:gridSpan w:val="2"/>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center"/>
              <w:rPr/>
            </w:pPr>
            <w:r>
              <w:rPr/>
              <w:t> </w:t>
            </w:r>
          </w:p>
        </w:tc>
        <w:tc>
          <w:tcPr>
            <w:tcW w:w="770"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center"/>
              <w:rPr/>
            </w:pPr>
            <w:r>
              <w:rPr/>
              <w:t> </w:t>
            </w:r>
          </w:p>
        </w:tc>
        <w:tc>
          <w:tcPr>
            <w:tcW w:w="1962"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center"/>
              <w:rPr/>
            </w:pPr>
            <w:r>
              <w:rPr/>
              <w:t> </w:t>
            </w:r>
          </w:p>
        </w:tc>
        <w:tc>
          <w:tcPr>
            <w:tcW w:w="1115"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center"/>
              <w:rPr/>
            </w:pPr>
            <w:r>
              <w:rPr/>
              <w:t> </w:t>
            </w:r>
          </w:p>
        </w:tc>
        <w:tc>
          <w:tcPr>
            <w:tcW w:w="1222" w:type="dxa"/>
            <w:tcBorders/>
            <w:tcMar>
              <w:bottom w:w="0" w:type="dxa"/>
            </w:tcMar>
            <w:vAlign w:val="center"/>
          </w:tcPr>
          <w:p>
            <w:pPr>
              <w:pStyle w:val="TableContents"/>
              <w:bidi w:val="0"/>
              <w:spacing w:before="0" w:after="283"/>
              <w:jc w:val="center"/>
              <w:rPr/>
            </w:pPr>
            <w:r>
              <w:rPr/>
              <w:t> </w:t>
            </w:r>
          </w:p>
        </w:tc>
      </w:tr>
      <w:tr>
        <w:trPr/>
        <w:tc>
          <w:tcPr>
            <w:tcW w:w="1843" w:type="dxa"/>
            <w:vMerge w:val="restart"/>
            <w:tcBorders/>
            <w:shd w:fill="CCEEFF" w:val="clear"/>
            <w:tcMar>
              <w:bottom w:w="0" w:type="dxa"/>
            </w:tcMar>
            <w:vAlign w:val="center"/>
          </w:tcPr>
          <w:p>
            <w:pPr>
              <w:pStyle w:val="TableContents"/>
              <w:bidi w:val="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Fariyal Khanbabi</w:t>
            </w:r>
          </w:p>
          <w:p>
            <w:pPr>
              <w:pStyle w:val="TableContents"/>
              <w:bidi w:val="0"/>
              <w:spacing w:before="0" w:after="283"/>
              <w:jc w:val="left"/>
              <w:rPr>
                <w:rFonts w:ascii="Times New Roman;Times;Serif" w:hAnsi="Times New Roman;Times;Serif"/>
                <w:b w:val="false"/>
                <w:i/>
                <w:caps w:val="false"/>
                <w:smallCaps w:val="false"/>
                <w:sz w:val="18"/>
              </w:rPr>
            </w:pPr>
            <w:r>
              <w:rPr>
                <w:rFonts w:ascii="Times New Roman;Times;Serif" w:hAnsi="Times New Roman;Times;Serif"/>
                <w:b w:val="false"/>
                <w:i/>
                <w:caps w:val="false"/>
                <w:smallCaps w:val="false"/>
                <w:sz w:val="18"/>
              </w:rPr>
              <w:t>Former Chief Financial Officer</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425" w:type="dxa"/>
            <w:tcBorders/>
            <w:shd w:fill="CCEEFF" w:val="clear"/>
            <w:tcMar>
              <w:bottom w:w="0" w:type="dxa"/>
            </w:tcMar>
            <w:vAlign w:val="center"/>
          </w:tcPr>
          <w:p>
            <w:pPr>
              <w:pStyle w:val="TableContents"/>
              <w:bidi w:val="0"/>
              <w:spacing w:before="0" w:after="283"/>
              <w:jc w:val="center"/>
              <w:rPr>
                <w:sz w:val="18"/>
              </w:rPr>
            </w:pPr>
            <w:r>
              <w:rPr>
                <w:sz w:val="18"/>
              </w:rPr>
              <w:t>2025</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635" w:type="dxa"/>
            <w:tcBorders/>
            <w:shd w:fill="CCEEFF" w:val="clear"/>
            <w:tcMar>
              <w:bottom w:w="0" w:type="dxa"/>
            </w:tcMar>
            <w:vAlign w:val="center"/>
          </w:tcPr>
          <w:p>
            <w:pPr>
              <w:pStyle w:val="TableContents"/>
              <w:bidi w:val="0"/>
              <w:spacing w:before="0" w:after="283"/>
              <w:jc w:val="center"/>
              <w:rPr>
                <w:sz w:val="18"/>
              </w:rPr>
            </w:pPr>
            <w:r>
              <w:rPr>
                <w:sz w:val="18"/>
              </w:rPr>
              <w:t>118,113</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641" w:type="dxa"/>
            <w:tcBorders/>
            <w:shd w:fill="CCEEFF" w:val="clear"/>
            <w:tcMar>
              <w:bottom w:w="0" w:type="dxa"/>
            </w:tcMar>
            <w:vAlign w:val="center"/>
          </w:tcPr>
          <w:p>
            <w:pPr>
              <w:pStyle w:val="TableContents"/>
              <w:bidi w:val="0"/>
              <w:spacing w:before="0" w:after="283"/>
              <w:jc w:val="center"/>
              <w:rPr/>
            </w:pPr>
            <w:r>
              <w:rPr/>
              <w:t>—</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872" w:type="dxa"/>
            <w:gridSpan w:val="2"/>
            <w:tcBorders/>
            <w:shd w:fill="CCEEFF" w:val="clear"/>
            <w:tcMar>
              <w:bottom w:w="0" w:type="dxa"/>
            </w:tcMar>
            <w:vAlign w:val="center"/>
          </w:tcPr>
          <w:p>
            <w:pPr>
              <w:pStyle w:val="TableContents"/>
              <w:bidi w:val="0"/>
              <w:spacing w:before="0" w:after="283"/>
              <w:jc w:val="center"/>
              <w:rPr/>
            </w:pPr>
            <w:r>
              <w:rPr/>
              <w:t>—</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770" w:type="dxa"/>
            <w:tcBorders/>
            <w:shd w:fill="CCEEFF" w:val="clear"/>
            <w:tcMar>
              <w:bottom w:w="0" w:type="dxa"/>
            </w:tcMar>
            <w:vAlign w:val="center"/>
          </w:tcPr>
          <w:p>
            <w:pPr>
              <w:pStyle w:val="TableContents"/>
              <w:bidi w:val="0"/>
              <w:spacing w:before="0" w:after="283"/>
              <w:jc w:val="center"/>
              <w:rPr/>
            </w:pPr>
            <w:r>
              <w:rPr/>
              <w:t>—</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1962" w:type="dxa"/>
            <w:tcBorders/>
            <w:shd w:fill="CCEEFF" w:val="clear"/>
            <w:tcMar>
              <w:bottom w:w="0" w:type="dxa"/>
            </w:tcMar>
            <w:vAlign w:val="center"/>
          </w:tcPr>
          <w:p>
            <w:pPr>
              <w:pStyle w:val="TableContents"/>
              <w:bidi w:val="0"/>
              <w:spacing w:before="0" w:after="283"/>
              <w:jc w:val="center"/>
              <w:rPr/>
            </w:pPr>
            <w:r>
              <w:rPr/>
              <w:t>—</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1115" w:type="dxa"/>
            <w:tcBorders/>
            <w:shd w:fill="CCEEFF" w:val="clear"/>
            <w:tcMar>
              <w:bottom w:w="0" w:type="dxa"/>
            </w:tcMar>
            <w:vAlign w:val="center"/>
          </w:tcPr>
          <w:p>
            <w:pPr>
              <w:pStyle w:val="TableContents"/>
              <w:bidi w:val="0"/>
              <w:spacing w:before="0" w:after="283"/>
              <w:jc w:val="center"/>
              <w:rPr>
                <w:sz w:val="18"/>
              </w:rPr>
            </w:pPr>
            <w:r>
              <w:rPr>
                <w:sz w:val="18"/>
              </w:rPr>
              <w:t>200,000</w:t>
            </w:r>
            <w:r>
              <w:rPr>
                <w:position w:val="6"/>
                <w:sz w:val="14"/>
                <w:sz w:val="18"/>
              </w:rPr>
              <w:t>(4)</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1222" w:type="dxa"/>
            <w:tcBorders/>
            <w:shd w:fill="CCEEFF" w:val="clear"/>
            <w:tcMar>
              <w:bottom w:w="0" w:type="dxa"/>
            </w:tcMar>
            <w:vAlign w:val="center"/>
          </w:tcPr>
          <w:p>
            <w:pPr>
              <w:pStyle w:val="TableContents"/>
              <w:bidi w:val="0"/>
              <w:spacing w:before="0" w:after="283"/>
              <w:jc w:val="center"/>
              <w:rPr>
                <w:sz w:val="18"/>
              </w:rPr>
            </w:pPr>
            <w:r>
              <w:rPr>
                <w:sz w:val="18"/>
              </w:rPr>
              <w:t>318,113</w:t>
            </w:r>
          </w:p>
        </w:tc>
      </w:tr>
      <w:tr>
        <w:trPr/>
        <w:tc>
          <w:tcPr>
            <w:tcW w:w="1843" w:type="dxa"/>
            <w:vMerge w:val="continue"/>
            <w:tcBorders/>
            <w:shd w:fill="CCEEFF" w:val="clear"/>
            <w:tcMar>
              <w:bottom w:w="0" w:type="dxa"/>
            </w:tcMar>
            <w:vAlign w:val="center"/>
          </w:tcPr>
          <w:p>
            <w:pPr>
              <w:pStyle w:val="Normal"/>
              <w:bidi w:val="0"/>
              <w:jc w:val="left"/>
              <w:rPr/>
            </w:pPr>
            <w:r>
              <w:rPr/>
            </w:r>
          </w:p>
        </w:tc>
        <w:tc>
          <w:tcPr>
            <w:tcW w:w="90" w:type="dxa"/>
            <w:tcBorders/>
            <w:shd w:fill="CCEEFF" w:val="clear"/>
            <w:tcMar>
              <w:bottom w:w="0" w:type="dxa"/>
            </w:tcMar>
            <w:vAlign w:val="center"/>
          </w:tcPr>
          <w:p>
            <w:pPr>
              <w:pStyle w:val="TableContents"/>
              <w:bidi w:val="0"/>
              <w:spacing w:before="0" w:after="283"/>
              <w:jc w:val="center"/>
              <w:rPr/>
            </w:pPr>
            <w:r>
              <w:rPr/>
              <w:t> </w:t>
            </w:r>
          </w:p>
        </w:tc>
        <w:tc>
          <w:tcPr>
            <w:tcW w:w="425"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635"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641"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872" w:type="dxa"/>
            <w:gridSpan w:val="2"/>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770"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1962"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1115"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1222" w:type="dxa"/>
            <w:tcBorders/>
            <w:shd w:fill="CCEEFF" w:val="clear"/>
            <w:tcMar>
              <w:bottom w:w="0" w:type="dxa"/>
            </w:tcMar>
            <w:vAlign w:val="center"/>
          </w:tcPr>
          <w:p>
            <w:pPr>
              <w:pStyle w:val="TableContents"/>
              <w:bidi w:val="0"/>
              <w:spacing w:before="0" w:after="283"/>
              <w:jc w:val="center"/>
              <w:rPr/>
            </w:pPr>
            <w:r>
              <w:rPr/>
              <w:t> </w:t>
            </w:r>
          </w:p>
        </w:tc>
      </w:tr>
      <w:tr>
        <w:trPr/>
        <w:tc>
          <w:tcPr>
            <w:tcW w:w="1843"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4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63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641"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68" w:type="dxa"/>
            <w:tcBorders/>
            <w:tcMar>
              <w:bottom w:w="0" w:type="dxa"/>
            </w:tcMar>
            <w:vAlign w:val="center"/>
          </w:tcPr>
          <w:p>
            <w:pPr>
              <w:pStyle w:val="TableContents"/>
              <w:bidi w:val="0"/>
              <w:spacing w:before="0" w:after="283"/>
              <w:jc w:val="left"/>
              <w:rPr/>
            </w:pPr>
            <w:r>
              <w:rPr/>
              <w:t> </w:t>
            </w:r>
          </w:p>
        </w:tc>
        <w:tc>
          <w:tcPr>
            <w:tcW w:w="104"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7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962"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1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222" w:type="dxa"/>
            <w:tcBorders/>
            <w:tcMar>
              <w:bottom w:w="0" w:type="dxa"/>
            </w:tcMar>
            <w:vAlign w:val="center"/>
          </w:tcPr>
          <w:p>
            <w:pPr>
              <w:pStyle w:val="TableContents"/>
              <w:bidi w:val="0"/>
              <w:spacing w:before="0" w:after="283"/>
              <w:jc w:val="left"/>
              <w:rPr/>
            </w:pPr>
            <w:r>
              <w:rPr/>
              <w:t> </w:t>
            </w:r>
          </w:p>
        </w:tc>
      </w:tr>
    </w:tbl>
    <w:tbl>
      <w:tblPr>
        <w:tblW w:w="5000" w:type="pct"/>
        <w:jc w:val="left"/>
        <w:tblInd w:w="0" w:type="dxa"/>
        <w:tblLayout w:type="fixed"/>
        <w:tblCellMar>
          <w:top w:w="0" w:type="dxa"/>
          <w:left w:w="0" w:type="dxa"/>
          <w:bottom w:w="0" w:type="dxa"/>
          <w:right w:w="0" w:type="dxa"/>
        </w:tblCellMar>
      </w:tblPr>
      <w:tblGrid>
        <w:gridCol w:w="67"/>
        <w:gridCol w:w="266"/>
        <w:gridCol w:w="9872"/>
      </w:tblGrid>
      <w:tr>
        <w:trPr/>
        <w:tc>
          <w:tcPr>
            <w:tcW w:w="6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20"/>
              </w:rPr>
            </w:pPr>
            <w:r>
              <w:rPr>
                <w:sz w:val="20"/>
              </w:rPr>
              <w:t>(1)</w:t>
            </w:r>
          </w:p>
        </w:tc>
        <w:tc>
          <w:tcPr>
            <w:tcW w:w="9872" w:type="dxa"/>
            <w:tcBorders/>
            <w:vAlign w:val="center"/>
          </w:tcPr>
          <w:p>
            <w:pPr>
              <w:pStyle w:val="TableContents"/>
              <w:bidi w:val="0"/>
              <w:spacing w:before="0" w:after="283"/>
              <w:jc w:val="both"/>
              <w:rPr>
                <w:sz w:val="20"/>
              </w:rPr>
            </w:pPr>
            <w:r>
              <w:rPr>
                <w:sz w:val="20"/>
              </w:rPr>
              <w:t>The salary amounts for Fiscal 2024 have been adjusted from the numbers previously reported to account for salary changes during the year.</w:t>
            </w:r>
          </w:p>
        </w:tc>
      </w:tr>
    </w:tbl>
    <w:tbl>
      <w:tblPr>
        <w:tblW w:w="5000" w:type="pct"/>
        <w:jc w:val="left"/>
        <w:tblInd w:w="0" w:type="dxa"/>
        <w:tblLayout w:type="fixed"/>
        <w:tblCellMar>
          <w:top w:w="0" w:type="dxa"/>
          <w:left w:w="0" w:type="dxa"/>
          <w:bottom w:w="0" w:type="dxa"/>
          <w:right w:w="0" w:type="dxa"/>
        </w:tblCellMar>
      </w:tblPr>
      <w:tblGrid>
        <w:gridCol w:w="67"/>
        <w:gridCol w:w="223"/>
        <w:gridCol w:w="9915"/>
      </w:tblGrid>
      <w:tr>
        <w:trPr/>
        <w:tc>
          <w:tcPr>
            <w:tcW w:w="67"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20"/>
              </w:rPr>
            </w:pPr>
            <w:r>
              <w:rPr>
                <w:sz w:val="20"/>
              </w:rPr>
              <w:t>(2)</w:t>
            </w:r>
          </w:p>
        </w:tc>
        <w:tc>
          <w:tcPr>
            <w:tcW w:w="9915" w:type="dxa"/>
            <w:tcBorders/>
            <w:vAlign w:val="center"/>
          </w:tcPr>
          <w:p>
            <w:pPr>
              <w:pStyle w:val="TableContents"/>
              <w:bidi w:val="0"/>
              <w:spacing w:before="0" w:after="283"/>
              <w:jc w:val="both"/>
              <w:rPr>
                <w:sz w:val="20"/>
              </w:rPr>
            </w:pPr>
            <w:r>
              <w:rPr>
                <w:sz w:val="20"/>
              </w:rPr>
              <w:t>Represents the aggregate grant date fair value of stock awards granted to our NEOs, computed in accordance with stock-based compensation accounting rules. The 2024 stock awards consist of grants of RSUs granted pursuant to the Microvast Holdings, Inc. 2021 Equity Incentive Plan (the “2021 Plan”). The terms of the 2025 RSUs and 2025 PSUs are summarized in “Elements of Executive Compensation—Long-Term Incentives” above. The assumptions made when calculating the amounts reported are found in Not</w:t>
            </w:r>
            <w:r>
              <w:rPr>
                <w:sz w:val="20"/>
                <w:shd w:fill="FFFFFF" w:val="clear"/>
              </w:rPr>
              <w:t>e 20</w:t>
            </w:r>
            <w:r>
              <w:rPr>
                <w:sz w:val="20"/>
              </w:rPr>
              <w:t>, “Share-Based Payment” to our consolidated financial statements included in Part II, Item 8 of the Annual Report. Assuming maximum level of performance, the aggregate grant date values of the RSUs and PSUs are as follows:</w:t>
            </w:r>
          </w:p>
        </w:tc>
      </w:tr>
    </w:tbl>
    <w:tbl>
      <w:tblPr>
        <w:tblW w:w="6950" w:type="dxa"/>
        <w:jc w:val="left"/>
        <w:tblInd w:w="0" w:type="dxa"/>
        <w:tblLayout w:type="fixed"/>
        <w:tblCellMar>
          <w:top w:w="0" w:type="dxa"/>
          <w:left w:w="0" w:type="dxa"/>
          <w:bottom w:w="28" w:type="dxa"/>
          <w:right w:w="0" w:type="dxa"/>
        </w:tblCellMar>
      </w:tblPr>
      <w:tblGrid>
        <w:gridCol w:w="1655"/>
        <w:gridCol w:w="90"/>
        <w:gridCol w:w="875"/>
        <w:gridCol w:w="90"/>
        <w:gridCol w:w="3230"/>
        <w:gridCol w:w="90"/>
        <w:gridCol w:w="920"/>
      </w:tblGrid>
      <w:tr>
        <w:trPr/>
        <w:tc>
          <w:tcPr>
            <w:tcW w:w="1655" w:type="dxa"/>
            <w:tcBorders>
              <w:bottom w:val="single" w:sz="8" w:space="0" w:color="000000"/>
            </w:tcBorders>
            <w:vAlign w:val="center"/>
          </w:tcPr>
          <w:p>
            <w:pPr>
              <w:pStyle w:val="TableContents"/>
              <w:bidi w:val="0"/>
              <w:spacing w:before="0" w:after="283"/>
              <w:jc w:val="left"/>
              <w:rPr>
                <w:b/>
                <w:sz w:val="20"/>
              </w:rPr>
            </w:pPr>
            <w:r>
              <w:rPr>
                <w:b/>
                <w:sz w:val="20"/>
              </w:rPr>
              <w:t>Name</w:t>
            </w:r>
          </w:p>
        </w:tc>
        <w:tc>
          <w:tcPr>
            <w:tcW w:w="90" w:type="dxa"/>
            <w:tcBorders/>
            <w:tcMar>
              <w:bottom w:w="0" w:type="dxa"/>
            </w:tcMar>
            <w:vAlign w:val="center"/>
          </w:tcPr>
          <w:p>
            <w:pPr>
              <w:pStyle w:val="TableContents"/>
              <w:bidi w:val="0"/>
              <w:spacing w:before="0" w:after="283"/>
              <w:jc w:val="left"/>
              <w:rPr/>
            </w:pPr>
            <w:r>
              <w:rPr/>
              <w:t> </w:t>
            </w:r>
          </w:p>
        </w:tc>
        <w:tc>
          <w:tcPr>
            <w:tcW w:w="875" w:type="dxa"/>
            <w:tcBorders>
              <w:bottom w:val="single" w:sz="8" w:space="0" w:color="000000"/>
            </w:tcBorders>
            <w:vAlign w:val="center"/>
          </w:tcPr>
          <w:p>
            <w:pPr>
              <w:pStyle w:val="TableContents"/>
              <w:bidi w:val="0"/>
              <w:spacing w:before="0" w:after="283"/>
              <w:jc w:val="center"/>
              <w:rPr>
                <w:b/>
                <w:sz w:val="20"/>
              </w:rPr>
            </w:pPr>
            <w:r>
              <w:rPr>
                <w:b/>
                <w:sz w:val="20"/>
              </w:rPr>
              <w:t>RSUs ($)</w:t>
            </w:r>
          </w:p>
        </w:tc>
        <w:tc>
          <w:tcPr>
            <w:tcW w:w="90" w:type="dxa"/>
            <w:tcBorders/>
            <w:tcMar>
              <w:bottom w:w="0" w:type="dxa"/>
            </w:tcMar>
            <w:vAlign w:val="center"/>
          </w:tcPr>
          <w:p>
            <w:pPr>
              <w:pStyle w:val="TableContents"/>
              <w:bidi w:val="0"/>
              <w:spacing w:before="0" w:after="283"/>
              <w:jc w:val="left"/>
              <w:rPr/>
            </w:pPr>
            <w:r>
              <w:rPr/>
              <w:t> </w:t>
            </w:r>
          </w:p>
        </w:tc>
        <w:tc>
          <w:tcPr>
            <w:tcW w:w="3230" w:type="dxa"/>
            <w:tcBorders>
              <w:bottom w:val="single" w:sz="8" w:space="0" w:color="000000"/>
            </w:tcBorders>
            <w:vAlign w:val="center"/>
          </w:tcPr>
          <w:p>
            <w:pPr>
              <w:pStyle w:val="TableContents"/>
              <w:bidi w:val="0"/>
              <w:spacing w:before="0" w:after="283"/>
              <w:jc w:val="center"/>
              <w:rPr>
                <w:b/>
                <w:sz w:val="20"/>
              </w:rPr>
            </w:pPr>
            <w:r>
              <w:rPr>
                <w:b/>
                <w:sz w:val="20"/>
              </w:rPr>
              <w:t>Performance Stock Units (“PSUs”) ($)</w:t>
            </w:r>
          </w:p>
        </w:tc>
        <w:tc>
          <w:tcPr>
            <w:tcW w:w="90" w:type="dxa"/>
            <w:tcBorders/>
            <w:tcMar>
              <w:bottom w:w="0" w:type="dxa"/>
            </w:tcMar>
            <w:vAlign w:val="center"/>
          </w:tcPr>
          <w:p>
            <w:pPr>
              <w:pStyle w:val="TableContents"/>
              <w:bidi w:val="0"/>
              <w:spacing w:before="0" w:after="283"/>
              <w:jc w:val="left"/>
              <w:rPr/>
            </w:pPr>
            <w:r>
              <w:rPr/>
              <w:t> </w:t>
            </w:r>
          </w:p>
        </w:tc>
        <w:tc>
          <w:tcPr>
            <w:tcW w:w="920" w:type="dxa"/>
            <w:tcBorders>
              <w:bottom w:val="single" w:sz="8" w:space="0" w:color="000000"/>
            </w:tcBorders>
            <w:vAlign w:val="center"/>
          </w:tcPr>
          <w:p>
            <w:pPr>
              <w:pStyle w:val="TableContents"/>
              <w:bidi w:val="0"/>
              <w:spacing w:before="0" w:after="283"/>
              <w:jc w:val="center"/>
              <w:rPr>
                <w:b/>
                <w:sz w:val="20"/>
              </w:rPr>
            </w:pPr>
            <w:r>
              <w:rPr>
                <w:b/>
                <w:sz w:val="20"/>
              </w:rPr>
              <w:t>Total ($)</w:t>
            </w:r>
          </w:p>
        </w:tc>
      </w:tr>
      <w:tr>
        <w:trPr/>
        <w:tc>
          <w:tcPr>
            <w:tcW w:w="1655" w:type="dxa"/>
            <w:tcBorders/>
            <w:shd w:fill="CCEEFF" w:val="clear"/>
            <w:tcMar>
              <w:bottom w:w="0" w:type="dxa"/>
            </w:tcMar>
            <w:vAlign w:val="center"/>
          </w:tcPr>
          <w:p>
            <w:pPr>
              <w:pStyle w:val="TableContents"/>
              <w:bidi w:val="0"/>
              <w:spacing w:before="0" w:after="283"/>
              <w:jc w:val="left"/>
              <w:rPr>
                <w:sz w:val="20"/>
              </w:rPr>
            </w:pPr>
            <w:r>
              <w:rPr>
                <w:sz w:val="20"/>
              </w:rPr>
              <w:t>Yang Wu</w:t>
            </w:r>
          </w:p>
        </w:tc>
        <w:tc>
          <w:tcPr>
            <w:tcW w:w="90" w:type="dxa"/>
            <w:tcBorders/>
            <w:shd w:fill="CCEEFF" w:val="clear"/>
            <w:tcMar>
              <w:bottom w:w="0" w:type="dxa"/>
            </w:tcMar>
            <w:vAlign w:val="center"/>
          </w:tcPr>
          <w:p>
            <w:pPr>
              <w:pStyle w:val="TableContents"/>
              <w:bidi w:val="0"/>
              <w:spacing w:before="0" w:after="283"/>
              <w:jc w:val="left"/>
              <w:rPr/>
            </w:pPr>
            <w:r>
              <w:rPr/>
              <w:t> </w:t>
            </w:r>
          </w:p>
        </w:tc>
        <w:tc>
          <w:tcPr>
            <w:tcW w:w="875" w:type="dxa"/>
            <w:tcBorders/>
            <w:shd w:fill="CCEEFF" w:val="clear"/>
            <w:tcMar>
              <w:bottom w:w="0" w:type="dxa"/>
            </w:tcMar>
            <w:vAlign w:val="center"/>
          </w:tcPr>
          <w:p>
            <w:pPr>
              <w:pStyle w:val="TableContents"/>
              <w:bidi w:val="0"/>
              <w:spacing w:before="0" w:after="283"/>
              <w:jc w:val="right"/>
              <w:rPr>
                <w:sz w:val="20"/>
              </w:rPr>
            </w:pPr>
            <w:r>
              <w:rPr>
                <w:sz w:val="20"/>
              </w:rPr>
              <w:t>1,549,999</w:t>
            </w:r>
          </w:p>
        </w:tc>
        <w:tc>
          <w:tcPr>
            <w:tcW w:w="90" w:type="dxa"/>
            <w:tcBorders/>
            <w:shd w:fill="CCEEFF" w:val="clear"/>
            <w:tcMar>
              <w:bottom w:w="0" w:type="dxa"/>
            </w:tcMar>
            <w:vAlign w:val="center"/>
          </w:tcPr>
          <w:p>
            <w:pPr>
              <w:pStyle w:val="TableContents"/>
              <w:bidi w:val="0"/>
              <w:spacing w:before="0" w:after="283"/>
              <w:jc w:val="right"/>
              <w:rPr/>
            </w:pPr>
            <w:r>
              <w:rPr/>
              <w:t> </w:t>
            </w:r>
          </w:p>
        </w:tc>
        <w:tc>
          <w:tcPr>
            <w:tcW w:w="3230" w:type="dxa"/>
            <w:tcBorders/>
            <w:shd w:fill="CCEEFF" w:val="clear"/>
            <w:tcMar>
              <w:bottom w:w="0" w:type="dxa"/>
            </w:tcMar>
            <w:vAlign w:val="center"/>
          </w:tcPr>
          <w:p>
            <w:pPr>
              <w:pStyle w:val="TableContents"/>
              <w:bidi w:val="0"/>
              <w:spacing w:before="0" w:after="283"/>
              <w:jc w:val="right"/>
              <w:rPr>
                <w:sz w:val="20"/>
              </w:rPr>
            </w:pPr>
            <w:r>
              <w:rPr>
                <w:sz w:val="20"/>
              </w:rPr>
              <w:t>1,859,998</w:t>
            </w:r>
          </w:p>
        </w:tc>
        <w:tc>
          <w:tcPr>
            <w:tcW w:w="90" w:type="dxa"/>
            <w:tcBorders/>
            <w:shd w:fill="CCEEFF" w:val="clear"/>
            <w:tcMar>
              <w:bottom w:w="0" w:type="dxa"/>
            </w:tcMar>
            <w:vAlign w:val="center"/>
          </w:tcPr>
          <w:p>
            <w:pPr>
              <w:pStyle w:val="TableContents"/>
              <w:bidi w:val="0"/>
              <w:spacing w:before="0" w:after="283"/>
              <w:jc w:val="right"/>
              <w:rPr/>
            </w:pPr>
            <w:r>
              <w:rPr/>
              <w:t> </w:t>
            </w:r>
          </w:p>
        </w:tc>
        <w:tc>
          <w:tcPr>
            <w:tcW w:w="920" w:type="dxa"/>
            <w:tcBorders/>
            <w:shd w:fill="CCEEFF" w:val="clear"/>
            <w:tcMar>
              <w:bottom w:w="0" w:type="dxa"/>
            </w:tcMar>
            <w:vAlign w:val="center"/>
          </w:tcPr>
          <w:p>
            <w:pPr>
              <w:pStyle w:val="TableContents"/>
              <w:bidi w:val="0"/>
              <w:spacing w:before="0" w:after="283"/>
              <w:jc w:val="right"/>
              <w:rPr>
                <w:sz w:val="20"/>
              </w:rPr>
            </w:pPr>
            <w:r>
              <w:rPr>
                <w:sz w:val="20"/>
              </w:rPr>
              <w:t>3,409,997</w:t>
            </w:r>
          </w:p>
        </w:tc>
      </w:tr>
      <w:tr>
        <w:trPr/>
        <w:tc>
          <w:tcPr>
            <w:tcW w:w="1655" w:type="dxa"/>
            <w:tcBorders/>
            <w:shd w:fill="FFFFFF" w:val="clear"/>
            <w:tcMar>
              <w:bottom w:w="0" w:type="dxa"/>
            </w:tcMar>
            <w:vAlign w:val="center"/>
          </w:tcPr>
          <w:p>
            <w:pPr>
              <w:pStyle w:val="TableContents"/>
              <w:bidi w:val="0"/>
              <w:spacing w:before="0" w:after="283"/>
              <w:jc w:val="left"/>
              <w:rPr>
                <w:sz w:val="20"/>
              </w:rPr>
            </w:pPr>
            <w:r>
              <w:rPr>
                <w:sz w:val="20"/>
              </w:rPr>
              <w:t>Rodney Worthen</w:t>
            </w:r>
          </w:p>
        </w:tc>
        <w:tc>
          <w:tcPr>
            <w:tcW w:w="90" w:type="dxa"/>
            <w:tcBorders/>
            <w:shd w:fill="FFFFFF" w:val="clear"/>
            <w:tcMar>
              <w:bottom w:w="0" w:type="dxa"/>
            </w:tcMar>
            <w:vAlign w:val="center"/>
          </w:tcPr>
          <w:p>
            <w:pPr>
              <w:pStyle w:val="TableContents"/>
              <w:bidi w:val="0"/>
              <w:spacing w:before="0" w:after="283"/>
              <w:jc w:val="left"/>
              <w:rPr/>
            </w:pPr>
            <w:r>
              <w:rPr/>
              <w:t> </w:t>
            </w:r>
          </w:p>
        </w:tc>
        <w:tc>
          <w:tcPr>
            <w:tcW w:w="875" w:type="dxa"/>
            <w:tcBorders/>
            <w:shd w:fill="FFFFFF" w:val="clear"/>
            <w:tcMar>
              <w:bottom w:w="0" w:type="dxa"/>
            </w:tcMar>
            <w:vAlign w:val="center"/>
          </w:tcPr>
          <w:p>
            <w:pPr>
              <w:pStyle w:val="TableContents"/>
              <w:bidi w:val="0"/>
              <w:spacing w:before="0" w:after="283"/>
              <w:jc w:val="right"/>
              <w:rPr>
                <w:sz w:val="20"/>
              </w:rPr>
            </w:pPr>
            <w:r>
              <w:rPr>
                <w:sz w:val="20"/>
              </w:rPr>
              <w:t>43,350</w:t>
            </w:r>
          </w:p>
        </w:tc>
        <w:tc>
          <w:tcPr>
            <w:tcW w:w="90" w:type="dxa"/>
            <w:tcBorders/>
            <w:shd w:fill="FFFFFF" w:val="clear"/>
            <w:tcMar>
              <w:bottom w:w="0" w:type="dxa"/>
            </w:tcMar>
            <w:vAlign w:val="center"/>
          </w:tcPr>
          <w:p>
            <w:pPr>
              <w:pStyle w:val="TableContents"/>
              <w:bidi w:val="0"/>
              <w:spacing w:before="0" w:after="283"/>
              <w:jc w:val="right"/>
              <w:rPr/>
            </w:pPr>
            <w:r>
              <w:rPr/>
              <w:t> </w:t>
            </w:r>
          </w:p>
        </w:tc>
        <w:tc>
          <w:tcPr>
            <w:tcW w:w="3230" w:type="dxa"/>
            <w:tcBorders/>
            <w:shd w:fill="FFFFFF" w:val="clear"/>
            <w:tcMar>
              <w:bottom w:w="0" w:type="dxa"/>
            </w:tcMar>
            <w:vAlign w:val="center"/>
          </w:tcPr>
          <w:p>
            <w:pPr>
              <w:pStyle w:val="TableContents"/>
              <w:bidi w:val="0"/>
              <w:spacing w:before="0" w:after="283"/>
              <w:jc w:val="right"/>
              <w:rPr>
                <w:sz w:val="20"/>
              </w:rPr>
            </w:pPr>
            <w:r>
              <w:rPr>
                <w:sz w:val="20"/>
              </w:rPr>
              <w:t>0</w:t>
            </w:r>
          </w:p>
        </w:tc>
        <w:tc>
          <w:tcPr>
            <w:tcW w:w="90" w:type="dxa"/>
            <w:tcBorders/>
            <w:shd w:fill="FFFFFF" w:val="clear"/>
            <w:tcMar>
              <w:bottom w:w="0" w:type="dxa"/>
            </w:tcMar>
            <w:vAlign w:val="center"/>
          </w:tcPr>
          <w:p>
            <w:pPr>
              <w:pStyle w:val="TableContents"/>
              <w:bidi w:val="0"/>
              <w:spacing w:before="0" w:after="283"/>
              <w:jc w:val="right"/>
              <w:rPr/>
            </w:pPr>
            <w:r>
              <w:rPr/>
              <w:t> </w:t>
            </w:r>
          </w:p>
        </w:tc>
        <w:tc>
          <w:tcPr>
            <w:tcW w:w="920" w:type="dxa"/>
            <w:tcBorders/>
            <w:shd w:fill="FFFFFF" w:val="clear"/>
            <w:tcMar>
              <w:bottom w:w="0" w:type="dxa"/>
            </w:tcMar>
            <w:vAlign w:val="center"/>
          </w:tcPr>
          <w:p>
            <w:pPr>
              <w:pStyle w:val="TableContents"/>
              <w:bidi w:val="0"/>
              <w:spacing w:before="0" w:after="283"/>
              <w:jc w:val="right"/>
              <w:rPr>
                <w:sz w:val="20"/>
              </w:rPr>
            </w:pPr>
            <w:r>
              <w:rPr>
                <w:sz w:val="20"/>
              </w:rPr>
              <w:t>43,350</w:t>
            </w:r>
          </w:p>
        </w:tc>
      </w:tr>
      <w:tr>
        <w:trPr/>
        <w:tc>
          <w:tcPr>
            <w:tcW w:w="1655" w:type="dxa"/>
            <w:tcBorders/>
            <w:shd w:fill="CCEEFF" w:val="clear"/>
            <w:tcMar>
              <w:bottom w:w="0" w:type="dxa"/>
            </w:tcMar>
            <w:vAlign w:val="center"/>
          </w:tcPr>
          <w:p>
            <w:pPr>
              <w:pStyle w:val="TableContents"/>
              <w:bidi w:val="0"/>
              <w:spacing w:before="0" w:after="283"/>
              <w:jc w:val="left"/>
              <w:rPr>
                <w:sz w:val="20"/>
              </w:rPr>
            </w:pPr>
            <w:r>
              <w:rPr>
                <w:sz w:val="20"/>
              </w:rPr>
              <w:t>Isida Tushe</w:t>
            </w:r>
          </w:p>
        </w:tc>
        <w:tc>
          <w:tcPr>
            <w:tcW w:w="90" w:type="dxa"/>
            <w:tcBorders/>
            <w:shd w:fill="CCEEFF" w:val="clear"/>
            <w:tcMar>
              <w:bottom w:w="0" w:type="dxa"/>
            </w:tcMar>
            <w:vAlign w:val="center"/>
          </w:tcPr>
          <w:p>
            <w:pPr>
              <w:pStyle w:val="TableContents"/>
              <w:bidi w:val="0"/>
              <w:spacing w:before="0" w:after="283"/>
              <w:jc w:val="left"/>
              <w:rPr/>
            </w:pPr>
            <w:r>
              <w:rPr/>
              <w:t> </w:t>
            </w:r>
          </w:p>
        </w:tc>
        <w:tc>
          <w:tcPr>
            <w:tcW w:w="875" w:type="dxa"/>
            <w:tcBorders/>
            <w:shd w:fill="CCEEFF" w:val="clear"/>
            <w:tcMar>
              <w:bottom w:w="0" w:type="dxa"/>
            </w:tcMar>
            <w:vAlign w:val="center"/>
          </w:tcPr>
          <w:p>
            <w:pPr>
              <w:pStyle w:val="TableContents"/>
              <w:bidi w:val="0"/>
              <w:spacing w:before="0" w:after="283"/>
              <w:jc w:val="right"/>
              <w:rPr>
                <w:sz w:val="20"/>
              </w:rPr>
            </w:pPr>
            <w:r>
              <w:rPr>
                <w:sz w:val="20"/>
              </w:rPr>
              <w:t>457,000</w:t>
            </w:r>
          </w:p>
        </w:tc>
        <w:tc>
          <w:tcPr>
            <w:tcW w:w="90" w:type="dxa"/>
            <w:tcBorders/>
            <w:shd w:fill="CCEEFF" w:val="clear"/>
            <w:tcMar>
              <w:bottom w:w="0" w:type="dxa"/>
            </w:tcMar>
            <w:vAlign w:val="center"/>
          </w:tcPr>
          <w:p>
            <w:pPr>
              <w:pStyle w:val="TableContents"/>
              <w:bidi w:val="0"/>
              <w:spacing w:before="0" w:after="283"/>
              <w:jc w:val="right"/>
              <w:rPr/>
            </w:pPr>
            <w:r>
              <w:rPr/>
              <w:t> </w:t>
            </w:r>
          </w:p>
        </w:tc>
        <w:tc>
          <w:tcPr>
            <w:tcW w:w="3230" w:type="dxa"/>
            <w:tcBorders/>
            <w:shd w:fill="CCEEFF" w:val="clear"/>
            <w:tcMar>
              <w:bottom w:w="0" w:type="dxa"/>
            </w:tcMar>
            <w:vAlign w:val="center"/>
          </w:tcPr>
          <w:p>
            <w:pPr>
              <w:pStyle w:val="TableContents"/>
              <w:bidi w:val="0"/>
              <w:spacing w:before="0" w:after="283"/>
              <w:jc w:val="right"/>
              <w:rPr>
                <w:sz w:val="20"/>
              </w:rPr>
            </w:pPr>
            <w:r>
              <w:rPr>
                <w:sz w:val="20"/>
              </w:rPr>
              <w:t>309,600</w:t>
            </w:r>
          </w:p>
        </w:tc>
        <w:tc>
          <w:tcPr>
            <w:tcW w:w="90" w:type="dxa"/>
            <w:tcBorders/>
            <w:shd w:fill="CCEEFF" w:val="clear"/>
            <w:tcMar>
              <w:bottom w:w="0" w:type="dxa"/>
            </w:tcMar>
            <w:vAlign w:val="center"/>
          </w:tcPr>
          <w:p>
            <w:pPr>
              <w:pStyle w:val="TableContents"/>
              <w:bidi w:val="0"/>
              <w:spacing w:before="0" w:after="283"/>
              <w:jc w:val="right"/>
              <w:rPr/>
            </w:pPr>
            <w:r>
              <w:rPr/>
              <w:t> </w:t>
            </w:r>
          </w:p>
        </w:tc>
        <w:tc>
          <w:tcPr>
            <w:tcW w:w="920" w:type="dxa"/>
            <w:tcBorders/>
            <w:shd w:fill="CCEEFF" w:val="clear"/>
            <w:tcMar>
              <w:bottom w:w="0" w:type="dxa"/>
            </w:tcMar>
            <w:vAlign w:val="center"/>
          </w:tcPr>
          <w:p>
            <w:pPr>
              <w:pStyle w:val="TableContents"/>
              <w:bidi w:val="0"/>
              <w:spacing w:before="0" w:after="283"/>
              <w:jc w:val="right"/>
              <w:rPr>
                <w:sz w:val="20"/>
              </w:rPr>
            </w:pPr>
            <w:r>
              <w:rPr>
                <w:sz w:val="20"/>
              </w:rPr>
              <w:t>766,600</w:t>
            </w:r>
          </w:p>
        </w:tc>
      </w:tr>
      <w:tr>
        <w:trPr/>
        <w:tc>
          <w:tcPr>
            <w:tcW w:w="1655" w:type="dxa"/>
            <w:tcBorders/>
            <w:tcMar>
              <w:bottom w:w="0" w:type="dxa"/>
            </w:tcMar>
            <w:vAlign w:val="center"/>
          </w:tcPr>
          <w:p>
            <w:pPr>
              <w:pStyle w:val="TableContents"/>
              <w:bidi w:val="0"/>
              <w:spacing w:before="0" w:after="283"/>
              <w:jc w:val="left"/>
              <w:rPr>
                <w:sz w:val="20"/>
              </w:rPr>
            </w:pPr>
            <w:r>
              <w:rPr>
                <w:sz w:val="20"/>
              </w:rPr>
              <w:t>Dr. Shengxian Wu</w:t>
            </w:r>
          </w:p>
        </w:tc>
        <w:tc>
          <w:tcPr>
            <w:tcW w:w="90" w:type="dxa"/>
            <w:tcBorders/>
            <w:tcMar>
              <w:bottom w:w="0" w:type="dxa"/>
            </w:tcMar>
            <w:vAlign w:val="center"/>
          </w:tcPr>
          <w:p>
            <w:pPr>
              <w:pStyle w:val="TableContents"/>
              <w:bidi w:val="0"/>
              <w:spacing w:before="0" w:after="283"/>
              <w:jc w:val="left"/>
              <w:rPr/>
            </w:pPr>
            <w:r>
              <w:rPr/>
              <w:t> </w:t>
            </w:r>
          </w:p>
        </w:tc>
        <w:tc>
          <w:tcPr>
            <w:tcW w:w="875" w:type="dxa"/>
            <w:tcBorders/>
            <w:tcMar>
              <w:bottom w:w="0" w:type="dxa"/>
            </w:tcMar>
            <w:vAlign w:val="center"/>
          </w:tcPr>
          <w:p>
            <w:pPr>
              <w:pStyle w:val="TableContents"/>
              <w:bidi w:val="0"/>
              <w:spacing w:before="0" w:after="283"/>
              <w:jc w:val="right"/>
              <w:rPr>
                <w:sz w:val="20"/>
              </w:rPr>
            </w:pPr>
            <w:r>
              <w:rPr>
                <w:sz w:val="20"/>
              </w:rPr>
              <w:t>457,000</w:t>
            </w:r>
          </w:p>
        </w:tc>
        <w:tc>
          <w:tcPr>
            <w:tcW w:w="90" w:type="dxa"/>
            <w:tcBorders/>
            <w:tcMar>
              <w:bottom w:w="0" w:type="dxa"/>
            </w:tcMar>
            <w:vAlign w:val="center"/>
          </w:tcPr>
          <w:p>
            <w:pPr>
              <w:pStyle w:val="TableContents"/>
              <w:bidi w:val="0"/>
              <w:spacing w:before="0" w:after="283"/>
              <w:jc w:val="right"/>
              <w:rPr/>
            </w:pPr>
            <w:r>
              <w:rPr/>
              <w:t> </w:t>
            </w:r>
          </w:p>
        </w:tc>
        <w:tc>
          <w:tcPr>
            <w:tcW w:w="3230" w:type="dxa"/>
            <w:tcBorders/>
            <w:tcMar>
              <w:bottom w:w="0" w:type="dxa"/>
            </w:tcMar>
            <w:vAlign w:val="center"/>
          </w:tcPr>
          <w:p>
            <w:pPr>
              <w:pStyle w:val="TableContents"/>
              <w:bidi w:val="0"/>
              <w:spacing w:before="0" w:after="283"/>
              <w:jc w:val="right"/>
              <w:rPr>
                <w:sz w:val="20"/>
              </w:rPr>
            </w:pPr>
            <w:r>
              <w:rPr>
                <w:sz w:val="20"/>
              </w:rPr>
              <w:t>309,600</w:t>
            </w:r>
          </w:p>
        </w:tc>
        <w:tc>
          <w:tcPr>
            <w:tcW w:w="90" w:type="dxa"/>
            <w:tcBorders/>
            <w:tcMar>
              <w:bottom w:w="0" w:type="dxa"/>
            </w:tcMar>
            <w:vAlign w:val="center"/>
          </w:tcPr>
          <w:p>
            <w:pPr>
              <w:pStyle w:val="TableContents"/>
              <w:bidi w:val="0"/>
              <w:spacing w:before="0" w:after="283"/>
              <w:jc w:val="right"/>
              <w:rPr/>
            </w:pPr>
            <w:r>
              <w:rPr/>
              <w:t> </w:t>
            </w:r>
          </w:p>
        </w:tc>
        <w:tc>
          <w:tcPr>
            <w:tcW w:w="920" w:type="dxa"/>
            <w:tcBorders/>
            <w:tcMar>
              <w:bottom w:w="0" w:type="dxa"/>
            </w:tcMar>
            <w:vAlign w:val="center"/>
          </w:tcPr>
          <w:p>
            <w:pPr>
              <w:pStyle w:val="TableContents"/>
              <w:bidi w:val="0"/>
              <w:spacing w:before="0" w:after="283"/>
              <w:jc w:val="right"/>
              <w:rPr>
                <w:sz w:val="20"/>
              </w:rPr>
            </w:pPr>
            <w:r>
              <w:rPr>
                <w:sz w:val="20"/>
              </w:rPr>
              <w:t>766,600</w:t>
            </w:r>
          </w:p>
        </w:tc>
      </w:tr>
      <w:tr>
        <w:trPr/>
        <w:tc>
          <w:tcPr>
            <w:tcW w:w="1655" w:type="dxa"/>
            <w:tcBorders/>
            <w:shd w:fill="CCEEFF" w:val="clear"/>
            <w:tcMar>
              <w:bottom w:w="0" w:type="dxa"/>
            </w:tcMar>
            <w:vAlign w:val="center"/>
          </w:tcPr>
          <w:p>
            <w:pPr>
              <w:pStyle w:val="TableContents"/>
              <w:bidi w:val="0"/>
              <w:spacing w:before="0" w:after="283"/>
              <w:jc w:val="left"/>
              <w:rPr>
                <w:sz w:val="20"/>
              </w:rPr>
            </w:pPr>
            <w:r>
              <w:rPr>
                <w:sz w:val="20"/>
              </w:rPr>
              <w:t>Dr. Wenjuan Mattis</w:t>
            </w:r>
          </w:p>
        </w:tc>
        <w:tc>
          <w:tcPr>
            <w:tcW w:w="90" w:type="dxa"/>
            <w:tcBorders/>
            <w:shd w:fill="CCEEFF" w:val="clear"/>
            <w:tcMar>
              <w:bottom w:w="0" w:type="dxa"/>
            </w:tcMar>
            <w:vAlign w:val="center"/>
          </w:tcPr>
          <w:p>
            <w:pPr>
              <w:pStyle w:val="TableContents"/>
              <w:bidi w:val="0"/>
              <w:spacing w:before="0" w:after="283"/>
              <w:jc w:val="left"/>
              <w:rPr/>
            </w:pPr>
            <w:r>
              <w:rPr/>
              <w:t> </w:t>
            </w:r>
          </w:p>
        </w:tc>
        <w:tc>
          <w:tcPr>
            <w:tcW w:w="875" w:type="dxa"/>
            <w:tcBorders/>
            <w:shd w:fill="CCEEFF" w:val="clear"/>
            <w:tcMar>
              <w:bottom w:w="0" w:type="dxa"/>
            </w:tcMar>
            <w:vAlign w:val="center"/>
          </w:tcPr>
          <w:p>
            <w:pPr>
              <w:pStyle w:val="TableContents"/>
              <w:bidi w:val="0"/>
              <w:spacing w:before="0" w:after="283"/>
              <w:jc w:val="right"/>
              <w:rPr>
                <w:sz w:val="20"/>
              </w:rPr>
            </w:pPr>
            <w:r>
              <w:rPr>
                <w:sz w:val="20"/>
              </w:rPr>
              <w:t>371,000</w:t>
            </w:r>
          </w:p>
        </w:tc>
        <w:tc>
          <w:tcPr>
            <w:tcW w:w="90" w:type="dxa"/>
            <w:tcBorders/>
            <w:shd w:fill="CCEEFF" w:val="clear"/>
            <w:tcMar>
              <w:bottom w:w="0" w:type="dxa"/>
            </w:tcMar>
            <w:vAlign w:val="center"/>
          </w:tcPr>
          <w:p>
            <w:pPr>
              <w:pStyle w:val="TableContents"/>
              <w:bidi w:val="0"/>
              <w:spacing w:before="0" w:after="283"/>
              <w:jc w:val="right"/>
              <w:rPr/>
            </w:pPr>
            <w:r>
              <w:rPr/>
              <w:t> </w:t>
            </w:r>
          </w:p>
        </w:tc>
        <w:tc>
          <w:tcPr>
            <w:tcW w:w="3230" w:type="dxa"/>
            <w:tcBorders/>
            <w:shd w:fill="CCEEFF" w:val="clear"/>
            <w:tcMar>
              <w:bottom w:w="0" w:type="dxa"/>
            </w:tcMar>
            <w:vAlign w:val="center"/>
          </w:tcPr>
          <w:p>
            <w:pPr>
              <w:pStyle w:val="TableContents"/>
              <w:bidi w:val="0"/>
              <w:spacing w:before="0" w:after="283"/>
              <w:jc w:val="right"/>
              <w:rPr>
                <w:sz w:val="20"/>
              </w:rPr>
            </w:pPr>
            <w:r>
              <w:rPr>
                <w:sz w:val="20"/>
              </w:rPr>
              <w:t>206,400</w:t>
            </w:r>
          </w:p>
        </w:tc>
        <w:tc>
          <w:tcPr>
            <w:tcW w:w="90" w:type="dxa"/>
            <w:tcBorders/>
            <w:shd w:fill="CCEEFF" w:val="clear"/>
            <w:tcMar>
              <w:bottom w:w="0" w:type="dxa"/>
            </w:tcMar>
            <w:vAlign w:val="center"/>
          </w:tcPr>
          <w:p>
            <w:pPr>
              <w:pStyle w:val="TableContents"/>
              <w:bidi w:val="0"/>
              <w:spacing w:before="0" w:after="283"/>
              <w:jc w:val="right"/>
              <w:rPr/>
            </w:pPr>
            <w:r>
              <w:rPr/>
              <w:t> </w:t>
            </w:r>
          </w:p>
        </w:tc>
        <w:tc>
          <w:tcPr>
            <w:tcW w:w="920" w:type="dxa"/>
            <w:tcBorders/>
            <w:shd w:fill="CCEEFF" w:val="clear"/>
            <w:tcMar>
              <w:bottom w:w="0" w:type="dxa"/>
            </w:tcMar>
            <w:vAlign w:val="center"/>
          </w:tcPr>
          <w:p>
            <w:pPr>
              <w:pStyle w:val="TableContents"/>
              <w:bidi w:val="0"/>
              <w:spacing w:before="0" w:after="283"/>
              <w:jc w:val="right"/>
              <w:rPr>
                <w:sz w:val="20"/>
              </w:rPr>
            </w:pPr>
            <w:r>
              <w:rPr>
                <w:sz w:val="20"/>
              </w:rPr>
              <w:t>577,400</w:t>
            </w:r>
          </w:p>
        </w:tc>
      </w:tr>
      <w:tr>
        <w:trPr/>
        <w:tc>
          <w:tcPr>
            <w:tcW w:w="1655" w:type="dxa"/>
            <w:tcBorders/>
            <w:tcMar>
              <w:bottom w:w="0" w:type="dxa"/>
            </w:tcMar>
            <w:vAlign w:val="center"/>
          </w:tcPr>
          <w:p>
            <w:pPr>
              <w:pStyle w:val="TableContents"/>
              <w:bidi w:val="0"/>
              <w:spacing w:before="0" w:after="283"/>
              <w:jc w:val="left"/>
              <w:rPr>
                <w:sz w:val="20"/>
              </w:rPr>
            </w:pPr>
            <w:r>
              <w:rPr>
                <w:sz w:val="20"/>
              </w:rPr>
              <w:t>Carl T. Schultz</w:t>
            </w:r>
          </w:p>
        </w:tc>
        <w:tc>
          <w:tcPr>
            <w:tcW w:w="90" w:type="dxa"/>
            <w:tcBorders/>
            <w:tcMar>
              <w:bottom w:w="0" w:type="dxa"/>
            </w:tcMar>
            <w:vAlign w:val="center"/>
          </w:tcPr>
          <w:p>
            <w:pPr>
              <w:pStyle w:val="TableContents"/>
              <w:bidi w:val="0"/>
              <w:spacing w:before="0" w:after="283"/>
              <w:jc w:val="left"/>
              <w:rPr/>
            </w:pPr>
            <w:r>
              <w:rPr/>
              <w:t> </w:t>
            </w:r>
          </w:p>
        </w:tc>
        <w:tc>
          <w:tcPr>
            <w:tcW w:w="875" w:type="dxa"/>
            <w:tcBorders/>
            <w:tcMar>
              <w:bottom w:w="0" w:type="dxa"/>
            </w:tcMar>
            <w:vAlign w:val="center"/>
          </w:tcPr>
          <w:p>
            <w:pPr>
              <w:pStyle w:val="TableContents"/>
              <w:bidi w:val="0"/>
              <w:spacing w:before="0" w:after="283"/>
              <w:jc w:val="right"/>
              <w:rPr>
                <w:sz w:val="20"/>
              </w:rPr>
            </w:pPr>
            <w:r>
              <w:rPr>
                <w:sz w:val="20"/>
              </w:rPr>
              <w:t>245,350</w:t>
            </w:r>
          </w:p>
        </w:tc>
        <w:tc>
          <w:tcPr>
            <w:tcW w:w="90" w:type="dxa"/>
            <w:tcBorders/>
            <w:tcMar>
              <w:bottom w:w="0" w:type="dxa"/>
            </w:tcMar>
            <w:vAlign w:val="center"/>
          </w:tcPr>
          <w:p>
            <w:pPr>
              <w:pStyle w:val="TableContents"/>
              <w:bidi w:val="0"/>
              <w:spacing w:before="0" w:after="283"/>
              <w:jc w:val="right"/>
              <w:rPr/>
            </w:pPr>
            <w:r>
              <w:rPr/>
              <w:t> </w:t>
            </w:r>
          </w:p>
        </w:tc>
        <w:tc>
          <w:tcPr>
            <w:tcW w:w="3230" w:type="dxa"/>
            <w:tcBorders/>
            <w:tcMar>
              <w:bottom w:w="0" w:type="dxa"/>
            </w:tcMar>
            <w:vAlign w:val="center"/>
          </w:tcPr>
          <w:p>
            <w:pPr>
              <w:pStyle w:val="TableContents"/>
              <w:bidi w:val="0"/>
              <w:spacing w:before="0" w:after="283"/>
              <w:jc w:val="right"/>
              <w:rPr>
                <w:sz w:val="20"/>
              </w:rPr>
            </w:pPr>
            <w:r>
              <w:rPr>
                <w:sz w:val="20"/>
              </w:rPr>
              <w:t>144,480</w:t>
            </w:r>
          </w:p>
        </w:tc>
        <w:tc>
          <w:tcPr>
            <w:tcW w:w="90" w:type="dxa"/>
            <w:tcBorders/>
            <w:tcMar>
              <w:bottom w:w="0" w:type="dxa"/>
            </w:tcMar>
            <w:vAlign w:val="center"/>
          </w:tcPr>
          <w:p>
            <w:pPr>
              <w:pStyle w:val="TableContents"/>
              <w:bidi w:val="0"/>
              <w:spacing w:before="0" w:after="283"/>
              <w:jc w:val="right"/>
              <w:rPr/>
            </w:pPr>
            <w:r>
              <w:rPr/>
              <w:t> </w:t>
            </w:r>
          </w:p>
        </w:tc>
        <w:tc>
          <w:tcPr>
            <w:tcW w:w="920" w:type="dxa"/>
            <w:tcBorders/>
            <w:tcMar>
              <w:bottom w:w="0" w:type="dxa"/>
            </w:tcMar>
            <w:vAlign w:val="center"/>
          </w:tcPr>
          <w:p>
            <w:pPr>
              <w:pStyle w:val="TableContents"/>
              <w:bidi w:val="0"/>
              <w:spacing w:before="0" w:after="283"/>
              <w:jc w:val="right"/>
              <w:rPr>
                <w:sz w:val="20"/>
              </w:rPr>
            </w:pPr>
            <w:r>
              <w:rPr>
                <w:sz w:val="20"/>
              </w:rPr>
              <w:t>389,830</w:t>
            </w:r>
          </w:p>
        </w:tc>
      </w:tr>
      <w:tr>
        <w:trPr/>
        <w:tc>
          <w:tcPr>
            <w:tcW w:w="1655" w:type="dxa"/>
            <w:tcBorders/>
            <w:shd w:fill="CCEEFF" w:val="clear"/>
            <w:tcMar>
              <w:bottom w:w="0" w:type="dxa"/>
            </w:tcMar>
            <w:vAlign w:val="center"/>
          </w:tcPr>
          <w:p>
            <w:pPr>
              <w:pStyle w:val="TableContents"/>
              <w:bidi w:val="0"/>
              <w:spacing w:before="0" w:after="283"/>
              <w:jc w:val="left"/>
              <w:rPr>
                <w:sz w:val="20"/>
              </w:rPr>
            </w:pPr>
            <w:r>
              <w:rPr>
                <w:sz w:val="20"/>
              </w:rPr>
              <w:t>Fariyal Khanbabi</w:t>
            </w:r>
          </w:p>
        </w:tc>
        <w:tc>
          <w:tcPr>
            <w:tcW w:w="90" w:type="dxa"/>
            <w:tcBorders/>
            <w:shd w:fill="CCEEFF" w:val="clear"/>
            <w:tcMar>
              <w:bottom w:w="0" w:type="dxa"/>
            </w:tcMar>
            <w:vAlign w:val="center"/>
          </w:tcPr>
          <w:p>
            <w:pPr>
              <w:pStyle w:val="TableContents"/>
              <w:bidi w:val="0"/>
              <w:spacing w:before="0" w:after="283"/>
              <w:jc w:val="left"/>
              <w:rPr/>
            </w:pPr>
            <w:r>
              <w:rPr/>
              <w:t> </w:t>
            </w:r>
          </w:p>
        </w:tc>
        <w:tc>
          <w:tcPr>
            <w:tcW w:w="875" w:type="dxa"/>
            <w:tcBorders/>
            <w:shd w:fill="CCEEFF" w:val="clear"/>
            <w:tcMar>
              <w:bottom w:w="0" w:type="dxa"/>
            </w:tcMar>
            <w:vAlign w:val="center"/>
          </w:tcPr>
          <w:p>
            <w:pPr>
              <w:pStyle w:val="TableContents"/>
              <w:bidi w:val="0"/>
              <w:spacing w:before="0" w:after="283"/>
              <w:jc w:val="right"/>
              <w:rPr>
                <w:sz w:val="20"/>
              </w:rPr>
            </w:pPr>
            <w:r>
              <w:rPr>
                <w:sz w:val="20"/>
              </w:rPr>
              <w:t>0</w:t>
            </w:r>
          </w:p>
        </w:tc>
        <w:tc>
          <w:tcPr>
            <w:tcW w:w="90" w:type="dxa"/>
            <w:tcBorders/>
            <w:shd w:fill="CCEEFF" w:val="clear"/>
            <w:tcMar>
              <w:bottom w:w="0" w:type="dxa"/>
            </w:tcMar>
            <w:vAlign w:val="center"/>
          </w:tcPr>
          <w:p>
            <w:pPr>
              <w:pStyle w:val="TableContents"/>
              <w:bidi w:val="0"/>
              <w:spacing w:before="0" w:after="283"/>
              <w:jc w:val="right"/>
              <w:rPr/>
            </w:pPr>
            <w:r>
              <w:rPr/>
              <w:t> </w:t>
            </w:r>
          </w:p>
        </w:tc>
        <w:tc>
          <w:tcPr>
            <w:tcW w:w="3230" w:type="dxa"/>
            <w:tcBorders/>
            <w:shd w:fill="CCEEFF" w:val="clear"/>
            <w:tcMar>
              <w:bottom w:w="0" w:type="dxa"/>
            </w:tcMar>
            <w:vAlign w:val="center"/>
          </w:tcPr>
          <w:p>
            <w:pPr>
              <w:pStyle w:val="TableContents"/>
              <w:bidi w:val="0"/>
              <w:spacing w:before="0" w:after="283"/>
              <w:jc w:val="right"/>
              <w:rPr>
                <w:sz w:val="20"/>
              </w:rPr>
            </w:pPr>
            <w:r>
              <w:rPr>
                <w:sz w:val="20"/>
              </w:rPr>
              <w:t>0</w:t>
            </w:r>
          </w:p>
        </w:tc>
        <w:tc>
          <w:tcPr>
            <w:tcW w:w="90" w:type="dxa"/>
            <w:tcBorders/>
            <w:shd w:fill="CCEEFF" w:val="clear"/>
            <w:tcMar>
              <w:bottom w:w="0" w:type="dxa"/>
            </w:tcMar>
            <w:vAlign w:val="center"/>
          </w:tcPr>
          <w:p>
            <w:pPr>
              <w:pStyle w:val="TableContents"/>
              <w:bidi w:val="0"/>
              <w:spacing w:before="0" w:after="283"/>
              <w:jc w:val="right"/>
              <w:rPr/>
            </w:pPr>
            <w:r>
              <w:rPr/>
              <w:t> </w:t>
            </w:r>
          </w:p>
        </w:tc>
        <w:tc>
          <w:tcPr>
            <w:tcW w:w="920" w:type="dxa"/>
            <w:tcBorders/>
            <w:shd w:fill="CCEEFF" w:val="clear"/>
            <w:tcMar>
              <w:bottom w:w="0" w:type="dxa"/>
            </w:tcMar>
            <w:vAlign w:val="center"/>
          </w:tcPr>
          <w:p>
            <w:pPr>
              <w:pStyle w:val="TableContents"/>
              <w:bidi w:val="0"/>
              <w:spacing w:before="0" w:after="283"/>
              <w:jc w:val="right"/>
              <w:rPr>
                <w:sz w:val="20"/>
              </w:rPr>
            </w:pPr>
            <w:r>
              <w:rPr>
                <w:sz w:val="20"/>
              </w:rPr>
              <w:t>0</w:t>
            </w:r>
          </w:p>
        </w:tc>
      </w:tr>
    </w:tbl>
    <w:p>
      <w:pPr>
        <w:pStyle w:val="TextBody"/>
        <w:bidi w:val="0"/>
        <w:spacing w:before="0" w:after="283"/>
        <w:jc w:val="left"/>
        <w:rPr/>
      </w:pPr>
      <w:r>
        <w:rPr/>
        <w:t> </w:t>
      </w:r>
    </w:p>
    <w:tbl>
      <w:tblPr>
        <w:tblW w:w="590" w:type="dxa"/>
        <w:jc w:val="left"/>
        <w:tblInd w:w="0" w:type="dxa"/>
        <w:tblLayout w:type="fixed"/>
        <w:tblCellMar>
          <w:top w:w="0" w:type="dxa"/>
          <w:left w:w="0" w:type="dxa"/>
          <w:bottom w:w="0" w:type="dxa"/>
          <w:right w:w="0" w:type="dxa"/>
        </w:tblCellMar>
      </w:tblPr>
      <w:tblGrid>
        <w:gridCol w:w="105"/>
        <w:gridCol w:w="350"/>
        <w:gridCol w:w="135"/>
      </w:tblGrid>
      <w:tr>
        <w:trPr/>
        <w:tc>
          <w:tcPr>
            <w:tcW w:w="10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 </w:t>
            </w:r>
            <w:r>
              <w:rPr/>
              <w:t>30</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67"/>
        <w:gridCol w:w="265"/>
        <w:gridCol w:w="9873"/>
      </w:tblGrid>
      <w:tr>
        <w:trPr/>
        <w:tc>
          <w:tcPr>
            <w:tcW w:w="67"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pPr>
            <w:r>
              <w:rPr/>
              <w:t>(2)</w:t>
            </w:r>
          </w:p>
        </w:tc>
        <w:tc>
          <w:tcPr>
            <w:tcW w:w="9873" w:type="dxa"/>
            <w:tcBorders/>
            <w:vAlign w:val="center"/>
          </w:tcPr>
          <w:p>
            <w:pPr>
              <w:pStyle w:val="TableContents"/>
              <w:bidi w:val="0"/>
              <w:spacing w:before="0" w:after="283"/>
              <w:jc w:val="both"/>
              <w:rPr/>
            </w:pPr>
            <w:r>
              <w:rPr/>
              <w:t>Represents the grant date fair value of stock options granted to our NEOs, computed in accordance with stock-based compensation accounting rules. The assumptions made when calculating the amounts reported are found in Note 20, “Share-Based Payment” to our consolidated financial statements included in Part II, Item 8 of the Annual Report.</w:t>
            </w:r>
          </w:p>
        </w:tc>
      </w:tr>
    </w:tbl>
    <w:tbl>
      <w:tblPr>
        <w:tblW w:w="5000" w:type="pct"/>
        <w:jc w:val="left"/>
        <w:tblInd w:w="0" w:type="dxa"/>
        <w:tblLayout w:type="fixed"/>
        <w:tblCellMar>
          <w:top w:w="0" w:type="dxa"/>
          <w:left w:w="0" w:type="dxa"/>
          <w:bottom w:w="0" w:type="dxa"/>
          <w:right w:w="0" w:type="dxa"/>
        </w:tblCellMar>
      </w:tblPr>
      <w:tblGrid>
        <w:gridCol w:w="67"/>
        <w:gridCol w:w="253"/>
        <w:gridCol w:w="9885"/>
      </w:tblGrid>
      <w:tr>
        <w:trPr/>
        <w:tc>
          <w:tcPr>
            <w:tcW w:w="67"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pPr>
            <w:r>
              <w:rPr/>
              <w:t>(3)</w:t>
            </w:r>
          </w:p>
        </w:tc>
        <w:tc>
          <w:tcPr>
            <w:tcW w:w="9885" w:type="dxa"/>
            <w:tcBorders/>
            <w:vAlign w:val="center"/>
          </w:tcPr>
          <w:p>
            <w:pPr>
              <w:pStyle w:val="TableContents"/>
              <w:bidi w:val="0"/>
              <w:spacing w:before="0" w:after="283"/>
              <w:jc w:val="both"/>
              <w:rPr/>
            </w:pPr>
            <w:r>
              <w:rPr/>
              <w:t>2023 and 2025 non-equity incentive plan compensation was earned pursuant to the Company’s short-term cash incentive program. On January 31, 2023 and June 5, 2025, the Compensation Committee of the Board established short-term cash incentive opportunities for our NEOs for 2023 and 2025, respectively, which pay out in cash as a percentage of each NEO’s base salary based on achievement of pre-determined revenue and adjusted gross margin performance goals, each weighted equally. The Compensation Committee set the following bonus targets: for Mr. Wu, 30% of base salary ($165,000) in 2023 and 85% of base salary ($493,000) in 2025; for Ms. Tushe, 50% of base salary ($225,000) in 2025; for Dr. Wu, 50% of base salary ($200,000) in 2025.</w:t>
            </w:r>
          </w:p>
        </w:tc>
      </w:tr>
    </w:tbl>
    <w:tbl>
      <w:tblPr>
        <w:tblW w:w="5000" w:type="pct"/>
        <w:jc w:val="left"/>
        <w:tblInd w:w="0" w:type="dxa"/>
        <w:tblLayout w:type="fixed"/>
        <w:tblCellMar>
          <w:top w:w="0" w:type="dxa"/>
          <w:left w:w="0" w:type="dxa"/>
          <w:bottom w:w="0" w:type="dxa"/>
          <w:right w:w="0" w:type="dxa"/>
        </w:tblCellMar>
      </w:tblPr>
      <w:tblGrid>
        <w:gridCol w:w="67"/>
        <w:gridCol w:w="301"/>
        <w:gridCol w:w="9837"/>
      </w:tblGrid>
      <w:tr>
        <w:trPr/>
        <w:tc>
          <w:tcPr>
            <w:tcW w:w="67"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pPr>
            <w:r>
              <w:rPr/>
              <w:t>(4)</w:t>
            </w:r>
          </w:p>
        </w:tc>
        <w:tc>
          <w:tcPr>
            <w:tcW w:w="9837" w:type="dxa"/>
            <w:tcBorders/>
            <w:vAlign w:val="center"/>
          </w:tcPr>
          <w:p>
            <w:pPr>
              <w:pStyle w:val="TableContents"/>
              <w:bidi w:val="0"/>
              <w:spacing w:before="0" w:after="283"/>
              <w:jc w:val="both"/>
              <w:rPr/>
            </w:pPr>
            <w:r>
              <w:rPr/>
              <w:t>The amount reported for Ms. Khanbabi includes $200,000 in cash severance paid in connection with her termination of employment.</w:t>
            </w:r>
          </w:p>
        </w:tc>
      </w:tr>
    </w:tbl>
    <w:p>
      <w:pPr>
        <w:pStyle w:val="TextBody"/>
        <w:bidi w:val="0"/>
        <w:jc w:val="left"/>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Grants of Plan-Based Awards Table</w:t>
      </w:r>
    </w:p>
    <w:p>
      <w:pPr>
        <w:pStyle w:val="TextBody"/>
        <w:bidi w:val="0"/>
        <w:spacing w:before="240" w:after="240"/>
        <w:ind w:left="240" w:right="2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contains information about the equity awards accounted for under ASC 718 granted to our NEOs in Fiscal 2025, including awards that subsequently have been transferred.</w:t>
      </w:r>
    </w:p>
    <w:tbl>
      <w:tblPr>
        <w:tblW w:w="10205" w:type="dxa"/>
        <w:jc w:val="left"/>
        <w:tblInd w:w="0" w:type="dxa"/>
        <w:tblLayout w:type="fixed"/>
        <w:tblCellMar>
          <w:top w:w="0" w:type="dxa"/>
          <w:left w:w="0" w:type="dxa"/>
          <w:bottom w:w="0" w:type="dxa"/>
          <w:right w:w="0" w:type="dxa"/>
        </w:tblCellMar>
      </w:tblPr>
      <w:tblGrid>
        <w:gridCol w:w="919"/>
        <w:gridCol w:w="534"/>
        <w:gridCol w:w="840"/>
        <w:gridCol w:w="693"/>
        <w:gridCol w:w="903"/>
        <w:gridCol w:w="831"/>
        <w:gridCol w:w="685"/>
        <w:gridCol w:w="890"/>
        <w:gridCol w:w="725"/>
        <w:gridCol w:w="1206"/>
        <w:gridCol w:w="860"/>
        <w:gridCol w:w="1119"/>
      </w:tblGrid>
      <w:tr>
        <w:trPr/>
        <w:tc>
          <w:tcPr>
            <w:tcW w:w="919" w:type="dxa"/>
            <w:tcBorders/>
            <w:vAlign w:val="center"/>
          </w:tcPr>
          <w:p>
            <w:pPr>
              <w:pStyle w:val="TableContents"/>
              <w:bidi w:val="0"/>
              <w:spacing w:before="0" w:after="283"/>
              <w:jc w:val="center"/>
              <w:rPr/>
            </w:pPr>
            <w:r>
              <w:rPr/>
              <w:t> </w:t>
            </w:r>
          </w:p>
        </w:tc>
        <w:tc>
          <w:tcPr>
            <w:tcW w:w="534" w:type="dxa"/>
            <w:tcBorders/>
            <w:vAlign w:val="center"/>
          </w:tcPr>
          <w:p>
            <w:pPr>
              <w:pStyle w:val="TableContents"/>
              <w:bidi w:val="0"/>
              <w:spacing w:before="0" w:after="283"/>
              <w:jc w:val="center"/>
              <w:rPr/>
            </w:pPr>
            <w:r>
              <w:rPr/>
              <w:t> </w:t>
            </w:r>
          </w:p>
        </w:tc>
        <w:tc>
          <w:tcPr>
            <w:tcW w:w="2436" w:type="dxa"/>
            <w:gridSpan w:val="3"/>
            <w:tcBorders>
              <w:bottom w:val="single" w:sz="12" w:space="0" w:color="000000"/>
            </w:tcBorders>
            <w:tcMar>
              <w:bottom w:w="28" w:type="dxa"/>
            </w:tcMar>
            <w:vAlign w:val="center"/>
          </w:tcPr>
          <w:p>
            <w:pPr>
              <w:pStyle w:val="TableContents"/>
              <w:bidi w:val="0"/>
              <w:jc w:val="center"/>
              <w:rPr>
                <w:sz w:val="16"/>
              </w:rPr>
            </w:pPr>
            <w:r>
              <w:rPr>
                <w:b/>
                <w:sz w:val="16"/>
              </w:rPr>
              <w:t>Estimated future payouts under non-equity incentive plan awards</w:t>
            </w:r>
            <w:r>
              <w:rPr>
                <w:position w:val="5"/>
                <w:sz w:val="13"/>
                <w:sz w:val="16"/>
              </w:rPr>
              <w:t>(1)</w:t>
            </w:r>
          </w:p>
          <w:p>
            <w:pPr>
              <w:pStyle w:val="TableContents"/>
              <w:bidi w:val="0"/>
              <w:jc w:val="center"/>
              <w:rPr/>
            </w:pPr>
            <w:r>
              <w:rPr/>
              <w:t> </w:t>
            </w:r>
          </w:p>
          <w:p>
            <w:pPr>
              <w:pStyle w:val="TableContents"/>
              <w:bidi w:val="0"/>
              <w:jc w:val="center"/>
              <w:rPr/>
            </w:pPr>
            <w:r>
              <w:rPr/>
              <w:t> </w:t>
            </w:r>
          </w:p>
          <w:p>
            <w:pPr>
              <w:pStyle w:val="TableContents"/>
              <w:bidi w:val="0"/>
              <w:spacing w:before="0" w:after="283"/>
              <w:jc w:val="center"/>
              <w:rPr>
                <w:position w:val="8"/>
                <w:sz w:val="19"/>
              </w:rPr>
            </w:pPr>
            <w:r>
              <w:rPr>
                <w:position w:val="8"/>
                <w:sz w:val="19"/>
              </w:rPr>
              <w:t> </w:t>
            </w:r>
          </w:p>
        </w:tc>
        <w:tc>
          <w:tcPr>
            <w:tcW w:w="2406" w:type="dxa"/>
            <w:gridSpan w:val="3"/>
            <w:tcBorders>
              <w:bottom w:val="single" w:sz="12" w:space="0" w:color="000000"/>
            </w:tcBorders>
            <w:tcMar>
              <w:bottom w:w="28" w:type="dxa"/>
            </w:tcMar>
            <w:vAlign w:val="center"/>
          </w:tcPr>
          <w:p>
            <w:pPr>
              <w:pStyle w:val="TableContents"/>
              <w:bidi w:val="0"/>
              <w:jc w:val="center"/>
              <w:rPr>
                <w:sz w:val="16"/>
              </w:rPr>
            </w:pPr>
            <w:r>
              <w:rPr>
                <w:b/>
                <w:sz w:val="16"/>
              </w:rPr>
              <w:t>Estimated future payouts under equity incentive plan awards</w:t>
            </w:r>
            <w:r>
              <w:rPr>
                <w:position w:val="5"/>
                <w:sz w:val="13"/>
                <w:sz w:val="16"/>
              </w:rPr>
              <w:t>(2)</w:t>
            </w:r>
          </w:p>
          <w:p>
            <w:pPr>
              <w:pStyle w:val="TableContents"/>
              <w:bidi w:val="0"/>
              <w:jc w:val="center"/>
              <w:rPr>
                <w:position w:val="8"/>
                <w:sz w:val="19"/>
              </w:rPr>
            </w:pPr>
            <w:r>
              <w:rPr>
                <w:position w:val="8"/>
                <w:sz w:val="19"/>
              </w:rPr>
              <w:t> </w:t>
            </w:r>
          </w:p>
          <w:p>
            <w:pPr>
              <w:pStyle w:val="TableContents"/>
              <w:bidi w:val="0"/>
              <w:jc w:val="center"/>
              <w:rPr>
                <w:position w:val="8"/>
                <w:sz w:val="19"/>
              </w:rPr>
            </w:pPr>
            <w:r>
              <w:rPr>
                <w:position w:val="8"/>
                <w:sz w:val="19"/>
              </w:rPr>
              <w:t> </w:t>
            </w:r>
          </w:p>
          <w:p>
            <w:pPr>
              <w:pStyle w:val="TableContents"/>
              <w:bidi w:val="0"/>
              <w:spacing w:before="0" w:after="283"/>
              <w:jc w:val="center"/>
              <w:rPr>
                <w:position w:val="8"/>
                <w:sz w:val="19"/>
              </w:rPr>
            </w:pPr>
            <w:r>
              <w:rPr>
                <w:position w:val="8"/>
                <w:sz w:val="19"/>
              </w:rPr>
              <w:t> </w:t>
            </w:r>
          </w:p>
        </w:tc>
        <w:tc>
          <w:tcPr>
            <w:tcW w:w="725" w:type="dxa"/>
            <w:vMerge w:val="restart"/>
            <w:tcBorders>
              <w:bottom w:val="single" w:sz="12" w:space="0" w:color="000000"/>
            </w:tcBorders>
            <w:tcMar>
              <w:bottom w:w="28" w:type="dxa"/>
            </w:tcMar>
            <w:vAlign w:val="center"/>
          </w:tcPr>
          <w:p>
            <w:pPr>
              <w:pStyle w:val="TableContents"/>
              <w:bidi w:val="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All Other Stock</w:t>
            </w:r>
          </w:p>
          <w:p>
            <w:pPr>
              <w:pStyle w:val="TableContents"/>
              <w:bidi w:val="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Awards:</w:t>
            </w:r>
          </w:p>
          <w:p>
            <w:pPr>
              <w:pStyle w:val="TableContents"/>
              <w:bidi w:val="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Number of</w:t>
            </w:r>
          </w:p>
          <w:p>
            <w:pPr>
              <w:pStyle w:val="TableContents"/>
              <w:bidi w:val="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Shares of Stock</w:t>
            </w:r>
          </w:p>
          <w:p>
            <w:pPr>
              <w:pStyle w:val="TableContents"/>
              <w:bidi w:val="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or Units</w:t>
            </w:r>
          </w:p>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1206" w:type="dxa"/>
            <w:vMerge w:val="restart"/>
            <w:tcBorders>
              <w:bottom w:val="single" w:sz="12" w:space="0" w:color="000000"/>
            </w:tcBorders>
            <w:tcMar>
              <w:bottom w:w="28" w:type="dxa"/>
            </w:tcMar>
            <w:vAlign w:val="center"/>
          </w:tcPr>
          <w:p>
            <w:pPr>
              <w:pStyle w:val="TableContents"/>
              <w:bidi w:val="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All other Option Awards: Number of Shares Underlying Options</w:t>
            </w:r>
          </w:p>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860" w:type="dxa"/>
            <w:vMerge w:val="restart"/>
            <w:tcBorders>
              <w:bottom w:val="single" w:sz="12" w:space="0" w:color="000000"/>
            </w:tcBorders>
            <w:tcMar>
              <w:bottom w:w="28" w:type="dxa"/>
            </w:tcMar>
            <w:vAlign w:val="center"/>
          </w:tcPr>
          <w:p>
            <w:pPr>
              <w:pStyle w:val="TableContents"/>
              <w:bidi w:val="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Exercise or Base Price of Option Awards</w:t>
            </w:r>
          </w:p>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($/Sh)</w:t>
            </w:r>
          </w:p>
        </w:tc>
        <w:tc>
          <w:tcPr>
            <w:tcW w:w="1119" w:type="dxa"/>
            <w:vMerge w:val="restart"/>
            <w:tcBorders>
              <w:bottom w:val="single" w:sz="12" w:space="0" w:color="000000"/>
            </w:tcBorders>
            <w:tcMar>
              <w:bottom w:w="28" w:type="dxa"/>
            </w:tcMar>
            <w:vAlign w:val="center"/>
          </w:tcPr>
          <w:p>
            <w:pPr>
              <w:pStyle w:val="TableContents"/>
              <w:bidi w:val="0"/>
              <w:spacing w:before="0" w:after="283"/>
              <w:jc w:val="center"/>
              <w:rPr>
                <w:b/>
                <w:sz w:val="16"/>
              </w:rPr>
            </w:pPr>
            <w:r>
              <w:rPr>
                <w:b/>
                <w:sz w:val="16"/>
              </w:rPr>
              <w:t>Grant Date Fair Value of Stock and Option Awards ($)</w:t>
            </w:r>
          </w:p>
        </w:tc>
      </w:tr>
      <w:tr>
        <w:trPr/>
        <w:tc>
          <w:tcPr>
            <w:tcW w:w="919" w:type="dxa"/>
            <w:tcBorders>
              <w:bottom w:val="single" w:sz="12" w:space="0" w:color="000000"/>
            </w:tcBorders>
            <w:tcMar>
              <w:bottom w:w="28" w:type="dxa"/>
            </w:tcMar>
            <w:vAlign w:val="center"/>
          </w:tcPr>
          <w:p>
            <w:pPr>
              <w:pStyle w:val="TableContents"/>
              <w:bidi w:val="0"/>
              <w:spacing w:before="0" w:after="283"/>
              <w:jc w:val="center"/>
              <w:rPr>
                <w:b/>
                <w:sz w:val="16"/>
              </w:rPr>
            </w:pPr>
            <w:r>
              <w:rPr>
                <w:b/>
                <w:sz w:val="16"/>
              </w:rPr>
              <w:t>Name and Principal Position</w:t>
            </w:r>
          </w:p>
        </w:tc>
        <w:tc>
          <w:tcPr>
            <w:tcW w:w="534" w:type="dxa"/>
            <w:tcBorders>
              <w:bottom w:val="single" w:sz="12" w:space="0" w:color="000000"/>
            </w:tcBorders>
            <w:tcMar>
              <w:bottom w:w="28" w:type="dxa"/>
            </w:tcMar>
            <w:vAlign w:val="center"/>
          </w:tcPr>
          <w:p>
            <w:pPr>
              <w:pStyle w:val="TableContents"/>
              <w:bidi w:val="0"/>
              <w:spacing w:before="0" w:after="283"/>
              <w:jc w:val="center"/>
              <w:rPr>
                <w:b/>
                <w:sz w:val="16"/>
              </w:rPr>
            </w:pPr>
            <w:r>
              <w:rPr>
                <w:b/>
                <w:sz w:val="16"/>
              </w:rPr>
              <w:t>Grant Date</w:t>
            </w:r>
          </w:p>
        </w:tc>
        <w:tc>
          <w:tcPr>
            <w:tcW w:w="840" w:type="dxa"/>
            <w:tcBorders>
              <w:bottom w:val="single" w:sz="12" w:space="0" w:color="000000"/>
            </w:tcBorders>
            <w:tcMar>
              <w:bottom w:w="28" w:type="dxa"/>
            </w:tcMar>
            <w:vAlign w:val="center"/>
          </w:tcPr>
          <w:p>
            <w:pPr>
              <w:pStyle w:val="TableContents"/>
              <w:bidi w:val="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Threshold</w:t>
            </w:r>
          </w:p>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93" w:type="dxa"/>
            <w:tcBorders>
              <w:bottom w:val="single" w:sz="12" w:space="0" w:color="000000"/>
            </w:tcBorders>
            <w:tcMar>
              <w:bottom w:w="28" w:type="dxa"/>
            </w:tcMar>
            <w:vAlign w:val="center"/>
          </w:tcPr>
          <w:p>
            <w:pPr>
              <w:pStyle w:val="TableContents"/>
              <w:bidi w:val="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Target</w:t>
            </w:r>
          </w:p>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903" w:type="dxa"/>
            <w:tcBorders>
              <w:bottom w:val="single" w:sz="12" w:space="0" w:color="000000"/>
            </w:tcBorders>
            <w:tcMar>
              <w:bottom w:w="28" w:type="dxa"/>
            </w:tcMar>
            <w:vAlign w:val="center"/>
          </w:tcPr>
          <w:p>
            <w:pPr>
              <w:pStyle w:val="TableContents"/>
              <w:bidi w:val="0"/>
              <w:spacing w:before="0" w:after="283"/>
              <w:jc w:val="center"/>
              <w:rPr>
                <w:b/>
                <w:sz w:val="16"/>
              </w:rPr>
            </w:pPr>
            <w:r>
              <w:rPr>
                <w:b/>
                <w:sz w:val="16"/>
              </w:rPr>
              <w:t>Maximum (#)</w:t>
            </w:r>
          </w:p>
        </w:tc>
        <w:tc>
          <w:tcPr>
            <w:tcW w:w="831" w:type="dxa"/>
            <w:tcBorders>
              <w:bottom w:val="single" w:sz="12" w:space="0" w:color="000000"/>
            </w:tcBorders>
            <w:tcMar>
              <w:bottom w:w="28" w:type="dxa"/>
            </w:tcMar>
            <w:vAlign w:val="center"/>
          </w:tcPr>
          <w:p>
            <w:pPr>
              <w:pStyle w:val="TableContents"/>
              <w:bidi w:val="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Threshold</w:t>
            </w:r>
          </w:p>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85" w:type="dxa"/>
            <w:tcBorders>
              <w:bottom w:val="single" w:sz="12" w:space="0" w:color="000000"/>
            </w:tcBorders>
            <w:tcMar>
              <w:bottom w:w="28" w:type="dxa"/>
            </w:tcMar>
            <w:vAlign w:val="center"/>
          </w:tcPr>
          <w:p>
            <w:pPr>
              <w:pStyle w:val="TableContents"/>
              <w:bidi w:val="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Target</w:t>
            </w:r>
          </w:p>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890" w:type="dxa"/>
            <w:tcBorders>
              <w:bottom w:val="single" w:sz="12" w:space="0" w:color="000000"/>
            </w:tcBorders>
            <w:tcMar>
              <w:bottom w:w="28" w:type="dxa"/>
            </w:tcMar>
            <w:vAlign w:val="center"/>
          </w:tcPr>
          <w:p>
            <w:pPr>
              <w:pStyle w:val="TableContents"/>
              <w:bidi w:val="0"/>
              <w:spacing w:before="0" w:after="283"/>
              <w:jc w:val="center"/>
              <w:rPr>
                <w:b/>
                <w:sz w:val="16"/>
              </w:rPr>
            </w:pPr>
            <w:r>
              <w:rPr>
                <w:b/>
                <w:sz w:val="16"/>
              </w:rPr>
              <w:t>Maximum (#)</w:t>
            </w:r>
          </w:p>
        </w:tc>
        <w:tc>
          <w:tcPr>
            <w:tcW w:w="725" w:type="dxa"/>
            <w:vMerge w:val="continue"/>
            <w:tcBorders>
              <w:bottom w:val="single" w:sz="12" w:space="0" w:color="000000"/>
            </w:tcBorders>
            <w:tcMar>
              <w:bottom w:w="28" w:type="dxa"/>
            </w:tcMar>
            <w:vAlign w:val="center"/>
          </w:tcPr>
          <w:p>
            <w:pPr>
              <w:pStyle w:val="Normal"/>
              <w:bidi w:val="0"/>
              <w:jc w:val="left"/>
              <w:rPr/>
            </w:pPr>
            <w:r>
              <w:rPr/>
            </w:r>
          </w:p>
        </w:tc>
        <w:tc>
          <w:tcPr>
            <w:tcW w:w="1206" w:type="dxa"/>
            <w:vMerge w:val="continue"/>
            <w:tcBorders>
              <w:bottom w:val="single" w:sz="12" w:space="0" w:color="000000"/>
            </w:tcBorders>
            <w:tcMar>
              <w:bottom w:w="28" w:type="dxa"/>
            </w:tcMar>
            <w:vAlign w:val="center"/>
          </w:tcPr>
          <w:p>
            <w:pPr>
              <w:pStyle w:val="Normal"/>
              <w:bidi w:val="0"/>
              <w:jc w:val="left"/>
              <w:rPr/>
            </w:pPr>
            <w:r>
              <w:rPr/>
            </w:r>
          </w:p>
        </w:tc>
        <w:tc>
          <w:tcPr>
            <w:tcW w:w="860" w:type="dxa"/>
            <w:vMerge w:val="continue"/>
            <w:tcBorders>
              <w:bottom w:val="single" w:sz="12" w:space="0" w:color="000000"/>
            </w:tcBorders>
            <w:tcMar>
              <w:bottom w:w="28" w:type="dxa"/>
            </w:tcMar>
            <w:vAlign w:val="center"/>
          </w:tcPr>
          <w:p>
            <w:pPr>
              <w:pStyle w:val="Normal"/>
              <w:bidi w:val="0"/>
              <w:jc w:val="left"/>
              <w:rPr/>
            </w:pPr>
            <w:r>
              <w:rPr/>
            </w:r>
          </w:p>
        </w:tc>
        <w:tc>
          <w:tcPr>
            <w:tcW w:w="1119" w:type="dxa"/>
            <w:vMerge w:val="continue"/>
            <w:tcBorders>
              <w:bottom w:val="single" w:sz="12" w:space="0" w:color="000000"/>
            </w:tcBorders>
            <w:tcMar>
              <w:bottom w:w="28" w:type="dxa"/>
            </w:tcMar>
            <w:vAlign w:val="center"/>
          </w:tcPr>
          <w:p>
            <w:pPr>
              <w:pStyle w:val="Normal"/>
              <w:bidi w:val="0"/>
              <w:jc w:val="left"/>
              <w:rPr/>
            </w:pPr>
            <w:r>
              <w:rPr/>
            </w:r>
          </w:p>
        </w:tc>
      </w:tr>
      <w:tr>
        <w:trPr/>
        <w:tc>
          <w:tcPr>
            <w:tcW w:w="919" w:type="dxa"/>
            <w:tcBorders/>
            <w:shd w:fill="CCEEFF" w:val="clear"/>
            <w:vAlign w:val="center"/>
          </w:tcPr>
          <w:p>
            <w:pPr>
              <w:pStyle w:val="TableContents"/>
              <w:bidi w:val="0"/>
              <w:spacing w:before="0" w:after="283"/>
              <w:jc w:val="left"/>
              <w:rPr>
                <w:sz w:val="16"/>
              </w:rPr>
            </w:pPr>
            <w:r>
              <w:rPr>
                <w:sz w:val="16"/>
              </w:rPr>
              <w:t>Yang Wu</w:t>
            </w:r>
          </w:p>
        </w:tc>
        <w:tc>
          <w:tcPr>
            <w:tcW w:w="534" w:type="dxa"/>
            <w:tcBorders/>
            <w:shd w:fill="CCEEFF" w:val="clear"/>
            <w:vAlign w:val="center"/>
          </w:tcPr>
          <w:p>
            <w:pPr>
              <w:pStyle w:val="TableContents"/>
              <w:bidi w:val="0"/>
              <w:spacing w:before="0" w:after="283"/>
              <w:jc w:val="center"/>
              <w:rPr>
                <w:sz w:val="16"/>
              </w:rPr>
            </w:pPr>
            <w:r>
              <w:rPr>
                <w:sz w:val="16"/>
              </w:rPr>
              <w:t>6/5/2025</w:t>
            </w:r>
          </w:p>
        </w:tc>
        <w:tc>
          <w:tcPr>
            <w:tcW w:w="840" w:type="dxa"/>
            <w:tcBorders/>
            <w:shd w:fill="CCEEFF" w:val="clear"/>
            <w:vAlign w:val="center"/>
          </w:tcPr>
          <w:p>
            <w:pPr>
              <w:pStyle w:val="TableContents"/>
              <w:bidi w:val="0"/>
              <w:spacing w:before="0" w:after="283"/>
              <w:jc w:val="center"/>
              <w:rPr/>
            </w:pPr>
            <w:r>
              <w:rPr/>
              <w:t>—</w:t>
            </w:r>
          </w:p>
        </w:tc>
        <w:tc>
          <w:tcPr>
            <w:tcW w:w="693" w:type="dxa"/>
            <w:tcBorders/>
            <w:shd w:fill="CCEEFF" w:val="clear"/>
            <w:vAlign w:val="center"/>
          </w:tcPr>
          <w:p>
            <w:pPr>
              <w:pStyle w:val="TableContents"/>
              <w:bidi w:val="0"/>
              <w:spacing w:before="0" w:after="283"/>
              <w:jc w:val="center"/>
              <w:rPr/>
            </w:pPr>
            <w:r>
              <w:rPr/>
              <w:t>—</w:t>
            </w:r>
          </w:p>
        </w:tc>
        <w:tc>
          <w:tcPr>
            <w:tcW w:w="903" w:type="dxa"/>
            <w:tcBorders/>
            <w:shd w:fill="CCEEFF" w:val="clear"/>
            <w:vAlign w:val="center"/>
          </w:tcPr>
          <w:p>
            <w:pPr>
              <w:pStyle w:val="TableContents"/>
              <w:bidi w:val="0"/>
              <w:spacing w:before="0" w:after="283"/>
              <w:jc w:val="center"/>
              <w:rPr/>
            </w:pPr>
            <w:r>
              <w:rPr/>
              <w:t>—</w:t>
            </w:r>
          </w:p>
        </w:tc>
        <w:tc>
          <w:tcPr>
            <w:tcW w:w="831" w:type="dxa"/>
            <w:tcBorders/>
            <w:shd w:fill="CCEEFF" w:val="clear"/>
            <w:vAlign w:val="center"/>
          </w:tcPr>
          <w:p>
            <w:pPr>
              <w:pStyle w:val="TableContents"/>
              <w:bidi w:val="0"/>
              <w:spacing w:before="0" w:after="283"/>
              <w:jc w:val="center"/>
              <w:rPr/>
            </w:pPr>
            <w:r>
              <w:rPr/>
              <w:t>—</w:t>
            </w:r>
          </w:p>
        </w:tc>
        <w:tc>
          <w:tcPr>
            <w:tcW w:w="685" w:type="dxa"/>
            <w:tcBorders/>
            <w:shd w:fill="CCEEFF" w:val="clear"/>
            <w:vAlign w:val="center"/>
          </w:tcPr>
          <w:p>
            <w:pPr>
              <w:pStyle w:val="TableContents"/>
              <w:bidi w:val="0"/>
              <w:spacing w:before="0" w:after="283"/>
              <w:jc w:val="center"/>
              <w:rPr/>
            </w:pPr>
            <w:r>
              <w:rPr/>
              <w:t>—</w:t>
            </w:r>
          </w:p>
        </w:tc>
        <w:tc>
          <w:tcPr>
            <w:tcW w:w="890" w:type="dxa"/>
            <w:tcBorders/>
            <w:shd w:fill="CCEEFF" w:val="clear"/>
            <w:vAlign w:val="center"/>
          </w:tcPr>
          <w:p>
            <w:pPr>
              <w:pStyle w:val="TableContents"/>
              <w:bidi w:val="0"/>
              <w:spacing w:before="0" w:after="283"/>
              <w:jc w:val="center"/>
              <w:rPr/>
            </w:pPr>
            <w:r>
              <w:rPr/>
              <w:t>—</w:t>
            </w:r>
          </w:p>
        </w:tc>
        <w:tc>
          <w:tcPr>
            <w:tcW w:w="725" w:type="dxa"/>
            <w:tcBorders/>
            <w:shd w:fill="CCEEFF" w:val="clear"/>
            <w:vAlign w:val="center"/>
          </w:tcPr>
          <w:p>
            <w:pPr>
              <w:pStyle w:val="TableContents"/>
              <w:bidi w:val="0"/>
              <w:spacing w:before="0" w:after="283"/>
              <w:jc w:val="center"/>
              <w:rPr>
                <w:sz w:val="16"/>
              </w:rPr>
            </w:pPr>
            <w:r>
              <w:rPr>
                <w:sz w:val="16"/>
              </w:rPr>
              <w:t>450,581</w:t>
            </w:r>
            <w:r>
              <w:rPr>
                <w:position w:val="5"/>
                <w:sz w:val="13"/>
                <w:sz w:val="16"/>
              </w:rPr>
              <w:t>(3)</w:t>
            </w:r>
          </w:p>
        </w:tc>
        <w:tc>
          <w:tcPr>
            <w:tcW w:w="1206" w:type="dxa"/>
            <w:tcBorders/>
            <w:shd w:fill="CCEEFF" w:val="clear"/>
            <w:vAlign w:val="center"/>
          </w:tcPr>
          <w:p>
            <w:pPr>
              <w:pStyle w:val="TableContents"/>
              <w:bidi w:val="0"/>
              <w:spacing w:before="0" w:after="283"/>
              <w:jc w:val="center"/>
              <w:rPr/>
            </w:pPr>
            <w:r>
              <w:rPr/>
              <w:t>—</w:t>
            </w:r>
          </w:p>
        </w:tc>
        <w:tc>
          <w:tcPr>
            <w:tcW w:w="860" w:type="dxa"/>
            <w:tcBorders/>
            <w:shd w:fill="CCEEFF" w:val="clear"/>
            <w:vAlign w:val="center"/>
          </w:tcPr>
          <w:p>
            <w:pPr>
              <w:pStyle w:val="TableContents"/>
              <w:bidi w:val="0"/>
              <w:spacing w:before="0" w:after="283"/>
              <w:jc w:val="center"/>
              <w:rPr/>
            </w:pPr>
            <w:r>
              <w:rPr/>
              <w:t>—</w:t>
            </w:r>
          </w:p>
        </w:tc>
        <w:tc>
          <w:tcPr>
            <w:tcW w:w="1119" w:type="dxa"/>
            <w:tcBorders/>
            <w:shd w:fill="CCEEFF" w:val="clear"/>
            <w:vAlign w:val="center"/>
          </w:tcPr>
          <w:p>
            <w:pPr>
              <w:pStyle w:val="TableContents"/>
              <w:bidi w:val="0"/>
              <w:spacing w:before="0" w:after="283"/>
              <w:jc w:val="center"/>
              <w:rPr>
                <w:sz w:val="16"/>
              </w:rPr>
            </w:pPr>
            <w:r>
              <w:rPr>
                <w:sz w:val="16"/>
              </w:rPr>
              <w:t>1,549,999</w:t>
            </w:r>
          </w:p>
        </w:tc>
      </w:tr>
      <w:tr>
        <w:trPr/>
        <w:tc>
          <w:tcPr>
            <w:tcW w:w="919" w:type="dxa"/>
            <w:tcBorders/>
            <w:shd w:fill="CCEEFF" w:val="clear"/>
            <w:vAlign w:val="center"/>
          </w:tcPr>
          <w:p>
            <w:pPr>
              <w:pStyle w:val="TableContents"/>
              <w:bidi w:val="0"/>
              <w:spacing w:before="0" w:after="283"/>
              <w:jc w:val="left"/>
              <w:rPr/>
            </w:pPr>
            <w:r>
              <w:rPr/>
              <w:t> </w:t>
            </w:r>
          </w:p>
        </w:tc>
        <w:tc>
          <w:tcPr>
            <w:tcW w:w="534" w:type="dxa"/>
            <w:tcBorders/>
            <w:shd w:fill="CCEEFF" w:val="clear"/>
            <w:vAlign w:val="center"/>
          </w:tcPr>
          <w:p>
            <w:pPr>
              <w:pStyle w:val="TableContents"/>
              <w:bidi w:val="0"/>
              <w:spacing w:before="0" w:after="283"/>
              <w:jc w:val="center"/>
              <w:rPr>
                <w:sz w:val="16"/>
              </w:rPr>
            </w:pPr>
            <w:r>
              <w:rPr>
                <w:sz w:val="16"/>
              </w:rPr>
              <w:t>6/5/2025</w:t>
            </w:r>
          </w:p>
        </w:tc>
        <w:tc>
          <w:tcPr>
            <w:tcW w:w="840" w:type="dxa"/>
            <w:tcBorders/>
            <w:shd w:fill="CCEEFF" w:val="clear"/>
            <w:vAlign w:val="center"/>
          </w:tcPr>
          <w:p>
            <w:pPr>
              <w:pStyle w:val="TableContents"/>
              <w:bidi w:val="0"/>
              <w:spacing w:before="0" w:after="283"/>
              <w:jc w:val="center"/>
              <w:rPr>
                <w:sz w:val="16"/>
              </w:rPr>
            </w:pPr>
            <w:r>
              <w:rPr>
                <w:sz w:val="16"/>
              </w:rPr>
              <w:t>49,300</w:t>
            </w:r>
          </w:p>
        </w:tc>
        <w:tc>
          <w:tcPr>
            <w:tcW w:w="693" w:type="dxa"/>
            <w:tcBorders/>
            <w:shd w:fill="CCEEFF" w:val="clear"/>
            <w:vAlign w:val="center"/>
          </w:tcPr>
          <w:p>
            <w:pPr>
              <w:pStyle w:val="TableContents"/>
              <w:bidi w:val="0"/>
              <w:spacing w:before="0" w:after="283"/>
              <w:jc w:val="center"/>
              <w:rPr>
                <w:sz w:val="16"/>
              </w:rPr>
            </w:pPr>
            <w:r>
              <w:rPr>
                <w:sz w:val="16"/>
              </w:rPr>
              <w:t>493,000</w:t>
            </w:r>
          </w:p>
        </w:tc>
        <w:tc>
          <w:tcPr>
            <w:tcW w:w="903" w:type="dxa"/>
            <w:tcBorders/>
            <w:shd w:fill="CCEEFF" w:val="clear"/>
            <w:vAlign w:val="center"/>
          </w:tcPr>
          <w:p>
            <w:pPr>
              <w:pStyle w:val="TableContents"/>
              <w:bidi w:val="0"/>
              <w:spacing w:before="0" w:after="283"/>
              <w:jc w:val="center"/>
              <w:rPr>
                <w:sz w:val="16"/>
              </w:rPr>
            </w:pPr>
            <w:r>
              <w:rPr>
                <w:sz w:val="16"/>
              </w:rPr>
              <w:t>591,600</w:t>
            </w:r>
          </w:p>
        </w:tc>
        <w:tc>
          <w:tcPr>
            <w:tcW w:w="831" w:type="dxa"/>
            <w:tcBorders/>
            <w:shd w:fill="CCEEFF" w:val="clear"/>
            <w:vAlign w:val="center"/>
          </w:tcPr>
          <w:p>
            <w:pPr>
              <w:pStyle w:val="TableContents"/>
              <w:bidi w:val="0"/>
              <w:spacing w:before="0" w:after="283"/>
              <w:jc w:val="center"/>
              <w:rPr>
                <w:sz w:val="16"/>
              </w:rPr>
            </w:pPr>
            <w:r>
              <w:rPr>
                <w:sz w:val="16"/>
              </w:rPr>
              <w:t>45,058</w:t>
            </w:r>
          </w:p>
        </w:tc>
        <w:tc>
          <w:tcPr>
            <w:tcW w:w="685" w:type="dxa"/>
            <w:tcBorders/>
            <w:shd w:fill="CCEEFF" w:val="clear"/>
            <w:vAlign w:val="center"/>
          </w:tcPr>
          <w:p>
            <w:pPr>
              <w:pStyle w:val="TableContents"/>
              <w:bidi w:val="0"/>
              <w:spacing w:before="0" w:after="283"/>
              <w:jc w:val="center"/>
              <w:rPr>
                <w:sz w:val="16"/>
              </w:rPr>
            </w:pPr>
            <w:r>
              <w:rPr>
                <w:sz w:val="16"/>
              </w:rPr>
              <w:t>450,581</w:t>
            </w:r>
          </w:p>
        </w:tc>
        <w:tc>
          <w:tcPr>
            <w:tcW w:w="890" w:type="dxa"/>
            <w:tcBorders/>
            <w:shd w:fill="CCEEFF" w:val="clear"/>
            <w:vAlign w:val="center"/>
          </w:tcPr>
          <w:p>
            <w:pPr>
              <w:pStyle w:val="TableContents"/>
              <w:bidi w:val="0"/>
              <w:spacing w:before="0" w:after="283"/>
              <w:jc w:val="center"/>
              <w:rPr>
                <w:sz w:val="16"/>
              </w:rPr>
            </w:pPr>
            <w:r>
              <w:rPr>
                <w:sz w:val="16"/>
              </w:rPr>
              <w:t>540,697</w:t>
            </w:r>
          </w:p>
        </w:tc>
        <w:tc>
          <w:tcPr>
            <w:tcW w:w="725" w:type="dxa"/>
            <w:tcBorders/>
            <w:shd w:fill="CCEEFF" w:val="clear"/>
            <w:vAlign w:val="center"/>
          </w:tcPr>
          <w:p>
            <w:pPr>
              <w:pStyle w:val="TableContents"/>
              <w:bidi w:val="0"/>
              <w:spacing w:before="0" w:after="283"/>
              <w:jc w:val="center"/>
              <w:rPr/>
            </w:pPr>
            <w:r>
              <w:rPr/>
              <w:t>—</w:t>
            </w:r>
          </w:p>
        </w:tc>
        <w:tc>
          <w:tcPr>
            <w:tcW w:w="1206" w:type="dxa"/>
            <w:tcBorders/>
            <w:shd w:fill="CCEEFF" w:val="clear"/>
            <w:vAlign w:val="center"/>
          </w:tcPr>
          <w:p>
            <w:pPr>
              <w:pStyle w:val="TableContents"/>
              <w:bidi w:val="0"/>
              <w:spacing w:before="0" w:after="283"/>
              <w:jc w:val="center"/>
              <w:rPr/>
            </w:pPr>
            <w:r>
              <w:rPr/>
              <w:t>—</w:t>
            </w:r>
          </w:p>
        </w:tc>
        <w:tc>
          <w:tcPr>
            <w:tcW w:w="860" w:type="dxa"/>
            <w:tcBorders/>
            <w:shd w:fill="CCEEFF" w:val="clear"/>
            <w:vAlign w:val="center"/>
          </w:tcPr>
          <w:p>
            <w:pPr>
              <w:pStyle w:val="TableContents"/>
              <w:bidi w:val="0"/>
              <w:spacing w:before="0" w:after="283"/>
              <w:jc w:val="center"/>
              <w:rPr/>
            </w:pPr>
            <w:r>
              <w:rPr/>
              <w:t>—</w:t>
            </w:r>
          </w:p>
        </w:tc>
        <w:tc>
          <w:tcPr>
            <w:tcW w:w="1119" w:type="dxa"/>
            <w:tcBorders/>
            <w:shd w:fill="CCEEFF" w:val="clear"/>
            <w:vAlign w:val="center"/>
          </w:tcPr>
          <w:p>
            <w:pPr>
              <w:pStyle w:val="TableContents"/>
              <w:bidi w:val="0"/>
              <w:spacing w:before="0" w:after="283"/>
              <w:jc w:val="center"/>
              <w:rPr>
                <w:sz w:val="16"/>
              </w:rPr>
            </w:pPr>
            <w:r>
              <w:rPr>
                <w:sz w:val="16"/>
              </w:rPr>
              <w:t>1,549,999</w:t>
            </w:r>
          </w:p>
        </w:tc>
      </w:tr>
      <w:tr>
        <w:trPr/>
        <w:tc>
          <w:tcPr>
            <w:tcW w:w="919" w:type="dxa"/>
            <w:vMerge w:val="restart"/>
            <w:tcBorders/>
            <w:vAlign w:val="center"/>
          </w:tcPr>
          <w:p>
            <w:pPr>
              <w:pStyle w:val="TableContents"/>
              <w:bidi w:val="0"/>
              <w:spacing w:before="0" w:after="283"/>
              <w:jc w:val="left"/>
              <w:rPr>
                <w:sz w:val="16"/>
              </w:rPr>
            </w:pPr>
            <w:r>
              <w:rPr>
                <w:sz w:val="16"/>
              </w:rPr>
              <w:t>Rodney Worthen</w:t>
            </w:r>
          </w:p>
        </w:tc>
        <w:tc>
          <w:tcPr>
            <w:tcW w:w="534" w:type="dxa"/>
            <w:tcBorders/>
            <w:vAlign w:val="center"/>
          </w:tcPr>
          <w:p>
            <w:pPr>
              <w:pStyle w:val="TableContents"/>
              <w:bidi w:val="0"/>
              <w:spacing w:before="0" w:after="283"/>
              <w:jc w:val="center"/>
              <w:rPr>
                <w:sz w:val="16"/>
              </w:rPr>
            </w:pPr>
            <w:r>
              <w:rPr>
                <w:sz w:val="16"/>
              </w:rPr>
              <w:t>8/10/2025</w:t>
            </w:r>
          </w:p>
        </w:tc>
        <w:tc>
          <w:tcPr>
            <w:tcW w:w="840" w:type="dxa"/>
            <w:tcBorders/>
            <w:vAlign w:val="center"/>
          </w:tcPr>
          <w:p>
            <w:pPr>
              <w:pStyle w:val="TableContents"/>
              <w:bidi w:val="0"/>
              <w:spacing w:before="0" w:after="283"/>
              <w:jc w:val="center"/>
              <w:rPr/>
            </w:pPr>
            <w:r>
              <w:rPr/>
              <w:t>—</w:t>
            </w:r>
          </w:p>
        </w:tc>
        <w:tc>
          <w:tcPr>
            <w:tcW w:w="693" w:type="dxa"/>
            <w:tcBorders/>
            <w:vAlign w:val="center"/>
          </w:tcPr>
          <w:p>
            <w:pPr>
              <w:pStyle w:val="TableContents"/>
              <w:bidi w:val="0"/>
              <w:spacing w:before="0" w:after="283"/>
              <w:jc w:val="center"/>
              <w:rPr/>
            </w:pPr>
            <w:r>
              <w:rPr/>
              <w:t>—</w:t>
            </w:r>
          </w:p>
        </w:tc>
        <w:tc>
          <w:tcPr>
            <w:tcW w:w="903" w:type="dxa"/>
            <w:tcBorders/>
            <w:vAlign w:val="center"/>
          </w:tcPr>
          <w:p>
            <w:pPr>
              <w:pStyle w:val="TableContents"/>
              <w:bidi w:val="0"/>
              <w:spacing w:before="0" w:after="283"/>
              <w:jc w:val="center"/>
              <w:rPr/>
            </w:pPr>
            <w:r>
              <w:rPr/>
              <w:t>—</w:t>
            </w:r>
          </w:p>
        </w:tc>
        <w:tc>
          <w:tcPr>
            <w:tcW w:w="831" w:type="dxa"/>
            <w:tcBorders/>
            <w:vAlign w:val="center"/>
          </w:tcPr>
          <w:p>
            <w:pPr>
              <w:pStyle w:val="TableContents"/>
              <w:bidi w:val="0"/>
              <w:spacing w:before="0" w:after="283"/>
              <w:jc w:val="center"/>
              <w:rPr/>
            </w:pPr>
            <w:r>
              <w:rPr/>
              <w:t>—</w:t>
            </w:r>
          </w:p>
        </w:tc>
        <w:tc>
          <w:tcPr>
            <w:tcW w:w="685" w:type="dxa"/>
            <w:tcBorders/>
            <w:vAlign w:val="center"/>
          </w:tcPr>
          <w:p>
            <w:pPr>
              <w:pStyle w:val="TableContents"/>
              <w:bidi w:val="0"/>
              <w:spacing w:before="0" w:after="283"/>
              <w:jc w:val="center"/>
              <w:rPr/>
            </w:pPr>
            <w:r>
              <w:rPr/>
              <w:t>—</w:t>
            </w:r>
          </w:p>
        </w:tc>
        <w:tc>
          <w:tcPr>
            <w:tcW w:w="890" w:type="dxa"/>
            <w:tcBorders/>
            <w:vAlign w:val="center"/>
          </w:tcPr>
          <w:p>
            <w:pPr>
              <w:pStyle w:val="TableContents"/>
              <w:bidi w:val="0"/>
              <w:spacing w:before="0" w:after="283"/>
              <w:jc w:val="center"/>
              <w:rPr/>
            </w:pPr>
            <w:r>
              <w:rPr/>
              <w:t>—</w:t>
            </w:r>
          </w:p>
        </w:tc>
        <w:tc>
          <w:tcPr>
            <w:tcW w:w="725" w:type="dxa"/>
            <w:tcBorders/>
            <w:vAlign w:val="center"/>
          </w:tcPr>
          <w:p>
            <w:pPr>
              <w:pStyle w:val="TableContents"/>
              <w:bidi w:val="0"/>
              <w:spacing w:before="0" w:after="283"/>
              <w:jc w:val="center"/>
              <w:rPr>
                <w:sz w:val="16"/>
              </w:rPr>
            </w:pPr>
            <w:r>
              <w:rPr>
                <w:sz w:val="16"/>
              </w:rPr>
              <w:t>15,000</w:t>
            </w:r>
            <w:r>
              <w:rPr>
                <w:position w:val="5"/>
                <w:sz w:val="13"/>
                <w:sz w:val="16"/>
              </w:rPr>
              <w:t>(5)</w:t>
            </w:r>
          </w:p>
        </w:tc>
        <w:tc>
          <w:tcPr>
            <w:tcW w:w="1206" w:type="dxa"/>
            <w:tcBorders/>
            <w:vAlign w:val="center"/>
          </w:tcPr>
          <w:p>
            <w:pPr>
              <w:pStyle w:val="TableContents"/>
              <w:bidi w:val="0"/>
              <w:spacing w:before="0" w:after="283"/>
              <w:jc w:val="center"/>
              <w:rPr/>
            </w:pPr>
            <w:r>
              <w:rPr/>
              <w:t>—</w:t>
            </w:r>
          </w:p>
        </w:tc>
        <w:tc>
          <w:tcPr>
            <w:tcW w:w="860" w:type="dxa"/>
            <w:tcBorders/>
            <w:vAlign w:val="center"/>
          </w:tcPr>
          <w:p>
            <w:pPr>
              <w:pStyle w:val="TableContents"/>
              <w:bidi w:val="0"/>
              <w:spacing w:before="0" w:after="283"/>
              <w:jc w:val="center"/>
              <w:rPr/>
            </w:pPr>
            <w:r>
              <w:rPr/>
              <w:t>—</w:t>
            </w:r>
          </w:p>
        </w:tc>
        <w:tc>
          <w:tcPr>
            <w:tcW w:w="1119" w:type="dxa"/>
            <w:tcBorders/>
            <w:vAlign w:val="center"/>
          </w:tcPr>
          <w:p>
            <w:pPr>
              <w:pStyle w:val="TableContents"/>
              <w:bidi w:val="0"/>
              <w:spacing w:before="0" w:after="283"/>
              <w:jc w:val="center"/>
              <w:rPr>
                <w:sz w:val="16"/>
              </w:rPr>
            </w:pPr>
            <w:r>
              <w:rPr>
                <w:sz w:val="16"/>
              </w:rPr>
              <w:t>43,350</w:t>
            </w:r>
          </w:p>
        </w:tc>
      </w:tr>
      <w:tr>
        <w:trPr/>
        <w:tc>
          <w:tcPr>
            <w:tcW w:w="919" w:type="dxa"/>
            <w:vMerge w:val="continue"/>
            <w:tcBorders/>
            <w:vAlign w:val="center"/>
          </w:tcPr>
          <w:p>
            <w:pPr>
              <w:pStyle w:val="Normal"/>
              <w:bidi w:val="0"/>
              <w:jc w:val="left"/>
              <w:rPr/>
            </w:pPr>
            <w:r>
              <w:rPr/>
            </w:r>
          </w:p>
        </w:tc>
        <w:tc>
          <w:tcPr>
            <w:tcW w:w="534" w:type="dxa"/>
            <w:tcBorders/>
            <w:vAlign w:val="center"/>
          </w:tcPr>
          <w:p>
            <w:pPr>
              <w:pStyle w:val="TableContents"/>
              <w:bidi w:val="0"/>
              <w:spacing w:before="0" w:after="283"/>
              <w:jc w:val="center"/>
              <w:rPr/>
            </w:pPr>
            <w:r>
              <w:rPr/>
              <w:t> </w:t>
            </w:r>
          </w:p>
        </w:tc>
        <w:tc>
          <w:tcPr>
            <w:tcW w:w="840" w:type="dxa"/>
            <w:tcBorders/>
            <w:vAlign w:val="center"/>
          </w:tcPr>
          <w:p>
            <w:pPr>
              <w:pStyle w:val="TableContents"/>
              <w:bidi w:val="0"/>
              <w:spacing w:before="0" w:after="283"/>
              <w:jc w:val="center"/>
              <w:rPr>
                <w:sz w:val="16"/>
              </w:rPr>
            </w:pPr>
            <w:r>
              <w:rPr>
                <w:sz w:val="16"/>
              </w:rPr>
              <w:t>10,470</w:t>
            </w:r>
          </w:p>
        </w:tc>
        <w:tc>
          <w:tcPr>
            <w:tcW w:w="693" w:type="dxa"/>
            <w:tcBorders/>
            <w:vAlign w:val="center"/>
          </w:tcPr>
          <w:p>
            <w:pPr>
              <w:pStyle w:val="TableContents"/>
              <w:bidi w:val="0"/>
              <w:spacing w:before="0" w:after="283"/>
              <w:jc w:val="center"/>
              <w:rPr>
                <w:sz w:val="16"/>
              </w:rPr>
            </w:pPr>
            <w:r>
              <w:rPr>
                <w:sz w:val="16"/>
              </w:rPr>
              <w:t>104,702</w:t>
            </w:r>
          </w:p>
        </w:tc>
        <w:tc>
          <w:tcPr>
            <w:tcW w:w="903" w:type="dxa"/>
            <w:tcBorders/>
            <w:vAlign w:val="center"/>
          </w:tcPr>
          <w:p>
            <w:pPr>
              <w:pStyle w:val="TableContents"/>
              <w:bidi w:val="0"/>
              <w:spacing w:before="0" w:after="283"/>
              <w:jc w:val="center"/>
              <w:rPr>
                <w:sz w:val="16"/>
              </w:rPr>
            </w:pPr>
            <w:r>
              <w:rPr>
                <w:sz w:val="16"/>
              </w:rPr>
              <w:t>125,642</w:t>
            </w:r>
          </w:p>
        </w:tc>
        <w:tc>
          <w:tcPr>
            <w:tcW w:w="831" w:type="dxa"/>
            <w:tcBorders/>
            <w:vAlign w:val="center"/>
          </w:tcPr>
          <w:p>
            <w:pPr>
              <w:pStyle w:val="TableContents"/>
              <w:bidi w:val="0"/>
              <w:spacing w:before="0" w:after="283"/>
              <w:jc w:val="center"/>
              <w:rPr/>
            </w:pPr>
            <w:r>
              <w:rPr/>
              <w:t>—</w:t>
            </w:r>
          </w:p>
        </w:tc>
        <w:tc>
          <w:tcPr>
            <w:tcW w:w="685" w:type="dxa"/>
            <w:tcBorders/>
            <w:vAlign w:val="center"/>
          </w:tcPr>
          <w:p>
            <w:pPr>
              <w:pStyle w:val="TableContents"/>
              <w:bidi w:val="0"/>
              <w:spacing w:before="0" w:after="283"/>
              <w:jc w:val="center"/>
              <w:rPr/>
            </w:pPr>
            <w:r>
              <w:rPr/>
              <w:t>—</w:t>
            </w:r>
          </w:p>
        </w:tc>
        <w:tc>
          <w:tcPr>
            <w:tcW w:w="890" w:type="dxa"/>
            <w:tcBorders/>
            <w:vAlign w:val="center"/>
          </w:tcPr>
          <w:p>
            <w:pPr>
              <w:pStyle w:val="TableContents"/>
              <w:bidi w:val="0"/>
              <w:spacing w:before="0" w:after="283"/>
              <w:jc w:val="center"/>
              <w:rPr/>
            </w:pPr>
            <w:r>
              <w:rPr/>
              <w:t>—</w:t>
            </w:r>
          </w:p>
        </w:tc>
        <w:tc>
          <w:tcPr>
            <w:tcW w:w="725" w:type="dxa"/>
            <w:tcBorders/>
            <w:vAlign w:val="center"/>
          </w:tcPr>
          <w:p>
            <w:pPr>
              <w:pStyle w:val="TableContents"/>
              <w:bidi w:val="0"/>
              <w:spacing w:before="0" w:after="283"/>
              <w:jc w:val="center"/>
              <w:rPr/>
            </w:pPr>
            <w:r>
              <w:rPr/>
              <w:t>—</w:t>
            </w:r>
          </w:p>
        </w:tc>
        <w:tc>
          <w:tcPr>
            <w:tcW w:w="1206" w:type="dxa"/>
            <w:tcBorders/>
            <w:vAlign w:val="center"/>
          </w:tcPr>
          <w:p>
            <w:pPr>
              <w:pStyle w:val="TableContents"/>
              <w:bidi w:val="0"/>
              <w:spacing w:before="0" w:after="283"/>
              <w:jc w:val="center"/>
              <w:rPr/>
            </w:pPr>
            <w:r>
              <w:rPr/>
              <w:t>—</w:t>
            </w:r>
          </w:p>
        </w:tc>
        <w:tc>
          <w:tcPr>
            <w:tcW w:w="860" w:type="dxa"/>
            <w:tcBorders/>
            <w:vAlign w:val="center"/>
          </w:tcPr>
          <w:p>
            <w:pPr>
              <w:pStyle w:val="TableContents"/>
              <w:bidi w:val="0"/>
              <w:spacing w:before="0" w:after="283"/>
              <w:jc w:val="center"/>
              <w:rPr/>
            </w:pPr>
            <w:r>
              <w:rPr/>
              <w:t>—</w:t>
            </w:r>
          </w:p>
        </w:tc>
        <w:tc>
          <w:tcPr>
            <w:tcW w:w="1119" w:type="dxa"/>
            <w:tcBorders/>
            <w:vAlign w:val="center"/>
          </w:tcPr>
          <w:p>
            <w:pPr>
              <w:pStyle w:val="TableContents"/>
              <w:bidi w:val="0"/>
              <w:spacing w:before="0" w:after="283"/>
              <w:jc w:val="center"/>
              <w:rPr/>
            </w:pPr>
            <w:r>
              <w:rPr/>
              <w:t>—</w:t>
            </w:r>
          </w:p>
        </w:tc>
      </w:tr>
      <w:tr>
        <w:trPr/>
        <w:tc>
          <w:tcPr>
            <w:tcW w:w="919" w:type="dxa"/>
            <w:vMerge w:val="restart"/>
            <w:tcBorders/>
            <w:shd w:fill="CCEEFF" w:val="clear"/>
            <w:vAlign w:val="center"/>
          </w:tcPr>
          <w:p>
            <w:pPr>
              <w:pStyle w:val="TableContents"/>
              <w:bidi w:val="0"/>
              <w:spacing w:before="0" w:after="283"/>
              <w:jc w:val="left"/>
              <w:rPr>
                <w:sz w:val="16"/>
              </w:rPr>
            </w:pPr>
            <w:r>
              <w:rPr>
                <w:sz w:val="16"/>
              </w:rPr>
              <w:t>Isida Tushe</w:t>
            </w:r>
          </w:p>
        </w:tc>
        <w:tc>
          <w:tcPr>
            <w:tcW w:w="534" w:type="dxa"/>
            <w:tcBorders/>
            <w:shd w:fill="CCEEFF" w:val="clear"/>
            <w:vAlign w:val="center"/>
          </w:tcPr>
          <w:p>
            <w:pPr>
              <w:pStyle w:val="TableContents"/>
              <w:bidi w:val="0"/>
              <w:spacing w:before="0" w:after="283"/>
              <w:jc w:val="center"/>
              <w:rPr>
                <w:sz w:val="16"/>
              </w:rPr>
            </w:pPr>
            <w:r>
              <w:rPr>
                <w:sz w:val="16"/>
              </w:rPr>
              <w:t>1/23/2025</w:t>
            </w:r>
          </w:p>
        </w:tc>
        <w:tc>
          <w:tcPr>
            <w:tcW w:w="840" w:type="dxa"/>
            <w:tcBorders/>
            <w:shd w:fill="CCEEFF" w:val="clear"/>
            <w:vAlign w:val="center"/>
          </w:tcPr>
          <w:p>
            <w:pPr>
              <w:pStyle w:val="TableContents"/>
              <w:bidi w:val="0"/>
              <w:spacing w:before="0" w:after="283"/>
              <w:jc w:val="center"/>
              <w:rPr/>
            </w:pPr>
            <w:r>
              <w:rPr/>
              <w:t>—</w:t>
            </w:r>
          </w:p>
        </w:tc>
        <w:tc>
          <w:tcPr>
            <w:tcW w:w="693" w:type="dxa"/>
            <w:tcBorders/>
            <w:shd w:fill="CCEEFF" w:val="clear"/>
            <w:vAlign w:val="center"/>
          </w:tcPr>
          <w:p>
            <w:pPr>
              <w:pStyle w:val="TableContents"/>
              <w:bidi w:val="0"/>
              <w:spacing w:before="0" w:after="283"/>
              <w:jc w:val="center"/>
              <w:rPr/>
            </w:pPr>
            <w:r>
              <w:rPr/>
              <w:t>—</w:t>
            </w:r>
          </w:p>
        </w:tc>
        <w:tc>
          <w:tcPr>
            <w:tcW w:w="903" w:type="dxa"/>
            <w:tcBorders/>
            <w:shd w:fill="CCEEFF" w:val="clear"/>
            <w:vAlign w:val="center"/>
          </w:tcPr>
          <w:p>
            <w:pPr>
              <w:pStyle w:val="TableContents"/>
              <w:bidi w:val="0"/>
              <w:spacing w:before="0" w:after="283"/>
              <w:jc w:val="center"/>
              <w:rPr/>
            </w:pPr>
            <w:r>
              <w:rPr/>
              <w:t>—</w:t>
            </w:r>
          </w:p>
        </w:tc>
        <w:tc>
          <w:tcPr>
            <w:tcW w:w="831" w:type="dxa"/>
            <w:tcBorders/>
            <w:shd w:fill="CCEEFF" w:val="clear"/>
            <w:vAlign w:val="center"/>
          </w:tcPr>
          <w:p>
            <w:pPr>
              <w:pStyle w:val="TableContents"/>
              <w:bidi w:val="0"/>
              <w:spacing w:before="0" w:after="283"/>
              <w:jc w:val="center"/>
              <w:rPr/>
            </w:pPr>
            <w:r>
              <w:rPr/>
              <w:t>—</w:t>
            </w:r>
          </w:p>
        </w:tc>
        <w:tc>
          <w:tcPr>
            <w:tcW w:w="685" w:type="dxa"/>
            <w:tcBorders/>
            <w:shd w:fill="CCEEFF" w:val="clear"/>
            <w:vAlign w:val="center"/>
          </w:tcPr>
          <w:p>
            <w:pPr>
              <w:pStyle w:val="TableContents"/>
              <w:bidi w:val="0"/>
              <w:spacing w:before="0" w:after="283"/>
              <w:jc w:val="center"/>
              <w:rPr/>
            </w:pPr>
            <w:r>
              <w:rPr/>
              <w:t>—</w:t>
            </w:r>
          </w:p>
        </w:tc>
        <w:tc>
          <w:tcPr>
            <w:tcW w:w="890" w:type="dxa"/>
            <w:tcBorders/>
            <w:shd w:fill="CCEEFF" w:val="clear"/>
            <w:vAlign w:val="center"/>
          </w:tcPr>
          <w:p>
            <w:pPr>
              <w:pStyle w:val="TableContents"/>
              <w:bidi w:val="0"/>
              <w:spacing w:before="0" w:after="283"/>
              <w:jc w:val="center"/>
              <w:rPr/>
            </w:pPr>
            <w:r>
              <w:rPr/>
              <w:t>—</w:t>
            </w:r>
          </w:p>
        </w:tc>
        <w:tc>
          <w:tcPr>
            <w:tcW w:w="725" w:type="dxa"/>
            <w:tcBorders/>
            <w:shd w:fill="CCEEFF" w:val="clear"/>
            <w:vAlign w:val="center"/>
          </w:tcPr>
          <w:p>
            <w:pPr>
              <w:pStyle w:val="TableContents"/>
              <w:bidi w:val="0"/>
              <w:spacing w:before="0" w:after="283"/>
              <w:jc w:val="center"/>
              <w:rPr>
                <w:sz w:val="16"/>
              </w:rPr>
            </w:pPr>
            <w:r>
              <w:rPr>
                <w:sz w:val="16"/>
              </w:rPr>
              <w:t>100,000</w:t>
            </w:r>
            <w:r>
              <w:rPr>
                <w:position w:val="5"/>
                <w:sz w:val="13"/>
                <w:sz w:val="16"/>
              </w:rPr>
              <w:t>(6)</w:t>
            </w:r>
          </w:p>
        </w:tc>
        <w:tc>
          <w:tcPr>
            <w:tcW w:w="1206" w:type="dxa"/>
            <w:tcBorders/>
            <w:shd w:fill="CCEEFF" w:val="clear"/>
            <w:vAlign w:val="center"/>
          </w:tcPr>
          <w:p>
            <w:pPr>
              <w:pStyle w:val="TableContents"/>
              <w:bidi w:val="0"/>
              <w:spacing w:before="0" w:after="283"/>
              <w:jc w:val="center"/>
              <w:rPr/>
            </w:pPr>
            <w:r>
              <w:rPr/>
              <w:t>—</w:t>
            </w:r>
          </w:p>
        </w:tc>
        <w:tc>
          <w:tcPr>
            <w:tcW w:w="860" w:type="dxa"/>
            <w:tcBorders/>
            <w:shd w:fill="CCEEFF" w:val="clear"/>
            <w:vAlign w:val="center"/>
          </w:tcPr>
          <w:p>
            <w:pPr>
              <w:pStyle w:val="TableContents"/>
              <w:bidi w:val="0"/>
              <w:spacing w:before="0" w:after="283"/>
              <w:jc w:val="center"/>
              <w:rPr/>
            </w:pPr>
            <w:r>
              <w:rPr/>
              <w:t>—</w:t>
            </w:r>
          </w:p>
        </w:tc>
        <w:tc>
          <w:tcPr>
            <w:tcW w:w="1119" w:type="dxa"/>
            <w:tcBorders/>
            <w:shd w:fill="CCEEFF" w:val="clear"/>
            <w:vAlign w:val="center"/>
          </w:tcPr>
          <w:p>
            <w:pPr>
              <w:pStyle w:val="TableContents"/>
              <w:bidi w:val="0"/>
              <w:spacing w:before="0" w:after="283"/>
              <w:jc w:val="center"/>
              <w:rPr>
                <w:sz w:val="16"/>
              </w:rPr>
            </w:pPr>
            <w:r>
              <w:rPr>
                <w:sz w:val="16"/>
              </w:rPr>
              <w:t>199,000</w:t>
            </w:r>
          </w:p>
        </w:tc>
      </w:tr>
      <w:tr>
        <w:trPr/>
        <w:tc>
          <w:tcPr>
            <w:tcW w:w="919" w:type="dxa"/>
            <w:vMerge w:val="continue"/>
            <w:tcBorders/>
            <w:shd w:fill="CCEEFF" w:val="clear"/>
            <w:vAlign w:val="center"/>
          </w:tcPr>
          <w:p>
            <w:pPr>
              <w:pStyle w:val="Normal"/>
              <w:bidi w:val="0"/>
              <w:jc w:val="left"/>
              <w:rPr/>
            </w:pPr>
            <w:r>
              <w:rPr/>
            </w:r>
          </w:p>
        </w:tc>
        <w:tc>
          <w:tcPr>
            <w:tcW w:w="534" w:type="dxa"/>
            <w:tcBorders/>
            <w:shd w:fill="CCEEFF" w:val="clear"/>
            <w:vAlign w:val="center"/>
          </w:tcPr>
          <w:p>
            <w:pPr>
              <w:pStyle w:val="TableContents"/>
              <w:bidi w:val="0"/>
              <w:spacing w:before="0" w:after="283"/>
              <w:jc w:val="center"/>
              <w:rPr>
                <w:sz w:val="16"/>
              </w:rPr>
            </w:pPr>
            <w:r>
              <w:rPr>
                <w:sz w:val="16"/>
              </w:rPr>
              <w:t>6/5/2025</w:t>
            </w:r>
          </w:p>
        </w:tc>
        <w:tc>
          <w:tcPr>
            <w:tcW w:w="840" w:type="dxa"/>
            <w:tcBorders/>
            <w:shd w:fill="CCEEFF" w:val="clear"/>
            <w:vAlign w:val="center"/>
          </w:tcPr>
          <w:p>
            <w:pPr>
              <w:pStyle w:val="TableContents"/>
              <w:bidi w:val="0"/>
              <w:spacing w:before="0" w:after="283"/>
              <w:jc w:val="center"/>
              <w:rPr/>
            </w:pPr>
            <w:r>
              <w:rPr/>
              <w:t>—</w:t>
            </w:r>
          </w:p>
        </w:tc>
        <w:tc>
          <w:tcPr>
            <w:tcW w:w="693" w:type="dxa"/>
            <w:tcBorders/>
            <w:shd w:fill="CCEEFF" w:val="clear"/>
            <w:vAlign w:val="center"/>
          </w:tcPr>
          <w:p>
            <w:pPr>
              <w:pStyle w:val="TableContents"/>
              <w:bidi w:val="0"/>
              <w:spacing w:before="0" w:after="283"/>
              <w:jc w:val="center"/>
              <w:rPr/>
            </w:pPr>
            <w:r>
              <w:rPr/>
              <w:t>—</w:t>
            </w:r>
          </w:p>
        </w:tc>
        <w:tc>
          <w:tcPr>
            <w:tcW w:w="903" w:type="dxa"/>
            <w:tcBorders/>
            <w:shd w:fill="CCEEFF" w:val="clear"/>
            <w:vAlign w:val="center"/>
          </w:tcPr>
          <w:p>
            <w:pPr>
              <w:pStyle w:val="TableContents"/>
              <w:bidi w:val="0"/>
              <w:spacing w:before="0" w:after="283"/>
              <w:jc w:val="center"/>
              <w:rPr/>
            </w:pPr>
            <w:r>
              <w:rPr/>
              <w:t>—</w:t>
            </w:r>
          </w:p>
        </w:tc>
        <w:tc>
          <w:tcPr>
            <w:tcW w:w="831" w:type="dxa"/>
            <w:tcBorders/>
            <w:shd w:fill="CCEEFF" w:val="clear"/>
            <w:vAlign w:val="center"/>
          </w:tcPr>
          <w:p>
            <w:pPr>
              <w:pStyle w:val="TableContents"/>
              <w:bidi w:val="0"/>
              <w:spacing w:before="0" w:after="283"/>
              <w:jc w:val="center"/>
              <w:rPr/>
            </w:pPr>
            <w:r>
              <w:rPr/>
              <w:t>—</w:t>
            </w:r>
          </w:p>
        </w:tc>
        <w:tc>
          <w:tcPr>
            <w:tcW w:w="685" w:type="dxa"/>
            <w:tcBorders/>
            <w:shd w:fill="CCEEFF" w:val="clear"/>
            <w:vAlign w:val="center"/>
          </w:tcPr>
          <w:p>
            <w:pPr>
              <w:pStyle w:val="TableContents"/>
              <w:bidi w:val="0"/>
              <w:spacing w:before="0" w:after="283"/>
              <w:jc w:val="center"/>
              <w:rPr/>
            </w:pPr>
            <w:r>
              <w:rPr/>
              <w:t>—</w:t>
            </w:r>
          </w:p>
        </w:tc>
        <w:tc>
          <w:tcPr>
            <w:tcW w:w="890" w:type="dxa"/>
            <w:tcBorders/>
            <w:shd w:fill="CCEEFF" w:val="clear"/>
            <w:vAlign w:val="center"/>
          </w:tcPr>
          <w:p>
            <w:pPr>
              <w:pStyle w:val="TableContents"/>
              <w:bidi w:val="0"/>
              <w:spacing w:before="0" w:after="283"/>
              <w:jc w:val="center"/>
              <w:rPr/>
            </w:pPr>
            <w:r>
              <w:rPr/>
              <w:t>—</w:t>
            </w:r>
          </w:p>
        </w:tc>
        <w:tc>
          <w:tcPr>
            <w:tcW w:w="725" w:type="dxa"/>
            <w:tcBorders/>
            <w:shd w:fill="CCEEFF" w:val="clear"/>
            <w:vAlign w:val="center"/>
          </w:tcPr>
          <w:p>
            <w:pPr>
              <w:pStyle w:val="TableContents"/>
              <w:bidi w:val="0"/>
              <w:spacing w:before="0" w:after="283"/>
              <w:jc w:val="center"/>
              <w:rPr>
                <w:sz w:val="16"/>
              </w:rPr>
            </w:pPr>
            <w:r>
              <w:rPr>
                <w:sz w:val="16"/>
              </w:rPr>
              <w:t>75,000</w:t>
            </w:r>
            <w:r>
              <w:rPr>
                <w:position w:val="5"/>
                <w:sz w:val="13"/>
                <w:sz w:val="16"/>
              </w:rPr>
              <w:t>(3)</w:t>
            </w:r>
          </w:p>
        </w:tc>
        <w:tc>
          <w:tcPr>
            <w:tcW w:w="1206" w:type="dxa"/>
            <w:tcBorders/>
            <w:shd w:fill="CCEEFF" w:val="clear"/>
            <w:vAlign w:val="center"/>
          </w:tcPr>
          <w:p>
            <w:pPr>
              <w:pStyle w:val="TableContents"/>
              <w:bidi w:val="0"/>
              <w:spacing w:before="0" w:after="283"/>
              <w:jc w:val="center"/>
              <w:rPr/>
            </w:pPr>
            <w:r>
              <w:rPr/>
              <w:t>—</w:t>
            </w:r>
          </w:p>
        </w:tc>
        <w:tc>
          <w:tcPr>
            <w:tcW w:w="860" w:type="dxa"/>
            <w:tcBorders/>
            <w:shd w:fill="CCEEFF" w:val="clear"/>
            <w:vAlign w:val="center"/>
          </w:tcPr>
          <w:p>
            <w:pPr>
              <w:pStyle w:val="TableContents"/>
              <w:bidi w:val="0"/>
              <w:spacing w:before="0" w:after="283"/>
              <w:jc w:val="center"/>
              <w:rPr/>
            </w:pPr>
            <w:r>
              <w:rPr/>
              <w:t>—</w:t>
            </w:r>
          </w:p>
        </w:tc>
        <w:tc>
          <w:tcPr>
            <w:tcW w:w="1119" w:type="dxa"/>
            <w:tcBorders/>
            <w:shd w:fill="CCEEFF" w:val="clear"/>
            <w:vAlign w:val="center"/>
          </w:tcPr>
          <w:p>
            <w:pPr>
              <w:pStyle w:val="TableContents"/>
              <w:bidi w:val="0"/>
              <w:spacing w:before="0" w:after="283"/>
              <w:jc w:val="center"/>
              <w:rPr>
                <w:sz w:val="16"/>
              </w:rPr>
            </w:pPr>
            <w:r>
              <w:rPr>
                <w:sz w:val="16"/>
              </w:rPr>
              <w:t>258,000</w:t>
            </w:r>
          </w:p>
        </w:tc>
      </w:tr>
      <w:tr>
        <w:trPr/>
        <w:tc>
          <w:tcPr>
            <w:tcW w:w="919" w:type="dxa"/>
            <w:tcBorders/>
            <w:shd w:fill="CCEEFF" w:val="clear"/>
            <w:vAlign w:val="center"/>
          </w:tcPr>
          <w:p>
            <w:pPr>
              <w:pStyle w:val="TableContents"/>
              <w:bidi w:val="0"/>
              <w:spacing w:before="0" w:after="283"/>
              <w:jc w:val="left"/>
              <w:rPr/>
            </w:pPr>
            <w:r>
              <w:rPr/>
              <w:t> </w:t>
            </w:r>
          </w:p>
        </w:tc>
        <w:tc>
          <w:tcPr>
            <w:tcW w:w="534" w:type="dxa"/>
            <w:tcBorders/>
            <w:shd w:fill="CCEEFF" w:val="clear"/>
            <w:vAlign w:val="center"/>
          </w:tcPr>
          <w:p>
            <w:pPr>
              <w:pStyle w:val="TableContents"/>
              <w:bidi w:val="0"/>
              <w:spacing w:before="0" w:after="283"/>
              <w:jc w:val="center"/>
              <w:rPr>
                <w:sz w:val="16"/>
              </w:rPr>
            </w:pPr>
            <w:r>
              <w:rPr>
                <w:sz w:val="16"/>
              </w:rPr>
              <w:t>6/5/2025</w:t>
            </w:r>
          </w:p>
        </w:tc>
        <w:tc>
          <w:tcPr>
            <w:tcW w:w="840" w:type="dxa"/>
            <w:tcBorders/>
            <w:shd w:fill="CCEEFF" w:val="clear"/>
            <w:vAlign w:val="center"/>
          </w:tcPr>
          <w:p>
            <w:pPr>
              <w:pStyle w:val="TableContents"/>
              <w:bidi w:val="0"/>
              <w:spacing w:before="0" w:after="283"/>
              <w:jc w:val="center"/>
              <w:rPr>
                <w:sz w:val="16"/>
              </w:rPr>
            </w:pPr>
            <w:r>
              <w:rPr>
                <w:sz w:val="16"/>
              </w:rPr>
              <w:t>22,500</w:t>
            </w:r>
          </w:p>
        </w:tc>
        <w:tc>
          <w:tcPr>
            <w:tcW w:w="693" w:type="dxa"/>
            <w:tcBorders/>
            <w:shd w:fill="CCEEFF" w:val="clear"/>
            <w:vAlign w:val="center"/>
          </w:tcPr>
          <w:p>
            <w:pPr>
              <w:pStyle w:val="TableContents"/>
              <w:bidi w:val="0"/>
              <w:spacing w:before="0" w:after="283"/>
              <w:jc w:val="center"/>
              <w:rPr>
                <w:sz w:val="16"/>
              </w:rPr>
            </w:pPr>
            <w:r>
              <w:rPr>
                <w:sz w:val="16"/>
              </w:rPr>
              <w:t>225,000</w:t>
            </w:r>
          </w:p>
        </w:tc>
        <w:tc>
          <w:tcPr>
            <w:tcW w:w="903" w:type="dxa"/>
            <w:tcBorders/>
            <w:shd w:fill="CCEEFF" w:val="clear"/>
            <w:vAlign w:val="center"/>
          </w:tcPr>
          <w:p>
            <w:pPr>
              <w:pStyle w:val="TableContents"/>
              <w:bidi w:val="0"/>
              <w:spacing w:before="0" w:after="283"/>
              <w:jc w:val="center"/>
              <w:rPr>
                <w:sz w:val="16"/>
              </w:rPr>
            </w:pPr>
            <w:r>
              <w:rPr>
                <w:sz w:val="16"/>
              </w:rPr>
              <w:t>270,000</w:t>
            </w:r>
          </w:p>
        </w:tc>
        <w:tc>
          <w:tcPr>
            <w:tcW w:w="831" w:type="dxa"/>
            <w:tcBorders/>
            <w:shd w:fill="CCEEFF" w:val="clear"/>
            <w:vAlign w:val="center"/>
          </w:tcPr>
          <w:p>
            <w:pPr>
              <w:pStyle w:val="TableContents"/>
              <w:bidi w:val="0"/>
              <w:spacing w:before="0" w:after="283"/>
              <w:jc w:val="center"/>
              <w:rPr>
                <w:sz w:val="16"/>
              </w:rPr>
            </w:pPr>
            <w:r>
              <w:rPr>
                <w:sz w:val="16"/>
              </w:rPr>
              <w:t>7,500</w:t>
            </w:r>
          </w:p>
        </w:tc>
        <w:tc>
          <w:tcPr>
            <w:tcW w:w="685" w:type="dxa"/>
            <w:tcBorders/>
            <w:shd w:fill="CCEEFF" w:val="clear"/>
            <w:vAlign w:val="center"/>
          </w:tcPr>
          <w:p>
            <w:pPr>
              <w:pStyle w:val="TableContents"/>
              <w:bidi w:val="0"/>
              <w:spacing w:before="0" w:after="283"/>
              <w:jc w:val="center"/>
              <w:rPr>
                <w:sz w:val="16"/>
              </w:rPr>
            </w:pPr>
            <w:r>
              <w:rPr>
                <w:sz w:val="16"/>
              </w:rPr>
              <w:t>75,000</w:t>
            </w:r>
          </w:p>
        </w:tc>
        <w:tc>
          <w:tcPr>
            <w:tcW w:w="890" w:type="dxa"/>
            <w:tcBorders/>
            <w:shd w:fill="CCEEFF" w:val="clear"/>
            <w:vAlign w:val="center"/>
          </w:tcPr>
          <w:p>
            <w:pPr>
              <w:pStyle w:val="TableContents"/>
              <w:bidi w:val="0"/>
              <w:spacing w:before="0" w:after="283"/>
              <w:jc w:val="center"/>
              <w:rPr>
                <w:sz w:val="16"/>
              </w:rPr>
            </w:pPr>
            <w:r>
              <w:rPr>
                <w:sz w:val="16"/>
              </w:rPr>
              <w:t>90,000</w:t>
            </w:r>
          </w:p>
        </w:tc>
        <w:tc>
          <w:tcPr>
            <w:tcW w:w="725" w:type="dxa"/>
            <w:tcBorders/>
            <w:shd w:fill="CCEEFF" w:val="clear"/>
            <w:vAlign w:val="center"/>
          </w:tcPr>
          <w:p>
            <w:pPr>
              <w:pStyle w:val="TableContents"/>
              <w:bidi w:val="0"/>
              <w:spacing w:before="0" w:after="283"/>
              <w:jc w:val="center"/>
              <w:rPr/>
            </w:pPr>
            <w:r>
              <w:rPr/>
              <w:t>—</w:t>
            </w:r>
          </w:p>
        </w:tc>
        <w:tc>
          <w:tcPr>
            <w:tcW w:w="1206" w:type="dxa"/>
            <w:tcBorders/>
            <w:shd w:fill="CCEEFF" w:val="clear"/>
            <w:vAlign w:val="center"/>
          </w:tcPr>
          <w:p>
            <w:pPr>
              <w:pStyle w:val="TableContents"/>
              <w:bidi w:val="0"/>
              <w:spacing w:before="0" w:after="283"/>
              <w:jc w:val="center"/>
              <w:rPr/>
            </w:pPr>
            <w:r>
              <w:rPr/>
              <w:t>—</w:t>
            </w:r>
          </w:p>
        </w:tc>
        <w:tc>
          <w:tcPr>
            <w:tcW w:w="860" w:type="dxa"/>
            <w:tcBorders/>
            <w:shd w:fill="CCEEFF" w:val="clear"/>
            <w:vAlign w:val="center"/>
          </w:tcPr>
          <w:p>
            <w:pPr>
              <w:pStyle w:val="TableContents"/>
              <w:bidi w:val="0"/>
              <w:spacing w:before="0" w:after="283"/>
              <w:jc w:val="center"/>
              <w:rPr/>
            </w:pPr>
            <w:r>
              <w:rPr/>
              <w:t>—</w:t>
            </w:r>
          </w:p>
        </w:tc>
        <w:tc>
          <w:tcPr>
            <w:tcW w:w="1119" w:type="dxa"/>
            <w:tcBorders/>
            <w:shd w:fill="CCEEFF" w:val="clear"/>
            <w:vAlign w:val="center"/>
          </w:tcPr>
          <w:p>
            <w:pPr>
              <w:pStyle w:val="TableContents"/>
              <w:bidi w:val="0"/>
              <w:spacing w:before="0" w:after="283"/>
              <w:jc w:val="center"/>
              <w:rPr>
                <w:sz w:val="16"/>
              </w:rPr>
            </w:pPr>
            <w:r>
              <w:rPr>
                <w:sz w:val="16"/>
              </w:rPr>
              <w:t>258,000</w:t>
            </w:r>
          </w:p>
        </w:tc>
      </w:tr>
      <w:tr>
        <w:trPr/>
        <w:tc>
          <w:tcPr>
            <w:tcW w:w="919" w:type="dxa"/>
            <w:vMerge w:val="restart"/>
            <w:tcBorders/>
            <w:vAlign w:val="center"/>
          </w:tcPr>
          <w:p>
            <w:pPr>
              <w:pStyle w:val="TableContents"/>
              <w:bidi w:val="0"/>
              <w:spacing w:before="0" w:after="283"/>
              <w:jc w:val="left"/>
              <w:rPr>
                <w:sz w:val="16"/>
              </w:rPr>
            </w:pPr>
            <w:r>
              <w:rPr>
                <w:sz w:val="16"/>
              </w:rPr>
              <w:t>Dr. Shengxian Wu</w:t>
            </w:r>
          </w:p>
        </w:tc>
        <w:tc>
          <w:tcPr>
            <w:tcW w:w="534" w:type="dxa"/>
            <w:tcBorders/>
            <w:vAlign w:val="center"/>
          </w:tcPr>
          <w:p>
            <w:pPr>
              <w:pStyle w:val="TableContents"/>
              <w:bidi w:val="0"/>
              <w:spacing w:before="0" w:after="283"/>
              <w:jc w:val="center"/>
              <w:rPr>
                <w:sz w:val="16"/>
              </w:rPr>
            </w:pPr>
            <w:r>
              <w:rPr>
                <w:sz w:val="16"/>
              </w:rPr>
              <w:t>1/23/2025</w:t>
            </w:r>
          </w:p>
        </w:tc>
        <w:tc>
          <w:tcPr>
            <w:tcW w:w="840" w:type="dxa"/>
            <w:tcBorders/>
            <w:vAlign w:val="center"/>
          </w:tcPr>
          <w:p>
            <w:pPr>
              <w:pStyle w:val="TableContents"/>
              <w:bidi w:val="0"/>
              <w:spacing w:before="0" w:after="283"/>
              <w:jc w:val="center"/>
              <w:rPr/>
            </w:pPr>
            <w:r>
              <w:rPr/>
              <w:t>—</w:t>
            </w:r>
          </w:p>
        </w:tc>
        <w:tc>
          <w:tcPr>
            <w:tcW w:w="693" w:type="dxa"/>
            <w:tcBorders/>
            <w:vAlign w:val="center"/>
          </w:tcPr>
          <w:p>
            <w:pPr>
              <w:pStyle w:val="TableContents"/>
              <w:bidi w:val="0"/>
              <w:spacing w:before="0" w:after="283"/>
              <w:jc w:val="center"/>
              <w:rPr/>
            </w:pPr>
            <w:r>
              <w:rPr/>
              <w:t>—</w:t>
            </w:r>
          </w:p>
        </w:tc>
        <w:tc>
          <w:tcPr>
            <w:tcW w:w="903" w:type="dxa"/>
            <w:tcBorders/>
            <w:vAlign w:val="center"/>
          </w:tcPr>
          <w:p>
            <w:pPr>
              <w:pStyle w:val="TableContents"/>
              <w:bidi w:val="0"/>
              <w:spacing w:before="0" w:after="283"/>
              <w:jc w:val="center"/>
              <w:rPr/>
            </w:pPr>
            <w:r>
              <w:rPr/>
              <w:t>—</w:t>
            </w:r>
          </w:p>
        </w:tc>
        <w:tc>
          <w:tcPr>
            <w:tcW w:w="831" w:type="dxa"/>
            <w:tcBorders/>
            <w:vAlign w:val="center"/>
          </w:tcPr>
          <w:p>
            <w:pPr>
              <w:pStyle w:val="TableContents"/>
              <w:bidi w:val="0"/>
              <w:spacing w:before="0" w:after="283"/>
              <w:jc w:val="center"/>
              <w:rPr/>
            </w:pPr>
            <w:r>
              <w:rPr/>
              <w:t>—</w:t>
            </w:r>
          </w:p>
        </w:tc>
        <w:tc>
          <w:tcPr>
            <w:tcW w:w="685" w:type="dxa"/>
            <w:tcBorders/>
            <w:vAlign w:val="center"/>
          </w:tcPr>
          <w:p>
            <w:pPr>
              <w:pStyle w:val="TableContents"/>
              <w:bidi w:val="0"/>
              <w:spacing w:before="0" w:after="283"/>
              <w:jc w:val="center"/>
              <w:rPr/>
            </w:pPr>
            <w:r>
              <w:rPr/>
              <w:t>—</w:t>
            </w:r>
          </w:p>
        </w:tc>
        <w:tc>
          <w:tcPr>
            <w:tcW w:w="890" w:type="dxa"/>
            <w:tcBorders/>
            <w:vAlign w:val="center"/>
          </w:tcPr>
          <w:p>
            <w:pPr>
              <w:pStyle w:val="TableContents"/>
              <w:bidi w:val="0"/>
              <w:spacing w:before="0" w:after="283"/>
              <w:jc w:val="center"/>
              <w:rPr/>
            </w:pPr>
            <w:r>
              <w:rPr/>
              <w:t>—</w:t>
            </w:r>
          </w:p>
        </w:tc>
        <w:tc>
          <w:tcPr>
            <w:tcW w:w="725" w:type="dxa"/>
            <w:tcBorders/>
            <w:vAlign w:val="center"/>
          </w:tcPr>
          <w:p>
            <w:pPr>
              <w:pStyle w:val="TableContents"/>
              <w:bidi w:val="0"/>
              <w:spacing w:before="0" w:after="283"/>
              <w:jc w:val="center"/>
              <w:rPr>
                <w:sz w:val="16"/>
              </w:rPr>
            </w:pPr>
            <w:r>
              <w:rPr>
                <w:sz w:val="16"/>
              </w:rPr>
              <w:t>100,000</w:t>
            </w:r>
            <w:r>
              <w:rPr>
                <w:position w:val="5"/>
                <w:sz w:val="13"/>
                <w:sz w:val="16"/>
              </w:rPr>
              <w:t>(6)</w:t>
            </w:r>
          </w:p>
        </w:tc>
        <w:tc>
          <w:tcPr>
            <w:tcW w:w="1206" w:type="dxa"/>
            <w:tcBorders/>
            <w:vAlign w:val="center"/>
          </w:tcPr>
          <w:p>
            <w:pPr>
              <w:pStyle w:val="TableContents"/>
              <w:bidi w:val="0"/>
              <w:spacing w:before="0" w:after="283"/>
              <w:jc w:val="center"/>
              <w:rPr/>
            </w:pPr>
            <w:r>
              <w:rPr/>
              <w:t>—</w:t>
            </w:r>
          </w:p>
        </w:tc>
        <w:tc>
          <w:tcPr>
            <w:tcW w:w="860" w:type="dxa"/>
            <w:tcBorders/>
            <w:vAlign w:val="center"/>
          </w:tcPr>
          <w:p>
            <w:pPr>
              <w:pStyle w:val="TableContents"/>
              <w:bidi w:val="0"/>
              <w:spacing w:before="0" w:after="283"/>
              <w:jc w:val="center"/>
              <w:rPr/>
            </w:pPr>
            <w:r>
              <w:rPr/>
              <w:t>—</w:t>
            </w:r>
          </w:p>
        </w:tc>
        <w:tc>
          <w:tcPr>
            <w:tcW w:w="1119" w:type="dxa"/>
            <w:tcBorders/>
            <w:vAlign w:val="center"/>
          </w:tcPr>
          <w:p>
            <w:pPr>
              <w:pStyle w:val="TableContents"/>
              <w:bidi w:val="0"/>
              <w:spacing w:before="0" w:after="283"/>
              <w:jc w:val="center"/>
              <w:rPr>
                <w:sz w:val="16"/>
              </w:rPr>
            </w:pPr>
            <w:r>
              <w:rPr>
                <w:sz w:val="16"/>
              </w:rPr>
              <w:t>199,000</w:t>
            </w:r>
          </w:p>
        </w:tc>
      </w:tr>
      <w:tr>
        <w:trPr/>
        <w:tc>
          <w:tcPr>
            <w:tcW w:w="919" w:type="dxa"/>
            <w:vMerge w:val="continue"/>
            <w:tcBorders/>
            <w:vAlign w:val="center"/>
          </w:tcPr>
          <w:p>
            <w:pPr>
              <w:pStyle w:val="Normal"/>
              <w:bidi w:val="0"/>
              <w:jc w:val="left"/>
              <w:rPr/>
            </w:pPr>
            <w:r>
              <w:rPr/>
            </w:r>
          </w:p>
        </w:tc>
        <w:tc>
          <w:tcPr>
            <w:tcW w:w="534" w:type="dxa"/>
            <w:tcBorders/>
            <w:vAlign w:val="center"/>
          </w:tcPr>
          <w:p>
            <w:pPr>
              <w:pStyle w:val="TableContents"/>
              <w:bidi w:val="0"/>
              <w:spacing w:before="0" w:after="283"/>
              <w:jc w:val="center"/>
              <w:rPr>
                <w:sz w:val="16"/>
              </w:rPr>
            </w:pPr>
            <w:r>
              <w:rPr>
                <w:sz w:val="16"/>
              </w:rPr>
              <w:t>6/5/2025</w:t>
            </w:r>
          </w:p>
        </w:tc>
        <w:tc>
          <w:tcPr>
            <w:tcW w:w="840" w:type="dxa"/>
            <w:tcBorders/>
            <w:vAlign w:val="center"/>
          </w:tcPr>
          <w:p>
            <w:pPr>
              <w:pStyle w:val="TableContents"/>
              <w:bidi w:val="0"/>
              <w:spacing w:before="0" w:after="283"/>
              <w:jc w:val="center"/>
              <w:rPr/>
            </w:pPr>
            <w:r>
              <w:rPr/>
              <w:t>—</w:t>
            </w:r>
          </w:p>
        </w:tc>
        <w:tc>
          <w:tcPr>
            <w:tcW w:w="693" w:type="dxa"/>
            <w:tcBorders/>
            <w:vAlign w:val="center"/>
          </w:tcPr>
          <w:p>
            <w:pPr>
              <w:pStyle w:val="TableContents"/>
              <w:bidi w:val="0"/>
              <w:spacing w:before="0" w:after="283"/>
              <w:jc w:val="center"/>
              <w:rPr/>
            </w:pPr>
            <w:r>
              <w:rPr/>
              <w:t>—</w:t>
            </w:r>
          </w:p>
        </w:tc>
        <w:tc>
          <w:tcPr>
            <w:tcW w:w="903" w:type="dxa"/>
            <w:tcBorders/>
            <w:vAlign w:val="center"/>
          </w:tcPr>
          <w:p>
            <w:pPr>
              <w:pStyle w:val="TableContents"/>
              <w:bidi w:val="0"/>
              <w:spacing w:before="0" w:after="283"/>
              <w:jc w:val="center"/>
              <w:rPr/>
            </w:pPr>
            <w:r>
              <w:rPr/>
              <w:t>—</w:t>
            </w:r>
          </w:p>
        </w:tc>
        <w:tc>
          <w:tcPr>
            <w:tcW w:w="831" w:type="dxa"/>
            <w:tcBorders/>
            <w:vAlign w:val="center"/>
          </w:tcPr>
          <w:p>
            <w:pPr>
              <w:pStyle w:val="TableContents"/>
              <w:bidi w:val="0"/>
              <w:spacing w:before="0" w:after="283"/>
              <w:jc w:val="center"/>
              <w:rPr/>
            </w:pPr>
            <w:r>
              <w:rPr/>
              <w:t>—</w:t>
            </w:r>
          </w:p>
        </w:tc>
        <w:tc>
          <w:tcPr>
            <w:tcW w:w="685" w:type="dxa"/>
            <w:tcBorders/>
            <w:vAlign w:val="center"/>
          </w:tcPr>
          <w:p>
            <w:pPr>
              <w:pStyle w:val="TableContents"/>
              <w:bidi w:val="0"/>
              <w:spacing w:before="0" w:after="283"/>
              <w:jc w:val="center"/>
              <w:rPr/>
            </w:pPr>
            <w:r>
              <w:rPr/>
              <w:t>—</w:t>
            </w:r>
          </w:p>
        </w:tc>
        <w:tc>
          <w:tcPr>
            <w:tcW w:w="890" w:type="dxa"/>
            <w:tcBorders/>
            <w:vAlign w:val="center"/>
          </w:tcPr>
          <w:p>
            <w:pPr>
              <w:pStyle w:val="TableContents"/>
              <w:bidi w:val="0"/>
              <w:spacing w:before="0" w:after="283"/>
              <w:jc w:val="center"/>
              <w:rPr/>
            </w:pPr>
            <w:r>
              <w:rPr/>
              <w:t>—</w:t>
            </w:r>
          </w:p>
        </w:tc>
        <w:tc>
          <w:tcPr>
            <w:tcW w:w="725" w:type="dxa"/>
            <w:tcBorders/>
            <w:vAlign w:val="center"/>
          </w:tcPr>
          <w:p>
            <w:pPr>
              <w:pStyle w:val="TableContents"/>
              <w:bidi w:val="0"/>
              <w:spacing w:before="0" w:after="283"/>
              <w:jc w:val="center"/>
              <w:rPr>
                <w:sz w:val="16"/>
              </w:rPr>
            </w:pPr>
            <w:r>
              <w:rPr>
                <w:sz w:val="16"/>
              </w:rPr>
              <w:t>75,000</w:t>
            </w:r>
            <w:r>
              <w:rPr>
                <w:position w:val="5"/>
                <w:sz w:val="13"/>
                <w:sz w:val="16"/>
              </w:rPr>
              <w:t>(3)</w:t>
            </w:r>
          </w:p>
        </w:tc>
        <w:tc>
          <w:tcPr>
            <w:tcW w:w="1206" w:type="dxa"/>
            <w:tcBorders/>
            <w:vAlign w:val="center"/>
          </w:tcPr>
          <w:p>
            <w:pPr>
              <w:pStyle w:val="TableContents"/>
              <w:bidi w:val="0"/>
              <w:spacing w:before="0" w:after="283"/>
              <w:jc w:val="center"/>
              <w:rPr/>
            </w:pPr>
            <w:r>
              <w:rPr/>
              <w:t>—</w:t>
            </w:r>
          </w:p>
        </w:tc>
        <w:tc>
          <w:tcPr>
            <w:tcW w:w="860" w:type="dxa"/>
            <w:tcBorders/>
            <w:vAlign w:val="center"/>
          </w:tcPr>
          <w:p>
            <w:pPr>
              <w:pStyle w:val="TableContents"/>
              <w:bidi w:val="0"/>
              <w:spacing w:before="0" w:after="283"/>
              <w:jc w:val="center"/>
              <w:rPr/>
            </w:pPr>
            <w:r>
              <w:rPr/>
              <w:t>—</w:t>
            </w:r>
          </w:p>
        </w:tc>
        <w:tc>
          <w:tcPr>
            <w:tcW w:w="1119" w:type="dxa"/>
            <w:tcBorders/>
            <w:vAlign w:val="center"/>
          </w:tcPr>
          <w:p>
            <w:pPr>
              <w:pStyle w:val="TableContents"/>
              <w:bidi w:val="0"/>
              <w:spacing w:before="0" w:after="283"/>
              <w:jc w:val="center"/>
              <w:rPr>
                <w:sz w:val="16"/>
              </w:rPr>
            </w:pPr>
            <w:r>
              <w:rPr>
                <w:sz w:val="16"/>
              </w:rPr>
              <w:t>258,000</w:t>
            </w:r>
          </w:p>
        </w:tc>
      </w:tr>
      <w:tr>
        <w:trPr/>
        <w:tc>
          <w:tcPr>
            <w:tcW w:w="919" w:type="dxa"/>
            <w:vMerge w:val="continue"/>
            <w:tcBorders/>
            <w:vAlign w:val="center"/>
          </w:tcPr>
          <w:p>
            <w:pPr>
              <w:pStyle w:val="Normal"/>
              <w:bidi w:val="0"/>
              <w:jc w:val="left"/>
              <w:rPr/>
            </w:pPr>
            <w:r>
              <w:rPr/>
            </w:r>
          </w:p>
        </w:tc>
        <w:tc>
          <w:tcPr>
            <w:tcW w:w="534" w:type="dxa"/>
            <w:tcBorders/>
            <w:vAlign w:val="center"/>
          </w:tcPr>
          <w:p>
            <w:pPr>
              <w:pStyle w:val="TableContents"/>
              <w:bidi w:val="0"/>
              <w:spacing w:before="0" w:after="283"/>
              <w:jc w:val="center"/>
              <w:rPr>
                <w:sz w:val="16"/>
              </w:rPr>
            </w:pPr>
            <w:r>
              <w:rPr>
                <w:sz w:val="16"/>
              </w:rPr>
              <w:t>6/5/2025</w:t>
            </w:r>
          </w:p>
        </w:tc>
        <w:tc>
          <w:tcPr>
            <w:tcW w:w="840" w:type="dxa"/>
            <w:tcBorders/>
            <w:vAlign w:val="center"/>
          </w:tcPr>
          <w:p>
            <w:pPr>
              <w:pStyle w:val="TableContents"/>
              <w:bidi w:val="0"/>
              <w:spacing w:before="0" w:after="283"/>
              <w:jc w:val="center"/>
              <w:rPr>
                <w:sz w:val="16"/>
              </w:rPr>
            </w:pPr>
            <w:r>
              <w:rPr>
                <w:sz w:val="16"/>
              </w:rPr>
              <w:t>20,000</w:t>
            </w:r>
          </w:p>
        </w:tc>
        <w:tc>
          <w:tcPr>
            <w:tcW w:w="693" w:type="dxa"/>
            <w:tcBorders/>
            <w:vAlign w:val="center"/>
          </w:tcPr>
          <w:p>
            <w:pPr>
              <w:pStyle w:val="TableContents"/>
              <w:bidi w:val="0"/>
              <w:spacing w:before="0" w:after="283"/>
              <w:jc w:val="center"/>
              <w:rPr>
                <w:sz w:val="16"/>
              </w:rPr>
            </w:pPr>
            <w:r>
              <w:rPr>
                <w:sz w:val="16"/>
              </w:rPr>
              <w:t>200,000</w:t>
            </w:r>
          </w:p>
        </w:tc>
        <w:tc>
          <w:tcPr>
            <w:tcW w:w="903" w:type="dxa"/>
            <w:tcBorders/>
            <w:vAlign w:val="center"/>
          </w:tcPr>
          <w:p>
            <w:pPr>
              <w:pStyle w:val="TableContents"/>
              <w:bidi w:val="0"/>
              <w:spacing w:before="0" w:after="283"/>
              <w:jc w:val="center"/>
              <w:rPr>
                <w:sz w:val="16"/>
              </w:rPr>
            </w:pPr>
            <w:r>
              <w:rPr>
                <w:sz w:val="16"/>
              </w:rPr>
              <w:t>240,000</w:t>
            </w:r>
          </w:p>
        </w:tc>
        <w:tc>
          <w:tcPr>
            <w:tcW w:w="831" w:type="dxa"/>
            <w:tcBorders/>
            <w:vAlign w:val="center"/>
          </w:tcPr>
          <w:p>
            <w:pPr>
              <w:pStyle w:val="TableContents"/>
              <w:bidi w:val="0"/>
              <w:spacing w:before="0" w:after="283"/>
              <w:jc w:val="center"/>
              <w:rPr>
                <w:sz w:val="16"/>
              </w:rPr>
            </w:pPr>
            <w:r>
              <w:rPr>
                <w:sz w:val="16"/>
              </w:rPr>
              <w:t>7,500</w:t>
            </w:r>
          </w:p>
        </w:tc>
        <w:tc>
          <w:tcPr>
            <w:tcW w:w="685" w:type="dxa"/>
            <w:tcBorders/>
            <w:vAlign w:val="center"/>
          </w:tcPr>
          <w:p>
            <w:pPr>
              <w:pStyle w:val="TableContents"/>
              <w:bidi w:val="0"/>
              <w:spacing w:before="0" w:after="283"/>
              <w:jc w:val="center"/>
              <w:rPr>
                <w:sz w:val="16"/>
              </w:rPr>
            </w:pPr>
            <w:r>
              <w:rPr>
                <w:sz w:val="16"/>
              </w:rPr>
              <w:t>75,000</w:t>
            </w:r>
          </w:p>
        </w:tc>
        <w:tc>
          <w:tcPr>
            <w:tcW w:w="890" w:type="dxa"/>
            <w:tcBorders/>
            <w:vAlign w:val="center"/>
          </w:tcPr>
          <w:p>
            <w:pPr>
              <w:pStyle w:val="TableContents"/>
              <w:bidi w:val="0"/>
              <w:spacing w:before="0" w:after="283"/>
              <w:jc w:val="center"/>
              <w:rPr>
                <w:sz w:val="16"/>
              </w:rPr>
            </w:pPr>
            <w:r>
              <w:rPr>
                <w:sz w:val="16"/>
              </w:rPr>
              <w:t>90,000</w:t>
            </w:r>
          </w:p>
        </w:tc>
        <w:tc>
          <w:tcPr>
            <w:tcW w:w="725" w:type="dxa"/>
            <w:tcBorders/>
            <w:vAlign w:val="center"/>
          </w:tcPr>
          <w:p>
            <w:pPr>
              <w:pStyle w:val="TableContents"/>
              <w:bidi w:val="0"/>
              <w:spacing w:before="0" w:after="283"/>
              <w:jc w:val="center"/>
              <w:rPr/>
            </w:pPr>
            <w:r>
              <w:rPr/>
              <w:t>—</w:t>
            </w:r>
          </w:p>
        </w:tc>
        <w:tc>
          <w:tcPr>
            <w:tcW w:w="1206" w:type="dxa"/>
            <w:tcBorders/>
            <w:vAlign w:val="center"/>
          </w:tcPr>
          <w:p>
            <w:pPr>
              <w:pStyle w:val="TableContents"/>
              <w:bidi w:val="0"/>
              <w:spacing w:before="0" w:after="283"/>
              <w:jc w:val="center"/>
              <w:rPr/>
            </w:pPr>
            <w:r>
              <w:rPr/>
              <w:t>—</w:t>
            </w:r>
          </w:p>
        </w:tc>
        <w:tc>
          <w:tcPr>
            <w:tcW w:w="860" w:type="dxa"/>
            <w:tcBorders/>
            <w:vAlign w:val="center"/>
          </w:tcPr>
          <w:p>
            <w:pPr>
              <w:pStyle w:val="TableContents"/>
              <w:bidi w:val="0"/>
              <w:spacing w:before="0" w:after="283"/>
              <w:jc w:val="center"/>
              <w:rPr/>
            </w:pPr>
            <w:r>
              <w:rPr/>
              <w:t>—</w:t>
            </w:r>
          </w:p>
        </w:tc>
        <w:tc>
          <w:tcPr>
            <w:tcW w:w="1119" w:type="dxa"/>
            <w:tcBorders/>
            <w:vAlign w:val="center"/>
          </w:tcPr>
          <w:p>
            <w:pPr>
              <w:pStyle w:val="TableContents"/>
              <w:bidi w:val="0"/>
              <w:spacing w:before="0" w:after="283"/>
              <w:jc w:val="center"/>
              <w:rPr>
                <w:sz w:val="16"/>
              </w:rPr>
            </w:pPr>
            <w:r>
              <w:rPr>
                <w:sz w:val="16"/>
              </w:rPr>
              <w:t>258,000</w:t>
            </w:r>
          </w:p>
        </w:tc>
      </w:tr>
      <w:tr>
        <w:trPr/>
        <w:tc>
          <w:tcPr>
            <w:tcW w:w="919" w:type="dxa"/>
            <w:vMerge w:val="restart"/>
            <w:tcBorders/>
            <w:shd w:fill="CCEEFF" w:val="clear"/>
            <w:vAlign w:val="center"/>
          </w:tcPr>
          <w:p>
            <w:pPr>
              <w:pStyle w:val="TableContents"/>
              <w:bidi w:val="0"/>
              <w:spacing w:before="0" w:after="283"/>
              <w:jc w:val="left"/>
              <w:rPr>
                <w:sz w:val="16"/>
              </w:rPr>
            </w:pPr>
            <w:r>
              <w:rPr>
                <w:sz w:val="16"/>
              </w:rPr>
              <w:t>Dr. Wenjuan Mattis</w:t>
            </w:r>
          </w:p>
        </w:tc>
        <w:tc>
          <w:tcPr>
            <w:tcW w:w="534" w:type="dxa"/>
            <w:tcBorders/>
            <w:shd w:fill="CCEEFF" w:val="clear"/>
            <w:vAlign w:val="center"/>
          </w:tcPr>
          <w:p>
            <w:pPr>
              <w:pStyle w:val="TableContents"/>
              <w:bidi w:val="0"/>
              <w:spacing w:before="0" w:after="283"/>
              <w:jc w:val="center"/>
              <w:rPr>
                <w:sz w:val="16"/>
              </w:rPr>
            </w:pPr>
            <w:r>
              <w:rPr>
                <w:sz w:val="16"/>
              </w:rPr>
              <w:t>1/23/2025</w:t>
            </w:r>
          </w:p>
        </w:tc>
        <w:tc>
          <w:tcPr>
            <w:tcW w:w="840" w:type="dxa"/>
            <w:tcBorders/>
            <w:shd w:fill="CCEEFF" w:val="clear"/>
            <w:vAlign w:val="center"/>
          </w:tcPr>
          <w:p>
            <w:pPr>
              <w:pStyle w:val="TableContents"/>
              <w:bidi w:val="0"/>
              <w:spacing w:before="0" w:after="283"/>
              <w:jc w:val="center"/>
              <w:rPr/>
            </w:pPr>
            <w:r>
              <w:rPr/>
              <w:t>—</w:t>
            </w:r>
          </w:p>
        </w:tc>
        <w:tc>
          <w:tcPr>
            <w:tcW w:w="693" w:type="dxa"/>
            <w:tcBorders/>
            <w:shd w:fill="CCEEFF" w:val="clear"/>
            <w:vAlign w:val="center"/>
          </w:tcPr>
          <w:p>
            <w:pPr>
              <w:pStyle w:val="TableContents"/>
              <w:bidi w:val="0"/>
              <w:spacing w:before="0" w:after="283"/>
              <w:jc w:val="center"/>
              <w:rPr/>
            </w:pPr>
            <w:r>
              <w:rPr/>
              <w:t>—</w:t>
            </w:r>
          </w:p>
        </w:tc>
        <w:tc>
          <w:tcPr>
            <w:tcW w:w="903" w:type="dxa"/>
            <w:tcBorders/>
            <w:shd w:fill="CCEEFF" w:val="clear"/>
            <w:vAlign w:val="center"/>
          </w:tcPr>
          <w:p>
            <w:pPr>
              <w:pStyle w:val="TableContents"/>
              <w:bidi w:val="0"/>
              <w:spacing w:before="0" w:after="283"/>
              <w:jc w:val="center"/>
              <w:rPr/>
            </w:pPr>
            <w:r>
              <w:rPr/>
              <w:t>—</w:t>
            </w:r>
          </w:p>
        </w:tc>
        <w:tc>
          <w:tcPr>
            <w:tcW w:w="831" w:type="dxa"/>
            <w:tcBorders/>
            <w:shd w:fill="CCEEFF" w:val="clear"/>
            <w:vAlign w:val="center"/>
          </w:tcPr>
          <w:p>
            <w:pPr>
              <w:pStyle w:val="TableContents"/>
              <w:bidi w:val="0"/>
              <w:spacing w:before="0" w:after="283"/>
              <w:jc w:val="center"/>
              <w:rPr/>
            </w:pPr>
            <w:r>
              <w:rPr/>
              <w:t>—</w:t>
            </w:r>
          </w:p>
        </w:tc>
        <w:tc>
          <w:tcPr>
            <w:tcW w:w="685" w:type="dxa"/>
            <w:tcBorders/>
            <w:shd w:fill="CCEEFF" w:val="clear"/>
            <w:vAlign w:val="center"/>
          </w:tcPr>
          <w:p>
            <w:pPr>
              <w:pStyle w:val="TableContents"/>
              <w:bidi w:val="0"/>
              <w:spacing w:before="0" w:after="283"/>
              <w:jc w:val="center"/>
              <w:rPr/>
            </w:pPr>
            <w:r>
              <w:rPr/>
              <w:t>—</w:t>
            </w:r>
          </w:p>
        </w:tc>
        <w:tc>
          <w:tcPr>
            <w:tcW w:w="890" w:type="dxa"/>
            <w:tcBorders/>
            <w:shd w:fill="CCEEFF" w:val="clear"/>
            <w:vAlign w:val="center"/>
          </w:tcPr>
          <w:p>
            <w:pPr>
              <w:pStyle w:val="TableContents"/>
              <w:bidi w:val="0"/>
              <w:spacing w:before="0" w:after="283"/>
              <w:jc w:val="center"/>
              <w:rPr/>
            </w:pPr>
            <w:r>
              <w:rPr/>
              <w:t>—</w:t>
            </w:r>
          </w:p>
        </w:tc>
        <w:tc>
          <w:tcPr>
            <w:tcW w:w="725" w:type="dxa"/>
            <w:tcBorders/>
            <w:shd w:fill="CCEEFF" w:val="clear"/>
            <w:vAlign w:val="center"/>
          </w:tcPr>
          <w:p>
            <w:pPr>
              <w:pStyle w:val="TableContents"/>
              <w:bidi w:val="0"/>
              <w:spacing w:before="0" w:after="283"/>
              <w:jc w:val="center"/>
              <w:rPr>
                <w:sz w:val="16"/>
              </w:rPr>
            </w:pPr>
            <w:r>
              <w:rPr>
                <w:sz w:val="16"/>
              </w:rPr>
              <w:t>100,000</w:t>
            </w:r>
            <w:r>
              <w:rPr>
                <w:position w:val="5"/>
                <w:sz w:val="13"/>
                <w:sz w:val="16"/>
              </w:rPr>
              <w:t>(6)</w:t>
            </w:r>
          </w:p>
        </w:tc>
        <w:tc>
          <w:tcPr>
            <w:tcW w:w="1206" w:type="dxa"/>
            <w:tcBorders/>
            <w:shd w:fill="CCEEFF" w:val="clear"/>
            <w:vAlign w:val="center"/>
          </w:tcPr>
          <w:p>
            <w:pPr>
              <w:pStyle w:val="TableContents"/>
              <w:bidi w:val="0"/>
              <w:spacing w:before="0" w:after="283"/>
              <w:jc w:val="center"/>
              <w:rPr/>
            </w:pPr>
            <w:r>
              <w:rPr/>
              <w:t>—</w:t>
            </w:r>
          </w:p>
        </w:tc>
        <w:tc>
          <w:tcPr>
            <w:tcW w:w="860" w:type="dxa"/>
            <w:tcBorders/>
            <w:shd w:fill="CCEEFF" w:val="clear"/>
            <w:vAlign w:val="center"/>
          </w:tcPr>
          <w:p>
            <w:pPr>
              <w:pStyle w:val="TableContents"/>
              <w:bidi w:val="0"/>
              <w:spacing w:before="0" w:after="283"/>
              <w:jc w:val="center"/>
              <w:rPr/>
            </w:pPr>
            <w:r>
              <w:rPr/>
              <w:t>—</w:t>
            </w:r>
          </w:p>
        </w:tc>
        <w:tc>
          <w:tcPr>
            <w:tcW w:w="1119" w:type="dxa"/>
            <w:tcBorders/>
            <w:shd w:fill="CCEEFF" w:val="clear"/>
            <w:vAlign w:val="center"/>
          </w:tcPr>
          <w:p>
            <w:pPr>
              <w:pStyle w:val="TableContents"/>
              <w:bidi w:val="0"/>
              <w:spacing w:before="0" w:after="283"/>
              <w:jc w:val="center"/>
              <w:rPr>
                <w:sz w:val="16"/>
              </w:rPr>
            </w:pPr>
            <w:r>
              <w:rPr>
                <w:sz w:val="16"/>
              </w:rPr>
              <w:t>199,000</w:t>
            </w:r>
          </w:p>
        </w:tc>
      </w:tr>
      <w:tr>
        <w:trPr/>
        <w:tc>
          <w:tcPr>
            <w:tcW w:w="919" w:type="dxa"/>
            <w:vMerge w:val="continue"/>
            <w:tcBorders/>
            <w:shd w:fill="CCEEFF" w:val="clear"/>
            <w:vAlign w:val="center"/>
          </w:tcPr>
          <w:p>
            <w:pPr>
              <w:pStyle w:val="Normal"/>
              <w:bidi w:val="0"/>
              <w:jc w:val="left"/>
              <w:rPr/>
            </w:pPr>
            <w:r>
              <w:rPr/>
            </w:r>
          </w:p>
        </w:tc>
        <w:tc>
          <w:tcPr>
            <w:tcW w:w="534" w:type="dxa"/>
            <w:tcBorders/>
            <w:shd w:fill="CCEEFF" w:val="clear"/>
            <w:vAlign w:val="center"/>
          </w:tcPr>
          <w:p>
            <w:pPr>
              <w:pStyle w:val="TableContents"/>
              <w:bidi w:val="0"/>
              <w:spacing w:before="0" w:after="283"/>
              <w:jc w:val="center"/>
              <w:rPr>
                <w:sz w:val="16"/>
              </w:rPr>
            </w:pPr>
            <w:r>
              <w:rPr>
                <w:sz w:val="16"/>
              </w:rPr>
              <w:t>6/5/2025</w:t>
            </w:r>
          </w:p>
        </w:tc>
        <w:tc>
          <w:tcPr>
            <w:tcW w:w="840" w:type="dxa"/>
            <w:tcBorders/>
            <w:shd w:fill="CCEEFF" w:val="clear"/>
            <w:vAlign w:val="center"/>
          </w:tcPr>
          <w:p>
            <w:pPr>
              <w:pStyle w:val="TableContents"/>
              <w:bidi w:val="0"/>
              <w:spacing w:before="0" w:after="283"/>
              <w:jc w:val="center"/>
              <w:rPr/>
            </w:pPr>
            <w:r>
              <w:rPr/>
              <w:t>—</w:t>
            </w:r>
          </w:p>
        </w:tc>
        <w:tc>
          <w:tcPr>
            <w:tcW w:w="693" w:type="dxa"/>
            <w:tcBorders/>
            <w:shd w:fill="CCEEFF" w:val="clear"/>
            <w:vAlign w:val="center"/>
          </w:tcPr>
          <w:p>
            <w:pPr>
              <w:pStyle w:val="TableContents"/>
              <w:bidi w:val="0"/>
              <w:spacing w:before="0" w:after="283"/>
              <w:jc w:val="center"/>
              <w:rPr/>
            </w:pPr>
            <w:r>
              <w:rPr/>
              <w:t>—</w:t>
            </w:r>
          </w:p>
        </w:tc>
        <w:tc>
          <w:tcPr>
            <w:tcW w:w="903" w:type="dxa"/>
            <w:tcBorders/>
            <w:shd w:fill="CCEEFF" w:val="clear"/>
            <w:vAlign w:val="center"/>
          </w:tcPr>
          <w:p>
            <w:pPr>
              <w:pStyle w:val="TableContents"/>
              <w:bidi w:val="0"/>
              <w:spacing w:before="0" w:after="283"/>
              <w:jc w:val="center"/>
              <w:rPr/>
            </w:pPr>
            <w:r>
              <w:rPr/>
              <w:t>—</w:t>
            </w:r>
          </w:p>
        </w:tc>
        <w:tc>
          <w:tcPr>
            <w:tcW w:w="831" w:type="dxa"/>
            <w:tcBorders/>
            <w:shd w:fill="CCEEFF" w:val="clear"/>
            <w:vAlign w:val="center"/>
          </w:tcPr>
          <w:p>
            <w:pPr>
              <w:pStyle w:val="TableContents"/>
              <w:bidi w:val="0"/>
              <w:spacing w:before="0" w:after="283"/>
              <w:jc w:val="center"/>
              <w:rPr/>
            </w:pPr>
            <w:r>
              <w:rPr/>
              <w:t>—</w:t>
            </w:r>
          </w:p>
        </w:tc>
        <w:tc>
          <w:tcPr>
            <w:tcW w:w="685" w:type="dxa"/>
            <w:tcBorders/>
            <w:shd w:fill="CCEEFF" w:val="clear"/>
            <w:vAlign w:val="center"/>
          </w:tcPr>
          <w:p>
            <w:pPr>
              <w:pStyle w:val="TableContents"/>
              <w:bidi w:val="0"/>
              <w:spacing w:before="0" w:after="283"/>
              <w:jc w:val="center"/>
              <w:rPr/>
            </w:pPr>
            <w:r>
              <w:rPr/>
              <w:t>—</w:t>
            </w:r>
          </w:p>
        </w:tc>
        <w:tc>
          <w:tcPr>
            <w:tcW w:w="890" w:type="dxa"/>
            <w:tcBorders/>
            <w:shd w:fill="CCEEFF" w:val="clear"/>
            <w:vAlign w:val="center"/>
          </w:tcPr>
          <w:p>
            <w:pPr>
              <w:pStyle w:val="TableContents"/>
              <w:bidi w:val="0"/>
              <w:spacing w:before="0" w:after="283"/>
              <w:jc w:val="center"/>
              <w:rPr/>
            </w:pPr>
            <w:r>
              <w:rPr/>
              <w:t>—</w:t>
            </w:r>
          </w:p>
        </w:tc>
        <w:tc>
          <w:tcPr>
            <w:tcW w:w="725" w:type="dxa"/>
            <w:tcBorders/>
            <w:shd w:fill="CCEEFF" w:val="clear"/>
            <w:vAlign w:val="center"/>
          </w:tcPr>
          <w:p>
            <w:pPr>
              <w:pStyle w:val="TableContents"/>
              <w:bidi w:val="0"/>
              <w:spacing w:before="0" w:after="283"/>
              <w:jc w:val="center"/>
              <w:rPr>
                <w:sz w:val="16"/>
              </w:rPr>
            </w:pPr>
            <w:r>
              <w:rPr>
                <w:sz w:val="16"/>
              </w:rPr>
              <w:t>50,000</w:t>
            </w:r>
            <w:r>
              <w:rPr>
                <w:position w:val="5"/>
                <w:sz w:val="13"/>
                <w:sz w:val="16"/>
              </w:rPr>
              <w:t>(3)</w:t>
            </w:r>
          </w:p>
        </w:tc>
        <w:tc>
          <w:tcPr>
            <w:tcW w:w="1206" w:type="dxa"/>
            <w:tcBorders/>
            <w:shd w:fill="CCEEFF" w:val="clear"/>
            <w:vAlign w:val="center"/>
          </w:tcPr>
          <w:p>
            <w:pPr>
              <w:pStyle w:val="TableContents"/>
              <w:bidi w:val="0"/>
              <w:spacing w:before="0" w:after="283"/>
              <w:jc w:val="center"/>
              <w:rPr/>
            </w:pPr>
            <w:r>
              <w:rPr/>
              <w:t>—</w:t>
            </w:r>
          </w:p>
        </w:tc>
        <w:tc>
          <w:tcPr>
            <w:tcW w:w="860" w:type="dxa"/>
            <w:tcBorders/>
            <w:shd w:fill="CCEEFF" w:val="clear"/>
            <w:vAlign w:val="center"/>
          </w:tcPr>
          <w:p>
            <w:pPr>
              <w:pStyle w:val="TableContents"/>
              <w:bidi w:val="0"/>
              <w:spacing w:before="0" w:after="283"/>
              <w:jc w:val="center"/>
              <w:rPr/>
            </w:pPr>
            <w:r>
              <w:rPr/>
              <w:t>—</w:t>
            </w:r>
          </w:p>
        </w:tc>
        <w:tc>
          <w:tcPr>
            <w:tcW w:w="1119" w:type="dxa"/>
            <w:tcBorders/>
            <w:shd w:fill="CCEEFF" w:val="clear"/>
            <w:vAlign w:val="center"/>
          </w:tcPr>
          <w:p>
            <w:pPr>
              <w:pStyle w:val="TableContents"/>
              <w:bidi w:val="0"/>
              <w:spacing w:before="0" w:after="283"/>
              <w:jc w:val="center"/>
              <w:rPr>
                <w:sz w:val="16"/>
              </w:rPr>
            </w:pPr>
            <w:r>
              <w:rPr>
                <w:sz w:val="16"/>
              </w:rPr>
              <w:t>172,000</w:t>
            </w:r>
          </w:p>
        </w:tc>
      </w:tr>
      <w:tr>
        <w:trPr/>
        <w:tc>
          <w:tcPr>
            <w:tcW w:w="919" w:type="dxa"/>
            <w:tcBorders/>
            <w:shd w:fill="CCEEFF" w:val="clear"/>
            <w:vAlign w:val="center"/>
          </w:tcPr>
          <w:p>
            <w:pPr>
              <w:pStyle w:val="TableContents"/>
              <w:bidi w:val="0"/>
              <w:spacing w:before="0" w:after="283"/>
              <w:jc w:val="left"/>
              <w:rPr/>
            </w:pPr>
            <w:r>
              <w:rPr/>
              <w:t> </w:t>
            </w:r>
          </w:p>
        </w:tc>
        <w:tc>
          <w:tcPr>
            <w:tcW w:w="534" w:type="dxa"/>
            <w:tcBorders/>
            <w:shd w:fill="CCEEFF" w:val="clear"/>
            <w:vAlign w:val="center"/>
          </w:tcPr>
          <w:p>
            <w:pPr>
              <w:pStyle w:val="TableContents"/>
              <w:bidi w:val="0"/>
              <w:spacing w:before="0" w:after="283"/>
              <w:jc w:val="center"/>
              <w:rPr>
                <w:sz w:val="16"/>
              </w:rPr>
            </w:pPr>
            <w:r>
              <w:rPr>
                <w:sz w:val="16"/>
              </w:rPr>
              <w:t>6/5/2025</w:t>
            </w:r>
          </w:p>
        </w:tc>
        <w:tc>
          <w:tcPr>
            <w:tcW w:w="840" w:type="dxa"/>
            <w:tcBorders/>
            <w:shd w:fill="CCEEFF" w:val="clear"/>
            <w:vAlign w:val="center"/>
          </w:tcPr>
          <w:p>
            <w:pPr>
              <w:pStyle w:val="TableContents"/>
              <w:bidi w:val="0"/>
              <w:spacing w:before="0" w:after="283"/>
              <w:jc w:val="center"/>
              <w:rPr>
                <w:sz w:val="16"/>
              </w:rPr>
            </w:pPr>
            <w:r>
              <w:rPr>
                <w:sz w:val="16"/>
              </w:rPr>
              <w:t>20,000</w:t>
            </w:r>
          </w:p>
        </w:tc>
        <w:tc>
          <w:tcPr>
            <w:tcW w:w="693" w:type="dxa"/>
            <w:tcBorders/>
            <w:shd w:fill="CCEEFF" w:val="clear"/>
            <w:vAlign w:val="center"/>
          </w:tcPr>
          <w:p>
            <w:pPr>
              <w:pStyle w:val="TableContents"/>
              <w:bidi w:val="0"/>
              <w:spacing w:before="0" w:after="283"/>
              <w:jc w:val="center"/>
              <w:rPr>
                <w:sz w:val="16"/>
              </w:rPr>
            </w:pPr>
            <w:r>
              <w:rPr>
                <w:sz w:val="16"/>
              </w:rPr>
              <w:t>200,000</w:t>
            </w:r>
          </w:p>
        </w:tc>
        <w:tc>
          <w:tcPr>
            <w:tcW w:w="903" w:type="dxa"/>
            <w:tcBorders/>
            <w:shd w:fill="CCEEFF" w:val="clear"/>
            <w:vAlign w:val="center"/>
          </w:tcPr>
          <w:p>
            <w:pPr>
              <w:pStyle w:val="TableContents"/>
              <w:bidi w:val="0"/>
              <w:spacing w:before="0" w:after="283"/>
              <w:jc w:val="center"/>
              <w:rPr>
                <w:sz w:val="16"/>
              </w:rPr>
            </w:pPr>
            <w:r>
              <w:rPr>
                <w:sz w:val="16"/>
              </w:rPr>
              <w:t>240,000</w:t>
            </w:r>
          </w:p>
        </w:tc>
        <w:tc>
          <w:tcPr>
            <w:tcW w:w="831" w:type="dxa"/>
            <w:tcBorders/>
            <w:shd w:fill="CCEEFF" w:val="clear"/>
            <w:vAlign w:val="center"/>
          </w:tcPr>
          <w:p>
            <w:pPr>
              <w:pStyle w:val="TableContents"/>
              <w:bidi w:val="0"/>
              <w:spacing w:before="0" w:after="283"/>
              <w:jc w:val="center"/>
              <w:rPr>
                <w:sz w:val="16"/>
              </w:rPr>
            </w:pPr>
            <w:r>
              <w:rPr>
                <w:sz w:val="16"/>
              </w:rPr>
              <w:t>5,000</w:t>
            </w:r>
          </w:p>
        </w:tc>
        <w:tc>
          <w:tcPr>
            <w:tcW w:w="685" w:type="dxa"/>
            <w:tcBorders/>
            <w:shd w:fill="CCEEFF" w:val="clear"/>
            <w:vAlign w:val="center"/>
          </w:tcPr>
          <w:p>
            <w:pPr>
              <w:pStyle w:val="TableContents"/>
              <w:bidi w:val="0"/>
              <w:spacing w:before="0" w:after="283"/>
              <w:jc w:val="center"/>
              <w:rPr>
                <w:sz w:val="16"/>
              </w:rPr>
            </w:pPr>
            <w:r>
              <w:rPr>
                <w:sz w:val="16"/>
              </w:rPr>
              <w:t>50,000</w:t>
            </w:r>
          </w:p>
        </w:tc>
        <w:tc>
          <w:tcPr>
            <w:tcW w:w="890" w:type="dxa"/>
            <w:tcBorders/>
            <w:shd w:fill="CCEEFF" w:val="clear"/>
            <w:vAlign w:val="center"/>
          </w:tcPr>
          <w:p>
            <w:pPr>
              <w:pStyle w:val="TableContents"/>
              <w:bidi w:val="0"/>
              <w:spacing w:before="0" w:after="283"/>
              <w:jc w:val="center"/>
              <w:rPr>
                <w:sz w:val="16"/>
              </w:rPr>
            </w:pPr>
            <w:r>
              <w:rPr>
                <w:sz w:val="16"/>
              </w:rPr>
              <w:t>60,000</w:t>
            </w:r>
          </w:p>
        </w:tc>
        <w:tc>
          <w:tcPr>
            <w:tcW w:w="725" w:type="dxa"/>
            <w:tcBorders/>
            <w:shd w:fill="CCEEFF" w:val="clear"/>
            <w:vAlign w:val="center"/>
          </w:tcPr>
          <w:p>
            <w:pPr>
              <w:pStyle w:val="TableContents"/>
              <w:bidi w:val="0"/>
              <w:spacing w:before="0" w:after="283"/>
              <w:jc w:val="center"/>
              <w:rPr/>
            </w:pPr>
            <w:r>
              <w:rPr/>
              <w:t>—</w:t>
            </w:r>
          </w:p>
        </w:tc>
        <w:tc>
          <w:tcPr>
            <w:tcW w:w="1206" w:type="dxa"/>
            <w:tcBorders/>
            <w:shd w:fill="CCEEFF" w:val="clear"/>
            <w:vAlign w:val="center"/>
          </w:tcPr>
          <w:p>
            <w:pPr>
              <w:pStyle w:val="TableContents"/>
              <w:bidi w:val="0"/>
              <w:spacing w:before="0" w:after="283"/>
              <w:jc w:val="center"/>
              <w:rPr/>
            </w:pPr>
            <w:r>
              <w:rPr/>
              <w:t>—</w:t>
            </w:r>
          </w:p>
        </w:tc>
        <w:tc>
          <w:tcPr>
            <w:tcW w:w="860" w:type="dxa"/>
            <w:tcBorders/>
            <w:shd w:fill="CCEEFF" w:val="clear"/>
            <w:vAlign w:val="center"/>
          </w:tcPr>
          <w:p>
            <w:pPr>
              <w:pStyle w:val="TableContents"/>
              <w:bidi w:val="0"/>
              <w:spacing w:before="0" w:after="283"/>
              <w:jc w:val="center"/>
              <w:rPr/>
            </w:pPr>
            <w:r>
              <w:rPr/>
              <w:t>—</w:t>
            </w:r>
          </w:p>
        </w:tc>
        <w:tc>
          <w:tcPr>
            <w:tcW w:w="1119" w:type="dxa"/>
            <w:tcBorders/>
            <w:shd w:fill="CCEEFF" w:val="clear"/>
            <w:vAlign w:val="center"/>
          </w:tcPr>
          <w:p>
            <w:pPr>
              <w:pStyle w:val="TableContents"/>
              <w:bidi w:val="0"/>
              <w:spacing w:before="0" w:after="283"/>
              <w:jc w:val="center"/>
              <w:rPr>
                <w:sz w:val="16"/>
              </w:rPr>
            </w:pPr>
            <w:r>
              <w:rPr>
                <w:sz w:val="16"/>
              </w:rPr>
              <w:t>172,000</w:t>
            </w:r>
          </w:p>
        </w:tc>
      </w:tr>
      <w:tr>
        <w:trPr/>
        <w:tc>
          <w:tcPr>
            <w:tcW w:w="919" w:type="dxa"/>
            <w:vMerge w:val="restart"/>
            <w:tcBorders/>
            <w:vAlign w:val="center"/>
          </w:tcPr>
          <w:p>
            <w:pPr>
              <w:pStyle w:val="TableContents"/>
              <w:bidi w:val="0"/>
              <w:spacing w:before="0" w:after="283"/>
              <w:jc w:val="left"/>
              <w:rPr>
                <w:sz w:val="16"/>
              </w:rPr>
            </w:pPr>
            <w:r>
              <w:rPr>
                <w:sz w:val="16"/>
              </w:rPr>
              <w:t>Carl T. Schultz</w:t>
            </w:r>
          </w:p>
        </w:tc>
        <w:tc>
          <w:tcPr>
            <w:tcW w:w="534" w:type="dxa"/>
            <w:tcBorders/>
            <w:vAlign w:val="center"/>
          </w:tcPr>
          <w:p>
            <w:pPr>
              <w:pStyle w:val="TableContents"/>
              <w:bidi w:val="0"/>
              <w:spacing w:before="0" w:after="283"/>
              <w:jc w:val="center"/>
              <w:rPr>
                <w:sz w:val="16"/>
              </w:rPr>
            </w:pPr>
            <w:r>
              <w:rPr>
                <w:sz w:val="16"/>
              </w:rPr>
              <w:t>6/2/2025</w:t>
            </w:r>
          </w:p>
        </w:tc>
        <w:tc>
          <w:tcPr>
            <w:tcW w:w="840" w:type="dxa"/>
            <w:tcBorders/>
            <w:vAlign w:val="center"/>
          </w:tcPr>
          <w:p>
            <w:pPr>
              <w:pStyle w:val="TableContents"/>
              <w:bidi w:val="0"/>
              <w:spacing w:before="0" w:after="283"/>
              <w:jc w:val="center"/>
              <w:rPr/>
            </w:pPr>
            <w:r>
              <w:rPr/>
              <w:t>—</w:t>
            </w:r>
          </w:p>
        </w:tc>
        <w:tc>
          <w:tcPr>
            <w:tcW w:w="693" w:type="dxa"/>
            <w:tcBorders/>
            <w:vAlign w:val="center"/>
          </w:tcPr>
          <w:p>
            <w:pPr>
              <w:pStyle w:val="TableContents"/>
              <w:bidi w:val="0"/>
              <w:spacing w:before="0" w:after="283"/>
              <w:jc w:val="center"/>
              <w:rPr/>
            </w:pPr>
            <w:r>
              <w:rPr/>
              <w:t>—</w:t>
            </w:r>
          </w:p>
        </w:tc>
        <w:tc>
          <w:tcPr>
            <w:tcW w:w="903" w:type="dxa"/>
            <w:tcBorders/>
            <w:vAlign w:val="center"/>
          </w:tcPr>
          <w:p>
            <w:pPr>
              <w:pStyle w:val="TableContents"/>
              <w:bidi w:val="0"/>
              <w:spacing w:before="0" w:after="283"/>
              <w:jc w:val="center"/>
              <w:rPr/>
            </w:pPr>
            <w:r>
              <w:rPr/>
              <w:t>—</w:t>
            </w:r>
          </w:p>
        </w:tc>
        <w:tc>
          <w:tcPr>
            <w:tcW w:w="831" w:type="dxa"/>
            <w:tcBorders/>
            <w:vAlign w:val="center"/>
          </w:tcPr>
          <w:p>
            <w:pPr>
              <w:pStyle w:val="TableContents"/>
              <w:bidi w:val="0"/>
              <w:spacing w:before="0" w:after="283"/>
              <w:jc w:val="center"/>
              <w:rPr/>
            </w:pPr>
            <w:r>
              <w:rPr/>
              <w:t>—</w:t>
            </w:r>
          </w:p>
        </w:tc>
        <w:tc>
          <w:tcPr>
            <w:tcW w:w="685" w:type="dxa"/>
            <w:tcBorders/>
            <w:vAlign w:val="center"/>
          </w:tcPr>
          <w:p>
            <w:pPr>
              <w:pStyle w:val="TableContents"/>
              <w:bidi w:val="0"/>
              <w:spacing w:before="0" w:after="283"/>
              <w:jc w:val="center"/>
              <w:rPr/>
            </w:pPr>
            <w:r>
              <w:rPr/>
              <w:t>—</w:t>
            </w:r>
          </w:p>
        </w:tc>
        <w:tc>
          <w:tcPr>
            <w:tcW w:w="890" w:type="dxa"/>
            <w:tcBorders/>
            <w:vAlign w:val="center"/>
          </w:tcPr>
          <w:p>
            <w:pPr>
              <w:pStyle w:val="TableContents"/>
              <w:bidi w:val="0"/>
              <w:spacing w:before="0" w:after="283"/>
              <w:jc w:val="center"/>
              <w:rPr/>
            </w:pPr>
            <w:r>
              <w:rPr/>
              <w:t>—</w:t>
            </w:r>
          </w:p>
        </w:tc>
        <w:tc>
          <w:tcPr>
            <w:tcW w:w="725" w:type="dxa"/>
            <w:tcBorders/>
            <w:vAlign w:val="center"/>
          </w:tcPr>
          <w:p>
            <w:pPr>
              <w:pStyle w:val="TableContents"/>
              <w:bidi w:val="0"/>
              <w:spacing w:before="0" w:after="283"/>
              <w:jc w:val="center"/>
              <w:rPr/>
            </w:pPr>
            <w:r>
              <w:rPr/>
              <w:t>—</w:t>
            </w:r>
          </w:p>
        </w:tc>
        <w:tc>
          <w:tcPr>
            <w:tcW w:w="1206" w:type="dxa"/>
            <w:tcBorders/>
            <w:vAlign w:val="center"/>
          </w:tcPr>
          <w:p>
            <w:pPr>
              <w:pStyle w:val="TableContents"/>
              <w:bidi w:val="0"/>
              <w:spacing w:before="0" w:after="283"/>
              <w:jc w:val="center"/>
              <w:rPr>
                <w:sz w:val="16"/>
              </w:rPr>
            </w:pPr>
            <w:r>
              <w:rPr>
                <w:sz w:val="16"/>
              </w:rPr>
              <w:t>300,000</w:t>
            </w:r>
            <w:r>
              <w:rPr>
                <w:position w:val="5"/>
                <w:sz w:val="13"/>
                <w:sz w:val="16"/>
              </w:rPr>
              <w:t>(6)</w:t>
            </w:r>
          </w:p>
        </w:tc>
        <w:tc>
          <w:tcPr>
            <w:tcW w:w="860" w:type="dxa"/>
            <w:tcBorders/>
            <w:vAlign w:val="center"/>
          </w:tcPr>
          <w:p>
            <w:pPr>
              <w:pStyle w:val="TableContents"/>
              <w:bidi w:val="0"/>
              <w:spacing w:before="0" w:after="283"/>
              <w:jc w:val="center"/>
              <w:rPr>
                <w:sz w:val="16"/>
              </w:rPr>
            </w:pPr>
            <w:r>
              <w:rPr>
                <w:sz w:val="16"/>
              </w:rPr>
              <w:t>3.57</w:t>
            </w:r>
          </w:p>
        </w:tc>
        <w:tc>
          <w:tcPr>
            <w:tcW w:w="1119" w:type="dxa"/>
            <w:tcBorders/>
            <w:vAlign w:val="center"/>
          </w:tcPr>
          <w:p>
            <w:pPr>
              <w:pStyle w:val="TableContents"/>
              <w:bidi w:val="0"/>
              <w:spacing w:before="0" w:after="283"/>
              <w:jc w:val="center"/>
              <w:rPr>
                <w:sz w:val="16"/>
              </w:rPr>
            </w:pPr>
            <w:r>
              <w:rPr>
                <w:sz w:val="16"/>
              </w:rPr>
              <w:t>1,071,000</w:t>
            </w:r>
          </w:p>
        </w:tc>
      </w:tr>
      <w:tr>
        <w:trPr/>
        <w:tc>
          <w:tcPr>
            <w:tcW w:w="919" w:type="dxa"/>
            <w:vMerge w:val="continue"/>
            <w:tcBorders/>
            <w:vAlign w:val="center"/>
          </w:tcPr>
          <w:p>
            <w:pPr>
              <w:pStyle w:val="Normal"/>
              <w:bidi w:val="0"/>
              <w:jc w:val="left"/>
              <w:rPr/>
            </w:pPr>
            <w:r>
              <w:rPr/>
            </w:r>
          </w:p>
        </w:tc>
        <w:tc>
          <w:tcPr>
            <w:tcW w:w="534" w:type="dxa"/>
            <w:tcBorders/>
            <w:vAlign w:val="center"/>
          </w:tcPr>
          <w:p>
            <w:pPr>
              <w:pStyle w:val="TableContents"/>
              <w:bidi w:val="0"/>
              <w:spacing w:before="0" w:after="283"/>
              <w:jc w:val="center"/>
              <w:rPr>
                <w:sz w:val="16"/>
              </w:rPr>
            </w:pPr>
            <w:r>
              <w:rPr>
                <w:sz w:val="16"/>
              </w:rPr>
              <w:t>6/2/2025</w:t>
            </w:r>
          </w:p>
        </w:tc>
        <w:tc>
          <w:tcPr>
            <w:tcW w:w="840" w:type="dxa"/>
            <w:tcBorders/>
            <w:vAlign w:val="center"/>
          </w:tcPr>
          <w:p>
            <w:pPr>
              <w:pStyle w:val="TableContents"/>
              <w:bidi w:val="0"/>
              <w:spacing w:before="0" w:after="283"/>
              <w:jc w:val="center"/>
              <w:rPr/>
            </w:pPr>
            <w:r>
              <w:rPr/>
              <w:t>—</w:t>
            </w:r>
          </w:p>
        </w:tc>
        <w:tc>
          <w:tcPr>
            <w:tcW w:w="693" w:type="dxa"/>
            <w:tcBorders/>
            <w:vAlign w:val="center"/>
          </w:tcPr>
          <w:p>
            <w:pPr>
              <w:pStyle w:val="TableContents"/>
              <w:bidi w:val="0"/>
              <w:spacing w:before="0" w:after="283"/>
              <w:jc w:val="center"/>
              <w:rPr/>
            </w:pPr>
            <w:r>
              <w:rPr/>
              <w:t>—</w:t>
            </w:r>
          </w:p>
        </w:tc>
        <w:tc>
          <w:tcPr>
            <w:tcW w:w="903" w:type="dxa"/>
            <w:tcBorders/>
            <w:vAlign w:val="center"/>
          </w:tcPr>
          <w:p>
            <w:pPr>
              <w:pStyle w:val="TableContents"/>
              <w:bidi w:val="0"/>
              <w:spacing w:before="0" w:after="283"/>
              <w:jc w:val="center"/>
              <w:rPr/>
            </w:pPr>
            <w:r>
              <w:rPr/>
              <w:t>—</w:t>
            </w:r>
          </w:p>
        </w:tc>
        <w:tc>
          <w:tcPr>
            <w:tcW w:w="831" w:type="dxa"/>
            <w:tcBorders/>
            <w:vAlign w:val="center"/>
          </w:tcPr>
          <w:p>
            <w:pPr>
              <w:pStyle w:val="TableContents"/>
              <w:bidi w:val="0"/>
              <w:spacing w:before="0" w:after="283"/>
              <w:jc w:val="center"/>
              <w:rPr/>
            </w:pPr>
            <w:r>
              <w:rPr/>
              <w:t>—</w:t>
            </w:r>
          </w:p>
        </w:tc>
        <w:tc>
          <w:tcPr>
            <w:tcW w:w="685" w:type="dxa"/>
            <w:tcBorders/>
            <w:vAlign w:val="center"/>
          </w:tcPr>
          <w:p>
            <w:pPr>
              <w:pStyle w:val="TableContents"/>
              <w:bidi w:val="0"/>
              <w:spacing w:before="0" w:after="283"/>
              <w:jc w:val="center"/>
              <w:rPr/>
            </w:pPr>
            <w:r>
              <w:rPr/>
              <w:t>—</w:t>
            </w:r>
          </w:p>
        </w:tc>
        <w:tc>
          <w:tcPr>
            <w:tcW w:w="890" w:type="dxa"/>
            <w:tcBorders/>
            <w:vAlign w:val="center"/>
          </w:tcPr>
          <w:p>
            <w:pPr>
              <w:pStyle w:val="TableContents"/>
              <w:bidi w:val="0"/>
              <w:spacing w:before="0" w:after="283"/>
              <w:jc w:val="center"/>
              <w:rPr/>
            </w:pPr>
            <w:r>
              <w:rPr/>
              <w:t>—</w:t>
            </w:r>
          </w:p>
        </w:tc>
        <w:tc>
          <w:tcPr>
            <w:tcW w:w="725" w:type="dxa"/>
            <w:tcBorders/>
            <w:vAlign w:val="center"/>
          </w:tcPr>
          <w:p>
            <w:pPr>
              <w:pStyle w:val="TableContents"/>
              <w:bidi w:val="0"/>
              <w:spacing w:before="0" w:after="283"/>
              <w:jc w:val="center"/>
              <w:rPr>
                <w:sz w:val="16"/>
              </w:rPr>
            </w:pPr>
            <w:r>
              <w:rPr>
                <w:sz w:val="16"/>
              </w:rPr>
              <w:t>35,000</w:t>
            </w:r>
            <w:r>
              <w:rPr>
                <w:position w:val="5"/>
                <w:sz w:val="13"/>
                <w:sz w:val="16"/>
              </w:rPr>
              <w:t>(8)</w:t>
            </w:r>
          </w:p>
        </w:tc>
        <w:tc>
          <w:tcPr>
            <w:tcW w:w="1206" w:type="dxa"/>
            <w:tcBorders/>
            <w:vAlign w:val="center"/>
          </w:tcPr>
          <w:p>
            <w:pPr>
              <w:pStyle w:val="TableContents"/>
              <w:bidi w:val="0"/>
              <w:spacing w:before="0" w:after="283"/>
              <w:jc w:val="center"/>
              <w:rPr/>
            </w:pPr>
            <w:r>
              <w:rPr/>
              <w:t>—</w:t>
            </w:r>
          </w:p>
        </w:tc>
        <w:tc>
          <w:tcPr>
            <w:tcW w:w="860" w:type="dxa"/>
            <w:tcBorders/>
            <w:vAlign w:val="center"/>
          </w:tcPr>
          <w:p>
            <w:pPr>
              <w:pStyle w:val="TableContents"/>
              <w:bidi w:val="0"/>
              <w:spacing w:before="0" w:after="283"/>
              <w:jc w:val="center"/>
              <w:rPr/>
            </w:pPr>
            <w:r>
              <w:rPr/>
              <w:t>—</w:t>
            </w:r>
          </w:p>
        </w:tc>
        <w:tc>
          <w:tcPr>
            <w:tcW w:w="1119" w:type="dxa"/>
            <w:tcBorders/>
            <w:vAlign w:val="center"/>
          </w:tcPr>
          <w:p>
            <w:pPr>
              <w:pStyle w:val="TableContents"/>
              <w:bidi w:val="0"/>
              <w:spacing w:before="0" w:after="283"/>
              <w:jc w:val="center"/>
              <w:rPr>
                <w:sz w:val="16"/>
              </w:rPr>
            </w:pPr>
            <w:r>
              <w:rPr>
                <w:sz w:val="16"/>
              </w:rPr>
              <w:t>124,950</w:t>
            </w:r>
          </w:p>
        </w:tc>
      </w:tr>
      <w:tr>
        <w:trPr/>
        <w:tc>
          <w:tcPr>
            <w:tcW w:w="919" w:type="dxa"/>
            <w:vMerge w:val="continue"/>
            <w:tcBorders/>
            <w:vAlign w:val="center"/>
          </w:tcPr>
          <w:p>
            <w:pPr>
              <w:pStyle w:val="Normal"/>
              <w:bidi w:val="0"/>
              <w:jc w:val="left"/>
              <w:rPr/>
            </w:pPr>
            <w:r>
              <w:rPr/>
            </w:r>
          </w:p>
        </w:tc>
        <w:tc>
          <w:tcPr>
            <w:tcW w:w="534" w:type="dxa"/>
            <w:tcBorders/>
            <w:vAlign w:val="center"/>
          </w:tcPr>
          <w:p>
            <w:pPr>
              <w:pStyle w:val="TableContents"/>
              <w:bidi w:val="0"/>
              <w:spacing w:before="0" w:after="283"/>
              <w:jc w:val="center"/>
              <w:rPr>
                <w:sz w:val="16"/>
              </w:rPr>
            </w:pPr>
            <w:r>
              <w:rPr>
                <w:sz w:val="16"/>
              </w:rPr>
              <w:t>6/5/2025</w:t>
            </w:r>
          </w:p>
        </w:tc>
        <w:tc>
          <w:tcPr>
            <w:tcW w:w="840" w:type="dxa"/>
            <w:tcBorders/>
            <w:vAlign w:val="center"/>
          </w:tcPr>
          <w:p>
            <w:pPr>
              <w:pStyle w:val="TableContents"/>
              <w:bidi w:val="0"/>
              <w:spacing w:before="0" w:after="283"/>
              <w:jc w:val="center"/>
              <w:rPr/>
            </w:pPr>
            <w:r>
              <w:rPr/>
              <w:t>—</w:t>
            </w:r>
          </w:p>
        </w:tc>
        <w:tc>
          <w:tcPr>
            <w:tcW w:w="693" w:type="dxa"/>
            <w:tcBorders/>
            <w:vAlign w:val="center"/>
          </w:tcPr>
          <w:p>
            <w:pPr>
              <w:pStyle w:val="TableContents"/>
              <w:bidi w:val="0"/>
              <w:spacing w:before="0" w:after="283"/>
              <w:jc w:val="center"/>
              <w:rPr/>
            </w:pPr>
            <w:r>
              <w:rPr/>
              <w:t>—</w:t>
            </w:r>
          </w:p>
        </w:tc>
        <w:tc>
          <w:tcPr>
            <w:tcW w:w="903" w:type="dxa"/>
            <w:tcBorders/>
            <w:vAlign w:val="center"/>
          </w:tcPr>
          <w:p>
            <w:pPr>
              <w:pStyle w:val="TableContents"/>
              <w:bidi w:val="0"/>
              <w:spacing w:before="0" w:after="283"/>
              <w:jc w:val="center"/>
              <w:rPr/>
            </w:pPr>
            <w:r>
              <w:rPr/>
              <w:t>—</w:t>
            </w:r>
          </w:p>
        </w:tc>
        <w:tc>
          <w:tcPr>
            <w:tcW w:w="831" w:type="dxa"/>
            <w:tcBorders/>
            <w:vAlign w:val="center"/>
          </w:tcPr>
          <w:p>
            <w:pPr>
              <w:pStyle w:val="TableContents"/>
              <w:bidi w:val="0"/>
              <w:spacing w:before="0" w:after="283"/>
              <w:jc w:val="center"/>
              <w:rPr/>
            </w:pPr>
            <w:r>
              <w:rPr/>
              <w:t>—</w:t>
            </w:r>
          </w:p>
        </w:tc>
        <w:tc>
          <w:tcPr>
            <w:tcW w:w="685" w:type="dxa"/>
            <w:tcBorders/>
            <w:vAlign w:val="center"/>
          </w:tcPr>
          <w:p>
            <w:pPr>
              <w:pStyle w:val="TableContents"/>
              <w:bidi w:val="0"/>
              <w:spacing w:before="0" w:after="283"/>
              <w:jc w:val="center"/>
              <w:rPr/>
            </w:pPr>
            <w:r>
              <w:rPr/>
              <w:t>—</w:t>
            </w:r>
          </w:p>
        </w:tc>
        <w:tc>
          <w:tcPr>
            <w:tcW w:w="890" w:type="dxa"/>
            <w:tcBorders/>
            <w:vAlign w:val="center"/>
          </w:tcPr>
          <w:p>
            <w:pPr>
              <w:pStyle w:val="TableContents"/>
              <w:bidi w:val="0"/>
              <w:spacing w:before="0" w:after="283"/>
              <w:jc w:val="center"/>
              <w:rPr/>
            </w:pPr>
            <w:r>
              <w:rPr/>
              <w:t>—</w:t>
            </w:r>
          </w:p>
        </w:tc>
        <w:tc>
          <w:tcPr>
            <w:tcW w:w="725" w:type="dxa"/>
            <w:tcBorders/>
            <w:vAlign w:val="center"/>
          </w:tcPr>
          <w:p>
            <w:pPr>
              <w:pStyle w:val="TableContents"/>
              <w:bidi w:val="0"/>
              <w:spacing w:before="0" w:after="283"/>
              <w:jc w:val="center"/>
              <w:rPr>
                <w:sz w:val="16"/>
              </w:rPr>
            </w:pPr>
            <w:r>
              <w:rPr>
                <w:sz w:val="16"/>
              </w:rPr>
              <w:t>35,000</w:t>
            </w:r>
            <w:r>
              <w:rPr>
                <w:position w:val="5"/>
                <w:sz w:val="13"/>
                <w:sz w:val="16"/>
              </w:rPr>
              <w:t>(3)</w:t>
            </w:r>
          </w:p>
        </w:tc>
        <w:tc>
          <w:tcPr>
            <w:tcW w:w="1206" w:type="dxa"/>
            <w:tcBorders/>
            <w:vAlign w:val="center"/>
          </w:tcPr>
          <w:p>
            <w:pPr>
              <w:pStyle w:val="TableContents"/>
              <w:bidi w:val="0"/>
              <w:spacing w:before="0" w:after="283"/>
              <w:jc w:val="center"/>
              <w:rPr/>
            </w:pPr>
            <w:r>
              <w:rPr/>
              <w:t>—</w:t>
            </w:r>
          </w:p>
        </w:tc>
        <w:tc>
          <w:tcPr>
            <w:tcW w:w="860" w:type="dxa"/>
            <w:tcBorders/>
            <w:vAlign w:val="center"/>
          </w:tcPr>
          <w:p>
            <w:pPr>
              <w:pStyle w:val="TableContents"/>
              <w:bidi w:val="0"/>
              <w:spacing w:before="0" w:after="283"/>
              <w:jc w:val="center"/>
              <w:rPr/>
            </w:pPr>
            <w:r>
              <w:rPr/>
              <w:t>—</w:t>
            </w:r>
          </w:p>
        </w:tc>
        <w:tc>
          <w:tcPr>
            <w:tcW w:w="1119" w:type="dxa"/>
            <w:tcBorders/>
            <w:vAlign w:val="center"/>
          </w:tcPr>
          <w:p>
            <w:pPr>
              <w:pStyle w:val="TableContents"/>
              <w:bidi w:val="0"/>
              <w:spacing w:before="0" w:after="283"/>
              <w:jc w:val="center"/>
              <w:rPr>
                <w:sz w:val="16"/>
              </w:rPr>
            </w:pPr>
            <w:r>
              <w:rPr>
                <w:sz w:val="16"/>
              </w:rPr>
              <w:t>120,400</w:t>
            </w:r>
          </w:p>
        </w:tc>
      </w:tr>
      <w:tr>
        <w:trPr/>
        <w:tc>
          <w:tcPr>
            <w:tcW w:w="919" w:type="dxa"/>
            <w:tcBorders/>
            <w:vAlign w:val="center"/>
          </w:tcPr>
          <w:p>
            <w:pPr>
              <w:pStyle w:val="TableContents"/>
              <w:bidi w:val="0"/>
              <w:spacing w:before="0" w:after="283"/>
              <w:jc w:val="left"/>
              <w:rPr/>
            </w:pPr>
            <w:r>
              <w:rPr/>
              <w:t> </w:t>
            </w:r>
          </w:p>
        </w:tc>
        <w:tc>
          <w:tcPr>
            <w:tcW w:w="534" w:type="dxa"/>
            <w:tcBorders/>
            <w:vAlign w:val="center"/>
          </w:tcPr>
          <w:p>
            <w:pPr>
              <w:pStyle w:val="TableContents"/>
              <w:bidi w:val="0"/>
              <w:spacing w:before="0" w:after="283"/>
              <w:jc w:val="center"/>
              <w:rPr>
                <w:sz w:val="16"/>
              </w:rPr>
            </w:pPr>
            <w:r>
              <w:rPr>
                <w:sz w:val="16"/>
              </w:rPr>
              <w:t>6/5/2025</w:t>
            </w:r>
          </w:p>
        </w:tc>
        <w:tc>
          <w:tcPr>
            <w:tcW w:w="840" w:type="dxa"/>
            <w:tcBorders/>
            <w:vAlign w:val="center"/>
          </w:tcPr>
          <w:p>
            <w:pPr>
              <w:pStyle w:val="TableContents"/>
              <w:bidi w:val="0"/>
              <w:spacing w:before="0" w:after="283"/>
              <w:jc w:val="center"/>
              <w:rPr>
                <w:sz w:val="16"/>
              </w:rPr>
            </w:pPr>
            <w:r>
              <w:rPr>
                <w:sz w:val="16"/>
              </w:rPr>
              <w:t>21,000</w:t>
            </w:r>
          </w:p>
        </w:tc>
        <w:tc>
          <w:tcPr>
            <w:tcW w:w="693" w:type="dxa"/>
            <w:tcBorders/>
            <w:vAlign w:val="center"/>
          </w:tcPr>
          <w:p>
            <w:pPr>
              <w:pStyle w:val="TableContents"/>
              <w:bidi w:val="0"/>
              <w:spacing w:before="0" w:after="283"/>
              <w:jc w:val="center"/>
              <w:rPr>
                <w:sz w:val="16"/>
              </w:rPr>
            </w:pPr>
            <w:r>
              <w:rPr>
                <w:sz w:val="16"/>
              </w:rPr>
              <w:t>210,000</w:t>
            </w:r>
          </w:p>
        </w:tc>
        <w:tc>
          <w:tcPr>
            <w:tcW w:w="903" w:type="dxa"/>
            <w:tcBorders/>
            <w:vAlign w:val="center"/>
          </w:tcPr>
          <w:p>
            <w:pPr>
              <w:pStyle w:val="TableContents"/>
              <w:bidi w:val="0"/>
              <w:spacing w:before="0" w:after="283"/>
              <w:jc w:val="center"/>
              <w:rPr>
                <w:sz w:val="16"/>
              </w:rPr>
            </w:pPr>
            <w:r>
              <w:rPr>
                <w:sz w:val="16"/>
              </w:rPr>
              <w:t>252,000</w:t>
            </w:r>
          </w:p>
        </w:tc>
        <w:tc>
          <w:tcPr>
            <w:tcW w:w="831" w:type="dxa"/>
            <w:tcBorders/>
            <w:vAlign w:val="center"/>
          </w:tcPr>
          <w:p>
            <w:pPr>
              <w:pStyle w:val="TableContents"/>
              <w:bidi w:val="0"/>
              <w:spacing w:before="0" w:after="283"/>
              <w:jc w:val="center"/>
              <w:rPr>
                <w:sz w:val="16"/>
              </w:rPr>
            </w:pPr>
            <w:r>
              <w:rPr>
                <w:sz w:val="16"/>
              </w:rPr>
              <w:t>3,500</w:t>
            </w:r>
          </w:p>
        </w:tc>
        <w:tc>
          <w:tcPr>
            <w:tcW w:w="685" w:type="dxa"/>
            <w:tcBorders/>
            <w:vAlign w:val="center"/>
          </w:tcPr>
          <w:p>
            <w:pPr>
              <w:pStyle w:val="TableContents"/>
              <w:bidi w:val="0"/>
              <w:spacing w:before="0" w:after="283"/>
              <w:jc w:val="center"/>
              <w:rPr>
                <w:sz w:val="16"/>
              </w:rPr>
            </w:pPr>
            <w:r>
              <w:rPr>
                <w:sz w:val="16"/>
              </w:rPr>
              <w:t>35,000</w:t>
            </w:r>
          </w:p>
        </w:tc>
        <w:tc>
          <w:tcPr>
            <w:tcW w:w="890" w:type="dxa"/>
            <w:tcBorders/>
            <w:vAlign w:val="center"/>
          </w:tcPr>
          <w:p>
            <w:pPr>
              <w:pStyle w:val="TableContents"/>
              <w:bidi w:val="0"/>
              <w:spacing w:before="0" w:after="283"/>
              <w:jc w:val="center"/>
              <w:rPr>
                <w:sz w:val="16"/>
              </w:rPr>
            </w:pPr>
            <w:r>
              <w:rPr>
                <w:sz w:val="16"/>
              </w:rPr>
              <w:t>42,000</w:t>
            </w:r>
          </w:p>
        </w:tc>
        <w:tc>
          <w:tcPr>
            <w:tcW w:w="725" w:type="dxa"/>
            <w:tcBorders/>
            <w:vAlign w:val="center"/>
          </w:tcPr>
          <w:p>
            <w:pPr>
              <w:pStyle w:val="TableContents"/>
              <w:bidi w:val="0"/>
              <w:spacing w:before="0" w:after="283"/>
              <w:jc w:val="center"/>
              <w:rPr/>
            </w:pPr>
            <w:r>
              <w:rPr/>
              <w:t>—</w:t>
            </w:r>
          </w:p>
        </w:tc>
        <w:tc>
          <w:tcPr>
            <w:tcW w:w="1206" w:type="dxa"/>
            <w:tcBorders/>
            <w:vAlign w:val="center"/>
          </w:tcPr>
          <w:p>
            <w:pPr>
              <w:pStyle w:val="TableContents"/>
              <w:bidi w:val="0"/>
              <w:spacing w:before="0" w:after="283"/>
              <w:jc w:val="center"/>
              <w:rPr/>
            </w:pPr>
            <w:r>
              <w:rPr/>
              <w:t>—</w:t>
            </w:r>
          </w:p>
        </w:tc>
        <w:tc>
          <w:tcPr>
            <w:tcW w:w="860" w:type="dxa"/>
            <w:tcBorders/>
            <w:vAlign w:val="center"/>
          </w:tcPr>
          <w:p>
            <w:pPr>
              <w:pStyle w:val="TableContents"/>
              <w:bidi w:val="0"/>
              <w:spacing w:before="0" w:after="283"/>
              <w:jc w:val="center"/>
              <w:rPr/>
            </w:pPr>
            <w:r>
              <w:rPr/>
              <w:t>—</w:t>
            </w:r>
          </w:p>
        </w:tc>
        <w:tc>
          <w:tcPr>
            <w:tcW w:w="1119" w:type="dxa"/>
            <w:tcBorders/>
            <w:vAlign w:val="center"/>
          </w:tcPr>
          <w:p>
            <w:pPr>
              <w:pStyle w:val="TableContents"/>
              <w:bidi w:val="0"/>
              <w:spacing w:before="0" w:after="283"/>
              <w:jc w:val="center"/>
              <w:rPr>
                <w:sz w:val="16"/>
              </w:rPr>
            </w:pPr>
            <w:r>
              <w:rPr>
                <w:sz w:val="16"/>
              </w:rPr>
              <w:t>120,400</w:t>
            </w:r>
          </w:p>
        </w:tc>
      </w:tr>
      <w:tr>
        <w:trPr/>
        <w:tc>
          <w:tcPr>
            <w:tcW w:w="919" w:type="dxa"/>
            <w:vMerge w:val="restart"/>
            <w:tcBorders/>
            <w:shd w:fill="CCEEFF" w:val="clear"/>
            <w:vAlign w:val="center"/>
          </w:tcPr>
          <w:p>
            <w:pPr>
              <w:pStyle w:val="TableContents"/>
              <w:bidi w:val="0"/>
              <w:spacing w:before="0" w:after="283"/>
              <w:jc w:val="left"/>
              <w:rPr>
                <w:sz w:val="16"/>
              </w:rPr>
            </w:pPr>
            <w:r>
              <w:rPr>
                <w:sz w:val="16"/>
              </w:rPr>
              <w:t>Fariyal Khanbabi</w:t>
            </w:r>
          </w:p>
        </w:tc>
        <w:tc>
          <w:tcPr>
            <w:tcW w:w="534" w:type="dxa"/>
            <w:tcBorders/>
            <w:shd w:fill="CCEEFF" w:val="clear"/>
            <w:vAlign w:val="center"/>
          </w:tcPr>
          <w:p>
            <w:pPr>
              <w:pStyle w:val="TableContents"/>
              <w:bidi w:val="0"/>
              <w:spacing w:before="0" w:after="283"/>
              <w:jc w:val="center"/>
              <w:rPr/>
            </w:pPr>
            <w:r>
              <w:rPr/>
              <w:t>—</w:t>
            </w:r>
          </w:p>
        </w:tc>
        <w:tc>
          <w:tcPr>
            <w:tcW w:w="840" w:type="dxa"/>
            <w:tcBorders/>
            <w:shd w:fill="CCEEFF" w:val="clear"/>
            <w:vAlign w:val="center"/>
          </w:tcPr>
          <w:p>
            <w:pPr>
              <w:pStyle w:val="TableContents"/>
              <w:bidi w:val="0"/>
              <w:spacing w:before="0" w:after="283"/>
              <w:jc w:val="center"/>
              <w:rPr/>
            </w:pPr>
            <w:r>
              <w:rPr/>
              <w:t>—</w:t>
            </w:r>
          </w:p>
        </w:tc>
        <w:tc>
          <w:tcPr>
            <w:tcW w:w="693" w:type="dxa"/>
            <w:tcBorders/>
            <w:shd w:fill="CCEEFF" w:val="clear"/>
            <w:vAlign w:val="center"/>
          </w:tcPr>
          <w:p>
            <w:pPr>
              <w:pStyle w:val="TableContents"/>
              <w:bidi w:val="0"/>
              <w:spacing w:before="0" w:after="283"/>
              <w:jc w:val="center"/>
              <w:rPr/>
            </w:pPr>
            <w:r>
              <w:rPr/>
              <w:t>—</w:t>
            </w:r>
          </w:p>
        </w:tc>
        <w:tc>
          <w:tcPr>
            <w:tcW w:w="903" w:type="dxa"/>
            <w:tcBorders/>
            <w:shd w:fill="CCEEFF" w:val="clear"/>
            <w:vAlign w:val="center"/>
          </w:tcPr>
          <w:p>
            <w:pPr>
              <w:pStyle w:val="TableContents"/>
              <w:bidi w:val="0"/>
              <w:spacing w:before="0" w:after="283"/>
              <w:jc w:val="center"/>
              <w:rPr/>
            </w:pPr>
            <w:r>
              <w:rPr/>
              <w:t>—</w:t>
            </w:r>
          </w:p>
        </w:tc>
        <w:tc>
          <w:tcPr>
            <w:tcW w:w="831" w:type="dxa"/>
            <w:tcBorders/>
            <w:shd w:fill="CCEEFF" w:val="clear"/>
            <w:vAlign w:val="center"/>
          </w:tcPr>
          <w:p>
            <w:pPr>
              <w:pStyle w:val="TableContents"/>
              <w:bidi w:val="0"/>
              <w:spacing w:before="0" w:after="283"/>
              <w:jc w:val="center"/>
              <w:rPr/>
            </w:pPr>
            <w:r>
              <w:rPr/>
              <w:t>—</w:t>
            </w:r>
          </w:p>
        </w:tc>
        <w:tc>
          <w:tcPr>
            <w:tcW w:w="685" w:type="dxa"/>
            <w:tcBorders/>
            <w:shd w:fill="CCEEFF" w:val="clear"/>
            <w:vAlign w:val="center"/>
          </w:tcPr>
          <w:p>
            <w:pPr>
              <w:pStyle w:val="TableContents"/>
              <w:bidi w:val="0"/>
              <w:spacing w:before="0" w:after="283"/>
              <w:jc w:val="center"/>
              <w:rPr/>
            </w:pPr>
            <w:r>
              <w:rPr/>
              <w:t>—</w:t>
            </w:r>
          </w:p>
        </w:tc>
        <w:tc>
          <w:tcPr>
            <w:tcW w:w="890" w:type="dxa"/>
            <w:tcBorders/>
            <w:shd w:fill="CCEEFF" w:val="clear"/>
            <w:vAlign w:val="center"/>
          </w:tcPr>
          <w:p>
            <w:pPr>
              <w:pStyle w:val="TableContents"/>
              <w:bidi w:val="0"/>
              <w:spacing w:before="0" w:after="283"/>
              <w:jc w:val="center"/>
              <w:rPr/>
            </w:pPr>
            <w:r>
              <w:rPr/>
              <w:t>—</w:t>
            </w:r>
          </w:p>
        </w:tc>
        <w:tc>
          <w:tcPr>
            <w:tcW w:w="725" w:type="dxa"/>
            <w:tcBorders/>
            <w:shd w:fill="CCEEFF" w:val="clear"/>
            <w:vAlign w:val="center"/>
          </w:tcPr>
          <w:p>
            <w:pPr>
              <w:pStyle w:val="TableContents"/>
              <w:bidi w:val="0"/>
              <w:spacing w:before="0" w:after="283"/>
              <w:jc w:val="center"/>
              <w:rPr/>
            </w:pPr>
            <w:r>
              <w:rPr/>
              <w:t>—</w:t>
            </w:r>
          </w:p>
        </w:tc>
        <w:tc>
          <w:tcPr>
            <w:tcW w:w="1206" w:type="dxa"/>
            <w:tcBorders/>
            <w:shd w:fill="CCEEFF" w:val="clear"/>
            <w:vAlign w:val="center"/>
          </w:tcPr>
          <w:p>
            <w:pPr>
              <w:pStyle w:val="TableContents"/>
              <w:bidi w:val="0"/>
              <w:spacing w:before="0" w:after="283"/>
              <w:jc w:val="center"/>
              <w:rPr/>
            </w:pPr>
            <w:r>
              <w:rPr/>
              <w:t>—</w:t>
            </w:r>
          </w:p>
        </w:tc>
        <w:tc>
          <w:tcPr>
            <w:tcW w:w="860" w:type="dxa"/>
            <w:tcBorders/>
            <w:shd w:fill="CCEEFF" w:val="clear"/>
            <w:vAlign w:val="center"/>
          </w:tcPr>
          <w:p>
            <w:pPr>
              <w:pStyle w:val="TableContents"/>
              <w:bidi w:val="0"/>
              <w:spacing w:before="0" w:after="283"/>
              <w:jc w:val="center"/>
              <w:rPr/>
            </w:pPr>
            <w:r>
              <w:rPr/>
              <w:t>—</w:t>
            </w:r>
          </w:p>
        </w:tc>
        <w:tc>
          <w:tcPr>
            <w:tcW w:w="1119" w:type="dxa"/>
            <w:tcBorders/>
            <w:shd w:fill="CCEEFF" w:val="clear"/>
            <w:vAlign w:val="center"/>
          </w:tcPr>
          <w:p>
            <w:pPr>
              <w:pStyle w:val="TableContents"/>
              <w:bidi w:val="0"/>
              <w:spacing w:before="0" w:after="283"/>
              <w:jc w:val="center"/>
              <w:rPr/>
            </w:pPr>
            <w:r>
              <w:rPr/>
              <w:t>—</w:t>
            </w:r>
          </w:p>
        </w:tc>
      </w:tr>
      <w:tr>
        <w:trPr/>
        <w:tc>
          <w:tcPr>
            <w:tcW w:w="919" w:type="dxa"/>
            <w:vMerge w:val="continue"/>
            <w:tcBorders/>
            <w:shd w:fill="CCEEFF" w:val="clear"/>
            <w:vAlign w:val="center"/>
          </w:tcPr>
          <w:p>
            <w:pPr>
              <w:pStyle w:val="Normal"/>
              <w:bidi w:val="0"/>
              <w:jc w:val="left"/>
              <w:rPr/>
            </w:pPr>
            <w:r>
              <w:rPr/>
            </w:r>
          </w:p>
        </w:tc>
        <w:tc>
          <w:tcPr>
            <w:tcW w:w="534" w:type="dxa"/>
            <w:tcBorders/>
            <w:shd w:fill="CCEEFF" w:val="clear"/>
            <w:vAlign w:val="center"/>
          </w:tcPr>
          <w:p>
            <w:pPr>
              <w:pStyle w:val="TableContents"/>
              <w:bidi w:val="0"/>
              <w:spacing w:before="0" w:after="283"/>
              <w:jc w:val="center"/>
              <w:rPr/>
            </w:pPr>
            <w:r>
              <w:rPr/>
              <w:t xml:space="preserve">— </w:t>
            </w:r>
          </w:p>
        </w:tc>
        <w:tc>
          <w:tcPr>
            <w:tcW w:w="840" w:type="dxa"/>
            <w:tcBorders/>
            <w:shd w:fill="CCEEFF" w:val="clear"/>
            <w:vAlign w:val="center"/>
          </w:tcPr>
          <w:p>
            <w:pPr>
              <w:pStyle w:val="TableContents"/>
              <w:bidi w:val="0"/>
              <w:spacing w:before="0" w:after="283"/>
              <w:jc w:val="center"/>
              <w:rPr>
                <w:sz w:val="16"/>
              </w:rPr>
            </w:pPr>
            <w:r>
              <w:rPr>
                <w:sz w:val="16"/>
              </w:rPr>
              <w:t>10,000</w:t>
            </w:r>
          </w:p>
        </w:tc>
        <w:tc>
          <w:tcPr>
            <w:tcW w:w="693" w:type="dxa"/>
            <w:tcBorders/>
            <w:shd w:fill="CCEEFF" w:val="clear"/>
            <w:vAlign w:val="center"/>
          </w:tcPr>
          <w:p>
            <w:pPr>
              <w:pStyle w:val="TableContents"/>
              <w:bidi w:val="0"/>
              <w:spacing w:before="0" w:after="283"/>
              <w:jc w:val="center"/>
              <w:rPr>
                <w:sz w:val="16"/>
              </w:rPr>
            </w:pPr>
            <w:r>
              <w:rPr>
                <w:sz w:val="16"/>
              </w:rPr>
              <w:t>100,000</w:t>
            </w:r>
          </w:p>
        </w:tc>
        <w:tc>
          <w:tcPr>
            <w:tcW w:w="903" w:type="dxa"/>
            <w:tcBorders/>
            <w:shd w:fill="CCEEFF" w:val="clear"/>
            <w:vAlign w:val="center"/>
          </w:tcPr>
          <w:p>
            <w:pPr>
              <w:pStyle w:val="TableContents"/>
              <w:bidi w:val="0"/>
              <w:spacing w:before="0" w:after="283"/>
              <w:jc w:val="center"/>
              <w:rPr>
                <w:sz w:val="16"/>
              </w:rPr>
            </w:pPr>
            <w:r>
              <w:rPr>
                <w:sz w:val="16"/>
              </w:rPr>
              <w:t>120,000</w:t>
            </w:r>
          </w:p>
        </w:tc>
        <w:tc>
          <w:tcPr>
            <w:tcW w:w="831" w:type="dxa"/>
            <w:tcBorders/>
            <w:shd w:fill="CCEEFF" w:val="clear"/>
            <w:vAlign w:val="center"/>
          </w:tcPr>
          <w:p>
            <w:pPr>
              <w:pStyle w:val="TableContents"/>
              <w:bidi w:val="0"/>
              <w:spacing w:before="0" w:after="283"/>
              <w:jc w:val="center"/>
              <w:rPr/>
            </w:pPr>
            <w:r>
              <w:rPr/>
              <w:t>—</w:t>
            </w:r>
          </w:p>
        </w:tc>
        <w:tc>
          <w:tcPr>
            <w:tcW w:w="685" w:type="dxa"/>
            <w:tcBorders/>
            <w:shd w:fill="CCEEFF" w:val="clear"/>
            <w:vAlign w:val="center"/>
          </w:tcPr>
          <w:p>
            <w:pPr>
              <w:pStyle w:val="TableContents"/>
              <w:bidi w:val="0"/>
              <w:spacing w:before="0" w:after="283"/>
              <w:jc w:val="center"/>
              <w:rPr/>
            </w:pPr>
            <w:r>
              <w:rPr/>
              <w:t>—</w:t>
            </w:r>
          </w:p>
        </w:tc>
        <w:tc>
          <w:tcPr>
            <w:tcW w:w="890" w:type="dxa"/>
            <w:tcBorders/>
            <w:shd w:fill="CCEEFF" w:val="clear"/>
            <w:vAlign w:val="center"/>
          </w:tcPr>
          <w:p>
            <w:pPr>
              <w:pStyle w:val="TableContents"/>
              <w:bidi w:val="0"/>
              <w:spacing w:before="0" w:after="283"/>
              <w:jc w:val="center"/>
              <w:rPr/>
            </w:pPr>
            <w:r>
              <w:rPr/>
              <w:t>—</w:t>
            </w:r>
          </w:p>
        </w:tc>
        <w:tc>
          <w:tcPr>
            <w:tcW w:w="725" w:type="dxa"/>
            <w:tcBorders/>
            <w:shd w:fill="CCEEFF" w:val="clear"/>
            <w:vAlign w:val="center"/>
          </w:tcPr>
          <w:p>
            <w:pPr>
              <w:pStyle w:val="TableContents"/>
              <w:bidi w:val="0"/>
              <w:spacing w:before="0" w:after="283"/>
              <w:jc w:val="center"/>
              <w:rPr/>
            </w:pPr>
            <w:r>
              <w:rPr/>
              <w:t>—</w:t>
            </w:r>
          </w:p>
        </w:tc>
        <w:tc>
          <w:tcPr>
            <w:tcW w:w="1206" w:type="dxa"/>
            <w:tcBorders/>
            <w:shd w:fill="CCEEFF" w:val="clear"/>
            <w:vAlign w:val="center"/>
          </w:tcPr>
          <w:p>
            <w:pPr>
              <w:pStyle w:val="TableContents"/>
              <w:bidi w:val="0"/>
              <w:spacing w:before="0" w:after="283"/>
              <w:jc w:val="center"/>
              <w:rPr/>
            </w:pPr>
            <w:r>
              <w:rPr/>
              <w:t>—</w:t>
            </w:r>
          </w:p>
        </w:tc>
        <w:tc>
          <w:tcPr>
            <w:tcW w:w="860" w:type="dxa"/>
            <w:tcBorders/>
            <w:shd w:fill="CCEEFF" w:val="clear"/>
            <w:vAlign w:val="center"/>
          </w:tcPr>
          <w:p>
            <w:pPr>
              <w:pStyle w:val="TableContents"/>
              <w:bidi w:val="0"/>
              <w:spacing w:before="0" w:after="283"/>
              <w:jc w:val="center"/>
              <w:rPr/>
            </w:pPr>
            <w:r>
              <w:rPr/>
              <w:t>—</w:t>
            </w:r>
          </w:p>
        </w:tc>
        <w:tc>
          <w:tcPr>
            <w:tcW w:w="1119" w:type="dxa"/>
            <w:tcBorders/>
            <w:shd w:fill="CCEEFF" w:val="clear"/>
            <w:vAlign w:val="center"/>
          </w:tcPr>
          <w:p>
            <w:pPr>
              <w:pStyle w:val="TableContents"/>
              <w:bidi w:val="0"/>
              <w:spacing w:before="0" w:after="283"/>
              <w:jc w:val="center"/>
              <w:rPr/>
            </w:pPr>
            <w:r>
              <w:rPr/>
              <w:t>—</w:t>
            </w:r>
          </w:p>
        </w:tc>
      </w:tr>
    </w:tbl>
    <w:tbl>
      <w:tblPr>
        <w:tblW w:w="5000" w:type="pct"/>
        <w:jc w:val="left"/>
        <w:tblInd w:w="0" w:type="dxa"/>
        <w:tblLayout w:type="fixed"/>
        <w:tblCellMar>
          <w:top w:w="0" w:type="dxa"/>
          <w:left w:w="0" w:type="dxa"/>
          <w:bottom w:w="0" w:type="dxa"/>
          <w:right w:w="0" w:type="dxa"/>
        </w:tblCellMar>
      </w:tblPr>
      <w:tblGrid>
        <w:gridCol w:w="85"/>
        <w:gridCol w:w="328"/>
        <w:gridCol w:w="9792"/>
      </w:tblGrid>
      <w:tr>
        <w:trPr/>
        <w:tc>
          <w:tcPr>
            <w:tcW w:w="85"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16"/>
              </w:rPr>
            </w:pPr>
            <w:r>
              <w:rPr>
                <w:sz w:val="16"/>
              </w:rPr>
              <w:t>(1)</w:t>
            </w:r>
          </w:p>
        </w:tc>
        <w:tc>
          <w:tcPr>
            <w:tcW w:w="9792" w:type="dxa"/>
            <w:tcBorders/>
            <w:vAlign w:val="center"/>
          </w:tcPr>
          <w:p>
            <w:pPr>
              <w:pStyle w:val="TableContents"/>
              <w:bidi w:val="0"/>
              <w:spacing w:before="0" w:after="283"/>
              <w:jc w:val="left"/>
              <w:rPr>
                <w:sz w:val="16"/>
              </w:rPr>
            </w:pPr>
            <w:r>
              <w:rPr>
                <w:sz w:val="16"/>
              </w:rPr>
              <w:t>Represents short-term cash incentives opportunities granted pursuant to the Company’s Annual Incentive Plan.</w:t>
            </w:r>
          </w:p>
        </w:tc>
      </w:tr>
    </w:tbl>
    <w:tbl>
      <w:tblPr>
        <w:tblW w:w="5000" w:type="pct"/>
        <w:jc w:val="left"/>
        <w:tblInd w:w="0" w:type="dxa"/>
        <w:tblLayout w:type="fixed"/>
        <w:tblCellMar>
          <w:top w:w="0" w:type="dxa"/>
          <w:left w:w="0" w:type="dxa"/>
          <w:bottom w:w="0" w:type="dxa"/>
          <w:right w:w="0" w:type="dxa"/>
        </w:tblCellMar>
      </w:tblPr>
      <w:tblGrid>
        <w:gridCol w:w="67"/>
        <w:gridCol w:w="258"/>
        <w:gridCol w:w="9880"/>
      </w:tblGrid>
      <w:tr>
        <w:trPr/>
        <w:tc>
          <w:tcPr>
            <w:tcW w:w="67"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16"/>
              </w:rPr>
            </w:pPr>
            <w:r>
              <w:rPr>
                <w:sz w:val="16"/>
              </w:rPr>
              <w:t>(2)</w:t>
            </w:r>
          </w:p>
        </w:tc>
        <w:tc>
          <w:tcPr>
            <w:tcW w:w="9880" w:type="dxa"/>
            <w:tcBorders/>
            <w:vAlign w:val="center"/>
          </w:tcPr>
          <w:p>
            <w:pPr>
              <w:pStyle w:val="TableContents"/>
              <w:bidi w:val="0"/>
              <w:spacing w:before="0" w:after="283"/>
              <w:jc w:val="left"/>
              <w:rPr>
                <w:sz w:val="16"/>
              </w:rPr>
            </w:pPr>
            <w:r>
              <w:rPr>
                <w:sz w:val="16"/>
              </w:rPr>
              <w:t>Represents PSUs granted pursuant to the 2021 Plan. These interests will vest in three equal installments on each of June 5, 2026, 2027 and 2028.</w:t>
            </w:r>
          </w:p>
        </w:tc>
      </w:tr>
    </w:tbl>
    <w:tbl>
      <w:tblPr>
        <w:tblW w:w="5000" w:type="pct"/>
        <w:jc w:val="left"/>
        <w:tblInd w:w="0" w:type="dxa"/>
        <w:tblLayout w:type="fixed"/>
        <w:tblCellMar>
          <w:top w:w="0" w:type="dxa"/>
          <w:left w:w="0" w:type="dxa"/>
          <w:bottom w:w="0" w:type="dxa"/>
          <w:right w:w="0" w:type="dxa"/>
        </w:tblCellMar>
      </w:tblPr>
      <w:tblGrid>
        <w:gridCol w:w="67"/>
        <w:gridCol w:w="258"/>
        <w:gridCol w:w="9880"/>
      </w:tblGrid>
      <w:tr>
        <w:trPr/>
        <w:tc>
          <w:tcPr>
            <w:tcW w:w="67"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16"/>
              </w:rPr>
            </w:pPr>
            <w:r>
              <w:rPr>
                <w:sz w:val="16"/>
              </w:rPr>
              <w:t>(3)</w:t>
            </w:r>
          </w:p>
        </w:tc>
        <w:tc>
          <w:tcPr>
            <w:tcW w:w="9880" w:type="dxa"/>
            <w:tcBorders/>
            <w:vAlign w:val="center"/>
          </w:tcPr>
          <w:p>
            <w:pPr>
              <w:pStyle w:val="TableContents"/>
              <w:bidi w:val="0"/>
              <w:spacing w:before="0" w:after="283"/>
              <w:jc w:val="left"/>
              <w:rPr>
                <w:sz w:val="16"/>
              </w:rPr>
            </w:pPr>
            <w:r>
              <w:rPr>
                <w:sz w:val="16"/>
              </w:rPr>
              <w:t>Represents RSUs granted pursuant to the 2021 Plan. These interests will vest in three equal installments on each of June 5, 2026, 2027 and 2028.</w:t>
            </w:r>
          </w:p>
        </w:tc>
      </w:tr>
    </w:tbl>
    <w:tbl>
      <w:tblPr>
        <w:tblW w:w="5000" w:type="pct"/>
        <w:jc w:val="left"/>
        <w:tblInd w:w="0" w:type="dxa"/>
        <w:tblLayout w:type="fixed"/>
        <w:tblCellMar>
          <w:top w:w="0" w:type="dxa"/>
          <w:left w:w="0" w:type="dxa"/>
          <w:bottom w:w="0" w:type="dxa"/>
          <w:right w:w="0" w:type="dxa"/>
        </w:tblCellMar>
      </w:tblPr>
      <w:tblGrid>
        <w:gridCol w:w="67"/>
        <w:gridCol w:w="255"/>
        <w:gridCol w:w="9883"/>
      </w:tblGrid>
      <w:tr>
        <w:trPr/>
        <w:tc>
          <w:tcPr>
            <w:tcW w:w="67"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16"/>
              </w:rPr>
            </w:pPr>
            <w:r>
              <w:rPr>
                <w:sz w:val="16"/>
              </w:rPr>
              <w:t>(4)</w:t>
            </w:r>
          </w:p>
        </w:tc>
        <w:tc>
          <w:tcPr>
            <w:tcW w:w="9883" w:type="dxa"/>
            <w:tcBorders/>
            <w:vAlign w:val="center"/>
          </w:tcPr>
          <w:p>
            <w:pPr>
              <w:pStyle w:val="TableContents"/>
              <w:bidi w:val="0"/>
              <w:spacing w:before="0" w:after="283"/>
              <w:jc w:val="left"/>
              <w:rPr>
                <w:sz w:val="16"/>
              </w:rPr>
            </w:pPr>
            <w:r>
              <w:rPr>
                <w:sz w:val="16"/>
              </w:rPr>
              <w:t>Represents RSUs granted pursuant to the 2021 Plan. These interests will vest in three equal installments on each of November 8, 2025, 2026 and 2027.</w:t>
            </w:r>
          </w:p>
        </w:tc>
      </w:tr>
    </w:tbl>
    <w:tbl>
      <w:tblPr>
        <w:tblW w:w="5000" w:type="pct"/>
        <w:jc w:val="left"/>
        <w:tblInd w:w="0" w:type="dxa"/>
        <w:tblLayout w:type="fixed"/>
        <w:tblCellMar>
          <w:top w:w="0" w:type="dxa"/>
          <w:left w:w="0" w:type="dxa"/>
          <w:bottom w:w="0" w:type="dxa"/>
          <w:right w:w="0" w:type="dxa"/>
        </w:tblCellMar>
      </w:tblPr>
      <w:tblGrid>
        <w:gridCol w:w="67"/>
        <w:gridCol w:w="256"/>
        <w:gridCol w:w="9882"/>
      </w:tblGrid>
      <w:tr>
        <w:trPr/>
        <w:tc>
          <w:tcPr>
            <w:tcW w:w="6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16"/>
              </w:rPr>
            </w:pPr>
            <w:r>
              <w:rPr>
                <w:sz w:val="16"/>
              </w:rPr>
              <w:t>(5)</w:t>
            </w:r>
          </w:p>
        </w:tc>
        <w:tc>
          <w:tcPr>
            <w:tcW w:w="9882" w:type="dxa"/>
            <w:tcBorders/>
            <w:vAlign w:val="center"/>
          </w:tcPr>
          <w:p>
            <w:pPr>
              <w:pStyle w:val="TableContents"/>
              <w:bidi w:val="0"/>
              <w:spacing w:before="0" w:after="283"/>
              <w:jc w:val="left"/>
              <w:rPr>
                <w:sz w:val="16"/>
              </w:rPr>
            </w:pPr>
            <w:r>
              <w:rPr>
                <w:sz w:val="16"/>
              </w:rPr>
              <w:t>Represents RSUs granted pursuant to the 2021 Plan. These interests will vest in three equal installments on each of August 10, 2026, 2027 and 2028.</w:t>
            </w:r>
          </w:p>
        </w:tc>
      </w:tr>
    </w:tbl>
    <w:tbl>
      <w:tblPr>
        <w:tblW w:w="5000" w:type="pct"/>
        <w:jc w:val="left"/>
        <w:tblInd w:w="0" w:type="dxa"/>
        <w:tblLayout w:type="fixed"/>
        <w:tblCellMar>
          <w:top w:w="0" w:type="dxa"/>
          <w:left w:w="0" w:type="dxa"/>
          <w:bottom w:w="0" w:type="dxa"/>
          <w:right w:w="0" w:type="dxa"/>
        </w:tblCellMar>
      </w:tblPr>
      <w:tblGrid>
        <w:gridCol w:w="67"/>
        <w:gridCol w:w="255"/>
        <w:gridCol w:w="9883"/>
      </w:tblGrid>
      <w:tr>
        <w:trPr/>
        <w:tc>
          <w:tcPr>
            <w:tcW w:w="67"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16"/>
              </w:rPr>
            </w:pPr>
            <w:r>
              <w:rPr>
                <w:sz w:val="16"/>
              </w:rPr>
              <w:t>(6)</w:t>
            </w:r>
          </w:p>
        </w:tc>
        <w:tc>
          <w:tcPr>
            <w:tcW w:w="9883" w:type="dxa"/>
            <w:tcBorders/>
            <w:vAlign w:val="center"/>
          </w:tcPr>
          <w:p>
            <w:pPr>
              <w:pStyle w:val="TableContents"/>
              <w:bidi w:val="0"/>
              <w:spacing w:before="0" w:after="283"/>
              <w:jc w:val="left"/>
              <w:rPr>
                <w:sz w:val="16"/>
              </w:rPr>
            </w:pPr>
            <w:r>
              <w:rPr>
                <w:sz w:val="16"/>
              </w:rPr>
              <w:t>Represents RSUs granted pursuant to the 2021 Plan. These interests will vest in three equal installments on each of December 31, 2025, 2026 and 2027.</w:t>
            </w:r>
          </w:p>
        </w:tc>
      </w:tr>
    </w:tbl>
    <w:tbl>
      <w:tblPr>
        <w:tblW w:w="5000" w:type="pct"/>
        <w:jc w:val="left"/>
        <w:tblInd w:w="0" w:type="dxa"/>
        <w:tblLayout w:type="fixed"/>
        <w:tblCellMar>
          <w:top w:w="0" w:type="dxa"/>
          <w:left w:w="0" w:type="dxa"/>
          <w:bottom w:w="0" w:type="dxa"/>
          <w:right w:w="0" w:type="dxa"/>
        </w:tblCellMar>
      </w:tblPr>
      <w:tblGrid>
        <w:gridCol w:w="67"/>
        <w:gridCol w:w="256"/>
        <w:gridCol w:w="9882"/>
      </w:tblGrid>
      <w:tr>
        <w:trPr/>
        <w:tc>
          <w:tcPr>
            <w:tcW w:w="6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16"/>
              </w:rPr>
            </w:pPr>
            <w:r>
              <w:rPr>
                <w:sz w:val="16"/>
              </w:rPr>
              <w:t>(7)</w:t>
            </w:r>
          </w:p>
        </w:tc>
        <w:tc>
          <w:tcPr>
            <w:tcW w:w="9882" w:type="dxa"/>
            <w:tcBorders/>
            <w:vAlign w:val="center"/>
          </w:tcPr>
          <w:p>
            <w:pPr>
              <w:pStyle w:val="TableContents"/>
              <w:bidi w:val="0"/>
              <w:spacing w:before="0" w:after="283"/>
              <w:jc w:val="left"/>
              <w:rPr>
                <w:sz w:val="16"/>
              </w:rPr>
            </w:pPr>
            <w:r>
              <w:rPr>
                <w:sz w:val="16"/>
              </w:rPr>
              <w:t>Represents options granted pursuant to the 2021 Plan. These interests will vest in three equal installments on each of April 21, 2026, 2027 and 2028.</w:t>
            </w:r>
          </w:p>
        </w:tc>
      </w:tr>
    </w:tbl>
    <w:tbl>
      <w:tblPr>
        <w:tblW w:w="5000" w:type="pct"/>
        <w:jc w:val="left"/>
        <w:tblInd w:w="0" w:type="dxa"/>
        <w:tblLayout w:type="fixed"/>
        <w:tblCellMar>
          <w:top w:w="0" w:type="dxa"/>
          <w:left w:w="0" w:type="dxa"/>
          <w:bottom w:w="0" w:type="dxa"/>
          <w:right w:w="0" w:type="dxa"/>
        </w:tblCellMar>
      </w:tblPr>
      <w:tblGrid>
        <w:gridCol w:w="67"/>
        <w:gridCol w:w="257"/>
        <w:gridCol w:w="9881"/>
      </w:tblGrid>
      <w:tr>
        <w:trPr/>
        <w:tc>
          <w:tcPr>
            <w:tcW w:w="6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16"/>
              </w:rPr>
            </w:pPr>
            <w:r>
              <w:rPr>
                <w:sz w:val="16"/>
              </w:rPr>
              <w:t>(8)</w:t>
            </w:r>
          </w:p>
        </w:tc>
        <w:tc>
          <w:tcPr>
            <w:tcW w:w="9881" w:type="dxa"/>
            <w:tcBorders/>
            <w:vAlign w:val="center"/>
          </w:tcPr>
          <w:p>
            <w:pPr>
              <w:pStyle w:val="TableContents"/>
              <w:bidi w:val="0"/>
              <w:spacing w:before="0" w:after="283"/>
              <w:jc w:val="left"/>
              <w:rPr>
                <w:sz w:val="16"/>
              </w:rPr>
            </w:pPr>
            <w:r>
              <w:rPr>
                <w:sz w:val="16"/>
              </w:rPr>
              <w:t>Represents RSUs granted pursuant to the 2021 Plan. These interests will vest in three equal installments on each of April 21, 2026, 2027 and 2028.</w:t>
            </w:r>
          </w:p>
        </w:tc>
      </w:tr>
    </w:tbl>
    <w:p>
      <w:pPr>
        <w:pStyle w:val="TextBody"/>
        <w:bidi w:val="0"/>
        <w:jc w:val="left"/>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Narrative Disclosure to SCT and Grants of Plan-Based Awards Table</w:t>
      </w:r>
    </w:p>
    <w:p>
      <w:pPr>
        <w:pStyle w:val="TextBody"/>
        <w:bidi w:val="0"/>
        <w:jc w:val="left"/>
        <w:rPr>
          <w:caps w:val="false"/>
          <w:smallCaps w:val="false"/>
        </w:rPr>
      </w:pPr>
      <w:r>
        <w:rPr>
          <w:caps w:val="false"/>
          <w:smallCaps w:val="false"/>
        </w:rPr>
        <w:t> </w:t>
      </w:r>
    </w:p>
    <w:tbl>
      <w:tblPr>
        <w:tblW w:w="590" w:type="dxa"/>
        <w:jc w:val="left"/>
        <w:tblInd w:w="0" w:type="dxa"/>
        <w:tblLayout w:type="fixed"/>
        <w:tblCellMar>
          <w:top w:w="0" w:type="dxa"/>
          <w:left w:w="0" w:type="dxa"/>
          <w:bottom w:w="0" w:type="dxa"/>
          <w:right w:w="0" w:type="dxa"/>
        </w:tblCellMar>
      </w:tblPr>
      <w:tblGrid>
        <w:gridCol w:w="105"/>
        <w:gridCol w:w="350"/>
        <w:gridCol w:w="135"/>
      </w:tblGrid>
      <w:tr>
        <w:trPr/>
        <w:tc>
          <w:tcPr>
            <w:tcW w:w="10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 </w:t>
            </w:r>
            <w:r>
              <w:rPr/>
              <w:t>31</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240" w:after="240"/>
        <w:ind w:left="240" w:right="24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Summary of NEO Employment Agreements</w:t>
      </w:r>
    </w:p>
    <w:p>
      <w:pPr>
        <w:pStyle w:val="TextBody"/>
        <w:bidi w:val="0"/>
        <w:spacing w:before="120" w:after="120"/>
        <w:ind w:left="120" w:right="1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Wu and Dr. Mattis are each a party to a written employment arrangement with the Company (the “Employment Agreements”). Subject to earlier termination in accordance with the Employment Agreements, Mr. Wu and Dr. Mattis are each engaged for a three-year term of employment, at the end of which the term of employment will be automatically extended for additional 12-month periods unless a notice of non-renewal is given by either party of each Employment Agreement in accordance with the notice requirements of the Employment Agreements prior to the expiration of the term then in effect. The Employment Agreements provides for an annual base salary, the opportunity to participate in the Company’s annual incentive bonus plan for senior executives and the Company’s long-term incentive plan, each in accordance with the terms of such plans that may be in effect from time-to-time and subject to such other terms as the Board may approve and eligibility to participate in the benefit plans or programs of the Company as are available to other similarly situated executives of the Company. The term of employment under the Employment Agreements may be terminated by either the Company or the executive at any time and for any reason upon thirty (30) days’ prior written notice. Upon a termination by the Company or the executive for any reason, the executive (or their estate upon a termination due to death) will receive all accrued salary through and including the date of termination and any bonus earned, but unpaid, for the year prior to the year in which the termination or separation occurred.</w:t>
      </w:r>
    </w:p>
    <w:p>
      <w:pPr>
        <w:pStyle w:val="TextBody"/>
        <w:bidi w:val="0"/>
        <w:spacing w:before="120" w:after="120"/>
        <w:ind w:left="120" w:right="1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Wu is party to a standard Chinese law employment agreement with Microvast Power Systems. The employment agreement is an open-ended (non-fixed term) labor contract, and will continue until terminated in accordance with the terms of the employment agreement. The employment agreement provides for monthly base salary, allowances, subsidies, and the opportunity to participate in Microvast Power Systems’ skills and performance assessments and related payments, in accordance with the terms of such arrangement that may be in effect from time-to-time. Dr. Wu is also eligible to participate in social insurance and benefits in accordance with applicable law.</w:t>
      </w:r>
    </w:p>
    <w:p>
      <w:pPr>
        <w:pStyle w:val="TextBody"/>
        <w:bidi w:val="0"/>
        <w:spacing w:before="120" w:after="120"/>
        <w:ind w:left="120" w:right="1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 description of severance entitlements upon an eligible termination, see “Executive Compensation—Transition and Separation Agreements”.</w:t>
      </w:r>
    </w:p>
    <w:p>
      <w:pPr>
        <w:pStyle w:val="TextBody"/>
        <w:bidi w:val="0"/>
        <w:spacing w:before="120" w:after="120"/>
        <w:ind w:left="120" w:right="12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Estimated Future Payout Under Non-equity Incentive Plan</w:t>
      </w:r>
    </w:p>
    <w:p>
      <w:pPr>
        <w:pStyle w:val="TextBody"/>
        <w:bidi w:val="0"/>
        <w:spacing w:before="120" w:after="120"/>
        <w:ind w:left="120" w:right="1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 description of the material terms of the target short-term cash incentives opportunities pursuant to the Company’s Annual Incentive Plan, see “Compensation Discussion and Analysis—Elements of Executive Compensation—Short-Term Incentives.”</w:t>
      </w:r>
    </w:p>
    <w:p>
      <w:pPr>
        <w:pStyle w:val="TextBody"/>
        <w:bidi w:val="0"/>
        <w:spacing w:before="120" w:after="120"/>
        <w:ind w:left="120" w:right="12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Base Salary and Bonus</w:t>
      </w:r>
    </w:p>
    <w:p>
      <w:pPr>
        <w:pStyle w:val="TextBody"/>
        <w:bidi w:val="0"/>
        <w:spacing w:before="120" w:after="120"/>
        <w:ind w:left="120" w:right="1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 salaries provide our NEOs with a fixed level of cash compensation and represent a portion of each NEO’s overall compensation. The Compensation Committee establishes base salaries after considering factors such as the executive’s role and responsibilities, experience, individual performance and other relevant considerations. For additional information regarding the base salaries of our NEOs for Fiscal 2025, see “Compensation Discussion and Analysis—Elements of Executive Compensation—Base Salary.”</w:t>
      </w:r>
    </w:p>
    <w:p>
      <w:pPr>
        <w:pStyle w:val="TextBody"/>
        <w:bidi w:val="0"/>
        <w:spacing w:before="120" w:after="120"/>
        <w:ind w:left="120" w:right="1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NEOs did not receive discretionary cash bonuses for Fiscal 2025. Annual cash incentive compensation earned under the AIP is reported in the Non-Equity Incentive Plan Compensation column of the Summary Compensation Table rather than the Bonus column. For additional information regarding the AIP, see “Compensation Discussion and Analysis—Elements of Executive Compensation—Short-Term Incentives.”</w:t>
      </w:r>
    </w:p>
    <w:p>
      <w:pPr>
        <w:pStyle w:val="TextBody"/>
        <w:bidi w:val="0"/>
        <w:jc w:val="left"/>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Outstanding Equity Awards at Fiscal Year-End</w:t>
      </w:r>
    </w:p>
    <w:p>
      <w:pPr>
        <w:pStyle w:val="TextBody"/>
        <w:bidi w:val="0"/>
        <w:spacing w:before="240" w:after="240"/>
        <w:ind w:left="240" w:right="24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outstanding equity awards held by each of our NEOs as of December 31, 2025.</w:t>
      </w:r>
    </w:p>
    <w:p>
      <w:pPr>
        <w:pStyle w:val="TextBody"/>
        <w:bidi w:val="0"/>
        <w:spacing w:before="240" w:after="240"/>
        <w:ind w:left="240" w:right="240" w:hanging="0"/>
        <w:jc w:val="both"/>
        <w:rPr>
          <w:caps w:val="false"/>
          <w:smallCaps w:val="false"/>
        </w:rPr>
      </w:pPr>
      <w:r>
        <w:rPr>
          <w:caps w:val="false"/>
          <w:smallCaps w:val="false"/>
        </w:rPr>
        <w:t> </w:t>
      </w:r>
    </w:p>
    <w:tbl>
      <w:tblPr>
        <w:tblW w:w="590" w:type="dxa"/>
        <w:jc w:val="left"/>
        <w:tblInd w:w="0" w:type="dxa"/>
        <w:tblLayout w:type="fixed"/>
        <w:tblCellMar>
          <w:top w:w="0" w:type="dxa"/>
          <w:left w:w="0" w:type="dxa"/>
          <w:bottom w:w="0" w:type="dxa"/>
          <w:right w:w="0" w:type="dxa"/>
        </w:tblCellMar>
      </w:tblPr>
      <w:tblGrid>
        <w:gridCol w:w="105"/>
        <w:gridCol w:w="350"/>
        <w:gridCol w:w="135"/>
      </w:tblGrid>
      <w:tr>
        <w:trPr/>
        <w:tc>
          <w:tcPr>
            <w:tcW w:w="10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 </w:t>
            </w:r>
            <w:r>
              <w:rPr/>
              <w:t>32</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34"/>
        <w:gridCol w:w="90"/>
        <w:gridCol w:w="1170"/>
        <w:gridCol w:w="90"/>
        <w:gridCol w:w="1254"/>
        <w:gridCol w:w="90"/>
        <w:gridCol w:w="894"/>
        <w:gridCol w:w="90"/>
        <w:gridCol w:w="1074"/>
        <w:gridCol w:w="90"/>
        <w:gridCol w:w="1041"/>
        <w:gridCol w:w="90"/>
        <w:gridCol w:w="1045"/>
        <w:gridCol w:w="90"/>
        <w:gridCol w:w="942"/>
        <w:gridCol w:w="90"/>
        <w:gridCol w:w="1031"/>
      </w:tblGrid>
      <w:tr>
        <w:trPr/>
        <w:tc>
          <w:tcPr>
            <w:tcW w:w="1034"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662" w:type="dxa"/>
            <w:gridSpan w:val="7"/>
            <w:tcBorders>
              <w:bottom w:val="single" w:sz="8" w:space="0" w:color="000000"/>
            </w:tcBorders>
            <w:tcMar>
              <w:bottom w:w="28" w:type="dxa"/>
            </w:tcMar>
            <w:vAlign w:val="center"/>
          </w:tcPr>
          <w:p>
            <w:pPr>
              <w:pStyle w:val="TableContents"/>
              <w:bidi w:val="0"/>
              <w:spacing w:before="0" w:after="283"/>
              <w:jc w:val="center"/>
              <w:rPr>
                <w:b/>
                <w:sz w:val="16"/>
              </w:rPr>
            </w:pPr>
            <w:r>
              <w:rPr>
                <w:b/>
                <w:sz w:val="16"/>
              </w:rPr>
              <w:t>Option Awards</w:t>
            </w:r>
          </w:p>
        </w:tc>
        <w:tc>
          <w:tcPr>
            <w:tcW w:w="90" w:type="dxa"/>
            <w:tcBorders/>
            <w:vAlign w:val="center"/>
          </w:tcPr>
          <w:p>
            <w:pPr>
              <w:pStyle w:val="TableContents"/>
              <w:bidi w:val="0"/>
              <w:spacing w:before="0" w:after="283"/>
              <w:jc w:val="left"/>
              <w:rPr/>
            </w:pPr>
            <w:r>
              <w:rPr/>
              <w:t> </w:t>
            </w:r>
          </w:p>
        </w:tc>
        <w:tc>
          <w:tcPr>
            <w:tcW w:w="4329" w:type="dxa"/>
            <w:gridSpan w:val="7"/>
            <w:tcBorders>
              <w:bottom w:val="single" w:sz="8" w:space="0" w:color="000000"/>
            </w:tcBorders>
            <w:tcMar>
              <w:bottom w:w="28" w:type="dxa"/>
            </w:tcMar>
            <w:vAlign w:val="center"/>
          </w:tcPr>
          <w:p>
            <w:pPr>
              <w:pStyle w:val="TableContents"/>
              <w:bidi w:val="0"/>
              <w:spacing w:before="0" w:after="283"/>
              <w:jc w:val="center"/>
              <w:rPr>
                <w:b/>
                <w:sz w:val="16"/>
              </w:rPr>
            </w:pPr>
            <w:r>
              <w:rPr>
                <w:b/>
                <w:sz w:val="16"/>
              </w:rPr>
              <w:t>Stock Awards</w:t>
            </w:r>
          </w:p>
        </w:tc>
      </w:tr>
      <w:tr>
        <w:trPr/>
        <w:tc>
          <w:tcPr>
            <w:tcW w:w="1034" w:type="dxa"/>
            <w:tcBorders>
              <w:bottom w:val="single" w:sz="8" w:space="0" w:color="000000"/>
            </w:tcBorders>
            <w:tcMar>
              <w:bottom w:w="28" w:type="dxa"/>
            </w:tcMar>
            <w:vAlign w:val="center"/>
          </w:tcPr>
          <w:p>
            <w:pPr>
              <w:pStyle w:val="TableContents"/>
              <w:bidi w:val="0"/>
              <w:spacing w:before="0" w:after="283"/>
              <w:jc w:val="left"/>
              <w:rPr>
                <w:b/>
                <w:sz w:val="16"/>
              </w:rPr>
            </w:pPr>
            <w:r>
              <w:rPr>
                <w:b/>
                <w:sz w:val="16"/>
              </w:rPr>
              <w:t>Name</w:t>
            </w:r>
          </w:p>
        </w:tc>
        <w:tc>
          <w:tcPr>
            <w:tcW w:w="90" w:type="dxa"/>
            <w:tcBorders/>
            <w:vAlign w:val="center"/>
          </w:tcPr>
          <w:p>
            <w:pPr>
              <w:pStyle w:val="TableContents"/>
              <w:bidi w:val="0"/>
              <w:spacing w:before="0" w:after="283"/>
              <w:jc w:val="left"/>
              <w:rPr/>
            </w:pPr>
            <w:r>
              <w:rPr/>
              <w:t> </w:t>
            </w:r>
          </w:p>
        </w:tc>
        <w:tc>
          <w:tcPr>
            <w:tcW w:w="1170" w:type="dxa"/>
            <w:tcBorders>
              <w:bottom w:val="single" w:sz="8" w:space="0" w:color="000000"/>
            </w:tcBorders>
            <w:tcMar>
              <w:bottom w:w="28" w:type="dxa"/>
            </w:tcMar>
            <w:vAlign w:val="center"/>
          </w:tcPr>
          <w:p>
            <w:pPr>
              <w:pStyle w:val="TableContents"/>
              <w:bidi w:val="0"/>
              <w:spacing w:before="45" w:after="45"/>
              <w:ind w:left="45" w:right="45" w:hanging="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 xml:space="preserve">Number of securities </w:t>
            </w:r>
          </w:p>
          <w:p>
            <w:pPr>
              <w:pStyle w:val="TableContents"/>
              <w:bidi w:val="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 xml:space="preserve">underlying </w:t>
            </w:r>
          </w:p>
          <w:p>
            <w:pPr>
              <w:pStyle w:val="TableContents"/>
              <w:bidi w:val="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 xml:space="preserve">unexercised options </w:t>
            </w:r>
          </w:p>
          <w:p>
            <w:pPr>
              <w:pStyle w:val="TableContents"/>
              <w:bidi w:val="0"/>
              <w:spacing w:before="0" w:after="2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exercisable (#)</w:t>
            </w:r>
          </w:p>
        </w:tc>
        <w:tc>
          <w:tcPr>
            <w:tcW w:w="90" w:type="dxa"/>
            <w:tcBorders/>
            <w:vAlign w:val="center"/>
          </w:tcPr>
          <w:p>
            <w:pPr>
              <w:pStyle w:val="TableContents"/>
              <w:bidi w:val="0"/>
              <w:spacing w:before="0" w:after="283"/>
              <w:jc w:val="left"/>
              <w:rPr/>
            </w:pPr>
            <w:r>
              <w:rPr/>
              <w:t> </w:t>
            </w:r>
          </w:p>
        </w:tc>
        <w:tc>
          <w:tcPr>
            <w:tcW w:w="1254" w:type="dxa"/>
            <w:tcBorders/>
            <w:vAlign w:val="center"/>
          </w:tcPr>
          <w:p>
            <w:pPr>
              <w:pStyle w:val="TableContents"/>
              <w:bidi w:val="0"/>
              <w:spacing w:before="45" w:after="45"/>
              <w:ind w:left="45" w:right="45" w:hanging="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 xml:space="preserve">Number of securities </w:t>
            </w:r>
          </w:p>
          <w:p>
            <w:pPr>
              <w:pStyle w:val="TableContents"/>
              <w:bidi w:val="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 xml:space="preserve">underlying </w:t>
            </w:r>
          </w:p>
          <w:p>
            <w:pPr>
              <w:pStyle w:val="TableContents"/>
              <w:bidi w:val="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 xml:space="preserve">unexercised options </w:t>
            </w:r>
          </w:p>
          <w:p>
            <w:pPr>
              <w:pStyle w:val="TableContents"/>
              <w:bidi w:val="0"/>
              <w:spacing w:before="0" w:after="2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unexercisable (#)</w:t>
            </w:r>
          </w:p>
        </w:tc>
        <w:tc>
          <w:tcPr>
            <w:tcW w:w="90" w:type="dxa"/>
            <w:tcBorders/>
            <w:vAlign w:val="center"/>
          </w:tcPr>
          <w:p>
            <w:pPr>
              <w:pStyle w:val="TableContents"/>
              <w:bidi w:val="0"/>
              <w:spacing w:before="0" w:after="283"/>
              <w:jc w:val="left"/>
              <w:rPr/>
            </w:pPr>
            <w:r>
              <w:rPr/>
              <w:t> </w:t>
            </w:r>
          </w:p>
        </w:tc>
        <w:tc>
          <w:tcPr>
            <w:tcW w:w="894" w:type="dxa"/>
            <w:tcBorders/>
            <w:vAlign w:val="center"/>
          </w:tcPr>
          <w:p>
            <w:pPr>
              <w:pStyle w:val="TableContents"/>
              <w:bidi w:val="0"/>
              <w:spacing w:before="45" w:after="45"/>
              <w:ind w:left="45" w:right="45" w:hanging="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 xml:space="preserve">Option exercise </w:t>
            </w:r>
          </w:p>
          <w:p>
            <w:pPr>
              <w:pStyle w:val="TableContents"/>
              <w:bidi w:val="0"/>
              <w:spacing w:before="0" w:after="2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price ($)</w:t>
            </w:r>
          </w:p>
        </w:tc>
        <w:tc>
          <w:tcPr>
            <w:tcW w:w="90" w:type="dxa"/>
            <w:tcBorders/>
            <w:vAlign w:val="center"/>
          </w:tcPr>
          <w:p>
            <w:pPr>
              <w:pStyle w:val="TableContents"/>
              <w:bidi w:val="0"/>
              <w:spacing w:before="0" w:after="283"/>
              <w:jc w:val="left"/>
              <w:rPr/>
            </w:pPr>
            <w:r>
              <w:rPr/>
              <w:t> </w:t>
            </w:r>
          </w:p>
        </w:tc>
        <w:tc>
          <w:tcPr>
            <w:tcW w:w="1074" w:type="dxa"/>
            <w:tcBorders/>
            <w:vAlign w:val="center"/>
          </w:tcPr>
          <w:p>
            <w:pPr>
              <w:pStyle w:val="TableContents"/>
              <w:bidi w:val="0"/>
              <w:spacing w:before="45" w:after="45"/>
              <w:ind w:left="45" w:right="45" w:hanging="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 xml:space="preserve">Option expiration </w:t>
            </w:r>
          </w:p>
          <w:p>
            <w:pPr>
              <w:pStyle w:val="TableContents"/>
              <w:bidi w:val="0"/>
              <w:spacing w:before="0" w:after="2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date</w:t>
            </w:r>
          </w:p>
        </w:tc>
        <w:tc>
          <w:tcPr>
            <w:tcW w:w="90" w:type="dxa"/>
            <w:tcBorders/>
            <w:vAlign w:val="center"/>
          </w:tcPr>
          <w:p>
            <w:pPr>
              <w:pStyle w:val="TableContents"/>
              <w:bidi w:val="0"/>
              <w:spacing w:before="0" w:after="283"/>
              <w:jc w:val="left"/>
              <w:rPr/>
            </w:pPr>
            <w:r>
              <w:rPr/>
              <w:t> </w:t>
            </w:r>
          </w:p>
        </w:tc>
        <w:tc>
          <w:tcPr>
            <w:tcW w:w="1041" w:type="dxa"/>
            <w:tcBorders>
              <w:bottom w:val="single" w:sz="8" w:space="0" w:color="000000"/>
            </w:tcBorders>
            <w:tcMar>
              <w:bottom w:w="28" w:type="dxa"/>
            </w:tcMar>
            <w:vAlign w:val="center"/>
          </w:tcPr>
          <w:p>
            <w:pPr>
              <w:pStyle w:val="TableContents"/>
              <w:bidi w:val="0"/>
              <w:spacing w:before="45" w:after="45"/>
              <w:ind w:left="45" w:right="45" w:hanging="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 xml:space="preserve">Number of shares or </w:t>
            </w:r>
          </w:p>
          <w:p>
            <w:pPr>
              <w:pStyle w:val="TableContents"/>
              <w:bidi w:val="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 xml:space="preserve">units of stock that </w:t>
            </w:r>
          </w:p>
          <w:p>
            <w:pPr>
              <w:pStyle w:val="TableContents"/>
              <w:bidi w:val="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 xml:space="preserve">have not vested </w:t>
            </w:r>
          </w:p>
          <w:p>
            <w:pPr>
              <w:pStyle w:val="TableContents"/>
              <w:bidi w:val="0"/>
              <w:spacing w:before="0" w:after="2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90" w:type="dxa"/>
            <w:tcBorders/>
            <w:vAlign w:val="center"/>
          </w:tcPr>
          <w:p>
            <w:pPr>
              <w:pStyle w:val="TableContents"/>
              <w:bidi w:val="0"/>
              <w:spacing w:before="0" w:after="283"/>
              <w:jc w:val="left"/>
              <w:rPr/>
            </w:pPr>
            <w:r>
              <w:rPr/>
              <w:t> </w:t>
            </w:r>
          </w:p>
        </w:tc>
        <w:tc>
          <w:tcPr>
            <w:tcW w:w="1045" w:type="dxa"/>
            <w:tcBorders/>
            <w:vAlign w:val="center"/>
          </w:tcPr>
          <w:p>
            <w:pPr>
              <w:pStyle w:val="TableContents"/>
              <w:bidi w:val="0"/>
              <w:spacing w:before="45" w:after="45"/>
              <w:ind w:left="45" w:right="45" w:hanging="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 xml:space="preserve">Market value of </w:t>
            </w:r>
          </w:p>
          <w:p>
            <w:pPr>
              <w:pStyle w:val="TableContents"/>
              <w:bidi w:val="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 xml:space="preserve">shares of units of </w:t>
            </w:r>
          </w:p>
          <w:p>
            <w:pPr>
              <w:pStyle w:val="TableContents"/>
              <w:bidi w:val="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 xml:space="preserve">stock that have not </w:t>
            </w:r>
          </w:p>
          <w:p>
            <w:pPr>
              <w:pStyle w:val="TableContents"/>
              <w:bidi w:val="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 xml:space="preserve">vested </w:t>
            </w:r>
          </w:p>
          <w:p>
            <w:pPr>
              <w:pStyle w:val="TableContents"/>
              <w:bidi w:val="0"/>
              <w:spacing w:before="0" w:after="20"/>
              <w:jc w:val="center"/>
              <w:rPr>
                <w:rFonts w:ascii="Times New Roman;Times;Serif" w:hAnsi="Times New Roman;Times;Serif"/>
                <w:b w:val="false"/>
                <w:i w:val="false"/>
                <w:caps w:val="false"/>
                <w:smallCaps w:val="false"/>
                <w:sz w:val="16"/>
              </w:rPr>
            </w:pPr>
            <w:r>
              <w:rPr>
                <w:rFonts w:ascii="Times New Roman;Times;Serif" w:hAnsi="Times New Roman;Times;Serif"/>
                <w:b/>
                <w:i w:val="false"/>
                <w:caps w:val="false"/>
                <w:smallCaps w:val="false"/>
                <w:sz w:val="16"/>
              </w:rPr>
              <w:t>($)</w:t>
            </w:r>
            <w:r>
              <w:rPr>
                <w:rFonts w:ascii="Times New Roman;Times;Serif" w:hAnsi="Times New Roman;Times;Serif"/>
                <w:b w:val="false"/>
                <w:i w:val="false"/>
                <w:caps w:val="false"/>
                <w:smallCaps w:val="false"/>
                <w:position w:val="5"/>
                <w:sz w:val="13"/>
                <w:sz w:val="16"/>
              </w:rPr>
              <w:t>(1)</w:t>
            </w:r>
          </w:p>
        </w:tc>
        <w:tc>
          <w:tcPr>
            <w:tcW w:w="90" w:type="dxa"/>
            <w:tcBorders/>
            <w:vAlign w:val="center"/>
          </w:tcPr>
          <w:p>
            <w:pPr>
              <w:pStyle w:val="TableContents"/>
              <w:bidi w:val="0"/>
              <w:spacing w:before="0" w:after="283"/>
              <w:jc w:val="left"/>
              <w:rPr/>
            </w:pPr>
            <w:r>
              <w:rPr/>
              <w:t> </w:t>
            </w:r>
          </w:p>
        </w:tc>
        <w:tc>
          <w:tcPr>
            <w:tcW w:w="942" w:type="dxa"/>
            <w:tcBorders/>
            <w:vAlign w:val="center"/>
          </w:tcPr>
          <w:p>
            <w:pPr>
              <w:pStyle w:val="TableContents"/>
              <w:bidi w:val="0"/>
              <w:spacing w:before="45" w:after="45"/>
              <w:ind w:left="45" w:right="45" w:hanging="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 xml:space="preserve">Equity </w:t>
            </w:r>
          </w:p>
          <w:p>
            <w:pPr>
              <w:pStyle w:val="TableContents"/>
              <w:bidi w:val="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 xml:space="preserve">incentive </w:t>
            </w:r>
          </w:p>
          <w:p>
            <w:pPr>
              <w:pStyle w:val="TableContents"/>
              <w:bidi w:val="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 xml:space="preserve">plan awards: </w:t>
            </w:r>
          </w:p>
          <w:p>
            <w:pPr>
              <w:pStyle w:val="TableContents"/>
              <w:bidi w:val="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 xml:space="preserve">Number of </w:t>
            </w:r>
          </w:p>
          <w:p>
            <w:pPr>
              <w:pStyle w:val="TableContents"/>
              <w:bidi w:val="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 xml:space="preserve">unearned </w:t>
            </w:r>
          </w:p>
          <w:p>
            <w:pPr>
              <w:pStyle w:val="TableContents"/>
              <w:bidi w:val="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 xml:space="preserve">shares, units or </w:t>
            </w:r>
          </w:p>
          <w:p>
            <w:pPr>
              <w:pStyle w:val="TableContents"/>
              <w:bidi w:val="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 xml:space="preserve">other rights that </w:t>
            </w:r>
          </w:p>
          <w:p>
            <w:pPr>
              <w:pStyle w:val="TableContents"/>
              <w:bidi w:val="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 xml:space="preserve">have not vested </w:t>
            </w:r>
          </w:p>
          <w:p>
            <w:pPr>
              <w:pStyle w:val="TableContents"/>
              <w:bidi w:val="0"/>
              <w:spacing w:before="0" w:after="2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90" w:type="dxa"/>
            <w:tcBorders/>
            <w:vAlign w:val="center"/>
          </w:tcPr>
          <w:p>
            <w:pPr>
              <w:pStyle w:val="TableContents"/>
              <w:bidi w:val="0"/>
              <w:spacing w:before="0" w:after="283"/>
              <w:jc w:val="left"/>
              <w:rPr/>
            </w:pPr>
            <w:r>
              <w:rPr/>
              <w:t> </w:t>
            </w:r>
          </w:p>
        </w:tc>
        <w:tc>
          <w:tcPr>
            <w:tcW w:w="1031" w:type="dxa"/>
            <w:tcBorders/>
            <w:vAlign w:val="center"/>
          </w:tcPr>
          <w:p>
            <w:pPr>
              <w:pStyle w:val="TableContents"/>
              <w:bidi w:val="0"/>
              <w:spacing w:before="45" w:after="45"/>
              <w:ind w:left="45" w:right="45" w:hanging="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Equity</w:t>
            </w:r>
          </w:p>
          <w:p>
            <w:pPr>
              <w:pStyle w:val="TableContents"/>
              <w:bidi w:val="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incentive</w:t>
            </w:r>
          </w:p>
          <w:p>
            <w:pPr>
              <w:pStyle w:val="TableContents"/>
              <w:bidi w:val="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 xml:space="preserve">plan awards: </w:t>
            </w:r>
          </w:p>
          <w:p>
            <w:pPr>
              <w:pStyle w:val="TableContents"/>
              <w:bidi w:val="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 xml:space="preserve">Market or payout </w:t>
            </w:r>
          </w:p>
          <w:p>
            <w:pPr>
              <w:pStyle w:val="TableContents"/>
              <w:bidi w:val="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value of</w:t>
            </w:r>
          </w:p>
          <w:p>
            <w:pPr>
              <w:pStyle w:val="TableContents"/>
              <w:bidi w:val="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unearned</w:t>
            </w:r>
          </w:p>
          <w:p>
            <w:pPr>
              <w:pStyle w:val="TableContents"/>
              <w:bidi w:val="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 xml:space="preserve">shares, units or </w:t>
            </w:r>
          </w:p>
          <w:p>
            <w:pPr>
              <w:pStyle w:val="TableContents"/>
              <w:bidi w:val="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 xml:space="preserve">other rights that </w:t>
            </w:r>
          </w:p>
          <w:p>
            <w:pPr>
              <w:pStyle w:val="TableContents"/>
              <w:bidi w:val="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have not vested</w:t>
            </w:r>
          </w:p>
          <w:p>
            <w:pPr>
              <w:pStyle w:val="TableContents"/>
              <w:bidi w:val="0"/>
              <w:spacing w:before="0" w:after="20"/>
              <w:jc w:val="center"/>
              <w:rPr>
                <w:rFonts w:ascii="Times New Roman;Times;Serif" w:hAnsi="Times New Roman;Times;Serif"/>
                <w:b w:val="false"/>
                <w:i w:val="false"/>
                <w:caps w:val="false"/>
                <w:smallCaps w:val="false"/>
                <w:sz w:val="16"/>
              </w:rPr>
            </w:pPr>
            <w:r>
              <w:rPr>
                <w:rFonts w:ascii="Times New Roman;Times;Serif" w:hAnsi="Times New Roman;Times;Serif"/>
                <w:b/>
                <w:i w:val="false"/>
                <w:caps w:val="false"/>
                <w:smallCaps w:val="false"/>
                <w:sz w:val="16"/>
              </w:rPr>
              <w:t>($)</w:t>
            </w:r>
            <w:r>
              <w:rPr>
                <w:rFonts w:ascii="Times New Roman;Times;Serif" w:hAnsi="Times New Roman;Times;Serif"/>
                <w:b w:val="false"/>
                <w:i w:val="false"/>
                <w:caps w:val="false"/>
                <w:smallCaps w:val="false"/>
                <w:position w:val="5"/>
                <w:sz w:val="13"/>
                <w:sz w:val="16"/>
              </w:rPr>
              <w:t>(1)</w:t>
            </w:r>
          </w:p>
        </w:tc>
      </w:tr>
      <w:tr>
        <w:trPr/>
        <w:tc>
          <w:tcPr>
            <w:tcW w:w="1034" w:type="dxa"/>
            <w:tcBorders/>
            <w:shd w:fill="CCEEFF" w:val="clear"/>
            <w:vAlign w:val="center"/>
          </w:tcPr>
          <w:p>
            <w:pPr>
              <w:pStyle w:val="TableContents"/>
              <w:bidi w:val="0"/>
              <w:spacing w:before="0" w:after="283"/>
              <w:jc w:val="left"/>
              <w:rPr>
                <w:sz w:val="16"/>
              </w:rPr>
            </w:pPr>
            <w:r>
              <w:rPr>
                <w:sz w:val="16"/>
              </w:rPr>
              <w:t>Yang Wu</w:t>
            </w:r>
          </w:p>
        </w:tc>
        <w:tc>
          <w:tcPr>
            <w:tcW w:w="90" w:type="dxa"/>
            <w:tcBorders/>
            <w:shd w:fill="CCEEFF" w:val="clear"/>
            <w:vAlign w:val="center"/>
          </w:tcPr>
          <w:p>
            <w:pPr>
              <w:pStyle w:val="TableContents"/>
              <w:bidi w:val="0"/>
              <w:spacing w:before="0" w:after="283"/>
              <w:jc w:val="center"/>
              <w:rPr/>
            </w:pPr>
            <w:r>
              <w:rPr/>
              <w:t> </w:t>
            </w:r>
          </w:p>
        </w:tc>
        <w:tc>
          <w:tcPr>
            <w:tcW w:w="1170" w:type="dxa"/>
            <w:tcBorders/>
            <w:shd w:fill="CCEEFF" w:val="clear"/>
            <w:vAlign w:val="center"/>
          </w:tcPr>
          <w:p>
            <w:pPr>
              <w:pStyle w:val="TableContents"/>
              <w:bidi w:val="0"/>
              <w:spacing w:before="0" w:after="283"/>
              <w:jc w:val="center"/>
              <w:rPr/>
            </w:pPr>
            <w:r>
              <w:rPr/>
              <w:t>—</w:t>
            </w:r>
          </w:p>
        </w:tc>
        <w:tc>
          <w:tcPr>
            <w:tcW w:w="90" w:type="dxa"/>
            <w:tcBorders/>
            <w:shd w:fill="CCEEFF" w:val="clear"/>
            <w:vAlign w:val="center"/>
          </w:tcPr>
          <w:p>
            <w:pPr>
              <w:pStyle w:val="TableContents"/>
              <w:bidi w:val="0"/>
              <w:spacing w:before="0" w:after="283"/>
              <w:jc w:val="center"/>
              <w:rPr/>
            </w:pPr>
            <w:r>
              <w:rPr/>
              <w:t> </w:t>
            </w:r>
          </w:p>
        </w:tc>
        <w:tc>
          <w:tcPr>
            <w:tcW w:w="1254" w:type="dxa"/>
            <w:tcBorders/>
            <w:shd w:fill="CCEEFF" w:val="clear"/>
            <w:vAlign w:val="center"/>
          </w:tcPr>
          <w:p>
            <w:pPr>
              <w:pStyle w:val="TableContents"/>
              <w:bidi w:val="0"/>
              <w:spacing w:before="0" w:after="283"/>
              <w:jc w:val="center"/>
              <w:rPr/>
            </w:pPr>
            <w:r>
              <w:rPr/>
              <w:t>—</w:t>
            </w:r>
          </w:p>
        </w:tc>
        <w:tc>
          <w:tcPr>
            <w:tcW w:w="90" w:type="dxa"/>
            <w:tcBorders/>
            <w:shd w:fill="CCEEFF" w:val="clear"/>
            <w:vAlign w:val="center"/>
          </w:tcPr>
          <w:p>
            <w:pPr>
              <w:pStyle w:val="TableContents"/>
              <w:bidi w:val="0"/>
              <w:spacing w:before="0" w:after="283"/>
              <w:jc w:val="center"/>
              <w:rPr/>
            </w:pPr>
            <w:r>
              <w:rPr/>
              <w:t> </w:t>
            </w:r>
          </w:p>
        </w:tc>
        <w:tc>
          <w:tcPr>
            <w:tcW w:w="894" w:type="dxa"/>
            <w:tcBorders/>
            <w:shd w:fill="CCEEFF" w:val="clear"/>
            <w:vAlign w:val="center"/>
          </w:tcPr>
          <w:p>
            <w:pPr>
              <w:pStyle w:val="TableContents"/>
              <w:bidi w:val="0"/>
              <w:spacing w:before="0" w:after="283"/>
              <w:jc w:val="center"/>
              <w:rPr/>
            </w:pPr>
            <w:r>
              <w:rPr/>
              <w:t>—</w:t>
            </w:r>
          </w:p>
        </w:tc>
        <w:tc>
          <w:tcPr>
            <w:tcW w:w="90" w:type="dxa"/>
            <w:tcBorders/>
            <w:shd w:fill="CCEEFF" w:val="clear"/>
            <w:vAlign w:val="center"/>
          </w:tcPr>
          <w:p>
            <w:pPr>
              <w:pStyle w:val="TableContents"/>
              <w:bidi w:val="0"/>
              <w:spacing w:before="0" w:after="283"/>
              <w:jc w:val="center"/>
              <w:rPr/>
            </w:pPr>
            <w:r>
              <w:rPr/>
              <w:t> </w:t>
            </w:r>
          </w:p>
        </w:tc>
        <w:tc>
          <w:tcPr>
            <w:tcW w:w="1074" w:type="dxa"/>
            <w:tcBorders/>
            <w:shd w:fill="CCEEFF" w:val="clear"/>
            <w:vAlign w:val="center"/>
          </w:tcPr>
          <w:p>
            <w:pPr>
              <w:pStyle w:val="TableContents"/>
              <w:bidi w:val="0"/>
              <w:spacing w:before="0" w:after="283"/>
              <w:jc w:val="center"/>
              <w:rPr/>
            </w:pPr>
            <w:r>
              <w:rPr/>
              <w:t>—</w:t>
            </w:r>
          </w:p>
        </w:tc>
        <w:tc>
          <w:tcPr>
            <w:tcW w:w="90" w:type="dxa"/>
            <w:tcBorders/>
            <w:shd w:fill="CCEEFF" w:val="clear"/>
            <w:vAlign w:val="center"/>
          </w:tcPr>
          <w:p>
            <w:pPr>
              <w:pStyle w:val="TableContents"/>
              <w:bidi w:val="0"/>
              <w:spacing w:before="0" w:after="283"/>
              <w:jc w:val="center"/>
              <w:rPr/>
            </w:pPr>
            <w:r>
              <w:rPr/>
              <w:t> </w:t>
            </w:r>
          </w:p>
        </w:tc>
        <w:tc>
          <w:tcPr>
            <w:tcW w:w="1041" w:type="dxa"/>
            <w:tcBorders/>
            <w:shd w:fill="CCEEFF" w:val="clear"/>
            <w:vAlign w:val="center"/>
          </w:tcPr>
          <w:p>
            <w:pPr>
              <w:pStyle w:val="TableContents"/>
              <w:bidi w:val="0"/>
              <w:spacing w:before="0" w:after="283"/>
              <w:jc w:val="center"/>
              <w:rPr>
                <w:sz w:val="16"/>
              </w:rPr>
            </w:pPr>
            <w:r>
              <w:rPr>
                <w:sz w:val="16"/>
              </w:rPr>
              <w:t>450,581</w:t>
            </w:r>
            <w:r>
              <w:rPr>
                <w:position w:val="5"/>
                <w:sz w:val="13"/>
                <w:sz w:val="16"/>
              </w:rPr>
              <w:t>(2)</w:t>
            </w:r>
          </w:p>
        </w:tc>
        <w:tc>
          <w:tcPr>
            <w:tcW w:w="90" w:type="dxa"/>
            <w:tcBorders/>
            <w:shd w:fill="CCEEFF" w:val="clear"/>
            <w:vAlign w:val="center"/>
          </w:tcPr>
          <w:p>
            <w:pPr>
              <w:pStyle w:val="TableContents"/>
              <w:bidi w:val="0"/>
              <w:spacing w:before="0" w:after="283"/>
              <w:jc w:val="center"/>
              <w:rPr/>
            </w:pPr>
            <w:r>
              <w:rPr/>
              <w:t> </w:t>
            </w:r>
          </w:p>
        </w:tc>
        <w:tc>
          <w:tcPr>
            <w:tcW w:w="1045" w:type="dxa"/>
            <w:tcBorders/>
            <w:shd w:fill="CCEEFF" w:val="clear"/>
            <w:vAlign w:val="center"/>
          </w:tcPr>
          <w:p>
            <w:pPr>
              <w:pStyle w:val="TableContents"/>
              <w:bidi w:val="0"/>
              <w:spacing w:before="0" w:after="283"/>
              <w:jc w:val="center"/>
              <w:rPr>
                <w:sz w:val="16"/>
              </w:rPr>
            </w:pPr>
            <w:r>
              <w:rPr>
                <w:sz w:val="16"/>
              </w:rPr>
              <w:t>1,261,627</w:t>
            </w:r>
          </w:p>
        </w:tc>
        <w:tc>
          <w:tcPr>
            <w:tcW w:w="90" w:type="dxa"/>
            <w:tcBorders/>
            <w:shd w:fill="CCEEFF" w:val="clear"/>
            <w:vAlign w:val="center"/>
          </w:tcPr>
          <w:p>
            <w:pPr>
              <w:pStyle w:val="TableContents"/>
              <w:bidi w:val="0"/>
              <w:spacing w:before="0" w:after="283"/>
              <w:jc w:val="center"/>
              <w:rPr/>
            </w:pPr>
            <w:r>
              <w:rPr/>
              <w:t> </w:t>
            </w:r>
          </w:p>
        </w:tc>
        <w:tc>
          <w:tcPr>
            <w:tcW w:w="942" w:type="dxa"/>
            <w:tcBorders/>
            <w:shd w:fill="CCEEFF" w:val="clear"/>
            <w:vAlign w:val="center"/>
          </w:tcPr>
          <w:p>
            <w:pPr>
              <w:pStyle w:val="TableContents"/>
              <w:bidi w:val="0"/>
              <w:spacing w:before="0" w:after="283"/>
              <w:jc w:val="center"/>
              <w:rPr/>
            </w:pPr>
            <w:r>
              <w:rPr/>
              <w:t>—</w:t>
            </w:r>
          </w:p>
        </w:tc>
        <w:tc>
          <w:tcPr>
            <w:tcW w:w="90" w:type="dxa"/>
            <w:tcBorders/>
            <w:shd w:fill="CCEEFF" w:val="clear"/>
            <w:vAlign w:val="center"/>
          </w:tcPr>
          <w:p>
            <w:pPr>
              <w:pStyle w:val="TableContents"/>
              <w:bidi w:val="0"/>
              <w:spacing w:before="0" w:after="283"/>
              <w:jc w:val="center"/>
              <w:rPr/>
            </w:pPr>
            <w:r>
              <w:rPr/>
              <w:t> </w:t>
            </w:r>
          </w:p>
        </w:tc>
        <w:tc>
          <w:tcPr>
            <w:tcW w:w="1031" w:type="dxa"/>
            <w:tcBorders/>
            <w:shd w:fill="CCEEFF" w:val="clear"/>
            <w:vAlign w:val="center"/>
          </w:tcPr>
          <w:p>
            <w:pPr>
              <w:pStyle w:val="TableContents"/>
              <w:bidi w:val="0"/>
              <w:spacing w:before="0" w:after="283"/>
              <w:jc w:val="center"/>
              <w:rPr/>
            </w:pPr>
            <w:r>
              <w:rPr/>
              <w:t>—</w:t>
            </w:r>
          </w:p>
        </w:tc>
      </w:tr>
      <w:tr>
        <w:trPr/>
        <w:tc>
          <w:tcPr>
            <w:tcW w:w="1034"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center"/>
              <w:rPr/>
            </w:pPr>
            <w:r>
              <w:rPr/>
              <w:t> </w:t>
            </w:r>
          </w:p>
        </w:tc>
        <w:tc>
          <w:tcPr>
            <w:tcW w:w="117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center"/>
              <w:rPr/>
            </w:pPr>
            <w:r>
              <w:rPr/>
              <w:t> </w:t>
            </w:r>
          </w:p>
        </w:tc>
        <w:tc>
          <w:tcPr>
            <w:tcW w:w="1254"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center"/>
              <w:rPr/>
            </w:pPr>
            <w:r>
              <w:rPr/>
              <w:t> </w:t>
            </w:r>
          </w:p>
        </w:tc>
        <w:tc>
          <w:tcPr>
            <w:tcW w:w="894"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center"/>
              <w:rPr/>
            </w:pPr>
            <w:r>
              <w:rPr/>
              <w:t> </w:t>
            </w:r>
          </w:p>
        </w:tc>
        <w:tc>
          <w:tcPr>
            <w:tcW w:w="1074"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center"/>
              <w:rPr/>
            </w:pPr>
            <w:r>
              <w:rPr/>
              <w:t> </w:t>
            </w:r>
          </w:p>
        </w:tc>
        <w:tc>
          <w:tcPr>
            <w:tcW w:w="1041" w:type="dxa"/>
            <w:tcBorders/>
            <w:shd w:fill="CCEEFF" w:val="clear"/>
            <w:vAlign w:val="center"/>
          </w:tcPr>
          <w:p>
            <w:pPr>
              <w:pStyle w:val="TableContents"/>
              <w:bidi w:val="0"/>
              <w:spacing w:before="0" w:after="283"/>
              <w:jc w:val="center"/>
              <w:rPr>
                <w:sz w:val="16"/>
              </w:rPr>
            </w:pPr>
            <w:r>
              <w:rPr>
                <w:sz w:val="16"/>
              </w:rPr>
              <w:t>93,135</w:t>
            </w:r>
            <w:r>
              <w:rPr>
                <w:position w:val="5"/>
                <w:sz w:val="13"/>
                <w:sz w:val="16"/>
              </w:rPr>
              <w:t>(3)</w:t>
            </w:r>
          </w:p>
        </w:tc>
        <w:tc>
          <w:tcPr>
            <w:tcW w:w="90" w:type="dxa"/>
            <w:tcBorders/>
            <w:shd w:fill="CCEEFF" w:val="clear"/>
            <w:vAlign w:val="center"/>
          </w:tcPr>
          <w:p>
            <w:pPr>
              <w:pStyle w:val="TableContents"/>
              <w:bidi w:val="0"/>
              <w:spacing w:before="0" w:after="283"/>
              <w:jc w:val="center"/>
              <w:rPr/>
            </w:pPr>
            <w:r>
              <w:rPr/>
              <w:t> </w:t>
            </w:r>
          </w:p>
        </w:tc>
        <w:tc>
          <w:tcPr>
            <w:tcW w:w="1045" w:type="dxa"/>
            <w:tcBorders/>
            <w:shd w:fill="CCEEFF" w:val="clear"/>
            <w:vAlign w:val="center"/>
          </w:tcPr>
          <w:p>
            <w:pPr>
              <w:pStyle w:val="TableContents"/>
              <w:bidi w:val="0"/>
              <w:spacing w:before="0" w:after="283"/>
              <w:jc w:val="center"/>
              <w:rPr>
                <w:sz w:val="16"/>
              </w:rPr>
            </w:pPr>
            <w:r>
              <w:rPr>
                <w:sz w:val="16"/>
              </w:rPr>
              <w:t>260,778</w:t>
            </w:r>
          </w:p>
        </w:tc>
        <w:tc>
          <w:tcPr>
            <w:tcW w:w="90" w:type="dxa"/>
            <w:tcBorders/>
            <w:shd w:fill="CCEEFF" w:val="clear"/>
            <w:vAlign w:val="center"/>
          </w:tcPr>
          <w:p>
            <w:pPr>
              <w:pStyle w:val="TableContents"/>
              <w:bidi w:val="0"/>
              <w:spacing w:before="0" w:after="283"/>
              <w:jc w:val="center"/>
              <w:rPr/>
            </w:pPr>
            <w:r>
              <w:rPr/>
              <w:t> </w:t>
            </w:r>
          </w:p>
        </w:tc>
        <w:tc>
          <w:tcPr>
            <w:tcW w:w="942"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center"/>
              <w:rPr/>
            </w:pPr>
            <w:r>
              <w:rPr/>
              <w:t> </w:t>
            </w:r>
          </w:p>
        </w:tc>
        <w:tc>
          <w:tcPr>
            <w:tcW w:w="1031" w:type="dxa"/>
            <w:tcBorders/>
            <w:shd w:fill="CCEEFF" w:val="clear"/>
            <w:vAlign w:val="center"/>
          </w:tcPr>
          <w:p>
            <w:pPr>
              <w:pStyle w:val="TableContents"/>
              <w:bidi w:val="0"/>
              <w:spacing w:before="0" w:after="283"/>
              <w:jc w:val="center"/>
              <w:rPr/>
            </w:pPr>
            <w:r>
              <w:rPr/>
              <w:t> </w:t>
            </w:r>
          </w:p>
        </w:tc>
      </w:tr>
      <w:tr>
        <w:trPr/>
        <w:tc>
          <w:tcPr>
            <w:tcW w:w="1034" w:type="dxa"/>
            <w:vMerge w:val="restart"/>
            <w:tcBorders/>
            <w:vAlign w:val="center"/>
          </w:tcPr>
          <w:p>
            <w:pPr>
              <w:pStyle w:val="TableContents"/>
              <w:bidi w:val="0"/>
              <w:spacing w:before="0" w:after="283"/>
              <w:jc w:val="left"/>
              <w:rPr>
                <w:sz w:val="16"/>
              </w:rPr>
            </w:pPr>
            <w:r>
              <w:rPr>
                <w:sz w:val="16"/>
              </w:rPr>
              <w:t>Rodney Worthen</w:t>
            </w:r>
          </w:p>
        </w:tc>
        <w:tc>
          <w:tcPr>
            <w:tcW w:w="90" w:type="dxa"/>
            <w:tcBorders/>
            <w:vAlign w:val="center"/>
          </w:tcPr>
          <w:p>
            <w:pPr>
              <w:pStyle w:val="TableContents"/>
              <w:bidi w:val="0"/>
              <w:spacing w:before="0" w:after="283"/>
              <w:jc w:val="center"/>
              <w:rPr/>
            </w:pPr>
            <w:r>
              <w:rPr/>
              <w:t> </w:t>
            </w:r>
          </w:p>
        </w:tc>
        <w:tc>
          <w:tcPr>
            <w:tcW w:w="1170" w:type="dxa"/>
            <w:tcBorders/>
            <w:vAlign w:val="center"/>
          </w:tcPr>
          <w:p>
            <w:pPr>
              <w:pStyle w:val="TableContents"/>
              <w:bidi w:val="0"/>
              <w:spacing w:before="0" w:after="283"/>
              <w:jc w:val="center"/>
              <w:rPr/>
            </w:pPr>
            <w:r>
              <w:rPr/>
              <w:t>—</w:t>
            </w:r>
          </w:p>
        </w:tc>
        <w:tc>
          <w:tcPr>
            <w:tcW w:w="90" w:type="dxa"/>
            <w:tcBorders/>
            <w:vAlign w:val="center"/>
          </w:tcPr>
          <w:p>
            <w:pPr>
              <w:pStyle w:val="TableContents"/>
              <w:bidi w:val="0"/>
              <w:spacing w:before="0" w:after="283"/>
              <w:jc w:val="center"/>
              <w:rPr/>
            </w:pPr>
            <w:r>
              <w:rPr/>
              <w:t> </w:t>
            </w:r>
          </w:p>
        </w:tc>
        <w:tc>
          <w:tcPr>
            <w:tcW w:w="1254" w:type="dxa"/>
            <w:tcBorders/>
            <w:vAlign w:val="center"/>
          </w:tcPr>
          <w:p>
            <w:pPr>
              <w:pStyle w:val="TableContents"/>
              <w:bidi w:val="0"/>
              <w:spacing w:before="0" w:after="283"/>
              <w:jc w:val="center"/>
              <w:rPr/>
            </w:pPr>
            <w:r>
              <w:rPr/>
              <w:t>—</w:t>
            </w:r>
          </w:p>
        </w:tc>
        <w:tc>
          <w:tcPr>
            <w:tcW w:w="90" w:type="dxa"/>
            <w:tcBorders/>
            <w:vAlign w:val="center"/>
          </w:tcPr>
          <w:p>
            <w:pPr>
              <w:pStyle w:val="TableContents"/>
              <w:bidi w:val="0"/>
              <w:spacing w:before="0" w:after="283"/>
              <w:jc w:val="center"/>
              <w:rPr/>
            </w:pPr>
            <w:r>
              <w:rPr/>
              <w:t> </w:t>
            </w:r>
          </w:p>
        </w:tc>
        <w:tc>
          <w:tcPr>
            <w:tcW w:w="894" w:type="dxa"/>
            <w:tcBorders/>
            <w:vAlign w:val="center"/>
          </w:tcPr>
          <w:p>
            <w:pPr>
              <w:pStyle w:val="TableContents"/>
              <w:bidi w:val="0"/>
              <w:spacing w:before="0" w:after="283"/>
              <w:jc w:val="center"/>
              <w:rPr/>
            </w:pPr>
            <w:r>
              <w:rPr/>
              <w:t>—</w:t>
            </w:r>
          </w:p>
        </w:tc>
        <w:tc>
          <w:tcPr>
            <w:tcW w:w="90" w:type="dxa"/>
            <w:tcBorders/>
            <w:vAlign w:val="center"/>
          </w:tcPr>
          <w:p>
            <w:pPr>
              <w:pStyle w:val="TableContents"/>
              <w:bidi w:val="0"/>
              <w:spacing w:before="0" w:after="283"/>
              <w:jc w:val="center"/>
              <w:rPr/>
            </w:pPr>
            <w:r>
              <w:rPr/>
              <w:t> </w:t>
            </w:r>
          </w:p>
        </w:tc>
        <w:tc>
          <w:tcPr>
            <w:tcW w:w="1074" w:type="dxa"/>
            <w:tcBorders/>
            <w:vAlign w:val="center"/>
          </w:tcPr>
          <w:p>
            <w:pPr>
              <w:pStyle w:val="TableContents"/>
              <w:bidi w:val="0"/>
              <w:spacing w:before="0" w:after="283"/>
              <w:jc w:val="center"/>
              <w:rPr/>
            </w:pPr>
            <w:r>
              <w:rPr/>
              <w:t>—</w:t>
            </w:r>
          </w:p>
        </w:tc>
        <w:tc>
          <w:tcPr>
            <w:tcW w:w="90" w:type="dxa"/>
            <w:tcBorders/>
            <w:vAlign w:val="center"/>
          </w:tcPr>
          <w:p>
            <w:pPr>
              <w:pStyle w:val="TableContents"/>
              <w:bidi w:val="0"/>
              <w:spacing w:before="0" w:after="283"/>
              <w:jc w:val="center"/>
              <w:rPr/>
            </w:pPr>
            <w:r>
              <w:rPr/>
              <w:t> </w:t>
            </w:r>
          </w:p>
        </w:tc>
        <w:tc>
          <w:tcPr>
            <w:tcW w:w="1041" w:type="dxa"/>
            <w:tcBorders/>
            <w:vAlign w:val="center"/>
          </w:tcPr>
          <w:p>
            <w:pPr>
              <w:pStyle w:val="TableContents"/>
              <w:bidi w:val="0"/>
              <w:spacing w:before="0" w:after="283"/>
              <w:jc w:val="center"/>
              <w:rPr>
                <w:sz w:val="16"/>
              </w:rPr>
            </w:pPr>
            <w:r>
              <w:rPr>
                <w:sz w:val="16"/>
              </w:rPr>
              <w:t>12,919</w:t>
            </w:r>
            <w:r>
              <w:rPr>
                <w:position w:val="5"/>
                <w:sz w:val="13"/>
                <w:sz w:val="16"/>
              </w:rPr>
              <w:t>(4)</w:t>
            </w:r>
          </w:p>
        </w:tc>
        <w:tc>
          <w:tcPr>
            <w:tcW w:w="90" w:type="dxa"/>
            <w:tcBorders/>
            <w:vAlign w:val="center"/>
          </w:tcPr>
          <w:p>
            <w:pPr>
              <w:pStyle w:val="TableContents"/>
              <w:bidi w:val="0"/>
              <w:spacing w:before="0" w:after="283"/>
              <w:jc w:val="center"/>
              <w:rPr/>
            </w:pPr>
            <w:r>
              <w:rPr/>
              <w:t> </w:t>
            </w:r>
          </w:p>
        </w:tc>
        <w:tc>
          <w:tcPr>
            <w:tcW w:w="1045" w:type="dxa"/>
            <w:tcBorders/>
            <w:vAlign w:val="center"/>
          </w:tcPr>
          <w:p>
            <w:pPr>
              <w:pStyle w:val="TableContents"/>
              <w:bidi w:val="0"/>
              <w:spacing w:before="0" w:after="283"/>
              <w:jc w:val="center"/>
              <w:rPr>
                <w:sz w:val="16"/>
              </w:rPr>
            </w:pPr>
            <w:r>
              <w:rPr>
                <w:sz w:val="16"/>
              </w:rPr>
              <w:t>36,173</w:t>
            </w:r>
          </w:p>
        </w:tc>
        <w:tc>
          <w:tcPr>
            <w:tcW w:w="90" w:type="dxa"/>
            <w:tcBorders/>
            <w:vAlign w:val="center"/>
          </w:tcPr>
          <w:p>
            <w:pPr>
              <w:pStyle w:val="TableContents"/>
              <w:bidi w:val="0"/>
              <w:spacing w:before="0" w:after="283"/>
              <w:jc w:val="center"/>
              <w:rPr/>
            </w:pPr>
            <w:r>
              <w:rPr/>
              <w:t> </w:t>
            </w:r>
          </w:p>
        </w:tc>
        <w:tc>
          <w:tcPr>
            <w:tcW w:w="942" w:type="dxa"/>
            <w:tcBorders/>
            <w:vAlign w:val="center"/>
          </w:tcPr>
          <w:p>
            <w:pPr>
              <w:pStyle w:val="TableContents"/>
              <w:bidi w:val="0"/>
              <w:spacing w:before="0" w:after="283"/>
              <w:jc w:val="center"/>
              <w:rPr/>
            </w:pPr>
            <w:r>
              <w:rPr/>
              <w:t>—</w:t>
            </w:r>
          </w:p>
        </w:tc>
        <w:tc>
          <w:tcPr>
            <w:tcW w:w="90" w:type="dxa"/>
            <w:tcBorders/>
            <w:vAlign w:val="center"/>
          </w:tcPr>
          <w:p>
            <w:pPr>
              <w:pStyle w:val="TableContents"/>
              <w:bidi w:val="0"/>
              <w:spacing w:before="0" w:after="283"/>
              <w:jc w:val="center"/>
              <w:rPr/>
            </w:pPr>
            <w:r>
              <w:rPr/>
              <w:t> </w:t>
            </w:r>
          </w:p>
        </w:tc>
        <w:tc>
          <w:tcPr>
            <w:tcW w:w="1031" w:type="dxa"/>
            <w:tcBorders/>
            <w:vAlign w:val="center"/>
          </w:tcPr>
          <w:p>
            <w:pPr>
              <w:pStyle w:val="TableContents"/>
              <w:bidi w:val="0"/>
              <w:spacing w:before="0" w:after="283"/>
              <w:jc w:val="center"/>
              <w:rPr/>
            </w:pPr>
            <w:r>
              <w:rPr/>
              <w:t>—</w:t>
            </w:r>
          </w:p>
        </w:tc>
      </w:tr>
      <w:tr>
        <w:trPr/>
        <w:tc>
          <w:tcPr>
            <w:tcW w:w="1034" w:type="dxa"/>
            <w:vMerge w:val="continue"/>
            <w:tcBorders/>
            <w:vAlign w:val="center"/>
          </w:tcPr>
          <w:p>
            <w:pPr>
              <w:pStyle w:val="Normal"/>
              <w:bidi w:val="0"/>
              <w:jc w:val="left"/>
              <w:rPr/>
            </w:pPr>
            <w:r>
              <w:rPr/>
            </w:r>
          </w:p>
        </w:tc>
        <w:tc>
          <w:tcPr>
            <w:tcW w:w="90" w:type="dxa"/>
            <w:tcBorders/>
            <w:vAlign w:val="center"/>
          </w:tcPr>
          <w:p>
            <w:pPr>
              <w:pStyle w:val="TableContents"/>
              <w:bidi w:val="0"/>
              <w:spacing w:before="0" w:after="283"/>
              <w:jc w:val="center"/>
              <w:rPr/>
            </w:pPr>
            <w:r>
              <w:rPr/>
              <w:t> </w:t>
            </w:r>
          </w:p>
        </w:tc>
        <w:tc>
          <w:tcPr>
            <w:tcW w:w="1170" w:type="dxa"/>
            <w:tcBorders/>
            <w:vAlign w:val="center"/>
          </w:tcPr>
          <w:p>
            <w:pPr>
              <w:pStyle w:val="TableContents"/>
              <w:bidi w:val="0"/>
              <w:spacing w:before="0" w:after="283"/>
              <w:jc w:val="center"/>
              <w:rPr/>
            </w:pPr>
            <w:r>
              <w:rPr/>
              <w:t>—</w:t>
            </w:r>
          </w:p>
        </w:tc>
        <w:tc>
          <w:tcPr>
            <w:tcW w:w="90" w:type="dxa"/>
            <w:tcBorders/>
            <w:vAlign w:val="center"/>
          </w:tcPr>
          <w:p>
            <w:pPr>
              <w:pStyle w:val="TableContents"/>
              <w:bidi w:val="0"/>
              <w:spacing w:before="0" w:after="283"/>
              <w:jc w:val="center"/>
              <w:rPr/>
            </w:pPr>
            <w:r>
              <w:rPr/>
              <w:t> </w:t>
            </w:r>
          </w:p>
        </w:tc>
        <w:tc>
          <w:tcPr>
            <w:tcW w:w="1254" w:type="dxa"/>
            <w:tcBorders/>
            <w:vAlign w:val="center"/>
          </w:tcPr>
          <w:p>
            <w:pPr>
              <w:pStyle w:val="TableContents"/>
              <w:bidi w:val="0"/>
              <w:spacing w:before="0" w:after="283"/>
              <w:jc w:val="center"/>
              <w:rPr/>
            </w:pPr>
            <w:r>
              <w:rPr/>
              <w:t>—</w:t>
            </w:r>
          </w:p>
        </w:tc>
        <w:tc>
          <w:tcPr>
            <w:tcW w:w="90" w:type="dxa"/>
            <w:tcBorders/>
            <w:vAlign w:val="center"/>
          </w:tcPr>
          <w:p>
            <w:pPr>
              <w:pStyle w:val="TableContents"/>
              <w:bidi w:val="0"/>
              <w:spacing w:before="0" w:after="283"/>
              <w:jc w:val="center"/>
              <w:rPr/>
            </w:pPr>
            <w:r>
              <w:rPr/>
              <w:t> </w:t>
            </w:r>
          </w:p>
        </w:tc>
        <w:tc>
          <w:tcPr>
            <w:tcW w:w="894" w:type="dxa"/>
            <w:tcBorders/>
            <w:vAlign w:val="center"/>
          </w:tcPr>
          <w:p>
            <w:pPr>
              <w:pStyle w:val="TableContents"/>
              <w:bidi w:val="0"/>
              <w:spacing w:before="0" w:after="283"/>
              <w:jc w:val="center"/>
              <w:rPr/>
            </w:pPr>
            <w:r>
              <w:rPr/>
              <w:t>—</w:t>
            </w:r>
          </w:p>
        </w:tc>
        <w:tc>
          <w:tcPr>
            <w:tcW w:w="90" w:type="dxa"/>
            <w:tcBorders/>
            <w:vAlign w:val="center"/>
          </w:tcPr>
          <w:p>
            <w:pPr>
              <w:pStyle w:val="TableContents"/>
              <w:bidi w:val="0"/>
              <w:spacing w:before="0" w:after="283"/>
              <w:jc w:val="center"/>
              <w:rPr/>
            </w:pPr>
            <w:r>
              <w:rPr/>
              <w:t> </w:t>
            </w:r>
          </w:p>
        </w:tc>
        <w:tc>
          <w:tcPr>
            <w:tcW w:w="1074" w:type="dxa"/>
            <w:tcBorders/>
            <w:vAlign w:val="center"/>
          </w:tcPr>
          <w:p>
            <w:pPr>
              <w:pStyle w:val="TableContents"/>
              <w:bidi w:val="0"/>
              <w:spacing w:before="0" w:after="283"/>
              <w:jc w:val="center"/>
              <w:rPr/>
            </w:pPr>
            <w:r>
              <w:rPr/>
              <w:t>—</w:t>
            </w:r>
          </w:p>
        </w:tc>
        <w:tc>
          <w:tcPr>
            <w:tcW w:w="90" w:type="dxa"/>
            <w:tcBorders/>
            <w:vAlign w:val="center"/>
          </w:tcPr>
          <w:p>
            <w:pPr>
              <w:pStyle w:val="TableContents"/>
              <w:bidi w:val="0"/>
              <w:spacing w:before="0" w:after="283"/>
              <w:jc w:val="center"/>
              <w:rPr/>
            </w:pPr>
            <w:r>
              <w:rPr/>
              <w:t> </w:t>
            </w:r>
          </w:p>
        </w:tc>
        <w:tc>
          <w:tcPr>
            <w:tcW w:w="1041" w:type="dxa"/>
            <w:tcBorders/>
            <w:vAlign w:val="center"/>
          </w:tcPr>
          <w:p>
            <w:pPr>
              <w:pStyle w:val="TableContents"/>
              <w:bidi w:val="0"/>
              <w:spacing w:before="0" w:after="283"/>
              <w:jc w:val="center"/>
              <w:rPr>
                <w:sz w:val="16"/>
              </w:rPr>
            </w:pPr>
            <w:r>
              <w:rPr>
                <w:sz w:val="16"/>
              </w:rPr>
              <w:t>15,000</w:t>
            </w:r>
            <w:r>
              <w:rPr>
                <w:position w:val="5"/>
                <w:sz w:val="13"/>
                <w:sz w:val="16"/>
              </w:rPr>
              <w:t>(5)</w:t>
            </w:r>
          </w:p>
        </w:tc>
        <w:tc>
          <w:tcPr>
            <w:tcW w:w="90" w:type="dxa"/>
            <w:tcBorders/>
            <w:vAlign w:val="center"/>
          </w:tcPr>
          <w:p>
            <w:pPr>
              <w:pStyle w:val="TableContents"/>
              <w:bidi w:val="0"/>
              <w:spacing w:before="0" w:after="283"/>
              <w:jc w:val="center"/>
              <w:rPr/>
            </w:pPr>
            <w:r>
              <w:rPr/>
              <w:t> </w:t>
            </w:r>
          </w:p>
        </w:tc>
        <w:tc>
          <w:tcPr>
            <w:tcW w:w="1045" w:type="dxa"/>
            <w:tcBorders/>
            <w:vAlign w:val="center"/>
          </w:tcPr>
          <w:p>
            <w:pPr>
              <w:pStyle w:val="TableContents"/>
              <w:bidi w:val="0"/>
              <w:spacing w:before="0" w:after="283"/>
              <w:jc w:val="center"/>
              <w:rPr>
                <w:sz w:val="16"/>
              </w:rPr>
            </w:pPr>
            <w:r>
              <w:rPr>
                <w:sz w:val="16"/>
              </w:rPr>
              <w:t>42,000</w:t>
            </w:r>
          </w:p>
        </w:tc>
        <w:tc>
          <w:tcPr>
            <w:tcW w:w="90" w:type="dxa"/>
            <w:tcBorders/>
            <w:vAlign w:val="center"/>
          </w:tcPr>
          <w:p>
            <w:pPr>
              <w:pStyle w:val="TableContents"/>
              <w:bidi w:val="0"/>
              <w:spacing w:before="0" w:after="283"/>
              <w:jc w:val="center"/>
              <w:rPr/>
            </w:pPr>
            <w:r>
              <w:rPr/>
              <w:t> </w:t>
            </w:r>
          </w:p>
        </w:tc>
        <w:tc>
          <w:tcPr>
            <w:tcW w:w="942" w:type="dxa"/>
            <w:tcBorders/>
            <w:vAlign w:val="center"/>
          </w:tcPr>
          <w:p>
            <w:pPr>
              <w:pStyle w:val="TableContents"/>
              <w:bidi w:val="0"/>
              <w:spacing w:before="0" w:after="283"/>
              <w:jc w:val="center"/>
              <w:rPr/>
            </w:pPr>
            <w:r>
              <w:rPr/>
              <w:t>—</w:t>
            </w:r>
          </w:p>
        </w:tc>
        <w:tc>
          <w:tcPr>
            <w:tcW w:w="90" w:type="dxa"/>
            <w:tcBorders/>
            <w:vAlign w:val="center"/>
          </w:tcPr>
          <w:p>
            <w:pPr>
              <w:pStyle w:val="TableContents"/>
              <w:bidi w:val="0"/>
              <w:spacing w:before="0" w:after="283"/>
              <w:jc w:val="center"/>
              <w:rPr/>
            </w:pPr>
            <w:r>
              <w:rPr/>
              <w:t> </w:t>
            </w:r>
          </w:p>
        </w:tc>
        <w:tc>
          <w:tcPr>
            <w:tcW w:w="1031" w:type="dxa"/>
            <w:tcBorders/>
            <w:vAlign w:val="center"/>
          </w:tcPr>
          <w:p>
            <w:pPr>
              <w:pStyle w:val="TableContents"/>
              <w:bidi w:val="0"/>
              <w:spacing w:before="0" w:after="283"/>
              <w:jc w:val="center"/>
              <w:rPr/>
            </w:pPr>
            <w:r>
              <w:rPr/>
              <w:t>—</w:t>
            </w:r>
          </w:p>
        </w:tc>
      </w:tr>
      <w:tr>
        <w:trPr/>
        <w:tc>
          <w:tcPr>
            <w:tcW w:w="1034" w:type="dxa"/>
            <w:tcBorders/>
            <w:shd w:fill="CCEEFF" w:val="clear"/>
            <w:vAlign w:val="center"/>
          </w:tcPr>
          <w:p>
            <w:pPr>
              <w:pStyle w:val="TableContents"/>
              <w:bidi w:val="0"/>
              <w:spacing w:before="0" w:after="283"/>
              <w:jc w:val="left"/>
              <w:rPr>
                <w:sz w:val="16"/>
              </w:rPr>
            </w:pPr>
            <w:r>
              <w:rPr>
                <w:sz w:val="16"/>
              </w:rPr>
              <w:t>Isida Tushe</w:t>
            </w:r>
          </w:p>
        </w:tc>
        <w:tc>
          <w:tcPr>
            <w:tcW w:w="90" w:type="dxa"/>
            <w:tcBorders/>
            <w:shd w:fill="CCEEFF" w:val="clear"/>
            <w:vAlign w:val="center"/>
          </w:tcPr>
          <w:p>
            <w:pPr>
              <w:pStyle w:val="TableContents"/>
              <w:bidi w:val="0"/>
              <w:spacing w:before="0" w:after="283"/>
              <w:jc w:val="center"/>
              <w:rPr/>
            </w:pPr>
            <w:r>
              <w:rPr/>
              <w:t> </w:t>
            </w:r>
          </w:p>
        </w:tc>
        <w:tc>
          <w:tcPr>
            <w:tcW w:w="1170" w:type="dxa"/>
            <w:tcBorders/>
            <w:shd w:fill="CCEEFF" w:val="clear"/>
            <w:vAlign w:val="center"/>
          </w:tcPr>
          <w:p>
            <w:pPr>
              <w:pStyle w:val="TableContents"/>
              <w:bidi w:val="0"/>
              <w:spacing w:before="0" w:after="283"/>
              <w:jc w:val="center"/>
              <w:rPr>
                <w:sz w:val="16"/>
              </w:rPr>
            </w:pPr>
            <w:r>
              <w:rPr>
                <w:sz w:val="16"/>
              </w:rPr>
              <w:t>333,333</w:t>
            </w:r>
            <w:r>
              <w:rPr>
                <w:position w:val="5"/>
                <w:sz w:val="13"/>
                <w:sz w:val="16"/>
              </w:rPr>
              <w:t>(6)</w:t>
            </w:r>
          </w:p>
        </w:tc>
        <w:tc>
          <w:tcPr>
            <w:tcW w:w="90" w:type="dxa"/>
            <w:tcBorders/>
            <w:shd w:fill="CCEEFF" w:val="clear"/>
            <w:vAlign w:val="center"/>
          </w:tcPr>
          <w:p>
            <w:pPr>
              <w:pStyle w:val="TableContents"/>
              <w:bidi w:val="0"/>
              <w:spacing w:before="0" w:after="283"/>
              <w:jc w:val="center"/>
              <w:rPr/>
            </w:pPr>
            <w:r>
              <w:rPr/>
              <w:t> </w:t>
            </w:r>
          </w:p>
        </w:tc>
        <w:tc>
          <w:tcPr>
            <w:tcW w:w="1254" w:type="dxa"/>
            <w:tcBorders/>
            <w:shd w:fill="CCEEFF" w:val="clear"/>
            <w:vAlign w:val="center"/>
          </w:tcPr>
          <w:p>
            <w:pPr>
              <w:pStyle w:val="TableContents"/>
              <w:bidi w:val="0"/>
              <w:spacing w:before="0" w:after="283"/>
              <w:jc w:val="center"/>
              <w:rPr>
                <w:sz w:val="16"/>
              </w:rPr>
            </w:pPr>
            <w:r>
              <w:rPr>
                <w:sz w:val="16"/>
              </w:rPr>
              <w:t>666,667</w:t>
            </w:r>
            <w:r>
              <w:rPr>
                <w:position w:val="5"/>
                <w:sz w:val="13"/>
                <w:sz w:val="16"/>
              </w:rPr>
              <w:t>(6)</w:t>
            </w:r>
          </w:p>
        </w:tc>
        <w:tc>
          <w:tcPr>
            <w:tcW w:w="90" w:type="dxa"/>
            <w:tcBorders/>
            <w:shd w:fill="CCEEFF" w:val="clear"/>
            <w:vAlign w:val="center"/>
          </w:tcPr>
          <w:p>
            <w:pPr>
              <w:pStyle w:val="TableContents"/>
              <w:bidi w:val="0"/>
              <w:spacing w:before="0" w:after="283"/>
              <w:jc w:val="center"/>
              <w:rPr/>
            </w:pPr>
            <w:r>
              <w:rPr/>
              <w:t> </w:t>
            </w:r>
          </w:p>
        </w:tc>
        <w:tc>
          <w:tcPr>
            <w:tcW w:w="894" w:type="dxa"/>
            <w:tcBorders/>
            <w:shd w:fill="CCEEFF" w:val="clear"/>
            <w:vAlign w:val="center"/>
          </w:tcPr>
          <w:p>
            <w:pPr>
              <w:pStyle w:val="TableContents"/>
              <w:bidi w:val="0"/>
              <w:spacing w:before="0" w:after="283"/>
              <w:jc w:val="center"/>
              <w:rPr>
                <w:sz w:val="16"/>
              </w:rPr>
            </w:pPr>
            <w:r>
              <w:rPr>
                <w:sz w:val="16"/>
              </w:rPr>
              <w:t>1.29</w:t>
            </w:r>
          </w:p>
        </w:tc>
        <w:tc>
          <w:tcPr>
            <w:tcW w:w="90" w:type="dxa"/>
            <w:tcBorders/>
            <w:shd w:fill="CCEEFF" w:val="clear"/>
            <w:vAlign w:val="center"/>
          </w:tcPr>
          <w:p>
            <w:pPr>
              <w:pStyle w:val="TableContents"/>
              <w:bidi w:val="0"/>
              <w:spacing w:before="0" w:after="283"/>
              <w:jc w:val="center"/>
              <w:rPr/>
            </w:pPr>
            <w:r>
              <w:rPr/>
              <w:t> </w:t>
            </w:r>
          </w:p>
        </w:tc>
        <w:tc>
          <w:tcPr>
            <w:tcW w:w="1074" w:type="dxa"/>
            <w:tcBorders/>
            <w:shd w:fill="CCEEFF" w:val="clear"/>
            <w:vAlign w:val="center"/>
          </w:tcPr>
          <w:p>
            <w:pPr>
              <w:pStyle w:val="TableContents"/>
              <w:bidi w:val="0"/>
              <w:spacing w:before="0" w:after="283"/>
              <w:jc w:val="center"/>
              <w:rPr>
                <w:sz w:val="16"/>
              </w:rPr>
            </w:pPr>
            <w:r>
              <w:rPr>
                <w:sz w:val="16"/>
              </w:rPr>
              <w:t>12/5/2034</w:t>
            </w:r>
          </w:p>
        </w:tc>
        <w:tc>
          <w:tcPr>
            <w:tcW w:w="90" w:type="dxa"/>
            <w:tcBorders/>
            <w:shd w:fill="CCEEFF" w:val="clear"/>
            <w:vAlign w:val="center"/>
          </w:tcPr>
          <w:p>
            <w:pPr>
              <w:pStyle w:val="TableContents"/>
              <w:bidi w:val="0"/>
              <w:spacing w:before="0" w:after="283"/>
              <w:jc w:val="center"/>
              <w:rPr/>
            </w:pPr>
            <w:r>
              <w:rPr/>
              <w:t> </w:t>
            </w:r>
          </w:p>
        </w:tc>
        <w:tc>
          <w:tcPr>
            <w:tcW w:w="1041" w:type="dxa"/>
            <w:tcBorders/>
            <w:shd w:fill="CCEEFF" w:val="clear"/>
            <w:vAlign w:val="center"/>
          </w:tcPr>
          <w:p>
            <w:pPr>
              <w:pStyle w:val="TableContents"/>
              <w:bidi w:val="0"/>
              <w:spacing w:before="0" w:after="283"/>
              <w:jc w:val="center"/>
              <w:rPr/>
            </w:pPr>
            <w:r>
              <w:rPr/>
              <w:t>—</w:t>
            </w:r>
          </w:p>
        </w:tc>
        <w:tc>
          <w:tcPr>
            <w:tcW w:w="90" w:type="dxa"/>
            <w:tcBorders/>
            <w:shd w:fill="CCEEFF" w:val="clear"/>
            <w:vAlign w:val="center"/>
          </w:tcPr>
          <w:p>
            <w:pPr>
              <w:pStyle w:val="TableContents"/>
              <w:bidi w:val="0"/>
              <w:spacing w:before="0" w:after="283"/>
              <w:jc w:val="center"/>
              <w:rPr/>
            </w:pPr>
            <w:r>
              <w:rPr/>
              <w:t> </w:t>
            </w:r>
          </w:p>
        </w:tc>
        <w:tc>
          <w:tcPr>
            <w:tcW w:w="1045" w:type="dxa"/>
            <w:tcBorders/>
            <w:shd w:fill="CCEEFF" w:val="clear"/>
            <w:vAlign w:val="center"/>
          </w:tcPr>
          <w:p>
            <w:pPr>
              <w:pStyle w:val="TableContents"/>
              <w:bidi w:val="0"/>
              <w:spacing w:before="0" w:after="283"/>
              <w:jc w:val="center"/>
              <w:rPr/>
            </w:pPr>
            <w:r>
              <w:rPr/>
              <w:t>—</w:t>
            </w:r>
          </w:p>
        </w:tc>
        <w:tc>
          <w:tcPr>
            <w:tcW w:w="90" w:type="dxa"/>
            <w:tcBorders/>
            <w:shd w:fill="CCEEFF" w:val="clear"/>
            <w:vAlign w:val="center"/>
          </w:tcPr>
          <w:p>
            <w:pPr>
              <w:pStyle w:val="TableContents"/>
              <w:bidi w:val="0"/>
              <w:spacing w:before="0" w:after="283"/>
              <w:jc w:val="center"/>
              <w:rPr/>
            </w:pPr>
            <w:r>
              <w:rPr/>
              <w:t> </w:t>
            </w:r>
          </w:p>
        </w:tc>
        <w:tc>
          <w:tcPr>
            <w:tcW w:w="942" w:type="dxa"/>
            <w:tcBorders/>
            <w:shd w:fill="CCEEFF" w:val="clear"/>
            <w:vAlign w:val="center"/>
          </w:tcPr>
          <w:p>
            <w:pPr>
              <w:pStyle w:val="TableContents"/>
              <w:bidi w:val="0"/>
              <w:spacing w:before="0" w:after="283"/>
              <w:jc w:val="center"/>
              <w:rPr/>
            </w:pPr>
            <w:r>
              <w:rPr/>
              <w:t>—</w:t>
            </w:r>
          </w:p>
        </w:tc>
        <w:tc>
          <w:tcPr>
            <w:tcW w:w="90" w:type="dxa"/>
            <w:tcBorders/>
            <w:shd w:fill="CCEEFF" w:val="clear"/>
            <w:vAlign w:val="center"/>
          </w:tcPr>
          <w:p>
            <w:pPr>
              <w:pStyle w:val="TableContents"/>
              <w:bidi w:val="0"/>
              <w:spacing w:before="0" w:after="283"/>
              <w:jc w:val="center"/>
              <w:rPr/>
            </w:pPr>
            <w:r>
              <w:rPr/>
              <w:t> </w:t>
            </w:r>
          </w:p>
        </w:tc>
        <w:tc>
          <w:tcPr>
            <w:tcW w:w="1031" w:type="dxa"/>
            <w:tcBorders/>
            <w:shd w:fill="CCEEFF" w:val="clear"/>
            <w:vAlign w:val="center"/>
          </w:tcPr>
          <w:p>
            <w:pPr>
              <w:pStyle w:val="TableContents"/>
              <w:bidi w:val="0"/>
              <w:spacing w:before="0" w:after="283"/>
              <w:jc w:val="center"/>
              <w:rPr/>
            </w:pPr>
            <w:r>
              <w:rPr/>
              <w:t>—</w:t>
            </w:r>
          </w:p>
        </w:tc>
      </w:tr>
      <w:tr>
        <w:trPr/>
        <w:tc>
          <w:tcPr>
            <w:tcW w:w="1034"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center"/>
              <w:rPr/>
            </w:pPr>
            <w:r>
              <w:rPr/>
              <w:t> </w:t>
            </w:r>
          </w:p>
        </w:tc>
        <w:tc>
          <w:tcPr>
            <w:tcW w:w="1170" w:type="dxa"/>
            <w:tcBorders/>
            <w:shd w:fill="CCEEFF" w:val="clear"/>
            <w:vAlign w:val="center"/>
          </w:tcPr>
          <w:p>
            <w:pPr>
              <w:pStyle w:val="TableContents"/>
              <w:bidi w:val="0"/>
              <w:spacing w:before="0" w:after="283"/>
              <w:jc w:val="center"/>
              <w:rPr>
                <w:sz w:val="16"/>
              </w:rPr>
            </w:pPr>
            <w:r>
              <w:rPr>
                <w:sz w:val="16"/>
              </w:rPr>
              <w:t>66,667</w:t>
            </w:r>
            <w:r>
              <w:rPr>
                <w:position w:val="5"/>
                <w:sz w:val="13"/>
                <w:sz w:val="16"/>
              </w:rPr>
              <w:t>(7)</w:t>
            </w:r>
          </w:p>
        </w:tc>
        <w:tc>
          <w:tcPr>
            <w:tcW w:w="90" w:type="dxa"/>
            <w:tcBorders/>
            <w:shd w:fill="CCEEFF" w:val="clear"/>
            <w:vAlign w:val="center"/>
          </w:tcPr>
          <w:p>
            <w:pPr>
              <w:pStyle w:val="TableContents"/>
              <w:bidi w:val="0"/>
              <w:spacing w:before="0" w:after="283"/>
              <w:jc w:val="center"/>
              <w:rPr/>
            </w:pPr>
            <w:r>
              <w:rPr/>
              <w:t> </w:t>
            </w:r>
          </w:p>
        </w:tc>
        <w:tc>
          <w:tcPr>
            <w:tcW w:w="1254" w:type="dxa"/>
            <w:tcBorders/>
            <w:shd w:fill="CCEEFF" w:val="clear"/>
            <w:vAlign w:val="center"/>
          </w:tcPr>
          <w:p>
            <w:pPr>
              <w:pStyle w:val="TableContents"/>
              <w:bidi w:val="0"/>
              <w:spacing w:before="0" w:after="283"/>
              <w:jc w:val="center"/>
              <w:rPr>
                <w:sz w:val="16"/>
              </w:rPr>
            </w:pPr>
            <w:r>
              <w:rPr>
                <w:sz w:val="16"/>
              </w:rPr>
              <w:t>33,333</w:t>
            </w:r>
            <w:r>
              <w:rPr>
                <w:position w:val="5"/>
                <w:sz w:val="13"/>
                <w:sz w:val="16"/>
              </w:rPr>
              <w:t>(7)</w:t>
            </w:r>
          </w:p>
        </w:tc>
        <w:tc>
          <w:tcPr>
            <w:tcW w:w="90" w:type="dxa"/>
            <w:tcBorders/>
            <w:shd w:fill="CCEEFF" w:val="clear"/>
            <w:vAlign w:val="center"/>
          </w:tcPr>
          <w:p>
            <w:pPr>
              <w:pStyle w:val="TableContents"/>
              <w:bidi w:val="0"/>
              <w:spacing w:before="0" w:after="283"/>
              <w:jc w:val="center"/>
              <w:rPr/>
            </w:pPr>
            <w:r>
              <w:rPr/>
              <w:t> </w:t>
            </w:r>
          </w:p>
        </w:tc>
        <w:tc>
          <w:tcPr>
            <w:tcW w:w="894" w:type="dxa"/>
            <w:tcBorders/>
            <w:shd w:fill="CCEEFF" w:val="clear"/>
            <w:vAlign w:val="center"/>
          </w:tcPr>
          <w:p>
            <w:pPr>
              <w:pStyle w:val="TableContents"/>
              <w:bidi w:val="0"/>
              <w:spacing w:before="0" w:after="283"/>
              <w:jc w:val="center"/>
              <w:rPr>
                <w:sz w:val="16"/>
              </w:rPr>
            </w:pPr>
            <w:r>
              <w:rPr>
                <w:sz w:val="16"/>
              </w:rPr>
              <w:t>1.30</w:t>
            </w:r>
          </w:p>
        </w:tc>
        <w:tc>
          <w:tcPr>
            <w:tcW w:w="90" w:type="dxa"/>
            <w:tcBorders/>
            <w:shd w:fill="CCEEFF" w:val="clear"/>
            <w:vAlign w:val="center"/>
          </w:tcPr>
          <w:p>
            <w:pPr>
              <w:pStyle w:val="TableContents"/>
              <w:bidi w:val="0"/>
              <w:spacing w:before="0" w:after="283"/>
              <w:jc w:val="center"/>
              <w:rPr/>
            </w:pPr>
            <w:r>
              <w:rPr/>
              <w:t> </w:t>
            </w:r>
          </w:p>
        </w:tc>
        <w:tc>
          <w:tcPr>
            <w:tcW w:w="1074" w:type="dxa"/>
            <w:tcBorders/>
            <w:shd w:fill="CCEEFF" w:val="clear"/>
            <w:vAlign w:val="center"/>
          </w:tcPr>
          <w:p>
            <w:pPr>
              <w:pStyle w:val="TableContents"/>
              <w:bidi w:val="0"/>
              <w:spacing w:before="0" w:after="283"/>
              <w:jc w:val="center"/>
              <w:rPr>
                <w:sz w:val="16"/>
              </w:rPr>
            </w:pPr>
            <w:r>
              <w:rPr>
                <w:sz w:val="16"/>
              </w:rPr>
              <w:t>3/15/2033</w:t>
            </w:r>
          </w:p>
        </w:tc>
        <w:tc>
          <w:tcPr>
            <w:tcW w:w="90" w:type="dxa"/>
            <w:tcBorders/>
            <w:shd w:fill="CCEEFF" w:val="clear"/>
            <w:vAlign w:val="center"/>
          </w:tcPr>
          <w:p>
            <w:pPr>
              <w:pStyle w:val="TableContents"/>
              <w:bidi w:val="0"/>
              <w:spacing w:before="0" w:after="283"/>
              <w:jc w:val="center"/>
              <w:rPr/>
            </w:pPr>
            <w:r>
              <w:rPr/>
              <w:t> </w:t>
            </w:r>
          </w:p>
        </w:tc>
        <w:tc>
          <w:tcPr>
            <w:tcW w:w="1041" w:type="dxa"/>
            <w:tcBorders/>
            <w:shd w:fill="CCEEFF" w:val="clear"/>
            <w:vAlign w:val="center"/>
          </w:tcPr>
          <w:p>
            <w:pPr>
              <w:pStyle w:val="TableContents"/>
              <w:bidi w:val="0"/>
              <w:spacing w:before="0" w:after="283"/>
              <w:jc w:val="center"/>
              <w:rPr/>
            </w:pPr>
            <w:r>
              <w:rPr/>
              <w:t>—</w:t>
            </w:r>
          </w:p>
        </w:tc>
        <w:tc>
          <w:tcPr>
            <w:tcW w:w="90" w:type="dxa"/>
            <w:tcBorders/>
            <w:shd w:fill="CCEEFF" w:val="clear"/>
            <w:vAlign w:val="center"/>
          </w:tcPr>
          <w:p>
            <w:pPr>
              <w:pStyle w:val="TableContents"/>
              <w:bidi w:val="0"/>
              <w:spacing w:before="0" w:after="283"/>
              <w:jc w:val="center"/>
              <w:rPr/>
            </w:pPr>
            <w:r>
              <w:rPr/>
              <w:t> </w:t>
            </w:r>
          </w:p>
        </w:tc>
        <w:tc>
          <w:tcPr>
            <w:tcW w:w="1045" w:type="dxa"/>
            <w:tcBorders/>
            <w:shd w:fill="CCEEFF" w:val="clear"/>
            <w:vAlign w:val="center"/>
          </w:tcPr>
          <w:p>
            <w:pPr>
              <w:pStyle w:val="TableContents"/>
              <w:bidi w:val="0"/>
              <w:spacing w:before="0" w:after="283"/>
              <w:jc w:val="center"/>
              <w:rPr/>
            </w:pPr>
            <w:r>
              <w:rPr/>
              <w:t>—</w:t>
            </w:r>
          </w:p>
        </w:tc>
        <w:tc>
          <w:tcPr>
            <w:tcW w:w="90" w:type="dxa"/>
            <w:tcBorders/>
            <w:shd w:fill="CCEEFF" w:val="clear"/>
            <w:vAlign w:val="center"/>
          </w:tcPr>
          <w:p>
            <w:pPr>
              <w:pStyle w:val="TableContents"/>
              <w:bidi w:val="0"/>
              <w:spacing w:before="0" w:after="283"/>
              <w:jc w:val="center"/>
              <w:rPr/>
            </w:pPr>
            <w:r>
              <w:rPr/>
              <w:t> </w:t>
            </w:r>
          </w:p>
        </w:tc>
        <w:tc>
          <w:tcPr>
            <w:tcW w:w="942" w:type="dxa"/>
            <w:tcBorders/>
            <w:shd w:fill="CCEEFF" w:val="clear"/>
            <w:vAlign w:val="center"/>
          </w:tcPr>
          <w:p>
            <w:pPr>
              <w:pStyle w:val="TableContents"/>
              <w:bidi w:val="0"/>
              <w:spacing w:before="0" w:after="283"/>
              <w:jc w:val="center"/>
              <w:rPr/>
            </w:pPr>
            <w:r>
              <w:rPr/>
              <w:t>—</w:t>
            </w:r>
          </w:p>
        </w:tc>
        <w:tc>
          <w:tcPr>
            <w:tcW w:w="90" w:type="dxa"/>
            <w:tcBorders/>
            <w:shd w:fill="CCEEFF" w:val="clear"/>
            <w:vAlign w:val="center"/>
          </w:tcPr>
          <w:p>
            <w:pPr>
              <w:pStyle w:val="TableContents"/>
              <w:bidi w:val="0"/>
              <w:spacing w:before="0" w:after="283"/>
              <w:jc w:val="center"/>
              <w:rPr/>
            </w:pPr>
            <w:r>
              <w:rPr/>
              <w:t> </w:t>
            </w:r>
          </w:p>
        </w:tc>
        <w:tc>
          <w:tcPr>
            <w:tcW w:w="1031" w:type="dxa"/>
            <w:tcBorders/>
            <w:shd w:fill="CCEEFF" w:val="clear"/>
            <w:vAlign w:val="center"/>
          </w:tcPr>
          <w:p>
            <w:pPr>
              <w:pStyle w:val="TableContents"/>
              <w:bidi w:val="0"/>
              <w:spacing w:before="0" w:after="283"/>
              <w:jc w:val="center"/>
              <w:rPr/>
            </w:pPr>
            <w:r>
              <w:rPr/>
              <w:t>—</w:t>
            </w:r>
          </w:p>
        </w:tc>
      </w:tr>
      <w:tr>
        <w:trPr/>
        <w:tc>
          <w:tcPr>
            <w:tcW w:w="1034"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center"/>
              <w:rPr/>
            </w:pPr>
            <w:r>
              <w:rPr/>
              <w:t> </w:t>
            </w:r>
          </w:p>
        </w:tc>
        <w:tc>
          <w:tcPr>
            <w:tcW w:w="1170" w:type="dxa"/>
            <w:tcBorders/>
            <w:shd w:fill="CCEEFF" w:val="clear"/>
            <w:vAlign w:val="center"/>
          </w:tcPr>
          <w:p>
            <w:pPr>
              <w:pStyle w:val="TableContents"/>
              <w:bidi w:val="0"/>
              <w:spacing w:before="0" w:after="283"/>
              <w:jc w:val="center"/>
              <w:rPr>
                <w:sz w:val="16"/>
              </w:rPr>
            </w:pPr>
            <w:r>
              <w:rPr>
                <w:sz w:val="16"/>
              </w:rPr>
              <w:t>200,000</w:t>
            </w:r>
            <w:r>
              <w:rPr>
                <w:position w:val="5"/>
                <w:sz w:val="13"/>
                <w:sz w:val="16"/>
              </w:rPr>
              <w:t>(8)</w:t>
            </w:r>
          </w:p>
        </w:tc>
        <w:tc>
          <w:tcPr>
            <w:tcW w:w="90" w:type="dxa"/>
            <w:tcBorders/>
            <w:shd w:fill="CCEEFF" w:val="clear"/>
            <w:vAlign w:val="center"/>
          </w:tcPr>
          <w:p>
            <w:pPr>
              <w:pStyle w:val="TableContents"/>
              <w:bidi w:val="0"/>
              <w:spacing w:before="0" w:after="283"/>
              <w:jc w:val="center"/>
              <w:rPr/>
            </w:pPr>
            <w:r>
              <w:rPr/>
              <w:t> </w:t>
            </w:r>
          </w:p>
        </w:tc>
        <w:tc>
          <w:tcPr>
            <w:tcW w:w="1254" w:type="dxa"/>
            <w:tcBorders/>
            <w:shd w:fill="CCEEFF" w:val="clear"/>
            <w:vAlign w:val="center"/>
          </w:tcPr>
          <w:p>
            <w:pPr>
              <w:pStyle w:val="TableContents"/>
              <w:bidi w:val="0"/>
              <w:spacing w:before="0" w:after="283"/>
              <w:jc w:val="center"/>
              <w:rPr>
                <w:sz w:val="16"/>
              </w:rPr>
            </w:pPr>
            <w:r>
              <w:rPr>
                <w:sz w:val="16"/>
              </w:rPr>
              <w:t>100,000</w:t>
            </w:r>
            <w:r>
              <w:rPr>
                <w:position w:val="5"/>
                <w:sz w:val="13"/>
                <w:sz w:val="16"/>
              </w:rPr>
              <w:t>(8)</w:t>
            </w:r>
          </w:p>
        </w:tc>
        <w:tc>
          <w:tcPr>
            <w:tcW w:w="90" w:type="dxa"/>
            <w:tcBorders/>
            <w:shd w:fill="CCEEFF" w:val="clear"/>
            <w:vAlign w:val="center"/>
          </w:tcPr>
          <w:p>
            <w:pPr>
              <w:pStyle w:val="TableContents"/>
              <w:bidi w:val="0"/>
              <w:spacing w:before="0" w:after="283"/>
              <w:jc w:val="center"/>
              <w:rPr/>
            </w:pPr>
            <w:r>
              <w:rPr/>
              <w:t> </w:t>
            </w:r>
          </w:p>
        </w:tc>
        <w:tc>
          <w:tcPr>
            <w:tcW w:w="894" w:type="dxa"/>
            <w:tcBorders/>
            <w:shd w:fill="CCEEFF" w:val="clear"/>
            <w:vAlign w:val="center"/>
          </w:tcPr>
          <w:p>
            <w:pPr>
              <w:pStyle w:val="TableContents"/>
              <w:bidi w:val="0"/>
              <w:spacing w:before="0" w:after="283"/>
              <w:jc w:val="center"/>
              <w:rPr>
                <w:sz w:val="16"/>
              </w:rPr>
            </w:pPr>
            <w:r>
              <w:rPr>
                <w:sz w:val="16"/>
              </w:rPr>
              <w:t>2.08</w:t>
            </w:r>
          </w:p>
        </w:tc>
        <w:tc>
          <w:tcPr>
            <w:tcW w:w="90" w:type="dxa"/>
            <w:tcBorders/>
            <w:shd w:fill="CCEEFF" w:val="clear"/>
            <w:vAlign w:val="center"/>
          </w:tcPr>
          <w:p>
            <w:pPr>
              <w:pStyle w:val="TableContents"/>
              <w:bidi w:val="0"/>
              <w:spacing w:before="0" w:after="283"/>
              <w:jc w:val="center"/>
              <w:rPr/>
            </w:pPr>
            <w:r>
              <w:rPr/>
              <w:t> </w:t>
            </w:r>
          </w:p>
        </w:tc>
        <w:tc>
          <w:tcPr>
            <w:tcW w:w="1074" w:type="dxa"/>
            <w:tcBorders/>
            <w:shd w:fill="CCEEFF" w:val="clear"/>
            <w:vAlign w:val="center"/>
          </w:tcPr>
          <w:p>
            <w:pPr>
              <w:pStyle w:val="TableContents"/>
              <w:bidi w:val="0"/>
              <w:spacing w:before="0" w:after="283"/>
              <w:jc w:val="center"/>
              <w:rPr>
                <w:sz w:val="16"/>
              </w:rPr>
            </w:pPr>
            <w:r>
              <w:rPr>
                <w:sz w:val="16"/>
              </w:rPr>
              <w:t>8/9/2033</w:t>
            </w:r>
          </w:p>
        </w:tc>
        <w:tc>
          <w:tcPr>
            <w:tcW w:w="90" w:type="dxa"/>
            <w:tcBorders/>
            <w:shd w:fill="CCEEFF" w:val="clear"/>
            <w:vAlign w:val="center"/>
          </w:tcPr>
          <w:p>
            <w:pPr>
              <w:pStyle w:val="TableContents"/>
              <w:bidi w:val="0"/>
              <w:spacing w:before="0" w:after="283"/>
              <w:jc w:val="center"/>
              <w:rPr/>
            </w:pPr>
            <w:r>
              <w:rPr/>
              <w:t> </w:t>
            </w:r>
          </w:p>
        </w:tc>
        <w:tc>
          <w:tcPr>
            <w:tcW w:w="1041" w:type="dxa"/>
            <w:tcBorders/>
            <w:shd w:fill="CCEEFF" w:val="clear"/>
            <w:vAlign w:val="center"/>
          </w:tcPr>
          <w:p>
            <w:pPr>
              <w:pStyle w:val="TableContents"/>
              <w:bidi w:val="0"/>
              <w:spacing w:before="0" w:after="283"/>
              <w:jc w:val="center"/>
              <w:rPr/>
            </w:pPr>
            <w:r>
              <w:rPr/>
              <w:t>—</w:t>
            </w:r>
          </w:p>
        </w:tc>
        <w:tc>
          <w:tcPr>
            <w:tcW w:w="90" w:type="dxa"/>
            <w:tcBorders/>
            <w:shd w:fill="CCEEFF" w:val="clear"/>
            <w:vAlign w:val="center"/>
          </w:tcPr>
          <w:p>
            <w:pPr>
              <w:pStyle w:val="TableContents"/>
              <w:bidi w:val="0"/>
              <w:spacing w:before="0" w:after="283"/>
              <w:jc w:val="center"/>
              <w:rPr/>
            </w:pPr>
            <w:r>
              <w:rPr/>
              <w:t> </w:t>
            </w:r>
          </w:p>
        </w:tc>
        <w:tc>
          <w:tcPr>
            <w:tcW w:w="1045" w:type="dxa"/>
            <w:tcBorders/>
            <w:shd w:fill="CCEEFF" w:val="clear"/>
            <w:vAlign w:val="center"/>
          </w:tcPr>
          <w:p>
            <w:pPr>
              <w:pStyle w:val="TableContents"/>
              <w:bidi w:val="0"/>
              <w:spacing w:before="0" w:after="283"/>
              <w:jc w:val="center"/>
              <w:rPr/>
            </w:pPr>
            <w:r>
              <w:rPr/>
              <w:t>—</w:t>
            </w:r>
          </w:p>
        </w:tc>
        <w:tc>
          <w:tcPr>
            <w:tcW w:w="90" w:type="dxa"/>
            <w:tcBorders/>
            <w:shd w:fill="CCEEFF" w:val="clear"/>
            <w:vAlign w:val="center"/>
          </w:tcPr>
          <w:p>
            <w:pPr>
              <w:pStyle w:val="TableContents"/>
              <w:bidi w:val="0"/>
              <w:spacing w:before="0" w:after="283"/>
              <w:jc w:val="center"/>
              <w:rPr/>
            </w:pPr>
            <w:r>
              <w:rPr/>
              <w:t> </w:t>
            </w:r>
          </w:p>
        </w:tc>
        <w:tc>
          <w:tcPr>
            <w:tcW w:w="942" w:type="dxa"/>
            <w:tcBorders/>
            <w:shd w:fill="CCEEFF" w:val="clear"/>
            <w:vAlign w:val="center"/>
          </w:tcPr>
          <w:p>
            <w:pPr>
              <w:pStyle w:val="TableContents"/>
              <w:bidi w:val="0"/>
              <w:spacing w:before="0" w:after="283"/>
              <w:jc w:val="center"/>
              <w:rPr/>
            </w:pPr>
            <w:r>
              <w:rPr/>
              <w:t>—</w:t>
            </w:r>
          </w:p>
        </w:tc>
        <w:tc>
          <w:tcPr>
            <w:tcW w:w="90" w:type="dxa"/>
            <w:tcBorders/>
            <w:shd w:fill="CCEEFF" w:val="clear"/>
            <w:vAlign w:val="center"/>
          </w:tcPr>
          <w:p>
            <w:pPr>
              <w:pStyle w:val="TableContents"/>
              <w:bidi w:val="0"/>
              <w:spacing w:before="0" w:after="283"/>
              <w:jc w:val="center"/>
              <w:rPr/>
            </w:pPr>
            <w:r>
              <w:rPr/>
              <w:t> </w:t>
            </w:r>
          </w:p>
        </w:tc>
        <w:tc>
          <w:tcPr>
            <w:tcW w:w="1031" w:type="dxa"/>
            <w:tcBorders/>
            <w:shd w:fill="CCEEFF" w:val="clear"/>
            <w:vAlign w:val="center"/>
          </w:tcPr>
          <w:p>
            <w:pPr>
              <w:pStyle w:val="TableContents"/>
              <w:bidi w:val="0"/>
              <w:spacing w:before="0" w:after="283"/>
              <w:jc w:val="center"/>
              <w:rPr/>
            </w:pPr>
            <w:r>
              <w:rPr/>
              <w:t>—</w:t>
            </w:r>
          </w:p>
        </w:tc>
      </w:tr>
      <w:tr>
        <w:trPr/>
        <w:tc>
          <w:tcPr>
            <w:tcW w:w="1034"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center"/>
              <w:rPr/>
            </w:pPr>
            <w:r>
              <w:rPr/>
              <w:t> </w:t>
            </w:r>
          </w:p>
        </w:tc>
        <w:tc>
          <w:tcPr>
            <w:tcW w:w="1170" w:type="dxa"/>
            <w:tcBorders/>
            <w:shd w:fill="CCEEFF" w:val="clear"/>
            <w:vAlign w:val="center"/>
          </w:tcPr>
          <w:p>
            <w:pPr>
              <w:pStyle w:val="TableContents"/>
              <w:bidi w:val="0"/>
              <w:spacing w:before="0" w:after="283"/>
              <w:jc w:val="center"/>
              <w:rPr/>
            </w:pPr>
            <w:r>
              <w:rPr/>
              <w:t>—</w:t>
            </w:r>
          </w:p>
        </w:tc>
        <w:tc>
          <w:tcPr>
            <w:tcW w:w="90" w:type="dxa"/>
            <w:tcBorders/>
            <w:shd w:fill="CCEEFF" w:val="clear"/>
            <w:vAlign w:val="center"/>
          </w:tcPr>
          <w:p>
            <w:pPr>
              <w:pStyle w:val="TableContents"/>
              <w:bidi w:val="0"/>
              <w:spacing w:before="0" w:after="283"/>
              <w:jc w:val="center"/>
              <w:rPr/>
            </w:pPr>
            <w:r>
              <w:rPr/>
              <w:t> </w:t>
            </w:r>
          </w:p>
        </w:tc>
        <w:tc>
          <w:tcPr>
            <w:tcW w:w="1254" w:type="dxa"/>
            <w:tcBorders/>
            <w:shd w:fill="CCEEFF" w:val="clear"/>
            <w:vAlign w:val="center"/>
          </w:tcPr>
          <w:p>
            <w:pPr>
              <w:pStyle w:val="TableContents"/>
              <w:bidi w:val="0"/>
              <w:spacing w:before="0" w:after="283"/>
              <w:jc w:val="center"/>
              <w:rPr/>
            </w:pPr>
            <w:r>
              <w:rPr/>
              <w:t>—</w:t>
            </w:r>
          </w:p>
        </w:tc>
        <w:tc>
          <w:tcPr>
            <w:tcW w:w="90" w:type="dxa"/>
            <w:tcBorders/>
            <w:shd w:fill="CCEEFF" w:val="clear"/>
            <w:vAlign w:val="center"/>
          </w:tcPr>
          <w:p>
            <w:pPr>
              <w:pStyle w:val="TableContents"/>
              <w:bidi w:val="0"/>
              <w:spacing w:before="0" w:after="283"/>
              <w:jc w:val="center"/>
              <w:rPr/>
            </w:pPr>
            <w:r>
              <w:rPr/>
              <w:t> </w:t>
            </w:r>
          </w:p>
        </w:tc>
        <w:tc>
          <w:tcPr>
            <w:tcW w:w="894" w:type="dxa"/>
            <w:tcBorders/>
            <w:shd w:fill="CCEEFF" w:val="clear"/>
            <w:vAlign w:val="center"/>
          </w:tcPr>
          <w:p>
            <w:pPr>
              <w:pStyle w:val="TableContents"/>
              <w:bidi w:val="0"/>
              <w:spacing w:before="0" w:after="283"/>
              <w:jc w:val="center"/>
              <w:rPr/>
            </w:pPr>
            <w:r>
              <w:rPr/>
              <w:t>—</w:t>
            </w:r>
          </w:p>
        </w:tc>
        <w:tc>
          <w:tcPr>
            <w:tcW w:w="90" w:type="dxa"/>
            <w:tcBorders/>
            <w:shd w:fill="CCEEFF" w:val="clear"/>
            <w:vAlign w:val="center"/>
          </w:tcPr>
          <w:p>
            <w:pPr>
              <w:pStyle w:val="TableContents"/>
              <w:bidi w:val="0"/>
              <w:spacing w:before="0" w:after="283"/>
              <w:jc w:val="center"/>
              <w:rPr/>
            </w:pPr>
            <w:r>
              <w:rPr/>
              <w:t> </w:t>
            </w:r>
          </w:p>
        </w:tc>
        <w:tc>
          <w:tcPr>
            <w:tcW w:w="1074" w:type="dxa"/>
            <w:tcBorders/>
            <w:shd w:fill="CCEEFF" w:val="clear"/>
            <w:vAlign w:val="center"/>
          </w:tcPr>
          <w:p>
            <w:pPr>
              <w:pStyle w:val="TableContents"/>
              <w:bidi w:val="0"/>
              <w:spacing w:before="0" w:after="283"/>
              <w:jc w:val="center"/>
              <w:rPr/>
            </w:pPr>
            <w:r>
              <w:rPr/>
              <w:t>—</w:t>
            </w:r>
          </w:p>
        </w:tc>
        <w:tc>
          <w:tcPr>
            <w:tcW w:w="90" w:type="dxa"/>
            <w:tcBorders/>
            <w:shd w:fill="CCEEFF" w:val="clear"/>
            <w:vAlign w:val="center"/>
          </w:tcPr>
          <w:p>
            <w:pPr>
              <w:pStyle w:val="TableContents"/>
              <w:bidi w:val="0"/>
              <w:spacing w:before="0" w:after="283"/>
              <w:jc w:val="center"/>
              <w:rPr/>
            </w:pPr>
            <w:r>
              <w:rPr/>
              <w:t> </w:t>
            </w:r>
          </w:p>
        </w:tc>
        <w:tc>
          <w:tcPr>
            <w:tcW w:w="1041" w:type="dxa"/>
            <w:tcBorders/>
            <w:shd w:fill="CCEEFF" w:val="clear"/>
            <w:vAlign w:val="center"/>
          </w:tcPr>
          <w:p>
            <w:pPr>
              <w:pStyle w:val="TableContents"/>
              <w:bidi w:val="0"/>
              <w:spacing w:before="0" w:after="283"/>
              <w:jc w:val="center"/>
              <w:rPr>
                <w:sz w:val="16"/>
              </w:rPr>
            </w:pPr>
            <w:r>
              <w:rPr>
                <w:sz w:val="16"/>
              </w:rPr>
              <w:t>66,667</w:t>
            </w:r>
            <w:r>
              <w:rPr>
                <w:position w:val="5"/>
                <w:sz w:val="13"/>
                <w:sz w:val="16"/>
              </w:rPr>
              <w:t>(9)</w:t>
            </w:r>
          </w:p>
        </w:tc>
        <w:tc>
          <w:tcPr>
            <w:tcW w:w="90" w:type="dxa"/>
            <w:tcBorders/>
            <w:shd w:fill="CCEEFF" w:val="clear"/>
            <w:vAlign w:val="center"/>
          </w:tcPr>
          <w:p>
            <w:pPr>
              <w:pStyle w:val="TableContents"/>
              <w:bidi w:val="0"/>
              <w:spacing w:before="0" w:after="283"/>
              <w:jc w:val="center"/>
              <w:rPr/>
            </w:pPr>
            <w:r>
              <w:rPr/>
              <w:t> </w:t>
            </w:r>
          </w:p>
        </w:tc>
        <w:tc>
          <w:tcPr>
            <w:tcW w:w="1045" w:type="dxa"/>
            <w:tcBorders/>
            <w:shd w:fill="CCEEFF" w:val="clear"/>
            <w:vAlign w:val="center"/>
          </w:tcPr>
          <w:p>
            <w:pPr>
              <w:pStyle w:val="TableContents"/>
              <w:bidi w:val="0"/>
              <w:spacing w:before="0" w:after="283"/>
              <w:jc w:val="center"/>
              <w:rPr>
                <w:sz w:val="16"/>
              </w:rPr>
            </w:pPr>
            <w:r>
              <w:rPr>
                <w:sz w:val="16"/>
              </w:rPr>
              <w:t>186,668</w:t>
            </w:r>
          </w:p>
        </w:tc>
        <w:tc>
          <w:tcPr>
            <w:tcW w:w="90" w:type="dxa"/>
            <w:tcBorders/>
            <w:shd w:fill="CCEEFF" w:val="clear"/>
            <w:vAlign w:val="center"/>
          </w:tcPr>
          <w:p>
            <w:pPr>
              <w:pStyle w:val="TableContents"/>
              <w:bidi w:val="0"/>
              <w:spacing w:before="0" w:after="283"/>
              <w:jc w:val="center"/>
              <w:rPr/>
            </w:pPr>
            <w:r>
              <w:rPr/>
              <w:t> </w:t>
            </w:r>
          </w:p>
        </w:tc>
        <w:tc>
          <w:tcPr>
            <w:tcW w:w="942" w:type="dxa"/>
            <w:tcBorders/>
            <w:shd w:fill="CCEEFF" w:val="clear"/>
            <w:vAlign w:val="center"/>
          </w:tcPr>
          <w:p>
            <w:pPr>
              <w:pStyle w:val="TableContents"/>
              <w:bidi w:val="0"/>
              <w:spacing w:before="0" w:after="283"/>
              <w:jc w:val="center"/>
              <w:rPr/>
            </w:pPr>
            <w:r>
              <w:rPr/>
              <w:t>—</w:t>
            </w:r>
          </w:p>
        </w:tc>
        <w:tc>
          <w:tcPr>
            <w:tcW w:w="90" w:type="dxa"/>
            <w:tcBorders/>
            <w:shd w:fill="CCEEFF" w:val="clear"/>
            <w:vAlign w:val="center"/>
          </w:tcPr>
          <w:p>
            <w:pPr>
              <w:pStyle w:val="TableContents"/>
              <w:bidi w:val="0"/>
              <w:spacing w:before="0" w:after="283"/>
              <w:jc w:val="center"/>
              <w:rPr/>
            </w:pPr>
            <w:r>
              <w:rPr/>
              <w:t> </w:t>
            </w:r>
          </w:p>
        </w:tc>
        <w:tc>
          <w:tcPr>
            <w:tcW w:w="1031" w:type="dxa"/>
            <w:tcBorders/>
            <w:shd w:fill="CCEEFF" w:val="clear"/>
            <w:vAlign w:val="center"/>
          </w:tcPr>
          <w:p>
            <w:pPr>
              <w:pStyle w:val="TableContents"/>
              <w:bidi w:val="0"/>
              <w:spacing w:before="0" w:after="283"/>
              <w:jc w:val="center"/>
              <w:rPr/>
            </w:pPr>
            <w:r>
              <w:rPr/>
              <w:t>—</w:t>
            </w:r>
          </w:p>
        </w:tc>
      </w:tr>
      <w:tr>
        <w:trPr/>
        <w:tc>
          <w:tcPr>
            <w:tcW w:w="1034"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center"/>
              <w:rPr/>
            </w:pPr>
            <w:r>
              <w:rPr/>
              <w:t> </w:t>
            </w:r>
          </w:p>
        </w:tc>
        <w:tc>
          <w:tcPr>
            <w:tcW w:w="1170" w:type="dxa"/>
            <w:tcBorders/>
            <w:shd w:fill="CCEEFF" w:val="clear"/>
            <w:vAlign w:val="center"/>
          </w:tcPr>
          <w:p>
            <w:pPr>
              <w:pStyle w:val="TableContents"/>
              <w:bidi w:val="0"/>
              <w:spacing w:before="0" w:after="283"/>
              <w:jc w:val="center"/>
              <w:rPr/>
            </w:pPr>
            <w:r>
              <w:rPr/>
              <w:t>—</w:t>
            </w:r>
          </w:p>
        </w:tc>
        <w:tc>
          <w:tcPr>
            <w:tcW w:w="90" w:type="dxa"/>
            <w:tcBorders/>
            <w:shd w:fill="CCEEFF" w:val="clear"/>
            <w:vAlign w:val="center"/>
          </w:tcPr>
          <w:p>
            <w:pPr>
              <w:pStyle w:val="TableContents"/>
              <w:bidi w:val="0"/>
              <w:spacing w:before="0" w:after="283"/>
              <w:jc w:val="center"/>
              <w:rPr/>
            </w:pPr>
            <w:r>
              <w:rPr/>
              <w:t> </w:t>
            </w:r>
          </w:p>
        </w:tc>
        <w:tc>
          <w:tcPr>
            <w:tcW w:w="1254" w:type="dxa"/>
            <w:tcBorders/>
            <w:shd w:fill="CCEEFF" w:val="clear"/>
            <w:vAlign w:val="center"/>
          </w:tcPr>
          <w:p>
            <w:pPr>
              <w:pStyle w:val="TableContents"/>
              <w:bidi w:val="0"/>
              <w:spacing w:before="0" w:after="283"/>
              <w:jc w:val="center"/>
              <w:rPr/>
            </w:pPr>
            <w:r>
              <w:rPr/>
              <w:t>—</w:t>
            </w:r>
          </w:p>
        </w:tc>
        <w:tc>
          <w:tcPr>
            <w:tcW w:w="90" w:type="dxa"/>
            <w:tcBorders/>
            <w:shd w:fill="CCEEFF" w:val="clear"/>
            <w:vAlign w:val="center"/>
          </w:tcPr>
          <w:p>
            <w:pPr>
              <w:pStyle w:val="TableContents"/>
              <w:bidi w:val="0"/>
              <w:spacing w:before="0" w:after="283"/>
              <w:jc w:val="center"/>
              <w:rPr/>
            </w:pPr>
            <w:r>
              <w:rPr/>
              <w:t> </w:t>
            </w:r>
          </w:p>
        </w:tc>
        <w:tc>
          <w:tcPr>
            <w:tcW w:w="894" w:type="dxa"/>
            <w:tcBorders/>
            <w:shd w:fill="CCEEFF" w:val="clear"/>
            <w:vAlign w:val="center"/>
          </w:tcPr>
          <w:p>
            <w:pPr>
              <w:pStyle w:val="TableContents"/>
              <w:bidi w:val="0"/>
              <w:spacing w:before="0" w:after="283"/>
              <w:jc w:val="center"/>
              <w:rPr/>
            </w:pPr>
            <w:r>
              <w:rPr/>
              <w:t>—</w:t>
            </w:r>
          </w:p>
        </w:tc>
        <w:tc>
          <w:tcPr>
            <w:tcW w:w="90" w:type="dxa"/>
            <w:tcBorders/>
            <w:shd w:fill="CCEEFF" w:val="clear"/>
            <w:vAlign w:val="center"/>
          </w:tcPr>
          <w:p>
            <w:pPr>
              <w:pStyle w:val="TableContents"/>
              <w:bidi w:val="0"/>
              <w:spacing w:before="0" w:after="283"/>
              <w:jc w:val="center"/>
              <w:rPr/>
            </w:pPr>
            <w:r>
              <w:rPr/>
              <w:t> </w:t>
            </w:r>
          </w:p>
        </w:tc>
        <w:tc>
          <w:tcPr>
            <w:tcW w:w="1074" w:type="dxa"/>
            <w:tcBorders/>
            <w:shd w:fill="CCEEFF" w:val="clear"/>
            <w:vAlign w:val="center"/>
          </w:tcPr>
          <w:p>
            <w:pPr>
              <w:pStyle w:val="TableContents"/>
              <w:bidi w:val="0"/>
              <w:spacing w:before="0" w:after="283"/>
              <w:jc w:val="center"/>
              <w:rPr/>
            </w:pPr>
            <w:r>
              <w:rPr/>
              <w:t>—</w:t>
            </w:r>
          </w:p>
        </w:tc>
        <w:tc>
          <w:tcPr>
            <w:tcW w:w="90" w:type="dxa"/>
            <w:tcBorders/>
            <w:shd w:fill="CCEEFF" w:val="clear"/>
            <w:vAlign w:val="center"/>
          </w:tcPr>
          <w:p>
            <w:pPr>
              <w:pStyle w:val="TableContents"/>
              <w:bidi w:val="0"/>
              <w:spacing w:before="0" w:after="283"/>
              <w:jc w:val="center"/>
              <w:rPr/>
            </w:pPr>
            <w:r>
              <w:rPr/>
              <w:t> </w:t>
            </w:r>
          </w:p>
        </w:tc>
        <w:tc>
          <w:tcPr>
            <w:tcW w:w="1041" w:type="dxa"/>
            <w:tcBorders/>
            <w:shd w:fill="CCEEFF" w:val="clear"/>
            <w:vAlign w:val="center"/>
          </w:tcPr>
          <w:p>
            <w:pPr>
              <w:pStyle w:val="TableContents"/>
              <w:bidi w:val="0"/>
              <w:spacing w:before="0" w:after="283"/>
              <w:jc w:val="center"/>
              <w:rPr>
                <w:sz w:val="16"/>
              </w:rPr>
            </w:pPr>
            <w:r>
              <w:rPr>
                <w:sz w:val="16"/>
              </w:rPr>
              <w:t>75,000</w:t>
            </w:r>
            <w:r>
              <w:rPr>
                <w:position w:val="5"/>
                <w:sz w:val="13"/>
                <w:sz w:val="16"/>
              </w:rPr>
              <w:t>(2)</w:t>
            </w:r>
          </w:p>
        </w:tc>
        <w:tc>
          <w:tcPr>
            <w:tcW w:w="90" w:type="dxa"/>
            <w:tcBorders/>
            <w:shd w:fill="CCEEFF" w:val="clear"/>
            <w:vAlign w:val="center"/>
          </w:tcPr>
          <w:p>
            <w:pPr>
              <w:pStyle w:val="TableContents"/>
              <w:bidi w:val="0"/>
              <w:spacing w:before="0" w:after="283"/>
              <w:jc w:val="center"/>
              <w:rPr/>
            </w:pPr>
            <w:r>
              <w:rPr/>
              <w:t> </w:t>
            </w:r>
          </w:p>
        </w:tc>
        <w:tc>
          <w:tcPr>
            <w:tcW w:w="1045" w:type="dxa"/>
            <w:tcBorders/>
            <w:shd w:fill="CCEEFF" w:val="clear"/>
            <w:vAlign w:val="center"/>
          </w:tcPr>
          <w:p>
            <w:pPr>
              <w:pStyle w:val="TableContents"/>
              <w:bidi w:val="0"/>
              <w:spacing w:before="0" w:after="283"/>
              <w:jc w:val="center"/>
              <w:rPr>
                <w:sz w:val="16"/>
              </w:rPr>
            </w:pPr>
            <w:r>
              <w:rPr>
                <w:sz w:val="16"/>
              </w:rPr>
              <w:t>210,000</w:t>
            </w:r>
          </w:p>
        </w:tc>
        <w:tc>
          <w:tcPr>
            <w:tcW w:w="90" w:type="dxa"/>
            <w:tcBorders/>
            <w:shd w:fill="CCEEFF" w:val="clear"/>
            <w:vAlign w:val="center"/>
          </w:tcPr>
          <w:p>
            <w:pPr>
              <w:pStyle w:val="TableContents"/>
              <w:bidi w:val="0"/>
              <w:spacing w:before="0" w:after="283"/>
              <w:jc w:val="center"/>
              <w:rPr/>
            </w:pPr>
            <w:r>
              <w:rPr/>
              <w:t> </w:t>
            </w:r>
          </w:p>
        </w:tc>
        <w:tc>
          <w:tcPr>
            <w:tcW w:w="942" w:type="dxa"/>
            <w:tcBorders/>
            <w:shd w:fill="CCEEFF" w:val="clear"/>
            <w:vAlign w:val="center"/>
          </w:tcPr>
          <w:p>
            <w:pPr>
              <w:pStyle w:val="TableContents"/>
              <w:bidi w:val="0"/>
              <w:spacing w:before="0" w:after="283"/>
              <w:jc w:val="center"/>
              <w:rPr/>
            </w:pPr>
            <w:r>
              <w:rPr/>
              <w:t>—</w:t>
            </w:r>
          </w:p>
        </w:tc>
        <w:tc>
          <w:tcPr>
            <w:tcW w:w="90" w:type="dxa"/>
            <w:tcBorders/>
            <w:shd w:fill="CCEEFF" w:val="clear"/>
            <w:vAlign w:val="center"/>
          </w:tcPr>
          <w:p>
            <w:pPr>
              <w:pStyle w:val="TableContents"/>
              <w:bidi w:val="0"/>
              <w:spacing w:before="0" w:after="283"/>
              <w:jc w:val="center"/>
              <w:rPr/>
            </w:pPr>
            <w:r>
              <w:rPr/>
              <w:t> </w:t>
            </w:r>
          </w:p>
        </w:tc>
        <w:tc>
          <w:tcPr>
            <w:tcW w:w="1031" w:type="dxa"/>
            <w:tcBorders/>
            <w:shd w:fill="CCEEFF" w:val="clear"/>
            <w:vAlign w:val="center"/>
          </w:tcPr>
          <w:p>
            <w:pPr>
              <w:pStyle w:val="TableContents"/>
              <w:bidi w:val="0"/>
              <w:spacing w:before="0" w:after="283"/>
              <w:jc w:val="center"/>
              <w:rPr/>
            </w:pPr>
            <w:r>
              <w:rPr/>
              <w:t>—</w:t>
            </w:r>
          </w:p>
        </w:tc>
      </w:tr>
      <w:tr>
        <w:trPr/>
        <w:tc>
          <w:tcPr>
            <w:tcW w:w="1034"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center"/>
              <w:rPr/>
            </w:pPr>
            <w:r>
              <w:rPr/>
              <w:t> </w:t>
            </w:r>
          </w:p>
        </w:tc>
        <w:tc>
          <w:tcPr>
            <w:tcW w:w="117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center"/>
              <w:rPr/>
            </w:pPr>
            <w:r>
              <w:rPr/>
              <w:t> </w:t>
            </w:r>
          </w:p>
        </w:tc>
        <w:tc>
          <w:tcPr>
            <w:tcW w:w="1254"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center"/>
              <w:rPr/>
            </w:pPr>
            <w:r>
              <w:rPr/>
              <w:t> </w:t>
            </w:r>
          </w:p>
        </w:tc>
        <w:tc>
          <w:tcPr>
            <w:tcW w:w="894"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center"/>
              <w:rPr/>
            </w:pPr>
            <w:r>
              <w:rPr/>
              <w:t> </w:t>
            </w:r>
          </w:p>
        </w:tc>
        <w:tc>
          <w:tcPr>
            <w:tcW w:w="1074"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center"/>
              <w:rPr/>
            </w:pPr>
            <w:r>
              <w:rPr/>
              <w:t> </w:t>
            </w:r>
          </w:p>
        </w:tc>
        <w:tc>
          <w:tcPr>
            <w:tcW w:w="1041" w:type="dxa"/>
            <w:tcBorders/>
            <w:shd w:fill="CCEEFF" w:val="clear"/>
            <w:vAlign w:val="center"/>
          </w:tcPr>
          <w:p>
            <w:pPr>
              <w:pStyle w:val="TableContents"/>
              <w:bidi w:val="0"/>
              <w:spacing w:before="0" w:after="283"/>
              <w:jc w:val="center"/>
              <w:rPr>
                <w:sz w:val="16"/>
              </w:rPr>
            </w:pPr>
            <w:r>
              <w:rPr>
                <w:sz w:val="16"/>
              </w:rPr>
              <w:t>15,503</w:t>
            </w:r>
            <w:r>
              <w:rPr>
                <w:position w:val="5"/>
                <w:sz w:val="13"/>
                <w:sz w:val="16"/>
              </w:rPr>
              <w:t>(3)</w:t>
            </w:r>
          </w:p>
        </w:tc>
        <w:tc>
          <w:tcPr>
            <w:tcW w:w="90" w:type="dxa"/>
            <w:tcBorders/>
            <w:shd w:fill="CCEEFF" w:val="clear"/>
            <w:vAlign w:val="center"/>
          </w:tcPr>
          <w:p>
            <w:pPr>
              <w:pStyle w:val="TableContents"/>
              <w:bidi w:val="0"/>
              <w:spacing w:before="0" w:after="283"/>
              <w:jc w:val="center"/>
              <w:rPr/>
            </w:pPr>
            <w:r>
              <w:rPr/>
              <w:t> </w:t>
            </w:r>
          </w:p>
        </w:tc>
        <w:tc>
          <w:tcPr>
            <w:tcW w:w="1045" w:type="dxa"/>
            <w:tcBorders/>
            <w:shd w:fill="CCEEFF" w:val="clear"/>
            <w:vAlign w:val="center"/>
          </w:tcPr>
          <w:p>
            <w:pPr>
              <w:pStyle w:val="TableContents"/>
              <w:bidi w:val="0"/>
              <w:spacing w:before="0" w:after="283"/>
              <w:jc w:val="center"/>
              <w:rPr>
                <w:sz w:val="16"/>
              </w:rPr>
            </w:pPr>
            <w:r>
              <w:rPr>
                <w:sz w:val="16"/>
              </w:rPr>
              <w:t>43,408</w:t>
            </w:r>
          </w:p>
        </w:tc>
        <w:tc>
          <w:tcPr>
            <w:tcW w:w="90" w:type="dxa"/>
            <w:tcBorders/>
            <w:shd w:fill="CCEEFF" w:val="clear"/>
            <w:vAlign w:val="center"/>
          </w:tcPr>
          <w:p>
            <w:pPr>
              <w:pStyle w:val="TableContents"/>
              <w:bidi w:val="0"/>
              <w:spacing w:before="0" w:after="283"/>
              <w:jc w:val="center"/>
              <w:rPr/>
            </w:pPr>
            <w:r>
              <w:rPr/>
              <w:t> </w:t>
            </w:r>
          </w:p>
        </w:tc>
        <w:tc>
          <w:tcPr>
            <w:tcW w:w="942"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center"/>
              <w:rPr/>
            </w:pPr>
            <w:r>
              <w:rPr/>
              <w:t> </w:t>
            </w:r>
          </w:p>
        </w:tc>
        <w:tc>
          <w:tcPr>
            <w:tcW w:w="1031" w:type="dxa"/>
            <w:tcBorders/>
            <w:shd w:fill="CCEEFF" w:val="clear"/>
            <w:vAlign w:val="center"/>
          </w:tcPr>
          <w:p>
            <w:pPr>
              <w:pStyle w:val="TableContents"/>
              <w:bidi w:val="0"/>
              <w:spacing w:before="0" w:after="283"/>
              <w:jc w:val="center"/>
              <w:rPr/>
            </w:pPr>
            <w:r>
              <w:rPr/>
              <w:t> </w:t>
            </w:r>
          </w:p>
        </w:tc>
      </w:tr>
      <w:tr>
        <w:trPr/>
        <w:tc>
          <w:tcPr>
            <w:tcW w:w="1034" w:type="dxa"/>
            <w:tcBorders/>
            <w:vAlign w:val="center"/>
          </w:tcPr>
          <w:p>
            <w:pPr>
              <w:pStyle w:val="TableContents"/>
              <w:bidi w:val="0"/>
              <w:spacing w:before="0" w:after="283"/>
              <w:jc w:val="left"/>
              <w:rPr>
                <w:sz w:val="16"/>
              </w:rPr>
            </w:pPr>
            <w:r>
              <w:rPr>
                <w:sz w:val="16"/>
              </w:rPr>
              <w:t>Dr. Shengxian Wu</w:t>
            </w:r>
          </w:p>
        </w:tc>
        <w:tc>
          <w:tcPr>
            <w:tcW w:w="90" w:type="dxa"/>
            <w:tcBorders/>
            <w:vAlign w:val="center"/>
          </w:tcPr>
          <w:p>
            <w:pPr>
              <w:pStyle w:val="TableContents"/>
              <w:bidi w:val="0"/>
              <w:spacing w:before="0" w:after="283"/>
              <w:jc w:val="center"/>
              <w:rPr/>
            </w:pPr>
            <w:r>
              <w:rPr/>
              <w:t> </w:t>
            </w:r>
          </w:p>
        </w:tc>
        <w:tc>
          <w:tcPr>
            <w:tcW w:w="1170" w:type="dxa"/>
            <w:tcBorders/>
            <w:vAlign w:val="center"/>
          </w:tcPr>
          <w:p>
            <w:pPr>
              <w:pStyle w:val="TableContents"/>
              <w:bidi w:val="0"/>
              <w:spacing w:before="0" w:after="283"/>
              <w:jc w:val="center"/>
              <w:rPr>
                <w:sz w:val="16"/>
              </w:rPr>
            </w:pPr>
            <w:r>
              <w:rPr>
                <w:sz w:val="16"/>
              </w:rPr>
              <w:t>333,333</w:t>
            </w:r>
            <w:r>
              <w:rPr>
                <w:position w:val="5"/>
                <w:sz w:val="13"/>
                <w:sz w:val="16"/>
              </w:rPr>
              <w:t>(6)</w:t>
            </w:r>
          </w:p>
        </w:tc>
        <w:tc>
          <w:tcPr>
            <w:tcW w:w="90" w:type="dxa"/>
            <w:tcBorders/>
            <w:vAlign w:val="center"/>
          </w:tcPr>
          <w:p>
            <w:pPr>
              <w:pStyle w:val="TableContents"/>
              <w:bidi w:val="0"/>
              <w:spacing w:before="0" w:after="283"/>
              <w:jc w:val="center"/>
              <w:rPr/>
            </w:pPr>
            <w:r>
              <w:rPr/>
              <w:t> </w:t>
            </w:r>
          </w:p>
        </w:tc>
        <w:tc>
          <w:tcPr>
            <w:tcW w:w="1254" w:type="dxa"/>
            <w:tcBorders/>
            <w:vAlign w:val="center"/>
          </w:tcPr>
          <w:p>
            <w:pPr>
              <w:pStyle w:val="TableContents"/>
              <w:bidi w:val="0"/>
              <w:spacing w:before="0" w:after="283"/>
              <w:jc w:val="center"/>
              <w:rPr>
                <w:sz w:val="16"/>
              </w:rPr>
            </w:pPr>
            <w:r>
              <w:rPr>
                <w:sz w:val="16"/>
              </w:rPr>
              <w:t>666,667</w:t>
            </w:r>
            <w:r>
              <w:rPr>
                <w:position w:val="5"/>
                <w:sz w:val="13"/>
                <w:sz w:val="16"/>
              </w:rPr>
              <w:t>(6)</w:t>
            </w:r>
          </w:p>
        </w:tc>
        <w:tc>
          <w:tcPr>
            <w:tcW w:w="90" w:type="dxa"/>
            <w:tcBorders/>
            <w:vAlign w:val="center"/>
          </w:tcPr>
          <w:p>
            <w:pPr>
              <w:pStyle w:val="TableContents"/>
              <w:bidi w:val="0"/>
              <w:spacing w:before="0" w:after="283"/>
              <w:jc w:val="center"/>
              <w:rPr/>
            </w:pPr>
            <w:r>
              <w:rPr/>
              <w:t> </w:t>
            </w:r>
          </w:p>
        </w:tc>
        <w:tc>
          <w:tcPr>
            <w:tcW w:w="894" w:type="dxa"/>
            <w:tcBorders/>
            <w:vAlign w:val="center"/>
          </w:tcPr>
          <w:p>
            <w:pPr>
              <w:pStyle w:val="TableContents"/>
              <w:bidi w:val="0"/>
              <w:spacing w:before="0" w:after="283"/>
              <w:jc w:val="center"/>
              <w:rPr>
                <w:sz w:val="16"/>
              </w:rPr>
            </w:pPr>
            <w:r>
              <w:rPr>
                <w:sz w:val="16"/>
              </w:rPr>
              <w:t>1.29</w:t>
            </w:r>
          </w:p>
        </w:tc>
        <w:tc>
          <w:tcPr>
            <w:tcW w:w="90" w:type="dxa"/>
            <w:tcBorders/>
            <w:vAlign w:val="center"/>
          </w:tcPr>
          <w:p>
            <w:pPr>
              <w:pStyle w:val="TableContents"/>
              <w:bidi w:val="0"/>
              <w:spacing w:before="0" w:after="283"/>
              <w:jc w:val="center"/>
              <w:rPr/>
            </w:pPr>
            <w:r>
              <w:rPr/>
              <w:t> </w:t>
            </w:r>
          </w:p>
        </w:tc>
        <w:tc>
          <w:tcPr>
            <w:tcW w:w="1074" w:type="dxa"/>
            <w:tcBorders/>
            <w:vAlign w:val="center"/>
          </w:tcPr>
          <w:p>
            <w:pPr>
              <w:pStyle w:val="TableContents"/>
              <w:bidi w:val="0"/>
              <w:spacing w:before="0" w:after="283"/>
              <w:jc w:val="center"/>
              <w:rPr>
                <w:sz w:val="16"/>
              </w:rPr>
            </w:pPr>
            <w:r>
              <w:rPr>
                <w:sz w:val="16"/>
              </w:rPr>
              <w:t>12/5/2034</w:t>
            </w:r>
          </w:p>
        </w:tc>
        <w:tc>
          <w:tcPr>
            <w:tcW w:w="90" w:type="dxa"/>
            <w:tcBorders/>
            <w:vAlign w:val="center"/>
          </w:tcPr>
          <w:p>
            <w:pPr>
              <w:pStyle w:val="TableContents"/>
              <w:bidi w:val="0"/>
              <w:spacing w:before="0" w:after="283"/>
              <w:jc w:val="center"/>
              <w:rPr/>
            </w:pPr>
            <w:r>
              <w:rPr/>
              <w:t> </w:t>
            </w:r>
          </w:p>
        </w:tc>
        <w:tc>
          <w:tcPr>
            <w:tcW w:w="1041" w:type="dxa"/>
            <w:tcBorders/>
            <w:vAlign w:val="center"/>
          </w:tcPr>
          <w:p>
            <w:pPr>
              <w:pStyle w:val="TableContents"/>
              <w:bidi w:val="0"/>
              <w:spacing w:before="0" w:after="283"/>
              <w:jc w:val="center"/>
              <w:rPr/>
            </w:pPr>
            <w:r>
              <w:rPr/>
              <w:t>—</w:t>
            </w:r>
          </w:p>
        </w:tc>
        <w:tc>
          <w:tcPr>
            <w:tcW w:w="90" w:type="dxa"/>
            <w:tcBorders/>
            <w:vAlign w:val="center"/>
          </w:tcPr>
          <w:p>
            <w:pPr>
              <w:pStyle w:val="TableContents"/>
              <w:bidi w:val="0"/>
              <w:spacing w:before="0" w:after="283"/>
              <w:jc w:val="center"/>
              <w:rPr/>
            </w:pPr>
            <w:r>
              <w:rPr/>
              <w:t> </w:t>
            </w:r>
          </w:p>
        </w:tc>
        <w:tc>
          <w:tcPr>
            <w:tcW w:w="1045" w:type="dxa"/>
            <w:tcBorders/>
            <w:vAlign w:val="center"/>
          </w:tcPr>
          <w:p>
            <w:pPr>
              <w:pStyle w:val="TableContents"/>
              <w:bidi w:val="0"/>
              <w:spacing w:before="0" w:after="283"/>
              <w:jc w:val="center"/>
              <w:rPr/>
            </w:pPr>
            <w:r>
              <w:rPr/>
              <w:t>—</w:t>
            </w:r>
          </w:p>
        </w:tc>
        <w:tc>
          <w:tcPr>
            <w:tcW w:w="90" w:type="dxa"/>
            <w:tcBorders/>
            <w:vAlign w:val="center"/>
          </w:tcPr>
          <w:p>
            <w:pPr>
              <w:pStyle w:val="TableContents"/>
              <w:bidi w:val="0"/>
              <w:spacing w:before="0" w:after="283"/>
              <w:jc w:val="center"/>
              <w:rPr/>
            </w:pPr>
            <w:r>
              <w:rPr/>
              <w:t> </w:t>
            </w:r>
          </w:p>
        </w:tc>
        <w:tc>
          <w:tcPr>
            <w:tcW w:w="942" w:type="dxa"/>
            <w:tcBorders/>
            <w:vAlign w:val="center"/>
          </w:tcPr>
          <w:p>
            <w:pPr>
              <w:pStyle w:val="TableContents"/>
              <w:bidi w:val="0"/>
              <w:spacing w:before="0" w:after="283"/>
              <w:jc w:val="center"/>
              <w:rPr/>
            </w:pPr>
            <w:r>
              <w:rPr/>
              <w:t>—</w:t>
            </w:r>
          </w:p>
        </w:tc>
        <w:tc>
          <w:tcPr>
            <w:tcW w:w="90" w:type="dxa"/>
            <w:tcBorders/>
            <w:vAlign w:val="center"/>
          </w:tcPr>
          <w:p>
            <w:pPr>
              <w:pStyle w:val="TableContents"/>
              <w:bidi w:val="0"/>
              <w:spacing w:before="0" w:after="283"/>
              <w:jc w:val="center"/>
              <w:rPr/>
            </w:pPr>
            <w:r>
              <w:rPr/>
              <w:t> </w:t>
            </w:r>
          </w:p>
        </w:tc>
        <w:tc>
          <w:tcPr>
            <w:tcW w:w="1031" w:type="dxa"/>
            <w:tcBorders/>
            <w:vAlign w:val="center"/>
          </w:tcPr>
          <w:p>
            <w:pPr>
              <w:pStyle w:val="TableContents"/>
              <w:bidi w:val="0"/>
              <w:spacing w:before="0" w:after="283"/>
              <w:jc w:val="center"/>
              <w:rPr/>
            </w:pPr>
            <w:r>
              <w:rPr/>
              <w:t>—</w:t>
            </w:r>
          </w:p>
        </w:tc>
      </w:tr>
      <w:tr>
        <w:trPr/>
        <w:tc>
          <w:tcPr>
            <w:tcW w:w="1034"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1170" w:type="dxa"/>
            <w:tcBorders/>
            <w:vAlign w:val="center"/>
          </w:tcPr>
          <w:p>
            <w:pPr>
              <w:pStyle w:val="TableContents"/>
              <w:bidi w:val="0"/>
              <w:spacing w:before="0" w:after="283"/>
              <w:jc w:val="center"/>
              <w:rPr>
                <w:sz w:val="16"/>
              </w:rPr>
            </w:pPr>
            <w:r>
              <w:rPr>
                <w:sz w:val="16"/>
              </w:rPr>
              <w:t>160,300</w:t>
            </w:r>
            <w:r>
              <w:rPr>
                <w:position w:val="5"/>
                <w:sz w:val="13"/>
                <w:sz w:val="16"/>
              </w:rPr>
              <w:t>(10)</w:t>
            </w:r>
          </w:p>
        </w:tc>
        <w:tc>
          <w:tcPr>
            <w:tcW w:w="90" w:type="dxa"/>
            <w:tcBorders/>
            <w:vAlign w:val="center"/>
          </w:tcPr>
          <w:p>
            <w:pPr>
              <w:pStyle w:val="TableContents"/>
              <w:bidi w:val="0"/>
              <w:spacing w:before="0" w:after="283"/>
              <w:jc w:val="center"/>
              <w:rPr/>
            </w:pPr>
            <w:r>
              <w:rPr/>
              <w:t> </w:t>
            </w:r>
          </w:p>
        </w:tc>
        <w:tc>
          <w:tcPr>
            <w:tcW w:w="1254" w:type="dxa"/>
            <w:tcBorders/>
            <w:vAlign w:val="center"/>
          </w:tcPr>
          <w:p>
            <w:pPr>
              <w:pStyle w:val="TableContents"/>
              <w:bidi w:val="0"/>
              <w:spacing w:before="0" w:after="283"/>
              <w:jc w:val="center"/>
              <w:rPr/>
            </w:pPr>
            <w:r>
              <w:rPr/>
              <w:t>—</w:t>
            </w:r>
          </w:p>
        </w:tc>
        <w:tc>
          <w:tcPr>
            <w:tcW w:w="90" w:type="dxa"/>
            <w:tcBorders/>
            <w:vAlign w:val="center"/>
          </w:tcPr>
          <w:p>
            <w:pPr>
              <w:pStyle w:val="TableContents"/>
              <w:bidi w:val="0"/>
              <w:spacing w:before="0" w:after="283"/>
              <w:jc w:val="center"/>
              <w:rPr/>
            </w:pPr>
            <w:r>
              <w:rPr/>
              <w:t> </w:t>
            </w:r>
          </w:p>
        </w:tc>
        <w:tc>
          <w:tcPr>
            <w:tcW w:w="894" w:type="dxa"/>
            <w:tcBorders/>
            <w:vAlign w:val="center"/>
          </w:tcPr>
          <w:p>
            <w:pPr>
              <w:pStyle w:val="TableContents"/>
              <w:bidi w:val="0"/>
              <w:spacing w:before="0" w:after="283"/>
              <w:jc w:val="center"/>
              <w:rPr>
                <w:sz w:val="16"/>
              </w:rPr>
            </w:pPr>
            <w:r>
              <w:rPr>
                <w:sz w:val="16"/>
              </w:rPr>
              <w:t>6.28</w:t>
            </w:r>
          </w:p>
        </w:tc>
        <w:tc>
          <w:tcPr>
            <w:tcW w:w="90" w:type="dxa"/>
            <w:tcBorders/>
            <w:vAlign w:val="center"/>
          </w:tcPr>
          <w:p>
            <w:pPr>
              <w:pStyle w:val="TableContents"/>
              <w:bidi w:val="0"/>
              <w:spacing w:before="0" w:after="283"/>
              <w:jc w:val="center"/>
              <w:rPr/>
            </w:pPr>
            <w:r>
              <w:rPr/>
              <w:t> </w:t>
            </w:r>
          </w:p>
        </w:tc>
        <w:tc>
          <w:tcPr>
            <w:tcW w:w="1074" w:type="dxa"/>
            <w:tcBorders/>
            <w:vAlign w:val="center"/>
          </w:tcPr>
          <w:p>
            <w:pPr>
              <w:pStyle w:val="TableContents"/>
              <w:bidi w:val="0"/>
              <w:spacing w:before="0" w:after="283"/>
              <w:jc w:val="center"/>
              <w:rPr>
                <w:sz w:val="16"/>
              </w:rPr>
            </w:pPr>
            <w:r>
              <w:rPr>
                <w:sz w:val="16"/>
              </w:rPr>
              <w:t>7/24/2027</w:t>
            </w:r>
          </w:p>
        </w:tc>
        <w:tc>
          <w:tcPr>
            <w:tcW w:w="90" w:type="dxa"/>
            <w:tcBorders/>
            <w:vAlign w:val="center"/>
          </w:tcPr>
          <w:p>
            <w:pPr>
              <w:pStyle w:val="TableContents"/>
              <w:bidi w:val="0"/>
              <w:spacing w:before="0" w:after="283"/>
              <w:jc w:val="center"/>
              <w:rPr/>
            </w:pPr>
            <w:r>
              <w:rPr/>
              <w:t> </w:t>
            </w:r>
          </w:p>
        </w:tc>
        <w:tc>
          <w:tcPr>
            <w:tcW w:w="1041" w:type="dxa"/>
            <w:tcBorders/>
            <w:vAlign w:val="center"/>
          </w:tcPr>
          <w:p>
            <w:pPr>
              <w:pStyle w:val="TableContents"/>
              <w:bidi w:val="0"/>
              <w:spacing w:before="0" w:after="283"/>
              <w:jc w:val="center"/>
              <w:rPr/>
            </w:pPr>
            <w:r>
              <w:rPr/>
              <w:t>—</w:t>
            </w:r>
          </w:p>
        </w:tc>
        <w:tc>
          <w:tcPr>
            <w:tcW w:w="90" w:type="dxa"/>
            <w:tcBorders/>
            <w:vAlign w:val="center"/>
          </w:tcPr>
          <w:p>
            <w:pPr>
              <w:pStyle w:val="TableContents"/>
              <w:bidi w:val="0"/>
              <w:spacing w:before="0" w:after="283"/>
              <w:jc w:val="center"/>
              <w:rPr/>
            </w:pPr>
            <w:r>
              <w:rPr/>
              <w:t> </w:t>
            </w:r>
          </w:p>
        </w:tc>
        <w:tc>
          <w:tcPr>
            <w:tcW w:w="1045" w:type="dxa"/>
            <w:tcBorders/>
            <w:vAlign w:val="center"/>
          </w:tcPr>
          <w:p>
            <w:pPr>
              <w:pStyle w:val="TableContents"/>
              <w:bidi w:val="0"/>
              <w:spacing w:before="0" w:after="283"/>
              <w:jc w:val="center"/>
              <w:rPr/>
            </w:pPr>
            <w:r>
              <w:rPr/>
              <w:t>—</w:t>
            </w:r>
          </w:p>
        </w:tc>
        <w:tc>
          <w:tcPr>
            <w:tcW w:w="90" w:type="dxa"/>
            <w:tcBorders/>
            <w:vAlign w:val="center"/>
          </w:tcPr>
          <w:p>
            <w:pPr>
              <w:pStyle w:val="TableContents"/>
              <w:bidi w:val="0"/>
              <w:spacing w:before="0" w:after="283"/>
              <w:jc w:val="center"/>
              <w:rPr/>
            </w:pPr>
            <w:r>
              <w:rPr/>
              <w:t> </w:t>
            </w:r>
          </w:p>
        </w:tc>
        <w:tc>
          <w:tcPr>
            <w:tcW w:w="942" w:type="dxa"/>
            <w:tcBorders/>
            <w:vAlign w:val="center"/>
          </w:tcPr>
          <w:p>
            <w:pPr>
              <w:pStyle w:val="TableContents"/>
              <w:bidi w:val="0"/>
              <w:spacing w:before="0" w:after="283"/>
              <w:jc w:val="center"/>
              <w:rPr/>
            </w:pPr>
            <w:r>
              <w:rPr/>
              <w:t>—</w:t>
            </w:r>
          </w:p>
        </w:tc>
        <w:tc>
          <w:tcPr>
            <w:tcW w:w="90" w:type="dxa"/>
            <w:tcBorders/>
            <w:vAlign w:val="center"/>
          </w:tcPr>
          <w:p>
            <w:pPr>
              <w:pStyle w:val="TableContents"/>
              <w:bidi w:val="0"/>
              <w:spacing w:before="0" w:after="283"/>
              <w:jc w:val="center"/>
              <w:rPr/>
            </w:pPr>
            <w:r>
              <w:rPr/>
              <w:t> </w:t>
            </w:r>
          </w:p>
        </w:tc>
        <w:tc>
          <w:tcPr>
            <w:tcW w:w="1031" w:type="dxa"/>
            <w:tcBorders/>
            <w:vAlign w:val="center"/>
          </w:tcPr>
          <w:p>
            <w:pPr>
              <w:pStyle w:val="TableContents"/>
              <w:bidi w:val="0"/>
              <w:spacing w:before="0" w:after="283"/>
              <w:jc w:val="center"/>
              <w:rPr/>
            </w:pPr>
            <w:r>
              <w:rPr/>
              <w:t>—</w:t>
            </w:r>
          </w:p>
        </w:tc>
      </w:tr>
      <w:tr>
        <w:trPr/>
        <w:tc>
          <w:tcPr>
            <w:tcW w:w="1034"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1170" w:type="dxa"/>
            <w:tcBorders/>
            <w:vAlign w:val="center"/>
          </w:tcPr>
          <w:p>
            <w:pPr>
              <w:pStyle w:val="TableContents"/>
              <w:bidi w:val="0"/>
              <w:spacing w:before="0" w:after="283"/>
              <w:jc w:val="center"/>
              <w:rPr>
                <w:sz w:val="16"/>
              </w:rPr>
            </w:pPr>
            <w:r>
              <w:rPr>
                <w:sz w:val="16"/>
              </w:rPr>
              <w:t>641,200</w:t>
            </w:r>
            <w:r>
              <w:rPr>
                <w:position w:val="5"/>
                <w:sz w:val="13"/>
                <w:sz w:val="16"/>
              </w:rPr>
              <w:t>(10)</w:t>
            </w:r>
          </w:p>
        </w:tc>
        <w:tc>
          <w:tcPr>
            <w:tcW w:w="90" w:type="dxa"/>
            <w:tcBorders/>
            <w:vAlign w:val="center"/>
          </w:tcPr>
          <w:p>
            <w:pPr>
              <w:pStyle w:val="TableContents"/>
              <w:bidi w:val="0"/>
              <w:spacing w:before="0" w:after="283"/>
              <w:jc w:val="center"/>
              <w:rPr/>
            </w:pPr>
            <w:r>
              <w:rPr/>
              <w:t> </w:t>
            </w:r>
          </w:p>
        </w:tc>
        <w:tc>
          <w:tcPr>
            <w:tcW w:w="1254" w:type="dxa"/>
            <w:tcBorders/>
            <w:vAlign w:val="center"/>
          </w:tcPr>
          <w:p>
            <w:pPr>
              <w:pStyle w:val="TableContents"/>
              <w:bidi w:val="0"/>
              <w:spacing w:before="0" w:after="283"/>
              <w:jc w:val="center"/>
              <w:rPr/>
            </w:pPr>
            <w:r>
              <w:rPr/>
              <w:t>—</w:t>
            </w:r>
          </w:p>
        </w:tc>
        <w:tc>
          <w:tcPr>
            <w:tcW w:w="90" w:type="dxa"/>
            <w:tcBorders/>
            <w:vAlign w:val="center"/>
          </w:tcPr>
          <w:p>
            <w:pPr>
              <w:pStyle w:val="TableContents"/>
              <w:bidi w:val="0"/>
              <w:spacing w:before="0" w:after="283"/>
              <w:jc w:val="center"/>
              <w:rPr/>
            </w:pPr>
            <w:r>
              <w:rPr/>
              <w:t> </w:t>
            </w:r>
          </w:p>
        </w:tc>
        <w:tc>
          <w:tcPr>
            <w:tcW w:w="894" w:type="dxa"/>
            <w:tcBorders/>
            <w:vAlign w:val="center"/>
          </w:tcPr>
          <w:p>
            <w:pPr>
              <w:pStyle w:val="TableContents"/>
              <w:bidi w:val="0"/>
              <w:spacing w:before="0" w:after="283"/>
              <w:jc w:val="center"/>
              <w:rPr>
                <w:sz w:val="16"/>
              </w:rPr>
            </w:pPr>
            <w:r>
              <w:rPr>
                <w:sz w:val="16"/>
              </w:rPr>
              <w:t>6.28</w:t>
            </w:r>
          </w:p>
        </w:tc>
        <w:tc>
          <w:tcPr>
            <w:tcW w:w="90" w:type="dxa"/>
            <w:tcBorders/>
            <w:vAlign w:val="center"/>
          </w:tcPr>
          <w:p>
            <w:pPr>
              <w:pStyle w:val="TableContents"/>
              <w:bidi w:val="0"/>
              <w:spacing w:before="0" w:after="283"/>
              <w:jc w:val="center"/>
              <w:rPr/>
            </w:pPr>
            <w:r>
              <w:rPr/>
              <w:t> </w:t>
            </w:r>
          </w:p>
        </w:tc>
        <w:tc>
          <w:tcPr>
            <w:tcW w:w="1074" w:type="dxa"/>
            <w:tcBorders/>
            <w:vAlign w:val="center"/>
          </w:tcPr>
          <w:p>
            <w:pPr>
              <w:pStyle w:val="TableContents"/>
              <w:bidi w:val="0"/>
              <w:spacing w:before="0" w:after="283"/>
              <w:jc w:val="center"/>
              <w:rPr>
                <w:sz w:val="16"/>
              </w:rPr>
            </w:pPr>
            <w:r>
              <w:rPr>
                <w:sz w:val="16"/>
              </w:rPr>
              <w:t>7/28/2030</w:t>
            </w:r>
          </w:p>
        </w:tc>
        <w:tc>
          <w:tcPr>
            <w:tcW w:w="90" w:type="dxa"/>
            <w:tcBorders/>
            <w:vAlign w:val="center"/>
          </w:tcPr>
          <w:p>
            <w:pPr>
              <w:pStyle w:val="TableContents"/>
              <w:bidi w:val="0"/>
              <w:spacing w:before="0" w:after="283"/>
              <w:jc w:val="center"/>
              <w:rPr/>
            </w:pPr>
            <w:r>
              <w:rPr/>
              <w:t> </w:t>
            </w:r>
          </w:p>
        </w:tc>
        <w:tc>
          <w:tcPr>
            <w:tcW w:w="1041" w:type="dxa"/>
            <w:tcBorders/>
            <w:vAlign w:val="center"/>
          </w:tcPr>
          <w:p>
            <w:pPr>
              <w:pStyle w:val="TableContents"/>
              <w:bidi w:val="0"/>
              <w:spacing w:before="0" w:after="283"/>
              <w:jc w:val="center"/>
              <w:rPr/>
            </w:pPr>
            <w:r>
              <w:rPr/>
              <w:t>—</w:t>
            </w:r>
          </w:p>
        </w:tc>
        <w:tc>
          <w:tcPr>
            <w:tcW w:w="90" w:type="dxa"/>
            <w:tcBorders/>
            <w:vAlign w:val="center"/>
          </w:tcPr>
          <w:p>
            <w:pPr>
              <w:pStyle w:val="TableContents"/>
              <w:bidi w:val="0"/>
              <w:spacing w:before="0" w:after="283"/>
              <w:jc w:val="center"/>
              <w:rPr/>
            </w:pPr>
            <w:r>
              <w:rPr/>
              <w:t> </w:t>
            </w:r>
          </w:p>
        </w:tc>
        <w:tc>
          <w:tcPr>
            <w:tcW w:w="1045" w:type="dxa"/>
            <w:tcBorders/>
            <w:vAlign w:val="center"/>
          </w:tcPr>
          <w:p>
            <w:pPr>
              <w:pStyle w:val="TableContents"/>
              <w:bidi w:val="0"/>
              <w:spacing w:before="0" w:after="283"/>
              <w:jc w:val="center"/>
              <w:rPr/>
            </w:pPr>
            <w:r>
              <w:rPr/>
              <w:t>—</w:t>
            </w:r>
          </w:p>
        </w:tc>
        <w:tc>
          <w:tcPr>
            <w:tcW w:w="90" w:type="dxa"/>
            <w:tcBorders/>
            <w:vAlign w:val="center"/>
          </w:tcPr>
          <w:p>
            <w:pPr>
              <w:pStyle w:val="TableContents"/>
              <w:bidi w:val="0"/>
              <w:spacing w:before="0" w:after="283"/>
              <w:jc w:val="center"/>
              <w:rPr/>
            </w:pPr>
            <w:r>
              <w:rPr/>
              <w:t> </w:t>
            </w:r>
          </w:p>
        </w:tc>
        <w:tc>
          <w:tcPr>
            <w:tcW w:w="942" w:type="dxa"/>
            <w:tcBorders/>
            <w:vAlign w:val="center"/>
          </w:tcPr>
          <w:p>
            <w:pPr>
              <w:pStyle w:val="TableContents"/>
              <w:bidi w:val="0"/>
              <w:spacing w:before="0" w:after="283"/>
              <w:jc w:val="center"/>
              <w:rPr/>
            </w:pPr>
            <w:r>
              <w:rPr/>
              <w:t>—</w:t>
            </w:r>
          </w:p>
        </w:tc>
        <w:tc>
          <w:tcPr>
            <w:tcW w:w="90" w:type="dxa"/>
            <w:tcBorders/>
            <w:vAlign w:val="center"/>
          </w:tcPr>
          <w:p>
            <w:pPr>
              <w:pStyle w:val="TableContents"/>
              <w:bidi w:val="0"/>
              <w:spacing w:before="0" w:after="283"/>
              <w:jc w:val="center"/>
              <w:rPr/>
            </w:pPr>
            <w:r>
              <w:rPr/>
              <w:t> </w:t>
            </w:r>
          </w:p>
        </w:tc>
        <w:tc>
          <w:tcPr>
            <w:tcW w:w="1031" w:type="dxa"/>
            <w:tcBorders/>
            <w:vAlign w:val="center"/>
          </w:tcPr>
          <w:p>
            <w:pPr>
              <w:pStyle w:val="TableContents"/>
              <w:bidi w:val="0"/>
              <w:spacing w:before="0" w:after="283"/>
              <w:jc w:val="center"/>
              <w:rPr/>
            </w:pPr>
            <w:r>
              <w:rPr/>
              <w:t>—</w:t>
            </w:r>
          </w:p>
        </w:tc>
      </w:tr>
      <w:tr>
        <w:trPr/>
        <w:tc>
          <w:tcPr>
            <w:tcW w:w="1034"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1170" w:type="dxa"/>
            <w:tcBorders/>
            <w:vAlign w:val="center"/>
          </w:tcPr>
          <w:p>
            <w:pPr>
              <w:pStyle w:val="TableContents"/>
              <w:bidi w:val="0"/>
              <w:spacing w:before="0" w:after="283"/>
              <w:jc w:val="center"/>
              <w:rPr>
                <w:sz w:val="16"/>
              </w:rPr>
            </w:pPr>
            <w:r>
              <w:rPr>
                <w:sz w:val="16"/>
              </w:rPr>
              <w:t>480,900</w:t>
            </w:r>
            <w:r>
              <w:rPr>
                <w:position w:val="5"/>
                <w:sz w:val="13"/>
                <w:sz w:val="16"/>
              </w:rPr>
              <w:t>(10)</w:t>
            </w:r>
          </w:p>
        </w:tc>
        <w:tc>
          <w:tcPr>
            <w:tcW w:w="90" w:type="dxa"/>
            <w:tcBorders/>
            <w:vAlign w:val="center"/>
          </w:tcPr>
          <w:p>
            <w:pPr>
              <w:pStyle w:val="TableContents"/>
              <w:bidi w:val="0"/>
              <w:spacing w:before="0" w:after="283"/>
              <w:jc w:val="center"/>
              <w:rPr/>
            </w:pPr>
            <w:r>
              <w:rPr/>
              <w:t> </w:t>
            </w:r>
          </w:p>
        </w:tc>
        <w:tc>
          <w:tcPr>
            <w:tcW w:w="1254" w:type="dxa"/>
            <w:tcBorders/>
            <w:vAlign w:val="center"/>
          </w:tcPr>
          <w:p>
            <w:pPr>
              <w:pStyle w:val="TableContents"/>
              <w:bidi w:val="0"/>
              <w:spacing w:before="0" w:after="283"/>
              <w:jc w:val="center"/>
              <w:rPr/>
            </w:pPr>
            <w:r>
              <w:rPr/>
              <w:t>—</w:t>
            </w:r>
          </w:p>
        </w:tc>
        <w:tc>
          <w:tcPr>
            <w:tcW w:w="90" w:type="dxa"/>
            <w:tcBorders/>
            <w:vAlign w:val="center"/>
          </w:tcPr>
          <w:p>
            <w:pPr>
              <w:pStyle w:val="TableContents"/>
              <w:bidi w:val="0"/>
              <w:spacing w:before="0" w:after="283"/>
              <w:jc w:val="center"/>
              <w:rPr/>
            </w:pPr>
            <w:r>
              <w:rPr/>
              <w:t> </w:t>
            </w:r>
          </w:p>
        </w:tc>
        <w:tc>
          <w:tcPr>
            <w:tcW w:w="894" w:type="dxa"/>
            <w:tcBorders/>
            <w:vAlign w:val="center"/>
          </w:tcPr>
          <w:p>
            <w:pPr>
              <w:pStyle w:val="TableContents"/>
              <w:bidi w:val="0"/>
              <w:spacing w:before="0" w:after="283"/>
              <w:jc w:val="center"/>
              <w:rPr>
                <w:sz w:val="16"/>
              </w:rPr>
            </w:pPr>
            <w:r>
              <w:rPr>
                <w:sz w:val="16"/>
              </w:rPr>
              <w:t>6.28</w:t>
            </w:r>
          </w:p>
        </w:tc>
        <w:tc>
          <w:tcPr>
            <w:tcW w:w="90" w:type="dxa"/>
            <w:tcBorders/>
            <w:vAlign w:val="center"/>
          </w:tcPr>
          <w:p>
            <w:pPr>
              <w:pStyle w:val="TableContents"/>
              <w:bidi w:val="0"/>
              <w:spacing w:before="0" w:after="283"/>
              <w:jc w:val="center"/>
              <w:rPr/>
            </w:pPr>
            <w:r>
              <w:rPr/>
              <w:t> </w:t>
            </w:r>
          </w:p>
        </w:tc>
        <w:tc>
          <w:tcPr>
            <w:tcW w:w="1074" w:type="dxa"/>
            <w:tcBorders/>
            <w:vAlign w:val="center"/>
          </w:tcPr>
          <w:p>
            <w:pPr>
              <w:pStyle w:val="TableContents"/>
              <w:bidi w:val="0"/>
              <w:spacing w:before="0" w:after="283"/>
              <w:jc w:val="center"/>
              <w:rPr>
                <w:sz w:val="16"/>
              </w:rPr>
            </w:pPr>
            <w:r>
              <w:rPr>
                <w:sz w:val="16"/>
              </w:rPr>
              <w:t>12/25/2030</w:t>
            </w:r>
          </w:p>
        </w:tc>
        <w:tc>
          <w:tcPr>
            <w:tcW w:w="90" w:type="dxa"/>
            <w:tcBorders/>
            <w:vAlign w:val="center"/>
          </w:tcPr>
          <w:p>
            <w:pPr>
              <w:pStyle w:val="TableContents"/>
              <w:bidi w:val="0"/>
              <w:spacing w:before="0" w:after="283"/>
              <w:jc w:val="center"/>
              <w:rPr/>
            </w:pPr>
            <w:r>
              <w:rPr/>
              <w:t> </w:t>
            </w:r>
          </w:p>
        </w:tc>
        <w:tc>
          <w:tcPr>
            <w:tcW w:w="1041" w:type="dxa"/>
            <w:tcBorders/>
            <w:vAlign w:val="center"/>
          </w:tcPr>
          <w:p>
            <w:pPr>
              <w:pStyle w:val="TableContents"/>
              <w:bidi w:val="0"/>
              <w:spacing w:before="0" w:after="283"/>
              <w:jc w:val="center"/>
              <w:rPr/>
            </w:pPr>
            <w:r>
              <w:rPr/>
              <w:t>—</w:t>
            </w:r>
          </w:p>
        </w:tc>
        <w:tc>
          <w:tcPr>
            <w:tcW w:w="90" w:type="dxa"/>
            <w:tcBorders/>
            <w:vAlign w:val="center"/>
          </w:tcPr>
          <w:p>
            <w:pPr>
              <w:pStyle w:val="TableContents"/>
              <w:bidi w:val="0"/>
              <w:spacing w:before="0" w:after="283"/>
              <w:jc w:val="center"/>
              <w:rPr/>
            </w:pPr>
            <w:r>
              <w:rPr/>
              <w:t> </w:t>
            </w:r>
          </w:p>
        </w:tc>
        <w:tc>
          <w:tcPr>
            <w:tcW w:w="1045" w:type="dxa"/>
            <w:tcBorders/>
            <w:vAlign w:val="center"/>
          </w:tcPr>
          <w:p>
            <w:pPr>
              <w:pStyle w:val="TableContents"/>
              <w:bidi w:val="0"/>
              <w:spacing w:before="0" w:after="283"/>
              <w:jc w:val="center"/>
              <w:rPr/>
            </w:pPr>
            <w:r>
              <w:rPr/>
              <w:t>—</w:t>
            </w:r>
          </w:p>
        </w:tc>
        <w:tc>
          <w:tcPr>
            <w:tcW w:w="90" w:type="dxa"/>
            <w:tcBorders/>
            <w:vAlign w:val="center"/>
          </w:tcPr>
          <w:p>
            <w:pPr>
              <w:pStyle w:val="TableContents"/>
              <w:bidi w:val="0"/>
              <w:spacing w:before="0" w:after="283"/>
              <w:jc w:val="center"/>
              <w:rPr/>
            </w:pPr>
            <w:r>
              <w:rPr/>
              <w:t> </w:t>
            </w:r>
          </w:p>
        </w:tc>
        <w:tc>
          <w:tcPr>
            <w:tcW w:w="942" w:type="dxa"/>
            <w:tcBorders/>
            <w:vAlign w:val="center"/>
          </w:tcPr>
          <w:p>
            <w:pPr>
              <w:pStyle w:val="TableContents"/>
              <w:bidi w:val="0"/>
              <w:spacing w:before="0" w:after="283"/>
              <w:jc w:val="center"/>
              <w:rPr/>
            </w:pPr>
            <w:r>
              <w:rPr/>
              <w:t>—</w:t>
            </w:r>
          </w:p>
        </w:tc>
        <w:tc>
          <w:tcPr>
            <w:tcW w:w="90" w:type="dxa"/>
            <w:tcBorders/>
            <w:vAlign w:val="center"/>
          </w:tcPr>
          <w:p>
            <w:pPr>
              <w:pStyle w:val="TableContents"/>
              <w:bidi w:val="0"/>
              <w:spacing w:before="0" w:after="283"/>
              <w:jc w:val="center"/>
              <w:rPr/>
            </w:pPr>
            <w:r>
              <w:rPr/>
              <w:t> </w:t>
            </w:r>
          </w:p>
        </w:tc>
        <w:tc>
          <w:tcPr>
            <w:tcW w:w="1031" w:type="dxa"/>
            <w:tcBorders/>
            <w:vAlign w:val="center"/>
          </w:tcPr>
          <w:p>
            <w:pPr>
              <w:pStyle w:val="TableContents"/>
              <w:bidi w:val="0"/>
              <w:spacing w:before="0" w:after="283"/>
              <w:jc w:val="center"/>
              <w:rPr/>
            </w:pPr>
            <w:r>
              <w:rPr/>
              <w:t>—</w:t>
            </w:r>
          </w:p>
        </w:tc>
      </w:tr>
      <w:tr>
        <w:trPr/>
        <w:tc>
          <w:tcPr>
            <w:tcW w:w="1034"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1170" w:type="dxa"/>
            <w:tcBorders/>
            <w:vAlign w:val="center"/>
          </w:tcPr>
          <w:p>
            <w:pPr>
              <w:pStyle w:val="TableContents"/>
              <w:bidi w:val="0"/>
              <w:spacing w:before="0" w:after="283"/>
              <w:jc w:val="center"/>
              <w:rPr/>
            </w:pPr>
            <w:r>
              <w:rPr/>
              <w:t>—</w:t>
            </w:r>
          </w:p>
        </w:tc>
        <w:tc>
          <w:tcPr>
            <w:tcW w:w="90" w:type="dxa"/>
            <w:tcBorders/>
            <w:vAlign w:val="center"/>
          </w:tcPr>
          <w:p>
            <w:pPr>
              <w:pStyle w:val="TableContents"/>
              <w:bidi w:val="0"/>
              <w:spacing w:before="0" w:after="283"/>
              <w:jc w:val="center"/>
              <w:rPr/>
            </w:pPr>
            <w:r>
              <w:rPr/>
              <w:t> </w:t>
            </w:r>
          </w:p>
        </w:tc>
        <w:tc>
          <w:tcPr>
            <w:tcW w:w="1254" w:type="dxa"/>
            <w:tcBorders/>
            <w:vAlign w:val="center"/>
          </w:tcPr>
          <w:p>
            <w:pPr>
              <w:pStyle w:val="TableContents"/>
              <w:bidi w:val="0"/>
              <w:spacing w:before="0" w:after="283"/>
              <w:jc w:val="center"/>
              <w:rPr/>
            </w:pPr>
            <w:r>
              <w:rPr/>
              <w:t>—</w:t>
            </w:r>
          </w:p>
        </w:tc>
        <w:tc>
          <w:tcPr>
            <w:tcW w:w="90" w:type="dxa"/>
            <w:tcBorders/>
            <w:vAlign w:val="center"/>
          </w:tcPr>
          <w:p>
            <w:pPr>
              <w:pStyle w:val="TableContents"/>
              <w:bidi w:val="0"/>
              <w:spacing w:before="0" w:after="283"/>
              <w:jc w:val="center"/>
              <w:rPr/>
            </w:pPr>
            <w:r>
              <w:rPr/>
              <w:t> </w:t>
            </w:r>
          </w:p>
        </w:tc>
        <w:tc>
          <w:tcPr>
            <w:tcW w:w="894" w:type="dxa"/>
            <w:tcBorders/>
            <w:vAlign w:val="center"/>
          </w:tcPr>
          <w:p>
            <w:pPr>
              <w:pStyle w:val="TableContents"/>
              <w:bidi w:val="0"/>
              <w:spacing w:before="0" w:after="283"/>
              <w:jc w:val="center"/>
              <w:rPr/>
            </w:pPr>
            <w:r>
              <w:rPr/>
              <w:t>—</w:t>
            </w:r>
          </w:p>
        </w:tc>
        <w:tc>
          <w:tcPr>
            <w:tcW w:w="90" w:type="dxa"/>
            <w:tcBorders/>
            <w:vAlign w:val="center"/>
          </w:tcPr>
          <w:p>
            <w:pPr>
              <w:pStyle w:val="TableContents"/>
              <w:bidi w:val="0"/>
              <w:spacing w:before="0" w:after="283"/>
              <w:jc w:val="center"/>
              <w:rPr/>
            </w:pPr>
            <w:r>
              <w:rPr/>
              <w:t> </w:t>
            </w:r>
          </w:p>
        </w:tc>
        <w:tc>
          <w:tcPr>
            <w:tcW w:w="1074" w:type="dxa"/>
            <w:tcBorders/>
            <w:vAlign w:val="center"/>
          </w:tcPr>
          <w:p>
            <w:pPr>
              <w:pStyle w:val="TableContents"/>
              <w:bidi w:val="0"/>
              <w:spacing w:before="0" w:after="283"/>
              <w:jc w:val="center"/>
              <w:rPr/>
            </w:pPr>
            <w:r>
              <w:rPr/>
              <w:t>—</w:t>
            </w:r>
          </w:p>
        </w:tc>
        <w:tc>
          <w:tcPr>
            <w:tcW w:w="90" w:type="dxa"/>
            <w:tcBorders/>
            <w:vAlign w:val="center"/>
          </w:tcPr>
          <w:p>
            <w:pPr>
              <w:pStyle w:val="TableContents"/>
              <w:bidi w:val="0"/>
              <w:spacing w:before="0" w:after="283"/>
              <w:jc w:val="center"/>
              <w:rPr/>
            </w:pPr>
            <w:r>
              <w:rPr/>
              <w:t> </w:t>
            </w:r>
          </w:p>
        </w:tc>
        <w:tc>
          <w:tcPr>
            <w:tcW w:w="1041" w:type="dxa"/>
            <w:tcBorders/>
            <w:vAlign w:val="center"/>
          </w:tcPr>
          <w:p>
            <w:pPr>
              <w:pStyle w:val="TableContents"/>
              <w:bidi w:val="0"/>
              <w:spacing w:before="0" w:after="283"/>
              <w:jc w:val="center"/>
              <w:rPr>
                <w:sz w:val="16"/>
              </w:rPr>
            </w:pPr>
            <w:r>
              <w:rPr>
                <w:sz w:val="16"/>
              </w:rPr>
              <w:t>13,333</w:t>
            </w:r>
            <w:r>
              <w:rPr>
                <w:position w:val="5"/>
                <w:sz w:val="13"/>
                <w:sz w:val="16"/>
              </w:rPr>
              <w:t>(11)</w:t>
            </w:r>
          </w:p>
        </w:tc>
        <w:tc>
          <w:tcPr>
            <w:tcW w:w="90" w:type="dxa"/>
            <w:tcBorders/>
            <w:vAlign w:val="center"/>
          </w:tcPr>
          <w:p>
            <w:pPr>
              <w:pStyle w:val="TableContents"/>
              <w:bidi w:val="0"/>
              <w:spacing w:before="0" w:after="283"/>
              <w:jc w:val="center"/>
              <w:rPr/>
            </w:pPr>
            <w:r>
              <w:rPr/>
              <w:t> </w:t>
            </w:r>
          </w:p>
        </w:tc>
        <w:tc>
          <w:tcPr>
            <w:tcW w:w="1045" w:type="dxa"/>
            <w:tcBorders/>
            <w:vAlign w:val="center"/>
          </w:tcPr>
          <w:p>
            <w:pPr>
              <w:pStyle w:val="TableContents"/>
              <w:bidi w:val="0"/>
              <w:spacing w:before="0" w:after="283"/>
              <w:jc w:val="center"/>
              <w:rPr>
                <w:sz w:val="16"/>
              </w:rPr>
            </w:pPr>
            <w:r>
              <w:rPr>
                <w:sz w:val="16"/>
              </w:rPr>
              <w:t>37,332</w:t>
            </w:r>
          </w:p>
        </w:tc>
        <w:tc>
          <w:tcPr>
            <w:tcW w:w="90" w:type="dxa"/>
            <w:tcBorders/>
            <w:vAlign w:val="center"/>
          </w:tcPr>
          <w:p>
            <w:pPr>
              <w:pStyle w:val="TableContents"/>
              <w:bidi w:val="0"/>
              <w:spacing w:before="0" w:after="283"/>
              <w:jc w:val="center"/>
              <w:rPr/>
            </w:pPr>
            <w:r>
              <w:rPr/>
              <w:t> </w:t>
            </w:r>
          </w:p>
        </w:tc>
        <w:tc>
          <w:tcPr>
            <w:tcW w:w="942" w:type="dxa"/>
            <w:tcBorders/>
            <w:vAlign w:val="center"/>
          </w:tcPr>
          <w:p>
            <w:pPr>
              <w:pStyle w:val="TableContents"/>
              <w:bidi w:val="0"/>
              <w:spacing w:before="0" w:after="283"/>
              <w:jc w:val="center"/>
              <w:rPr/>
            </w:pPr>
            <w:r>
              <w:rPr/>
              <w:t>—</w:t>
            </w:r>
          </w:p>
        </w:tc>
        <w:tc>
          <w:tcPr>
            <w:tcW w:w="90" w:type="dxa"/>
            <w:tcBorders/>
            <w:vAlign w:val="center"/>
          </w:tcPr>
          <w:p>
            <w:pPr>
              <w:pStyle w:val="TableContents"/>
              <w:bidi w:val="0"/>
              <w:spacing w:before="0" w:after="283"/>
              <w:jc w:val="center"/>
              <w:rPr/>
            </w:pPr>
            <w:r>
              <w:rPr/>
              <w:t> </w:t>
            </w:r>
          </w:p>
        </w:tc>
        <w:tc>
          <w:tcPr>
            <w:tcW w:w="1031" w:type="dxa"/>
            <w:tcBorders/>
            <w:vAlign w:val="center"/>
          </w:tcPr>
          <w:p>
            <w:pPr>
              <w:pStyle w:val="TableContents"/>
              <w:bidi w:val="0"/>
              <w:spacing w:before="0" w:after="283"/>
              <w:jc w:val="center"/>
              <w:rPr/>
            </w:pPr>
            <w:r>
              <w:rPr/>
              <w:t>—</w:t>
            </w:r>
          </w:p>
        </w:tc>
      </w:tr>
      <w:tr>
        <w:trPr/>
        <w:tc>
          <w:tcPr>
            <w:tcW w:w="1034"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1170" w:type="dxa"/>
            <w:tcBorders/>
            <w:vAlign w:val="center"/>
          </w:tcPr>
          <w:p>
            <w:pPr>
              <w:pStyle w:val="TableContents"/>
              <w:bidi w:val="0"/>
              <w:spacing w:before="0" w:after="283"/>
              <w:jc w:val="center"/>
              <w:rPr/>
            </w:pPr>
            <w:r>
              <w:rPr/>
              <w:t>—</w:t>
            </w:r>
          </w:p>
        </w:tc>
        <w:tc>
          <w:tcPr>
            <w:tcW w:w="90" w:type="dxa"/>
            <w:tcBorders/>
            <w:vAlign w:val="center"/>
          </w:tcPr>
          <w:p>
            <w:pPr>
              <w:pStyle w:val="TableContents"/>
              <w:bidi w:val="0"/>
              <w:spacing w:before="0" w:after="283"/>
              <w:jc w:val="center"/>
              <w:rPr/>
            </w:pPr>
            <w:r>
              <w:rPr/>
              <w:t> </w:t>
            </w:r>
          </w:p>
        </w:tc>
        <w:tc>
          <w:tcPr>
            <w:tcW w:w="1254" w:type="dxa"/>
            <w:tcBorders/>
            <w:vAlign w:val="center"/>
          </w:tcPr>
          <w:p>
            <w:pPr>
              <w:pStyle w:val="TableContents"/>
              <w:bidi w:val="0"/>
              <w:spacing w:before="0" w:after="283"/>
              <w:jc w:val="center"/>
              <w:rPr/>
            </w:pPr>
            <w:r>
              <w:rPr/>
              <w:t>—</w:t>
            </w:r>
          </w:p>
        </w:tc>
        <w:tc>
          <w:tcPr>
            <w:tcW w:w="90" w:type="dxa"/>
            <w:tcBorders/>
            <w:vAlign w:val="center"/>
          </w:tcPr>
          <w:p>
            <w:pPr>
              <w:pStyle w:val="TableContents"/>
              <w:bidi w:val="0"/>
              <w:spacing w:before="0" w:after="283"/>
              <w:jc w:val="center"/>
              <w:rPr/>
            </w:pPr>
            <w:r>
              <w:rPr/>
              <w:t> </w:t>
            </w:r>
          </w:p>
        </w:tc>
        <w:tc>
          <w:tcPr>
            <w:tcW w:w="894" w:type="dxa"/>
            <w:tcBorders/>
            <w:vAlign w:val="center"/>
          </w:tcPr>
          <w:p>
            <w:pPr>
              <w:pStyle w:val="TableContents"/>
              <w:bidi w:val="0"/>
              <w:spacing w:before="0" w:after="283"/>
              <w:jc w:val="center"/>
              <w:rPr/>
            </w:pPr>
            <w:r>
              <w:rPr/>
              <w:t>—</w:t>
            </w:r>
          </w:p>
        </w:tc>
        <w:tc>
          <w:tcPr>
            <w:tcW w:w="90" w:type="dxa"/>
            <w:tcBorders/>
            <w:vAlign w:val="center"/>
          </w:tcPr>
          <w:p>
            <w:pPr>
              <w:pStyle w:val="TableContents"/>
              <w:bidi w:val="0"/>
              <w:spacing w:before="0" w:after="283"/>
              <w:jc w:val="center"/>
              <w:rPr/>
            </w:pPr>
            <w:r>
              <w:rPr/>
              <w:t> </w:t>
            </w:r>
          </w:p>
        </w:tc>
        <w:tc>
          <w:tcPr>
            <w:tcW w:w="1074" w:type="dxa"/>
            <w:tcBorders/>
            <w:vAlign w:val="center"/>
          </w:tcPr>
          <w:p>
            <w:pPr>
              <w:pStyle w:val="TableContents"/>
              <w:bidi w:val="0"/>
              <w:spacing w:before="0" w:after="283"/>
              <w:jc w:val="center"/>
              <w:rPr/>
            </w:pPr>
            <w:r>
              <w:rPr/>
              <w:t>—</w:t>
            </w:r>
          </w:p>
        </w:tc>
        <w:tc>
          <w:tcPr>
            <w:tcW w:w="90" w:type="dxa"/>
            <w:tcBorders/>
            <w:vAlign w:val="center"/>
          </w:tcPr>
          <w:p>
            <w:pPr>
              <w:pStyle w:val="TableContents"/>
              <w:bidi w:val="0"/>
              <w:spacing w:before="0" w:after="283"/>
              <w:jc w:val="center"/>
              <w:rPr/>
            </w:pPr>
            <w:r>
              <w:rPr/>
              <w:t> </w:t>
            </w:r>
          </w:p>
        </w:tc>
        <w:tc>
          <w:tcPr>
            <w:tcW w:w="1041" w:type="dxa"/>
            <w:tcBorders/>
            <w:vAlign w:val="center"/>
          </w:tcPr>
          <w:p>
            <w:pPr>
              <w:pStyle w:val="TableContents"/>
              <w:bidi w:val="0"/>
              <w:spacing w:before="0" w:after="283"/>
              <w:jc w:val="center"/>
              <w:rPr>
                <w:sz w:val="16"/>
              </w:rPr>
            </w:pPr>
            <w:r>
              <w:rPr>
                <w:sz w:val="16"/>
              </w:rPr>
              <w:t>66,667</w:t>
            </w:r>
            <w:r>
              <w:rPr>
                <w:position w:val="5"/>
                <w:sz w:val="13"/>
                <w:sz w:val="16"/>
              </w:rPr>
              <w:t>(9)</w:t>
            </w:r>
          </w:p>
        </w:tc>
        <w:tc>
          <w:tcPr>
            <w:tcW w:w="90" w:type="dxa"/>
            <w:tcBorders/>
            <w:vAlign w:val="center"/>
          </w:tcPr>
          <w:p>
            <w:pPr>
              <w:pStyle w:val="TableContents"/>
              <w:bidi w:val="0"/>
              <w:spacing w:before="0" w:after="283"/>
              <w:jc w:val="center"/>
              <w:rPr/>
            </w:pPr>
            <w:r>
              <w:rPr/>
              <w:t> </w:t>
            </w:r>
          </w:p>
        </w:tc>
        <w:tc>
          <w:tcPr>
            <w:tcW w:w="1045" w:type="dxa"/>
            <w:tcBorders/>
            <w:vAlign w:val="center"/>
          </w:tcPr>
          <w:p>
            <w:pPr>
              <w:pStyle w:val="TableContents"/>
              <w:bidi w:val="0"/>
              <w:spacing w:before="0" w:after="283"/>
              <w:jc w:val="center"/>
              <w:rPr>
                <w:sz w:val="16"/>
              </w:rPr>
            </w:pPr>
            <w:r>
              <w:rPr>
                <w:sz w:val="16"/>
              </w:rPr>
              <w:t>186,668</w:t>
            </w:r>
          </w:p>
        </w:tc>
        <w:tc>
          <w:tcPr>
            <w:tcW w:w="90" w:type="dxa"/>
            <w:tcBorders/>
            <w:vAlign w:val="center"/>
          </w:tcPr>
          <w:p>
            <w:pPr>
              <w:pStyle w:val="TableContents"/>
              <w:bidi w:val="0"/>
              <w:spacing w:before="0" w:after="283"/>
              <w:jc w:val="center"/>
              <w:rPr/>
            </w:pPr>
            <w:r>
              <w:rPr/>
              <w:t> </w:t>
            </w:r>
          </w:p>
        </w:tc>
        <w:tc>
          <w:tcPr>
            <w:tcW w:w="942" w:type="dxa"/>
            <w:tcBorders/>
            <w:vAlign w:val="center"/>
          </w:tcPr>
          <w:p>
            <w:pPr>
              <w:pStyle w:val="TableContents"/>
              <w:bidi w:val="0"/>
              <w:spacing w:before="0" w:after="283"/>
              <w:jc w:val="center"/>
              <w:rPr/>
            </w:pPr>
            <w:r>
              <w:rPr/>
              <w:t>—</w:t>
            </w:r>
          </w:p>
        </w:tc>
        <w:tc>
          <w:tcPr>
            <w:tcW w:w="90" w:type="dxa"/>
            <w:tcBorders/>
            <w:vAlign w:val="center"/>
          </w:tcPr>
          <w:p>
            <w:pPr>
              <w:pStyle w:val="TableContents"/>
              <w:bidi w:val="0"/>
              <w:spacing w:before="0" w:after="283"/>
              <w:jc w:val="center"/>
              <w:rPr/>
            </w:pPr>
            <w:r>
              <w:rPr/>
              <w:t> </w:t>
            </w:r>
          </w:p>
        </w:tc>
        <w:tc>
          <w:tcPr>
            <w:tcW w:w="1031" w:type="dxa"/>
            <w:tcBorders/>
            <w:vAlign w:val="center"/>
          </w:tcPr>
          <w:p>
            <w:pPr>
              <w:pStyle w:val="TableContents"/>
              <w:bidi w:val="0"/>
              <w:spacing w:before="0" w:after="283"/>
              <w:jc w:val="center"/>
              <w:rPr/>
            </w:pPr>
            <w:r>
              <w:rPr/>
              <w:t>—</w:t>
            </w:r>
          </w:p>
        </w:tc>
      </w:tr>
      <w:tr>
        <w:trPr/>
        <w:tc>
          <w:tcPr>
            <w:tcW w:w="1034"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1170" w:type="dxa"/>
            <w:tcBorders/>
            <w:vAlign w:val="center"/>
          </w:tcPr>
          <w:p>
            <w:pPr>
              <w:pStyle w:val="TableContents"/>
              <w:bidi w:val="0"/>
              <w:spacing w:before="0" w:after="283"/>
              <w:jc w:val="center"/>
              <w:rPr/>
            </w:pPr>
            <w:r>
              <w:rPr/>
              <w:t>—</w:t>
            </w:r>
          </w:p>
        </w:tc>
        <w:tc>
          <w:tcPr>
            <w:tcW w:w="90" w:type="dxa"/>
            <w:tcBorders/>
            <w:vAlign w:val="center"/>
          </w:tcPr>
          <w:p>
            <w:pPr>
              <w:pStyle w:val="TableContents"/>
              <w:bidi w:val="0"/>
              <w:spacing w:before="0" w:after="283"/>
              <w:jc w:val="center"/>
              <w:rPr/>
            </w:pPr>
            <w:r>
              <w:rPr/>
              <w:t> </w:t>
            </w:r>
          </w:p>
        </w:tc>
        <w:tc>
          <w:tcPr>
            <w:tcW w:w="1254" w:type="dxa"/>
            <w:tcBorders/>
            <w:vAlign w:val="center"/>
          </w:tcPr>
          <w:p>
            <w:pPr>
              <w:pStyle w:val="TableContents"/>
              <w:bidi w:val="0"/>
              <w:spacing w:before="0" w:after="283"/>
              <w:jc w:val="center"/>
              <w:rPr/>
            </w:pPr>
            <w:r>
              <w:rPr/>
              <w:t>—</w:t>
            </w:r>
          </w:p>
        </w:tc>
        <w:tc>
          <w:tcPr>
            <w:tcW w:w="90" w:type="dxa"/>
            <w:tcBorders/>
            <w:vAlign w:val="center"/>
          </w:tcPr>
          <w:p>
            <w:pPr>
              <w:pStyle w:val="TableContents"/>
              <w:bidi w:val="0"/>
              <w:spacing w:before="0" w:after="283"/>
              <w:jc w:val="center"/>
              <w:rPr/>
            </w:pPr>
            <w:r>
              <w:rPr/>
              <w:t> </w:t>
            </w:r>
          </w:p>
        </w:tc>
        <w:tc>
          <w:tcPr>
            <w:tcW w:w="894" w:type="dxa"/>
            <w:tcBorders/>
            <w:vAlign w:val="center"/>
          </w:tcPr>
          <w:p>
            <w:pPr>
              <w:pStyle w:val="TableContents"/>
              <w:bidi w:val="0"/>
              <w:spacing w:before="0" w:after="283"/>
              <w:jc w:val="center"/>
              <w:rPr/>
            </w:pPr>
            <w:r>
              <w:rPr/>
              <w:t>—</w:t>
            </w:r>
          </w:p>
        </w:tc>
        <w:tc>
          <w:tcPr>
            <w:tcW w:w="90" w:type="dxa"/>
            <w:tcBorders/>
            <w:vAlign w:val="center"/>
          </w:tcPr>
          <w:p>
            <w:pPr>
              <w:pStyle w:val="TableContents"/>
              <w:bidi w:val="0"/>
              <w:spacing w:before="0" w:after="283"/>
              <w:jc w:val="center"/>
              <w:rPr/>
            </w:pPr>
            <w:r>
              <w:rPr/>
              <w:t> </w:t>
            </w:r>
          </w:p>
        </w:tc>
        <w:tc>
          <w:tcPr>
            <w:tcW w:w="1074" w:type="dxa"/>
            <w:tcBorders/>
            <w:vAlign w:val="center"/>
          </w:tcPr>
          <w:p>
            <w:pPr>
              <w:pStyle w:val="TableContents"/>
              <w:bidi w:val="0"/>
              <w:spacing w:before="0" w:after="283"/>
              <w:jc w:val="center"/>
              <w:rPr/>
            </w:pPr>
            <w:r>
              <w:rPr/>
              <w:t>—</w:t>
            </w:r>
          </w:p>
        </w:tc>
        <w:tc>
          <w:tcPr>
            <w:tcW w:w="90" w:type="dxa"/>
            <w:tcBorders/>
            <w:vAlign w:val="center"/>
          </w:tcPr>
          <w:p>
            <w:pPr>
              <w:pStyle w:val="TableContents"/>
              <w:bidi w:val="0"/>
              <w:spacing w:before="0" w:after="283"/>
              <w:jc w:val="center"/>
              <w:rPr/>
            </w:pPr>
            <w:r>
              <w:rPr/>
              <w:t> </w:t>
            </w:r>
          </w:p>
        </w:tc>
        <w:tc>
          <w:tcPr>
            <w:tcW w:w="1041" w:type="dxa"/>
            <w:tcBorders/>
            <w:vAlign w:val="center"/>
          </w:tcPr>
          <w:p>
            <w:pPr>
              <w:pStyle w:val="TableContents"/>
              <w:bidi w:val="0"/>
              <w:spacing w:before="0" w:after="283"/>
              <w:jc w:val="center"/>
              <w:rPr>
                <w:sz w:val="16"/>
              </w:rPr>
            </w:pPr>
            <w:r>
              <w:rPr>
                <w:sz w:val="16"/>
              </w:rPr>
              <w:t>75,000</w:t>
            </w:r>
            <w:r>
              <w:rPr>
                <w:position w:val="5"/>
                <w:sz w:val="13"/>
                <w:sz w:val="16"/>
              </w:rPr>
              <w:t>(2)</w:t>
            </w:r>
          </w:p>
        </w:tc>
        <w:tc>
          <w:tcPr>
            <w:tcW w:w="90" w:type="dxa"/>
            <w:tcBorders/>
            <w:vAlign w:val="center"/>
          </w:tcPr>
          <w:p>
            <w:pPr>
              <w:pStyle w:val="TableContents"/>
              <w:bidi w:val="0"/>
              <w:spacing w:before="0" w:after="283"/>
              <w:jc w:val="center"/>
              <w:rPr/>
            </w:pPr>
            <w:r>
              <w:rPr/>
              <w:t> </w:t>
            </w:r>
          </w:p>
        </w:tc>
        <w:tc>
          <w:tcPr>
            <w:tcW w:w="1045" w:type="dxa"/>
            <w:tcBorders/>
            <w:vAlign w:val="center"/>
          </w:tcPr>
          <w:p>
            <w:pPr>
              <w:pStyle w:val="TableContents"/>
              <w:bidi w:val="0"/>
              <w:spacing w:before="0" w:after="283"/>
              <w:jc w:val="center"/>
              <w:rPr>
                <w:sz w:val="16"/>
              </w:rPr>
            </w:pPr>
            <w:r>
              <w:rPr>
                <w:sz w:val="16"/>
              </w:rPr>
              <w:t>210,000</w:t>
            </w:r>
          </w:p>
        </w:tc>
        <w:tc>
          <w:tcPr>
            <w:tcW w:w="90" w:type="dxa"/>
            <w:tcBorders/>
            <w:vAlign w:val="center"/>
          </w:tcPr>
          <w:p>
            <w:pPr>
              <w:pStyle w:val="TableContents"/>
              <w:bidi w:val="0"/>
              <w:spacing w:before="0" w:after="283"/>
              <w:jc w:val="center"/>
              <w:rPr/>
            </w:pPr>
            <w:r>
              <w:rPr/>
              <w:t> </w:t>
            </w:r>
          </w:p>
        </w:tc>
        <w:tc>
          <w:tcPr>
            <w:tcW w:w="942" w:type="dxa"/>
            <w:tcBorders/>
            <w:vAlign w:val="center"/>
          </w:tcPr>
          <w:p>
            <w:pPr>
              <w:pStyle w:val="TableContents"/>
              <w:bidi w:val="0"/>
              <w:spacing w:before="0" w:after="283"/>
              <w:jc w:val="center"/>
              <w:rPr/>
            </w:pPr>
            <w:r>
              <w:rPr/>
              <w:t>—</w:t>
            </w:r>
          </w:p>
        </w:tc>
        <w:tc>
          <w:tcPr>
            <w:tcW w:w="90" w:type="dxa"/>
            <w:tcBorders/>
            <w:vAlign w:val="center"/>
          </w:tcPr>
          <w:p>
            <w:pPr>
              <w:pStyle w:val="TableContents"/>
              <w:bidi w:val="0"/>
              <w:spacing w:before="0" w:after="283"/>
              <w:jc w:val="center"/>
              <w:rPr/>
            </w:pPr>
            <w:r>
              <w:rPr/>
              <w:t> </w:t>
            </w:r>
          </w:p>
        </w:tc>
        <w:tc>
          <w:tcPr>
            <w:tcW w:w="1031" w:type="dxa"/>
            <w:tcBorders/>
            <w:vAlign w:val="center"/>
          </w:tcPr>
          <w:p>
            <w:pPr>
              <w:pStyle w:val="TableContents"/>
              <w:bidi w:val="0"/>
              <w:spacing w:before="0" w:after="283"/>
              <w:jc w:val="center"/>
              <w:rPr/>
            </w:pPr>
            <w:r>
              <w:rPr/>
              <w:t>—</w:t>
            </w:r>
          </w:p>
        </w:tc>
      </w:tr>
      <w:tr>
        <w:trPr/>
        <w:tc>
          <w:tcPr>
            <w:tcW w:w="1034"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117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254"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894"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74"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41" w:type="dxa"/>
            <w:tcBorders/>
            <w:vAlign w:val="center"/>
          </w:tcPr>
          <w:p>
            <w:pPr>
              <w:pStyle w:val="TableContents"/>
              <w:bidi w:val="0"/>
              <w:spacing w:before="0" w:after="283"/>
              <w:jc w:val="center"/>
              <w:rPr>
                <w:sz w:val="16"/>
              </w:rPr>
            </w:pPr>
            <w:r>
              <w:rPr>
                <w:sz w:val="16"/>
              </w:rPr>
              <w:t>15,503</w:t>
            </w:r>
            <w:r>
              <w:rPr>
                <w:position w:val="5"/>
                <w:sz w:val="13"/>
                <w:sz w:val="16"/>
              </w:rPr>
              <w:t>(3)</w:t>
            </w:r>
          </w:p>
        </w:tc>
        <w:tc>
          <w:tcPr>
            <w:tcW w:w="90" w:type="dxa"/>
            <w:tcBorders/>
            <w:vAlign w:val="center"/>
          </w:tcPr>
          <w:p>
            <w:pPr>
              <w:pStyle w:val="TableContents"/>
              <w:bidi w:val="0"/>
              <w:spacing w:before="0" w:after="283"/>
              <w:jc w:val="center"/>
              <w:rPr/>
            </w:pPr>
            <w:r>
              <w:rPr/>
              <w:t> </w:t>
            </w:r>
          </w:p>
        </w:tc>
        <w:tc>
          <w:tcPr>
            <w:tcW w:w="1045" w:type="dxa"/>
            <w:tcBorders/>
            <w:vAlign w:val="center"/>
          </w:tcPr>
          <w:p>
            <w:pPr>
              <w:pStyle w:val="TableContents"/>
              <w:bidi w:val="0"/>
              <w:spacing w:before="0" w:after="283"/>
              <w:jc w:val="center"/>
              <w:rPr>
                <w:sz w:val="16"/>
              </w:rPr>
            </w:pPr>
            <w:r>
              <w:rPr>
                <w:sz w:val="16"/>
              </w:rPr>
              <w:t>43,408</w:t>
            </w:r>
          </w:p>
        </w:tc>
        <w:tc>
          <w:tcPr>
            <w:tcW w:w="90" w:type="dxa"/>
            <w:tcBorders/>
            <w:vAlign w:val="center"/>
          </w:tcPr>
          <w:p>
            <w:pPr>
              <w:pStyle w:val="TableContents"/>
              <w:bidi w:val="0"/>
              <w:spacing w:before="0" w:after="283"/>
              <w:jc w:val="center"/>
              <w:rPr/>
            </w:pPr>
            <w:r>
              <w:rPr/>
              <w:t> </w:t>
            </w:r>
          </w:p>
        </w:tc>
        <w:tc>
          <w:tcPr>
            <w:tcW w:w="942"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31" w:type="dxa"/>
            <w:tcBorders/>
            <w:vAlign w:val="center"/>
          </w:tcPr>
          <w:p>
            <w:pPr>
              <w:pStyle w:val="TableContents"/>
              <w:bidi w:val="0"/>
              <w:spacing w:before="0" w:after="283"/>
              <w:jc w:val="center"/>
              <w:rPr/>
            </w:pPr>
            <w:r>
              <w:rPr/>
              <w:t> </w:t>
            </w:r>
          </w:p>
        </w:tc>
      </w:tr>
      <w:tr>
        <w:trPr/>
        <w:tc>
          <w:tcPr>
            <w:tcW w:w="1034"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117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254"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894"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74"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41" w:type="dxa"/>
            <w:tcBorders/>
            <w:vAlign w:val="center"/>
          </w:tcPr>
          <w:p>
            <w:pPr>
              <w:pStyle w:val="TableContents"/>
              <w:bidi w:val="0"/>
              <w:spacing w:before="0" w:after="283"/>
              <w:jc w:val="center"/>
              <w:rPr>
                <w:sz w:val="16"/>
              </w:rPr>
            </w:pPr>
            <w:r>
              <w:rPr>
                <w:sz w:val="16"/>
              </w:rPr>
              <w:t>60,000</w:t>
            </w:r>
            <w:r>
              <w:rPr>
                <w:position w:val="5"/>
                <w:sz w:val="13"/>
                <w:sz w:val="16"/>
              </w:rPr>
              <w:t>(12)</w:t>
            </w:r>
          </w:p>
        </w:tc>
        <w:tc>
          <w:tcPr>
            <w:tcW w:w="90" w:type="dxa"/>
            <w:tcBorders/>
            <w:vAlign w:val="center"/>
          </w:tcPr>
          <w:p>
            <w:pPr>
              <w:pStyle w:val="TableContents"/>
              <w:bidi w:val="0"/>
              <w:spacing w:before="0" w:after="283"/>
              <w:jc w:val="center"/>
              <w:rPr/>
            </w:pPr>
            <w:r>
              <w:rPr/>
              <w:t> </w:t>
            </w:r>
          </w:p>
        </w:tc>
        <w:tc>
          <w:tcPr>
            <w:tcW w:w="1045" w:type="dxa"/>
            <w:tcBorders/>
            <w:vAlign w:val="center"/>
          </w:tcPr>
          <w:p>
            <w:pPr>
              <w:pStyle w:val="TableContents"/>
              <w:bidi w:val="0"/>
              <w:spacing w:before="0" w:after="283"/>
              <w:jc w:val="center"/>
              <w:rPr>
                <w:sz w:val="16"/>
              </w:rPr>
            </w:pPr>
            <w:r>
              <w:rPr>
                <w:sz w:val="16"/>
              </w:rPr>
              <w:t>168,000</w:t>
            </w:r>
          </w:p>
        </w:tc>
        <w:tc>
          <w:tcPr>
            <w:tcW w:w="90" w:type="dxa"/>
            <w:tcBorders/>
            <w:vAlign w:val="center"/>
          </w:tcPr>
          <w:p>
            <w:pPr>
              <w:pStyle w:val="TableContents"/>
              <w:bidi w:val="0"/>
              <w:spacing w:before="0" w:after="283"/>
              <w:jc w:val="center"/>
              <w:rPr/>
            </w:pPr>
            <w:r>
              <w:rPr/>
              <w:t> </w:t>
            </w:r>
          </w:p>
        </w:tc>
        <w:tc>
          <w:tcPr>
            <w:tcW w:w="942"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31" w:type="dxa"/>
            <w:tcBorders/>
            <w:vAlign w:val="center"/>
          </w:tcPr>
          <w:p>
            <w:pPr>
              <w:pStyle w:val="TableContents"/>
              <w:bidi w:val="0"/>
              <w:spacing w:before="0" w:after="283"/>
              <w:jc w:val="center"/>
              <w:rPr/>
            </w:pPr>
            <w:r>
              <w:rPr/>
              <w:t> </w:t>
            </w:r>
          </w:p>
        </w:tc>
      </w:tr>
      <w:tr>
        <w:trPr/>
        <w:tc>
          <w:tcPr>
            <w:tcW w:w="1034" w:type="dxa"/>
            <w:tcBorders/>
            <w:shd w:fill="CCEEFF" w:val="clear"/>
            <w:vAlign w:val="center"/>
          </w:tcPr>
          <w:p>
            <w:pPr>
              <w:pStyle w:val="TableContents"/>
              <w:bidi w:val="0"/>
              <w:spacing w:before="0" w:after="283"/>
              <w:jc w:val="left"/>
              <w:rPr>
                <w:sz w:val="16"/>
              </w:rPr>
            </w:pPr>
            <w:r>
              <w:rPr>
                <w:sz w:val="16"/>
              </w:rPr>
              <w:t>Dr. Wenjuan Mattis</w:t>
            </w:r>
          </w:p>
        </w:tc>
        <w:tc>
          <w:tcPr>
            <w:tcW w:w="90" w:type="dxa"/>
            <w:tcBorders/>
            <w:shd w:fill="CCEEFF" w:val="clear"/>
            <w:vAlign w:val="center"/>
          </w:tcPr>
          <w:p>
            <w:pPr>
              <w:pStyle w:val="TableContents"/>
              <w:bidi w:val="0"/>
              <w:spacing w:before="0" w:after="283"/>
              <w:jc w:val="center"/>
              <w:rPr/>
            </w:pPr>
            <w:r>
              <w:rPr/>
              <w:t> </w:t>
            </w:r>
          </w:p>
        </w:tc>
        <w:tc>
          <w:tcPr>
            <w:tcW w:w="1170" w:type="dxa"/>
            <w:tcBorders/>
            <w:shd w:fill="CCEEFF" w:val="clear"/>
            <w:vAlign w:val="center"/>
          </w:tcPr>
          <w:p>
            <w:pPr>
              <w:pStyle w:val="TableContents"/>
              <w:bidi w:val="0"/>
              <w:spacing w:before="0" w:after="283"/>
              <w:jc w:val="center"/>
              <w:rPr/>
            </w:pPr>
            <w:r>
              <w:rPr/>
              <w:t>—</w:t>
            </w:r>
          </w:p>
        </w:tc>
        <w:tc>
          <w:tcPr>
            <w:tcW w:w="90" w:type="dxa"/>
            <w:tcBorders/>
            <w:shd w:fill="CCEEFF" w:val="clear"/>
            <w:vAlign w:val="center"/>
          </w:tcPr>
          <w:p>
            <w:pPr>
              <w:pStyle w:val="TableContents"/>
              <w:bidi w:val="0"/>
              <w:spacing w:before="0" w:after="283"/>
              <w:jc w:val="center"/>
              <w:rPr/>
            </w:pPr>
            <w:r>
              <w:rPr/>
              <w:t> </w:t>
            </w:r>
          </w:p>
        </w:tc>
        <w:tc>
          <w:tcPr>
            <w:tcW w:w="1254" w:type="dxa"/>
            <w:tcBorders/>
            <w:shd w:fill="CCEEFF" w:val="clear"/>
            <w:vAlign w:val="center"/>
          </w:tcPr>
          <w:p>
            <w:pPr>
              <w:pStyle w:val="TableContents"/>
              <w:bidi w:val="0"/>
              <w:spacing w:before="0" w:after="283"/>
              <w:jc w:val="center"/>
              <w:rPr/>
            </w:pPr>
            <w:r>
              <w:rPr/>
              <w:t>—</w:t>
            </w:r>
          </w:p>
        </w:tc>
        <w:tc>
          <w:tcPr>
            <w:tcW w:w="90" w:type="dxa"/>
            <w:tcBorders/>
            <w:shd w:fill="CCEEFF" w:val="clear"/>
            <w:vAlign w:val="center"/>
          </w:tcPr>
          <w:p>
            <w:pPr>
              <w:pStyle w:val="TableContents"/>
              <w:bidi w:val="0"/>
              <w:spacing w:before="0" w:after="283"/>
              <w:jc w:val="center"/>
              <w:rPr/>
            </w:pPr>
            <w:r>
              <w:rPr/>
              <w:t> </w:t>
            </w:r>
          </w:p>
        </w:tc>
        <w:tc>
          <w:tcPr>
            <w:tcW w:w="894" w:type="dxa"/>
            <w:tcBorders/>
            <w:shd w:fill="CCEEFF" w:val="clear"/>
            <w:vAlign w:val="center"/>
          </w:tcPr>
          <w:p>
            <w:pPr>
              <w:pStyle w:val="TableContents"/>
              <w:bidi w:val="0"/>
              <w:spacing w:before="0" w:after="283"/>
              <w:jc w:val="center"/>
              <w:rPr/>
            </w:pPr>
            <w:r>
              <w:rPr/>
              <w:t>—</w:t>
            </w:r>
          </w:p>
        </w:tc>
        <w:tc>
          <w:tcPr>
            <w:tcW w:w="90" w:type="dxa"/>
            <w:tcBorders/>
            <w:shd w:fill="CCEEFF" w:val="clear"/>
            <w:vAlign w:val="center"/>
          </w:tcPr>
          <w:p>
            <w:pPr>
              <w:pStyle w:val="TableContents"/>
              <w:bidi w:val="0"/>
              <w:spacing w:before="0" w:after="283"/>
              <w:jc w:val="center"/>
              <w:rPr/>
            </w:pPr>
            <w:r>
              <w:rPr/>
              <w:t> </w:t>
            </w:r>
          </w:p>
        </w:tc>
        <w:tc>
          <w:tcPr>
            <w:tcW w:w="1074" w:type="dxa"/>
            <w:tcBorders/>
            <w:shd w:fill="CCEEFF" w:val="clear"/>
            <w:vAlign w:val="center"/>
          </w:tcPr>
          <w:p>
            <w:pPr>
              <w:pStyle w:val="TableContents"/>
              <w:bidi w:val="0"/>
              <w:spacing w:before="0" w:after="283"/>
              <w:jc w:val="center"/>
              <w:rPr/>
            </w:pPr>
            <w:r>
              <w:rPr/>
              <w:t>—</w:t>
            </w:r>
          </w:p>
        </w:tc>
        <w:tc>
          <w:tcPr>
            <w:tcW w:w="90" w:type="dxa"/>
            <w:tcBorders/>
            <w:shd w:fill="CCEEFF" w:val="clear"/>
            <w:vAlign w:val="center"/>
          </w:tcPr>
          <w:p>
            <w:pPr>
              <w:pStyle w:val="TableContents"/>
              <w:bidi w:val="0"/>
              <w:spacing w:before="0" w:after="283"/>
              <w:jc w:val="center"/>
              <w:rPr/>
            </w:pPr>
            <w:r>
              <w:rPr/>
              <w:t> </w:t>
            </w:r>
          </w:p>
        </w:tc>
        <w:tc>
          <w:tcPr>
            <w:tcW w:w="1041" w:type="dxa"/>
            <w:tcBorders/>
            <w:shd w:fill="CCEEFF" w:val="clear"/>
            <w:vAlign w:val="center"/>
          </w:tcPr>
          <w:p>
            <w:pPr>
              <w:pStyle w:val="TableContents"/>
              <w:bidi w:val="0"/>
              <w:spacing w:before="0" w:after="283"/>
              <w:jc w:val="center"/>
              <w:rPr>
                <w:sz w:val="16"/>
              </w:rPr>
            </w:pPr>
            <w:r>
              <w:rPr>
                <w:sz w:val="16"/>
              </w:rPr>
              <w:t>66,667</w:t>
            </w:r>
            <w:r>
              <w:rPr>
                <w:position w:val="5"/>
                <w:sz w:val="13"/>
                <w:sz w:val="16"/>
              </w:rPr>
              <w:t>(9)</w:t>
            </w:r>
          </w:p>
        </w:tc>
        <w:tc>
          <w:tcPr>
            <w:tcW w:w="90" w:type="dxa"/>
            <w:tcBorders/>
            <w:shd w:fill="CCEEFF" w:val="clear"/>
            <w:vAlign w:val="center"/>
          </w:tcPr>
          <w:p>
            <w:pPr>
              <w:pStyle w:val="TableContents"/>
              <w:bidi w:val="0"/>
              <w:spacing w:before="0" w:after="283"/>
              <w:jc w:val="center"/>
              <w:rPr/>
            </w:pPr>
            <w:r>
              <w:rPr/>
              <w:t> </w:t>
            </w:r>
          </w:p>
        </w:tc>
        <w:tc>
          <w:tcPr>
            <w:tcW w:w="1045" w:type="dxa"/>
            <w:tcBorders/>
            <w:shd w:fill="CCEEFF" w:val="clear"/>
            <w:vAlign w:val="center"/>
          </w:tcPr>
          <w:p>
            <w:pPr>
              <w:pStyle w:val="TableContents"/>
              <w:bidi w:val="0"/>
              <w:spacing w:before="0" w:after="283"/>
              <w:jc w:val="center"/>
              <w:rPr>
                <w:sz w:val="16"/>
              </w:rPr>
            </w:pPr>
            <w:r>
              <w:rPr>
                <w:sz w:val="16"/>
              </w:rPr>
              <w:t>186,668</w:t>
            </w:r>
          </w:p>
        </w:tc>
        <w:tc>
          <w:tcPr>
            <w:tcW w:w="90" w:type="dxa"/>
            <w:tcBorders/>
            <w:shd w:fill="CCEEFF" w:val="clear"/>
            <w:vAlign w:val="center"/>
          </w:tcPr>
          <w:p>
            <w:pPr>
              <w:pStyle w:val="TableContents"/>
              <w:bidi w:val="0"/>
              <w:spacing w:before="0" w:after="283"/>
              <w:jc w:val="center"/>
              <w:rPr/>
            </w:pPr>
            <w:r>
              <w:rPr/>
              <w:t> </w:t>
            </w:r>
          </w:p>
        </w:tc>
        <w:tc>
          <w:tcPr>
            <w:tcW w:w="942" w:type="dxa"/>
            <w:tcBorders/>
            <w:shd w:fill="CCEEFF" w:val="clear"/>
            <w:vAlign w:val="center"/>
          </w:tcPr>
          <w:p>
            <w:pPr>
              <w:pStyle w:val="TableContents"/>
              <w:bidi w:val="0"/>
              <w:spacing w:before="0" w:after="283"/>
              <w:jc w:val="center"/>
              <w:rPr/>
            </w:pPr>
            <w:r>
              <w:rPr/>
              <w:t>—</w:t>
            </w:r>
          </w:p>
        </w:tc>
        <w:tc>
          <w:tcPr>
            <w:tcW w:w="90" w:type="dxa"/>
            <w:tcBorders/>
            <w:shd w:fill="CCEEFF" w:val="clear"/>
            <w:vAlign w:val="center"/>
          </w:tcPr>
          <w:p>
            <w:pPr>
              <w:pStyle w:val="TableContents"/>
              <w:bidi w:val="0"/>
              <w:spacing w:before="0" w:after="283"/>
              <w:jc w:val="center"/>
              <w:rPr/>
            </w:pPr>
            <w:r>
              <w:rPr/>
              <w:t> </w:t>
            </w:r>
          </w:p>
        </w:tc>
        <w:tc>
          <w:tcPr>
            <w:tcW w:w="1031" w:type="dxa"/>
            <w:tcBorders/>
            <w:shd w:fill="CCEEFF" w:val="clear"/>
            <w:vAlign w:val="center"/>
          </w:tcPr>
          <w:p>
            <w:pPr>
              <w:pStyle w:val="TableContents"/>
              <w:bidi w:val="0"/>
              <w:spacing w:before="0" w:after="283"/>
              <w:jc w:val="center"/>
              <w:rPr/>
            </w:pPr>
            <w:r>
              <w:rPr/>
              <w:t>—</w:t>
            </w:r>
          </w:p>
        </w:tc>
      </w:tr>
      <w:tr>
        <w:trPr/>
        <w:tc>
          <w:tcPr>
            <w:tcW w:w="1034"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center"/>
              <w:rPr/>
            </w:pPr>
            <w:r>
              <w:rPr/>
              <w:t> </w:t>
            </w:r>
          </w:p>
        </w:tc>
        <w:tc>
          <w:tcPr>
            <w:tcW w:w="1170" w:type="dxa"/>
            <w:tcBorders/>
            <w:shd w:fill="CCEEFF" w:val="clear"/>
            <w:vAlign w:val="center"/>
          </w:tcPr>
          <w:p>
            <w:pPr>
              <w:pStyle w:val="TableContents"/>
              <w:bidi w:val="0"/>
              <w:spacing w:before="0" w:after="283"/>
              <w:jc w:val="center"/>
              <w:rPr/>
            </w:pPr>
            <w:r>
              <w:rPr/>
              <w:t>—</w:t>
            </w:r>
          </w:p>
        </w:tc>
        <w:tc>
          <w:tcPr>
            <w:tcW w:w="90" w:type="dxa"/>
            <w:tcBorders/>
            <w:shd w:fill="CCEEFF" w:val="clear"/>
            <w:vAlign w:val="center"/>
          </w:tcPr>
          <w:p>
            <w:pPr>
              <w:pStyle w:val="TableContents"/>
              <w:bidi w:val="0"/>
              <w:spacing w:before="0" w:after="283"/>
              <w:jc w:val="center"/>
              <w:rPr/>
            </w:pPr>
            <w:r>
              <w:rPr/>
              <w:t> </w:t>
            </w:r>
          </w:p>
        </w:tc>
        <w:tc>
          <w:tcPr>
            <w:tcW w:w="1254" w:type="dxa"/>
            <w:tcBorders/>
            <w:shd w:fill="CCEEFF" w:val="clear"/>
            <w:vAlign w:val="center"/>
          </w:tcPr>
          <w:p>
            <w:pPr>
              <w:pStyle w:val="TableContents"/>
              <w:bidi w:val="0"/>
              <w:spacing w:before="0" w:after="283"/>
              <w:jc w:val="center"/>
              <w:rPr/>
            </w:pPr>
            <w:r>
              <w:rPr/>
              <w:t>—</w:t>
            </w:r>
          </w:p>
        </w:tc>
        <w:tc>
          <w:tcPr>
            <w:tcW w:w="90" w:type="dxa"/>
            <w:tcBorders/>
            <w:shd w:fill="CCEEFF" w:val="clear"/>
            <w:vAlign w:val="center"/>
          </w:tcPr>
          <w:p>
            <w:pPr>
              <w:pStyle w:val="TableContents"/>
              <w:bidi w:val="0"/>
              <w:spacing w:before="0" w:after="283"/>
              <w:jc w:val="center"/>
              <w:rPr/>
            </w:pPr>
            <w:r>
              <w:rPr/>
              <w:t> </w:t>
            </w:r>
          </w:p>
        </w:tc>
        <w:tc>
          <w:tcPr>
            <w:tcW w:w="894" w:type="dxa"/>
            <w:tcBorders/>
            <w:shd w:fill="CCEEFF" w:val="clear"/>
            <w:vAlign w:val="center"/>
          </w:tcPr>
          <w:p>
            <w:pPr>
              <w:pStyle w:val="TableContents"/>
              <w:bidi w:val="0"/>
              <w:spacing w:before="0" w:after="283"/>
              <w:jc w:val="center"/>
              <w:rPr/>
            </w:pPr>
            <w:r>
              <w:rPr/>
              <w:t>—</w:t>
            </w:r>
          </w:p>
        </w:tc>
        <w:tc>
          <w:tcPr>
            <w:tcW w:w="90" w:type="dxa"/>
            <w:tcBorders/>
            <w:shd w:fill="CCEEFF" w:val="clear"/>
            <w:vAlign w:val="center"/>
          </w:tcPr>
          <w:p>
            <w:pPr>
              <w:pStyle w:val="TableContents"/>
              <w:bidi w:val="0"/>
              <w:spacing w:before="0" w:after="283"/>
              <w:jc w:val="center"/>
              <w:rPr/>
            </w:pPr>
            <w:r>
              <w:rPr/>
              <w:t> </w:t>
            </w:r>
          </w:p>
        </w:tc>
        <w:tc>
          <w:tcPr>
            <w:tcW w:w="1074" w:type="dxa"/>
            <w:tcBorders/>
            <w:shd w:fill="CCEEFF" w:val="clear"/>
            <w:vAlign w:val="center"/>
          </w:tcPr>
          <w:p>
            <w:pPr>
              <w:pStyle w:val="TableContents"/>
              <w:bidi w:val="0"/>
              <w:spacing w:before="0" w:after="283"/>
              <w:jc w:val="center"/>
              <w:rPr/>
            </w:pPr>
            <w:r>
              <w:rPr/>
              <w:t>—</w:t>
            </w:r>
          </w:p>
        </w:tc>
        <w:tc>
          <w:tcPr>
            <w:tcW w:w="90" w:type="dxa"/>
            <w:tcBorders/>
            <w:shd w:fill="CCEEFF" w:val="clear"/>
            <w:vAlign w:val="center"/>
          </w:tcPr>
          <w:p>
            <w:pPr>
              <w:pStyle w:val="TableContents"/>
              <w:bidi w:val="0"/>
              <w:spacing w:before="0" w:after="283"/>
              <w:jc w:val="center"/>
              <w:rPr/>
            </w:pPr>
            <w:r>
              <w:rPr/>
              <w:t> </w:t>
            </w:r>
          </w:p>
        </w:tc>
        <w:tc>
          <w:tcPr>
            <w:tcW w:w="1041" w:type="dxa"/>
            <w:tcBorders/>
            <w:shd w:fill="CCEEFF" w:val="clear"/>
            <w:vAlign w:val="center"/>
          </w:tcPr>
          <w:p>
            <w:pPr>
              <w:pStyle w:val="TableContents"/>
              <w:bidi w:val="0"/>
              <w:spacing w:before="0" w:after="283"/>
              <w:jc w:val="center"/>
              <w:rPr>
                <w:sz w:val="16"/>
              </w:rPr>
            </w:pPr>
            <w:r>
              <w:rPr>
                <w:sz w:val="16"/>
              </w:rPr>
              <w:t>50,000</w:t>
            </w:r>
            <w:r>
              <w:rPr>
                <w:position w:val="5"/>
                <w:sz w:val="13"/>
                <w:sz w:val="16"/>
              </w:rPr>
              <w:t>(2)</w:t>
            </w:r>
          </w:p>
        </w:tc>
        <w:tc>
          <w:tcPr>
            <w:tcW w:w="90" w:type="dxa"/>
            <w:tcBorders/>
            <w:shd w:fill="CCEEFF" w:val="clear"/>
            <w:vAlign w:val="center"/>
          </w:tcPr>
          <w:p>
            <w:pPr>
              <w:pStyle w:val="TableContents"/>
              <w:bidi w:val="0"/>
              <w:spacing w:before="0" w:after="283"/>
              <w:jc w:val="center"/>
              <w:rPr/>
            </w:pPr>
            <w:r>
              <w:rPr/>
              <w:t> </w:t>
            </w:r>
          </w:p>
        </w:tc>
        <w:tc>
          <w:tcPr>
            <w:tcW w:w="1045" w:type="dxa"/>
            <w:tcBorders/>
            <w:shd w:fill="CCEEFF" w:val="clear"/>
            <w:vAlign w:val="center"/>
          </w:tcPr>
          <w:p>
            <w:pPr>
              <w:pStyle w:val="TableContents"/>
              <w:bidi w:val="0"/>
              <w:spacing w:before="0" w:after="283"/>
              <w:jc w:val="center"/>
              <w:rPr>
                <w:sz w:val="16"/>
              </w:rPr>
            </w:pPr>
            <w:r>
              <w:rPr>
                <w:sz w:val="16"/>
              </w:rPr>
              <w:t>140,000</w:t>
            </w:r>
          </w:p>
        </w:tc>
        <w:tc>
          <w:tcPr>
            <w:tcW w:w="90" w:type="dxa"/>
            <w:tcBorders/>
            <w:shd w:fill="CCEEFF" w:val="clear"/>
            <w:vAlign w:val="center"/>
          </w:tcPr>
          <w:p>
            <w:pPr>
              <w:pStyle w:val="TableContents"/>
              <w:bidi w:val="0"/>
              <w:spacing w:before="0" w:after="283"/>
              <w:jc w:val="center"/>
              <w:rPr/>
            </w:pPr>
            <w:r>
              <w:rPr/>
              <w:t> </w:t>
            </w:r>
          </w:p>
        </w:tc>
        <w:tc>
          <w:tcPr>
            <w:tcW w:w="942" w:type="dxa"/>
            <w:tcBorders/>
            <w:shd w:fill="CCEEFF" w:val="clear"/>
            <w:vAlign w:val="center"/>
          </w:tcPr>
          <w:p>
            <w:pPr>
              <w:pStyle w:val="TableContents"/>
              <w:bidi w:val="0"/>
              <w:spacing w:before="0" w:after="283"/>
              <w:jc w:val="center"/>
              <w:rPr/>
            </w:pPr>
            <w:r>
              <w:rPr/>
              <w:t>—</w:t>
            </w:r>
          </w:p>
        </w:tc>
        <w:tc>
          <w:tcPr>
            <w:tcW w:w="90" w:type="dxa"/>
            <w:tcBorders/>
            <w:shd w:fill="CCEEFF" w:val="clear"/>
            <w:vAlign w:val="center"/>
          </w:tcPr>
          <w:p>
            <w:pPr>
              <w:pStyle w:val="TableContents"/>
              <w:bidi w:val="0"/>
              <w:spacing w:before="0" w:after="283"/>
              <w:jc w:val="center"/>
              <w:rPr/>
            </w:pPr>
            <w:r>
              <w:rPr/>
              <w:t> </w:t>
            </w:r>
          </w:p>
        </w:tc>
        <w:tc>
          <w:tcPr>
            <w:tcW w:w="1031" w:type="dxa"/>
            <w:tcBorders/>
            <w:shd w:fill="CCEEFF" w:val="clear"/>
            <w:vAlign w:val="center"/>
          </w:tcPr>
          <w:p>
            <w:pPr>
              <w:pStyle w:val="TableContents"/>
              <w:bidi w:val="0"/>
              <w:spacing w:before="0" w:after="283"/>
              <w:jc w:val="center"/>
              <w:rPr/>
            </w:pPr>
            <w:r>
              <w:rPr/>
              <w:t>—</w:t>
            </w:r>
          </w:p>
        </w:tc>
      </w:tr>
      <w:tr>
        <w:trPr/>
        <w:tc>
          <w:tcPr>
            <w:tcW w:w="1034"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center"/>
              <w:rPr/>
            </w:pPr>
            <w:r>
              <w:rPr/>
              <w:t> </w:t>
            </w:r>
          </w:p>
        </w:tc>
        <w:tc>
          <w:tcPr>
            <w:tcW w:w="1170" w:type="dxa"/>
            <w:tcBorders/>
            <w:shd w:fill="CCEEFF" w:val="clear"/>
            <w:vAlign w:val="center"/>
          </w:tcPr>
          <w:p>
            <w:pPr>
              <w:pStyle w:val="TableContents"/>
              <w:bidi w:val="0"/>
              <w:spacing w:before="0" w:after="283"/>
              <w:jc w:val="center"/>
              <w:rPr/>
            </w:pPr>
            <w:r>
              <w:rPr/>
              <w:t>—</w:t>
            </w:r>
          </w:p>
        </w:tc>
        <w:tc>
          <w:tcPr>
            <w:tcW w:w="90" w:type="dxa"/>
            <w:tcBorders/>
            <w:shd w:fill="CCEEFF" w:val="clear"/>
            <w:vAlign w:val="center"/>
          </w:tcPr>
          <w:p>
            <w:pPr>
              <w:pStyle w:val="TableContents"/>
              <w:bidi w:val="0"/>
              <w:spacing w:before="0" w:after="283"/>
              <w:jc w:val="center"/>
              <w:rPr/>
            </w:pPr>
            <w:r>
              <w:rPr/>
              <w:t> </w:t>
            </w:r>
          </w:p>
        </w:tc>
        <w:tc>
          <w:tcPr>
            <w:tcW w:w="1254" w:type="dxa"/>
            <w:tcBorders/>
            <w:shd w:fill="CCEEFF" w:val="clear"/>
            <w:vAlign w:val="center"/>
          </w:tcPr>
          <w:p>
            <w:pPr>
              <w:pStyle w:val="TableContents"/>
              <w:bidi w:val="0"/>
              <w:spacing w:before="0" w:after="283"/>
              <w:jc w:val="center"/>
              <w:rPr/>
            </w:pPr>
            <w:r>
              <w:rPr/>
              <w:t>—</w:t>
            </w:r>
          </w:p>
        </w:tc>
        <w:tc>
          <w:tcPr>
            <w:tcW w:w="90" w:type="dxa"/>
            <w:tcBorders/>
            <w:shd w:fill="CCEEFF" w:val="clear"/>
            <w:vAlign w:val="center"/>
          </w:tcPr>
          <w:p>
            <w:pPr>
              <w:pStyle w:val="TableContents"/>
              <w:bidi w:val="0"/>
              <w:spacing w:before="0" w:after="283"/>
              <w:jc w:val="center"/>
              <w:rPr/>
            </w:pPr>
            <w:r>
              <w:rPr/>
              <w:t> </w:t>
            </w:r>
          </w:p>
        </w:tc>
        <w:tc>
          <w:tcPr>
            <w:tcW w:w="894" w:type="dxa"/>
            <w:tcBorders/>
            <w:shd w:fill="CCEEFF" w:val="clear"/>
            <w:vAlign w:val="center"/>
          </w:tcPr>
          <w:p>
            <w:pPr>
              <w:pStyle w:val="TableContents"/>
              <w:bidi w:val="0"/>
              <w:spacing w:before="0" w:after="283"/>
              <w:jc w:val="center"/>
              <w:rPr/>
            </w:pPr>
            <w:r>
              <w:rPr/>
              <w:t>—</w:t>
            </w:r>
          </w:p>
        </w:tc>
        <w:tc>
          <w:tcPr>
            <w:tcW w:w="90" w:type="dxa"/>
            <w:tcBorders/>
            <w:shd w:fill="CCEEFF" w:val="clear"/>
            <w:vAlign w:val="center"/>
          </w:tcPr>
          <w:p>
            <w:pPr>
              <w:pStyle w:val="TableContents"/>
              <w:bidi w:val="0"/>
              <w:spacing w:before="0" w:after="283"/>
              <w:jc w:val="center"/>
              <w:rPr/>
            </w:pPr>
            <w:r>
              <w:rPr/>
              <w:t> </w:t>
            </w:r>
          </w:p>
        </w:tc>
        <w:tc>
          <w:tcPr>
            <w:tcW w:w="1074" w:type="dxa"/>
            <w:tcBorders/>
            <w:shd w:fill="CCEEFF" w:val="clear"/>
            <w:vAlign w:val="center"/>
          </w:tcPr>
          <w:p>
            <w:pPr>
              <w:pStyle w:val="TableContents"/>
              <w:bidi w:val="0"/>
              <w:spacing w:before="0" w:after="283"/>
              <w:jc w:val="center"/>
              <w:rPr/>
            </w:pPr>
            <w:r>
              <w:rPr/>
              <w:t>—</w:t>
            </w:r>
          </w:p>
        </w:tc>
        <w:tc>
          <w:tcPr>
            <w:tcW w:w="90" w:type="dxa"/>
            <w:tcBorders/>
            <w:shd w:fill="CCEEFF" w:val="clear"/>
            <w:vAlign w:val="center"/>
          </w:tcPr>
          <w:p>
            <w:pPr>
              <w:pStyle w:val="TableContents"/>
              <w:bidi w:val="0"/>
              <w:spacing w:before="0" w:after="283"/>
              <w:jc w:val="center"/>
              <w:rPr/>
            </w:pPr>
            <w:r>
              <w:rPr/>
              <w:t> </w:t>
            </w:r>
          </w:p>
        </w:tc>
        <w:tc>
          <w:tcPr>
            <w:tcW w:w="1041" w:type="dxa"/>
            <w:tcBorders/>
            <w:shd w:fill="CCEEFF" w:val="clear"/>
            <w:vAlign w:val="center"/>
          </w:tcPr>
          <w:p>
            <w:pPr>
              <w:pStyle w:val="TableContents"/>
              <w:bidi w:val="0"/>
              <w:spacing w:before="0" w:after="283"/>
              <w:jc w:val="center"/>
              <w:rPr>
                <w:sz w:val="16"/>
              </w:rPr>
            </w:pPr>
            <w:r>
              <w:rPr>
                <w:sz w:val="16"/>
              </w:rPr>
              <w:t>10,335</w:t>
            </w:r>
            <w:r>
              <w:rPr>
                <w:position w:val="5"/>
                <w:sz w:val="13"/>
                <w:sz w:val="16"/>
              </w:rPr>
              <w:t>(3)</w:t>
            </w:r>
          </w:p>
        </w:tc>
        <w:tc>
          <w:tcPr>
            <w:tcW w:w="90" w:type="dxa"/>
            <w:tcBorders/>
            <w:shd w:fill="CCEEFF" w:val="clear"/>
            <w:vAlign w:val="center"/>
          </w:tcPr>
          <w:p>
            <w:pPr>
              <w:pStyle w:val="TableContents"/>
              <w:bidi w:val="0"/>
              <w:spacing w:before="0" w:after="283"/>
              <w:jc w:val="center"/>
              <w:rPr/>
            </w:pPr>
            <w:r>
              <w:rPr/>
              <w:t> </w:t>
            </w:r>
          </w:p>
        </w:tc>
        <w:tc>
          <w:tcPr>
            <w:tcW w:w="1045" w:type="dxa"/>
            <w:tcBorders/>
            <w:shd w:fill="CCEEFF" w:val="clear"/>
            <w:vAlign w:val="center"/>
          </w:tcPr>
          <w:p>
            <w:pPr>
              <w:pStyle w:val="TableContents"/>
              <w:bidi w:val="0"/>
              <w:spacing w:before="0" w:after="283"/>
              <w:jc w:val="center"/>
              <w:rPr>
                <w:sz w:val="16"/>
              </w:rPr>
            </w:pPr>
            <w:r>
              <w:rPr>
                <w:sz w:val="16"/>
              </w:rPr>
              <w:t>28,938</w:t>
            </w:r>
          </w:p>
        </w:tc>
        <w:tc>
          <w:tcPr>
            <w:tcW w:w="90" w:type="dxa"/>
            <w:tcBorders/>
            <w:shd w:fill="CCEEFF" w:val="clear"/>
            <w:vAlign w:val="center"/>
          </w:tcPr>
          <w:p>
            <w:pPr>
              <w:pStyle w:val="TableContents"/>
              <w:bidi w:val="0"/>
              <w:spacing w:before="0" w:after="283"/>
              <w:jc w:val="center"/>
              <w:rPr/>
            </w:pPr>
            <w:r>
              <w:rPr/>
              <w:t> </w:t>
            </w:r>
          </w:p>
        </w:tc>
        <w:tc>
          <w:tcPr>
            <w:tcW w:w="942" w:type="dxa"/>
            <w:tcBorders/>
            <w:shd w:fill="CCEEFF" w:val="clear"/>
            <w:vAlign w:val="center"/>
          </w:tcPr>
          <w:p>
            <w:pPr>
              <w:pStyle w:val="TableContents"/>
              <w:bidi w:val="0"/>
              <w:spacing w:before="0" w:after="283"/>
              <w:jc w:val="center"/>
              <w:rPr/>
            </w:pPr>
            <w:r>
              <w:rPr/>
              <w:t>—</w:t>
            </w:r>
          </w:p>
        </w:tc>
        <w:tc>
          <w:tcPr>
            <w:tcW w:w="90" w:type="dxa"/>
            <w:tcBorders/>
            <w:shd w:fill="CCEEFF" w:val="clear"/>
            <w:vAlign w:val="center"/>
          </w:tcPr>
          <w:p>
            <w:pPr>
              <w:pStyle w:val="TableContents"/>
              <w:bidi w:val="0"/>
              <w:spacing w:before="0" w:after="283"/>
              <w:jc w:val="center"/>
              <w:rPr/>
            </w:pPr>
            <w:r>
              <w:rPr/>
              <w:t> </w:t>
            </w:r>
          </w:p>
        </w:tc>
        <w:tc>
          <w:tcPr>
            <w:tcW w:w="1031" w:type="dxa"/>
            <w:tcBorders/>
            <w:shd w:fill="CCEEFF" w:val="clear"/>
            <w:vAlign w:val="center"/>
          </w:tcPr>
          <w:p>
            <w:pPr>
              <w:pStyle w:val="TableContents"/>
              <w:bidi w:val="0"/>
              <w:spacing w:before="0" w:after="283"/>
              <w:jc w:val="center"/>
              <w:rPr/>
            </w:pPr>
            <w:r>
              <w:rPr/>
              <w:t>—</w:t>
            </w:r>
          </w:p>
        </w:tc>
      </w:tr>
      <w:tr>
        <w:trPr/>
        <w:tc>
          <w:tcPr>
            <w:tcW w:w="1034" w:type="dxa"/>
            <w:tcBorders/>
            <w:vAlign w:val="center"/>
          </w:tcPr>
          <w:p>
            <w:pPr>
              <w:pStyle w:val="TableContents"/>
              <w:bidi w:val="0"/>
              <w:spacing w:before="0" w:after="283"/>
              <w:jc w:val="left"/>
              <w:rPr>
                <w:sz w:val="16"/>
              </w:rPr>
            </w:pPr>
            <w:r>
              <w:rPr>
                <w:sz w:val="16"/>
              </w:rPr>
              <w:t>Carl T. Schultz</w:t>
            </w:r>
          </w:p>
        </w:tc>
        <w:tc>
          <w:tcPr>
            <w:tcW w:w="90" w:type="dxa"/>
            <w:tcBorders/>
            <w:vAlign w:val="center"/>
          </w:tcPr>
          <w:p>
            <w:pPr>
              <w:pStyle w:val="TableContents"/>
              <w:bidi w:val="0"/>
              <w:spacing w:before="0" w:after="283"/>
              <w:jc w:val="center"/>
              <w:rPr/>
            </w:pPr>
            <w:r>
              <w:rPr/>
              <w:t> </w:t>
            </w:r>
          </w:p>
        </w:tc>
        <w:tc>
          <w:tcPr>
            <w:tcW w:w="1170" w:type="dxa"/>
            <w:tcBorders/>
            <w:vAlign w:val="center"/>
          </w:tcPr>
          <w:p>
            <w:pPr>
              <w:pStyle w:val="TableContents"/>
              <w:bidi w:val="0"/>
              <w:spacing w:before="0" w:after="283"/>
              <w:jc w:val="center"/>
              <w:rPr/>
            </w:pPr>
            <w:r>
              <w:rPr/>
              <w:t>—</w:t>
            </w:r>
          </w:p>
        </w:tc>
        <w:tc>
          <w:tcPr>
            <w:tcW w:w="90" w:type="dxa"/>
            <w:tcBorders/>
            <w:vAlign w:val="center"/>
          </w:tcPr>
          <w:p>
            <w:pPr>
              <w:pStyle w:val="TableContents"/>
              <w:bidi w:val="0"/>
              <w:spacing w:before="0" w:after="283"/>
              <w:jc w:val="center"/>
              <w:rPr/>
            </w:pPr>
            <w:r>
              <w:rPr/>
              <w:t> </w:t>
            </w:r>
          </w:p>
        </w:tc>
        <w:tc>
          <w:tcPr>
            <w:tcW w:w="1254" w:type="dxa"/>
            <w:tcBorders/>
            <w:vAlign w:val="center"/>
          </w:tcPr>
          <w:p>
            <w:pPr>
              <w:pStyle w:val="TableContents"/>
              <w:bidi w:val="0"/>
              <w:spacing w:before="0" w:after="283"/>
              <w:jc w:val="center"/>
              <w:rPr>
                <w:sz w:val="16"/>
              </w:rPr>
            </w:pPr>
            <w:r>
              <w:rPr>
                <w:sz w:val="16"/>
              </w:rPr>
              <w:t>300,000</w:t>
            </w:r>
            <w:r>
              <w:rPr>
                <w:position w:val="5"/>
                <w:sz w:val="13"/>
                <w:sz w:val="16"/>
              </w:rPr>
              <w:t>(13)</w:t>
            </w:r>
          </w:p>
        </w:tc>
        <w:tc>
          <w:tcPr>
            <w:tcW w:w="90" w:type="dxa"/>
            <w:tcBorders/>
            <w:vAlign w:val="center"/>
          </w:tcPr>
          <w:p>
            <w:pPr>
              <w:pStyle w:val="TableContents"/>
              <w:bidi w:val="0"/>
              <w:spacing w:before="0" w:after="283"/>
              <w:jc w:val="center"/>
              <w:rPr/>
            </w:pPr>
            <w:r>
              <w:rPr/>
              <w:t> </w:t>
            </w:r>
          </w:p>
        </w:tc>
        <w:tc>
          <w:tcPr>
            <w:tcW w:w="894" w:type="dxa"/>
            <w:tcBorders/>
            <w:vAlign w:val="center"/>
          </w:tcPr>
          <w:p>
            <w:pPr>
              <w:pStyle w:val="TableContents"/>
              <w:bidi w:val="0"/>
              <w:spacing w:before="0" w:after="283"/>
              <w:jc w:val="center"/>
              <w:rPr>
                <w:sz w:val="16"/>
              </w:rPr>
            </w:pPr>
            <w:r>
              <w:rPr>
                <w:sz w:val="16"/>
              </w:rPr>
              <w:t>3.57</w:t>
            </w:r>
          </w:p>
        </w:tc>
        <w:tc>
          <w:tcPr>
            <w:tcW w:w="90" w:type="dxa"/>
            <w:tcBorders/>
            <w:vAlign w:val="center"/>
          </w:tcPr>
          <w:p>
            <w:pPr>
              <w:pStyle w:val="TableContents"/>
              <w:bidi w:val="0"/>
              <w:spacing w:before="0" w:after="283"/>
              <w:jc w:val="center"/>
              <w:rPr/>
            </w:pPr>
            <w:r>
              <w:rPr/>
              <w:t> </w:t>
            </w:r>
          </w:p>
        </w:tc>
        <w:tc>
          <w:tcPr>
            <w:tcW w:w="1074" w:type="dxa"/>
            <w:tcBorders/>
            <w:vAlign w:val="center"/>
          </w:tcPr>
          <w:p>
            <w:pPr>
              <w:pStyle w:val="TableContents"/>
              <w:bidi w:val="0"/>
              <w:spacing w:before="0" w:after="283"/>
              <w:jc w:val="center"/>
              <w:rPr>
                <w:sz w:val="16"/>
              </w:rPr>
            </w:pPr>
            <w:r>
              <w:rPr>
                <w:sz w:val="16"/>
              </w:rPr>
              <w:t>6/2/2035</w:t>
            </w:r>
          </w:p>
        </w:tc>
        <w:tc>
          <w:tcPr>
            <w:tcW w:w="90" w:type="dxa"/>
            <w:tcBorders/>
            <w:vAlign w:val="center"/>
          </w:tcPr>
          <w:p>
            <w:pPr>
              <w:pStyle w:val="TableContents"/>
              <w:bidi w:val="0"/>
              <w:spacing w:before="0" w:after="283"/>
              <w:jc w:val="center"/>
              <w:rPr/>
            </w:pPr>
            <w:r>
              <w:rPr/>
              <w:t> </w:t>
            </w:r>
          </w:p>
        </w:tc>
        <w:tc>
          <w:tcPr>
            <w:tcW w:w="1041" w:type="dxa"/>
            <w:tcBorders/>
            <w:vAlign w:val="center"/>
          </w:tcPr>
          <w:p>
            <w:pPr>
              <w:pStyle w:val="TableContents"/>
              <w:bidi w:val="0"/>
              <w:spacing w:before="0" w:after="283"/>
              <w:jc w:val="center"/>
              <w:rPr/>
            </w:pPr>
            <w:r>
              <w:rPr/>
              <w:t>—</w:t>
            </w:r>
          </w:p>
        </w:tc>
        <w:tc>
          <w:tcPr>
            <w:tcW w:w="90" w:type="dxa"/>
            <w:tcBorders/>
            <w:vAlign w:val="center"/>
          </w:tcPr>
          <w:p>
            <w:pPr>
              <w:pStyle w:val="TableContents"/>
              <w:bidi w:val="0"/>
              <w:spacing w:before="0" w:after="283"/>
              <w:jc w:val="center"/>
              <w:rPr/>
            </w:pPr>
            <w:r>
              <w:rPr/>
              <w:t> </w:t>
            </w:r>
          </w:p>
        </w:tc>
        <w:tc>
          <w:tcPr>
            <w:tcW w:w="1045" w:type="dxa"/>
            <w:tcBorders/>
            <w:vAlign w:val="center"/>
          </w:tcPr>
          <w:p>
            <w:pPr>
              <w:pStyle w:val="TableContents"/>
              <w:bidi w:val="0"/>
              <w:spacing w:before="0" w:after="283"/>
              <w:jc w:val="center"/>
              <w:rPr/>
            </w:pPr>
            <w:r>
              <w:rPr/>
              <w:t>—</w:t>
            </w:r>
          </w:p>
        </w:tc>
        <w:tc>
          <w:tcPr>
            <w:tcW w:w="90" w:type="dxa"/>
            <w:tcBorders/>
            <w:vAlign w:val="center"/>
          </w:tcPr>
          <w:p>
            <w:pPr>
              <w:pStyle w:val="TableContents"/>
              <w:bidi w:val="0"/>
              <w:spacing w:before="0" w:after="283"/>
              <w:jc w:val="center"/>
              <w:rPr/>
            </w:pPr>
            <w:r>
              <w:rPr/>
              <w:t> </w:t>
            </w:r>
          </w:p>
        </w:tc>
        <w:tc>
          <w:tcPr>
            <w:tcW w:w="942" w:type="dxa"/>
            <w:tcBorders/>
            <w:vAlign w:val="center"/>
          </w:tcPr>
          <w:p>
            <w:pPr>
              <w:pStyle w:val="TableContents"/>
              <w:bidi w:val="0"/>
              <w:spacing w:before="0" w:after="283"/>
              <w:jc w:val="center"/>
              <w:rPr/>
            </w:pPr>
            <w:r>
              <w:rPr/>
              <w:t>—</w:t>
            </w:r>
          </w:p>
        </w:tc>
        <w:tc>
          <w:tcPr>
            <w:tcW w:w="90" w:type="dxa"/>
            <w:tcBorders/>
            <w:vAlign w:val="center"/>
          </w:tcPr>
          <w:p>
            <w:pPr>
              <w:pStyle w:val="TableContents"/>
              <w:bidi w:val="0"/>
              <w:spacing w:before="0" w:after="283"/>
              <w:jc w:val="center"/>
              <w:rPr/>
            </w:pPr>
            <w:r>
              <w:rPr/>
              <w:t> </w:t>
            </w:r>
          </w:p>
        </w:tc>
        <w:tc>
          <w:tcPr>
            <w:tcW w:w="1031" w:type="dxa"/>
            <w:tcBorders/>
            <w:vAlign w:val="center"/>
          </w:tcPr>
          <w:p>
            <w:pPr>
              <w:pStyle w:val="TableContents"/>
              <w:bidi w:val="0"/>
              <w:spacing w:before="0" w:after="283"/>
              <w:jc w:val="center"/>
              <w:rPr/>
            </w:pPr>
            <w:r>
              <w:rPr/>
              <w:t>—</w:t>
            </w:r>
          </w:p>
        </w:tc>
      </w:tr>
      <w:tr>
        <w:trPr/>
        <w:tc>
          <w:tcPr>
            <w:tcW w:w="1034"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1170" w:type="dxa"/>
            <w:tcBorders/>
            <w:vAlign w:val="center"/>
          </w:tcPr>
          <w:p>
            <w:pPr>
              <w:pStyle w:val="TableContents"/>
              <w:bidi w:val="0"/>
              <w:spacing w:before="0" w:after="283"/>
              <w:jc w:val="center"/>
              <w:rPr/>
            </w:pPr>
            <w:r>
              <w:rPr/>
              <w:t>—</w:t>
            </w:r>
          </w:p>
        </w:tc>
        <w:tc>
          <w:tcPr>
            <w:tcW w:w="90" w:type="dxa"/>
            <w:tcBorders/>
            <w:vAlign w:val="center"/>
          </w:tcPr>
          <w:p>
            <w:pPr>
              <w:pStyle w:val="TableContents"/>
              <w:bidi w:val="0"/>
              <w:spacing w:before="0" w:after="283"/>
              <w:jc w:val="center"/>
              <w:rPr/>
            </w:pPr>
            <w:r>
              <w:rPr/>
              <w:t> </w:t>
            </w:r>
          </w:p>
        </w:tc>
        <w:tc>
          <w:tcPr>
            <w:tcW w:w="1254" w:type="dxa"/>
            <w:tcBorders/>
            <w:vAlign w:val="center"/>
          </w:tcPr>
          <w:p>
            <w:pPr>
              <w:pStyle w:val="TableContents"/>
              <w:bidi w:val="0"/>
              <w:spacing w:before="0" w:after="283"/>
              <w:jc w:val="center"/>
              <w:rPr/>
            </w:pPr>
            <w:r>
              <w:rPr/>
              <w:t>—</w:t>
            </w:r>
          </w:p>
        </w:tc>
        <w:tc>
          <w:tcPr>
            <w:tcW w:w="90" w:type="dxa"/>
            <w:tcBorders/>
            <w:vAlign w:val="center"/>
          </w:tcPr>
          <w:p>
            <w:pPr>
              <w:pStyle w:val="TableContents"/>
              <w:bidi w:val="0"/>
              <w:spacing w:before="0" w:after="283"/>
              <w:jc w:val="center"/>
              <w:rPr/>
            </w:pPr>
            <w:r>
              <w:rPr/>
              <w:t> </w:t>
            </w:r>
          </w:p>
        </w:tc>
        <w:tc>
          <w:tcPr>
            <w:tcW w:w="894" w:type="dxa"/>
            <w:tcBorders/>
            <w:vAlign w:val="center"/>
          </w:tcPr>
          <w:p>
            <w:pPr>
              <w:pStyle w:val="TableContents"/>
              <w:bidi w:val="0"/>
              <w:spacing w:before="0" w:after="283"/>
              <w:jc w:val="center"/>
              <w:rPr/>
            </w:pPr>
            <w:r>
              <w:rPr/>
              <w:t>—</w:t>
            </w:r>
          </w:p>
        </w:tc>
        <w:tc>
          <w:tcPr>
            <w:tcW w:w="90" w:type="dxa"/>
            <w:tcBorders/>
            <w:vAlign w:val="center"/>
          </w:tcPr>
          <w:p>
            <w:pPr>
              <w:pStyle w:val="TableContents"/>
              <w:bidi w:val="0"/>
              <w:spacing w:before="0" w:after="283"/>
              <w:jc w:val="center"/>
              <w:rPr/>
            </w:pPr>
            <w:r>
              <w:rPr/>
              <w:t> </w:t>
            </w:r>
          </w:p>
        </w:tc>
        <w:tc>
          <w:tcPr>
            <w:tcW w:w="1074" w:type="dxa"/>
            <w:tcBorders/>
            <w:vAlign w:val="center"/>
          </w:tcPr>
          <w:p>
            <w:pPr>
              <w:pStyle w:val="TableContents"/>
              <w:bidi w:val="0"/>
              <w:spacing w:before="0" w:after="283"/>
              <w:jc w:val="center"/>
              <w:rPr/>
            </w:pPr>
            <w:r>
              <w:rPr/>
              <w:t>—</w:t>
            </w:r>
          </w:p>
        </w:tc>
        <w:tc>
          <w:tcPr>
            <w:tcW w:w="90" w:type="dxa"/>
            <w:tcBorders/>
            <w:vAlign w:val="center"/>
          </w:tcPr>
          <w:p>
            <w:pPr>
              <w:pStyle w:val="TableContents"/>
              <w:bidi w:val="0"/>
              <w:spacing w:before="0" w:after="283"/>
              <w:jc w:val="center"/>
              <w:rPr/>
            </w:pPr>
            <w:r>
              <w:rPr/>
              <w:t> </w:t>
            </w:r>
          </w:p>
        </w:tc>
        <w:tc>
          <w:tcPr>
            <w:tcW w:w="1041" w:type="dxa"/>
            <w:tcBorders/>
            <w:vAlign w:val="center"/>
          </w:tcPr>
          <w:p>
            <w:pPr>
              <w:pStyle w:val="TableContents"/>
              <w:bidi w:val="0"/>
              <w:spacing w:before="0" w:after="283"/>
              <w:jc w:val="center"/>
              <w:rPr>
                <w:sz w:val="16"/>
              </w:rPr>
            </w:pPr>
            <w:r>
              <w:rPr>
                <w:sz w:val="16"/>
              </w:rPr>
              <w:t>35,000</w:t>
            </w:r>
            <w:r>
              <w:rPr>
                <w:position w:val="5"/>
                <w:sz w:val="13"/>
                <w:sz w:val="16"/>
              </w:rPr>
              <w:t>(14)</w:t>
            </w:r>
          </w:p>
        </w:tc>
        <w:tc>
          <w:tcPr>
            <w:tcW w:w="90" w:type="dxa"/>
            <w:tcBorders/>
            <w:vAlign w:val="center"/>
          </w:tcPr>
          <w:p>
            <w:pPr>
              <w:pStyle w:val="TableContents"/>
              <w:bidi w:val="0"/>
              <w:spacing w:before="0" w:after="283"/>
              <w:jc w:val="center"/>
              <w:rPr/>
            </w:pPr>
            <w:r>
              <w:rPr/>
              <w:t> </w:t>
            </w:r>
          </w:p>
        </w:tc>
        <w:tc>
          <w:tcPr>
            <w:tcW w:w="1045" w:type="dxa"/>
            <w:tcBorders/>
            <w:vAlign w:val="center"/>
          </w:tcPr>
          <w:p>
            <w:pPr>
              <w:pStyle w:val="TableContents"/>
              <w:bidi w:val="0"/>
              <w:spacing w:before="0" w:after="283"/>
              <w:jc w:val="center"/>
              <w:rPr>
                <w:sz w:val="16"/>
              </w:rPr>
            </w:pPr>
            <w:r>
              <w:rPr>
                <w:sz w:val="16"/>
              </w:rPr>
              <w:t>98,000</w:t>
            </w:r>
          </w:p>
        </w:tc>
        <w:tc>
          <w:tcPr>
            <w:tcW w:w="90" w:type="dxa"/>
            <w:tcBorders/>
            <w:vAlign w:val="center"/>
          </w:tcPr>
          <w:p>
            <w:pPr>
              <w:pStyle w:val="TableContents"/>
              <w:bidi w:val="0"/>
              <w:spacing w:before="0" w:after="283"/>
              <w:jc w:val="center"/>
              <w:rPr/>
            </w:pPr>
            <w:r>
              <w:rPr/>
              <w:t> </w:t>
            </w:r>
          </w:p>
        </w:tc>
        <w:tc>
          <w:tcPr>
            <w:tcW w:w="942" w:type="dxa"/>
            <w:tcBorders/>
            <w:vAlign w:val="center"/>
          </w:tcPr>
          <w:p>
            <w:pPr>
              <w:pStyle w:val="TableContents"/>
              <w:bidi w:val="0"/>
              <w:spacing w:before="0" w:after="283"/>
              <w:jc w:val="center"/>
              <w:rPr/>
            </w:pPr>
            <w:r>
              <w:rPr/>
              <w:t>—</w:t>
            </w:r>
          </w:p>
        </w:tc>
        <w:tc>
          <w:tcPr>
            <w:tcW w:w="90" w:type="dxa"/>
            <w:tcBorders/>
            <w:vAlign w:val="center"/>
          </w:tcPr>
          <w:p>
            <w:pPr>
              <w:pStyle w:val="TableContents"/>
              <w:bidi w:val="0"/>
              <w:spacing w:before="0" w:after="283"/>
              <w:jc w:val="center"/>
              <w:rPr/>
            </w:pPr>
            <w:r>
              <w:rPr/>
              <w:t> </w:t>
            </w:r>
          </w:p>
        </w:tc>
        <w:tc>
          <w:tcPr>
            <w:tcW w:w="1031" w:type="dxa"/>
            <w:tcBorders/>
            <w:vAlign w:val="center"/>
          </w:tcPr>
          <w:p>
            <w:pPr>
              <w:pStyle w:val="TableContents"/>
              <w:bidi w:val="0"/>
              <w:spacing w:before="0" w:after="283"/>
              <w:jc w:val="center"/>
              <w:rPr/>
            </w:pPr>
            <w:r>
              <w:rPr/>
              <w:t>—</w:t>
            </w:r>
          </w:p>
        </w:tc>
      </w:tr>
      <w:tr>
        <w:trPr/>
        <w:tc>
          <w:tcPr>
            <w:tcW w:w="1034"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1170" w:type="dxa"/>
            <w:tcBorders/>
            <w:vAlign w:val="center"/>
          </w:tcPr>
          <w:p>
            <w:pPr>
              <w:pStyle w:val="TableContents"/>
              <w:bidi w:val="0"/>
              <w:spacing w:before="0" w:after="283"/>
              <w:jc w:val="center"/>
              <w:rPr/>
            </w:pPr>
            <w:r>
              <w:rPr/>
              <w:t>—</w:t>
            </w:r>
          </w:p>
        </w:tc>
        <w:tc>
          <w:tcPr>
            <w:tcW w:w="90" w:type="dxa"/>
            <w:tcBorders/>
            <w:vAlign w:val="center"/>
          </w:tcPr>
          <w:p>
            <w:pPr>
              <w:pStyle w:val="TableContents"/>
              <w:bidi w:val="0"/>
              <w:spacing w:before="0" w:after="283"/>
              <w:jc w:val="center"/>
              <w:rPr/>
            </w:pPr>
            <w:r>
              <w:rPr/>
              <w:t> </w:t>
            </w:r>
          </w:p>
        </w:tc>
        <w:tc>
          <w:tcPr>
            <w:tcW w:w="1254" w:type="dxa"/>
            <w:tcBorders/>
            <w:vAlign w:val="center"/>
          </w:tcPr>
          <w:p>
            <w:pPr>
              <w:pStyle w:val="TableContents"/>
              <w:bidi w:val="0"/>
              <w:spacing w:before="0" w:after="283"/>
              <w:jc w:val="center"/>
              <w:rPr/>
            </w:pPr>
            <w:r>
              <w:rPr/>
              <w:t>—</w:t>
            </w:r>
          </w:p>
        </w:tc>
        <w:tc>
          <w:tcPr>
            <w:tcW w:w="90" w:type="dxa"/>
            <w:tcBorders/>
            <w:vAlign w:val="center"/>
          </w:tcPr>
          <w:p>
            <w:pPr>
              <w:pStyle w:val="TableContents"/>
              <w:bidi w:val="0"/>
              <w:spacing w:before="0" w:after="283"/>
              <w:jc w:val="center"/>
              <w:rPr/>
            </w:pPr>
            <w:r>
              <w:rPr/>
              <w:t> </w:t>
            </w:r>
          </w:p>
        </w:tc>
        <w:tc>
          <w:tcPr>
            <w:tcW w:w="894" w:type="dxa"/>
            <w:tcBorders/>
            <w:vAlign w:val="center"/>
          </w:tcPr>
          <w:p>
            <w:pPr>
              <w:pStyle w:val="TableContents"/>
              <w:bidi w:val="0"/>
              <w:spacing w:before="0" w:after="283"/>
              <w:jc w:val="center"/>
              <w:rPr/>
            </w:pPr>
            <w:r>
              <w:rPr/>
              <w:t>—</w:t>
            </w:r>
          </w:p>
        </w:tc>
        <w:tc>
          <w:tcPr>
            <w:tcW w:w="90" w:type="dxa"/>
            <w:tcBorders/>
            <w:vAlign w:val="center"/>
          </w:tcPr>
          <w:p>
            <w:pPr>
              <w:pStyle w:val="TableContents"/>
              <w:bidi w:val="0"/>
              <w:spacing w:before="0" w:after="283"/>
              <w:jc w:val="center"/>
              <w:rPr/>
            </w:pPr>
            <w:r>
              <w:rPr/>
              <w:t> </w:t>
            </w:r>
          </w:p>
        </w:tc>
        <w:tc>
          <w:tcPr>
            <w:tcW w:w="1074" w:type="dxa"/>
            <w:tcBorders/>
            <w:vAlign w:val="center"/>
          </w:tcPr>
          <w:p>
            <w:pPr>
              <w:pStyle w:val="TableContents"/>
              <w:bidi w:val="0"/>
              <w:spacing w:before="0" w:after="283"/>
              <w:jc w:val="center"/>
              <w:rPr/>
            </w:pPr>
            <w:r>
              <w:rPr/>
              <w:t>—</w:t>
            </w:r>
          </w:p>
        </w:tc>
        <w:tc>
          <w:tcPr>
            <w:tcW w:w="90" w:type="dxa"/>
            <w:tcBorders/>
            <w:vAlign w:val="center"/>
          </w:tcPr>
          <w:p>
            <w:pPr>
              <w:pStyle w:val="TableContents"/>
              <w:bidi w:val="0"/>
              <w:spacing w:before="0" w:after="283"/>
              <w:jc w:val="center"/>
              <w:rPr/>
            </w:pPr>
            <w:r>
              <w:rPr/>
              <w:t> </w:t>
            </w:r>
          </w:p>
        </w:tc>
        <w:tc>
          <w:tcPr>
            <w:tcW w:w="1041" w:type="dxa"/>
            <w:tcBorders/>
            <w:vAlign w:val="center"/>
          </w:tcPr>
          <w:p>
            <w:pPr>
              <w:pStyle w:val="TableContents"/>
              <w:bidi w:val="0"/>
              <w:spacing w:before="0" w:after="283"/>
              <w:jc w:val="center"/>
              <w:rPr>
                <w:sz w:val="16"/>
              </w:rPr>
            </w:pPr>
            <w:r>
              <w:rPr>
                <w:sz w:val="16"/>
              </w:rPr>
              <w:t>35,000</w:t>
            </w:r>
            <w:r>
              <w:rPr>
                <w:position w:val="5"/>
                <w:sz w:val="13"/>
                <w:sz w:val="16"/>
              </w:rPr>
              <w:t>(2)</w:t>
            </w:r>
          </w:p>
        </w:tc>
        <w:tc>
          <w:tcPr>
            <w:tcW w:w="90" w:type="dxa"/>
            <w:tcBorders/>
            <w:vAlign w:val="center"/>
          </w:tcPr>
          <w:p>
            <w:pPr>
              <w:pStyle w:val="TableContents"/>
              <w:bidi w:val="0"/>
              <w:spacing w:before="0" w:after="283"/>
              <w:jc w:val="center"/>
              <w:rPr/>
            </w:pPr>
            <w:r>
              <w:rPr/>
              <w:t> </w:t>
            </w:r>
          </w:p>
        </w:tc>
        <w:tc>
          <w:tcPr>
            <w:tcW w:w="1045" w:type="dxa"/>
            <w:tcBorders/>
            <w:vAlign w:val="center"/>
          </w:tcPr>
          <w:p>
            <w:pPr>
              <w:pStyle w:val="TableContents"/>
              <w:bidi w:val="0"/>
              <w:spacing w:before="0" w:after="283"/>
              <w:jc w:val="center"/>
              <w:rPr>
                <w:sz w:val="16"/>
              </w:rPr>
            </w:pPr>
            <w:r>
              <w:rPr>
                <w:sz w:val="16"/>
              </w:rPr>
              <w:t>98,000</w:t>
            </w:r>
          </w:p>
        </w:tc>
        <w:tc>
          <w:tcPr>
            <w:tcW w:w="90" w:type="dxa"/>
            <w:tcBorders/>
            <w:vAlign w:val="center"/>
          </w:tcPr>
          <w:p>
            <w:pPr>
              <w:pStyle w:val="TableContents"/>
              <w:bidi w:val="0"/>
              <w:spacing w:before="0" w:after="283"/>
              <w:jc w:val="center"/>
              <w:rPr/>
            </w:pPr>
            <w:r>
              <w:rPr/>
              <w:t> </w:t>
            </w:r>
          </w:p>
        </w:tc>
        <w:tc>
          <w:tcPr>
            <w:tcW w:w="942" w:type="dxa"/>
            <w:tcBorders/>
            <w:vAlign w:val="center"/>
          </w:tcPr>
          <w:p>
            <w:pPr>
              <w:pStyle w:val="TableContents"/>
              <w:bidi w:val="0"/>
              <w:spacing w:before="0" w:after="283"/>
              <w:jc w:val="center"/>
              <w:rPr/>
            </w:pPr>
            <w:r>
              <w:rPr/>
              <w:t>—</w:t>
            </w:r>
          </w:p>
        </w:tc>
        <w:tc>
          <w:tcPr>
            <w:tcW w:w="90" w:type="dxa"/>
            <w:tcBorders/>
            <w:vAlign w:val="center"/>
          </w:tcPr>
          <w:p>
            <w:pPr>
              <w:pStyle w:val="TableContents"/>
              <w:bidi w:val="0"/>
              <w:spacing w:before="0" w:after="283"/>
              <w:jc w:val="center"/>
              <w:rPr/>
            </w:pPr>
            <w:r>
              <w:rPr/>
              <w:t> </w:t>
            </w:r>
          </w:p>
        </w:tc>
        <w:tc>
          <w:tcPr>
            <w:tcW w:w="1031" w:type="dxa"/>
            <w:tcBorders/>
            <w:vAlign w:val="center"/>
          </w:tcPr>
          <w:p>
            <w:pPr>
              <w:pStyle w:val="TableContents"/>
              <w:bidi w:val="0"/>
              <w:spacing w:before="0" w:after="283"/>
              <w:jc w:val="center"/>
              <w:rPr/>
            </w:pPr>
            <w:r>
              <w:rPr/>
              <w:t>—</w:t>
            </w:r>
          </w:p>
        </w:tc>
      </w:tr>
      <w:tr>
        <w:trPr/>
        <w:tc>
          <w:tcPr>
            <w:tcW w:w="1034" w:type="dxa"/>
            <w:tcBorders/>
            <w:shd w:fill="CCEEFF" w:val="clear"/>
            <w:vAlign w:val="center"/>
          </w:tcPr>
          <w:p>
            <w:pPr>
              <w:pStyle w:val="TableContents"/>
              <w:bidi w:val="0"/>
              <w:spacing w:before="0" w:after="283"/>
              <w:jc w:val="left"/>
              <w:rPr>
                <w:sz w:val="16"/>
              </w:rPr>
            </w:pPr>
            <w:r>
              <w:rPr>
                <w:sz w:val="16"/>
              </w:rPr>
              <w:t>Fariyal Khanbabi</w:t>
            </w:r>
          </w:p>
        </w:tc>
        <w:tc>
          <w:tcPr>
            <w:tcW w:w="90" w:type="dxa"/>
            <w:tcBorders/>
            <w:shd w:fill="CCEEFF" w:val="clear"/>
            <w:vAlign w:val="center"/>
          </w:tcPr>
          <w:p>
            <w:pPr>
              <w:pStyle w:val="TableContents"/>
              <w:bidi w:val="0"/>
              <w:spacing w:before="0" w:after="283"/>
              <w:jc w:val="center"/>
              <w:rPr/>
            </w:pPr>
            <w:r>
              <w:rPr/>
              <w:t> </w:t>
            </w:r>
          </w:p>
        </w:tc>
        <w:tc>
          <w:tcPr>
            <w:tcW w:w="1170" w:type="dxa"/>
            <w:tcBorders/>
            <w:shd w:fill="CCEEFF" w:val="clear"/>
            <w:vAlign w:val="center"/>
          </w:tcPr>
          <w:p>
            <w:pPr>
              <w:pStyle w:val="TableContents"/>
              <w:bidi w:val="0"/>
              <w:spacing w:before="0" w:after="283"/>
              <w:jc w:val="center"/>
              <w:rPr/>
            </w:pPr>
            <w:r>
              <w:rPr/>
              <w:t>—</w:t>
            </w:r>
          </w:p>
        </w:tc>
        <w:tc>
          <w:tcPr>
            <w:tcW w:w="90" w:type="dxa"/>
            <w:tcBorders/>
            <w:shd w:fill="CCEEFF" w:val="clear"/>
            <w:vAlign w:val="center"/>
          </w:tcPr>
          <w:p>
            <w:pPr>
              <w:pStyle w:val="TableContents"/>
              <w:bidi w:val="0"/>
              <w:spacing w:before="0" w:after="283"/>
              <w:jc w:val="center"/>
              <w:rPr/>
            </w:pPr>
            <w:r>
              <w:rPr/>
              <w:t> </w:t>
            </w:r>
          </w:p>
        </w:tc>
        <w:tc>
          <w:tcPr>
            <w:tcW w:w="1254" w:type="dxa"/>
            <w:tcBorders/>
            <w:shd w:fill="CCEEFF" w:val="clear"/>
            <w:vAlign w:val="center"/>
          </w:tcPr>
          <w:p>
            <w:pPr>
              <w:pStyle w:val="TableContents"/>
              <w:bidi w:val="0"/>
              <w:spacing w:before="0" w:after="283"/>
              <w:jc w:val="center"/>
              <w:rPr/>
            </w:pPr>
            <w:r>
              <w:rPr/>
              <w:t>—</w:t>
            </w:r>
          </w:p>
        </w:tc>
        <w:tc>
          <w:tcPr>
            <w:tcW w:w="90" w:type="dxa"/>
            <w:tcBorders/>
            <w:shd w:fill="CCEEFF" w:val="clear"/>
            <w:vAlign w:val="center"/>
          </w:tcPr>
          <w:p>
            <w:pPr>
              <w:pStyle w:val="TableContents"/>
              <w:bidi w:val="0"/>
              <w:spacing w:before="0" w:after="283"/>
              <w:jc w:val="center"/>
              <w:rPr/>
            </w:pPr>
            <w:r>
              <w:rPr/>
              <w:t> </w:t>
            </w:r>
          </w:p>
        </w:tc>
        <w:tc>
          <w:tcPr>
            <w:tcW w:w="894" w:type="dxa"/>
            <w:tcBorders/>
            <w:shd w:fill="CCEEFF" w:val="clear"/>
            <w:vAlign w:val="center"/>
          </w:tcPr>
          <w:p>
            <w:pPr>
              <w:pStyle w:val="TableContents"/>
              <w:bidi w:val="0"/>
              <w:spacing w:before="0" w:after="283"/>
              <w:jc w:val="center"/>
              <w:rPr/>
            </w:pPr>
            <w:r>
              <w:rPr/>
              <w:t>—</w:t>
            </w:r>
          </w:p>
        </w:tc>
        <w:tc>
          <w:tcPr>
            <w:tcW w:w="90" w:type="dxa"/>
            <w:tcBorders/>
            <w:shd w:fill="CCEEFF" w:val="clear"/>
            <w:vAlign w:val="center"/>
          </w:tcPr>
          <w:p>
            <w:pPr>
              <w:pStyle w:val="TableContents"/>
              <w:bidi w:val="0"/>
              <w:spacing w:before="0" w:after="283"/>
              <w:jc w:val="center"/>
              <w:rPr/>
            </w:pPr>
            <w:r>
              <w:rPr/>
              <w:t> </w:t>
            </w:r>
          </w:p>
        </w:tc>
        <w:tc>
          <w:tcPr>
            <w:tcW w:w="1074" w:type="dxa"/>
            <w:tcBorders/>
            <w:shd w:fill="CCEEFF" w:val="clear"/>
            <w:vAlign w:val="center"/>
          </w:tcPr>
          <w:p>
            <w:pPr>
              <w:pStyle w:val="TableContents"/>
              <w:bidi w:val="0"/>
              <w:spacing w:before="0" w:after="283"/>
              <w:jc w:val="center"/>
              <w:rPr/>
            </w:pPr>
            <w:r>
              <w:rPr/>
              <w:t>—</w:t>
            </w:r>
          </w:p>
        </w:tc>
        <w:tc>
          <w:tcPr>
            <w:tcW w:w="90" w:type="dxa"/>
            <w:tcBorders/>
            <w:shd w:fill="CCEEFF" w:val="clear"/>
            <w:vAlign w:val="center"/>
          </w:tcPr>
          <w:p>
            <w:pPr>
              <w:pStyle w:val="TableContents"/>
              <w:bidi w:val="0"/>
              <w:spacing w:before="0" w:after="283"/>
              <w:jc w:val="center"/>
              <w:rPr/>
            </w:pPr>
            <w:r>
              <w:rPr/>
              <w:t> </w:t>
            </w:r>
          </w:p>
        </w:tc>
        <w:tc>
          <w:tcPr>
            <w:tcW w:w="1041" w:type="dxa"/>
            <w:tcBorders/>
            <w:shd w:fill="CCEEFF" w:val="clear"/>
            <w:vAlign w:val="center"/>
          </w:tcPr>
          <w:p>
            <w:pPr>
              <w:pStyle w:val="TableContents"/>
              <w:bidi w:val="0"/>
              <w:spacing w:before="0" w:after="283"/>
              <w:jc w:val="center"/>
              <w:rPr/>
            </w:pPr>
            <w:r>
              <w:rPr/>
              <w:t>—</w:t>
            </w:r>
          </w:p>
        </w:tc>
        <w:tc>
          <w:tcPr>
            <w:tcW w:w="90" w:type="dxa"/>
            <w:tcBorders/>
            <w:shd w:fill="CCEEFF" w:val="clear"/>
            <w:vAlign w:val="center"/>
          </w:tcPr>
          <w:p>
            <w:pPr>
              <w:pStyle w:val="TableContents"/>
              <w:bidi w:val="0"/>
              <w:spacing w:before="0" w:after="283"/>
              <w:jc w:val="center"/>
              <w:rPr/>
            </w:pPr>
            <w:r>
              <w:rPr/>
              <w:t> </w:t>
            </w:r>
          </w:p>
        </w:tc>
        <w:tc>
          <w:tcPr>
            <w:tcW w:w="1045" w:type="dxa"/>
            <w:tcBorders/>
            <w:shd w:fill="CCEEFF" w:val="clear"/>
            <w:vAlign w:val="center"/>
          </w:tcPr>
          <w:p>
            <w:pPr>
              <w:pStyle w:val="TableContents"/>
              <w:bidi w:val="0"/>
              <w:spacing w:before="0" w:after="283"/>
              <w:jc w:val="center"/>
              <w:rPr/>
            </w:pPr>
            <w:r>
              <w:rPr/>
              <w:t>—</w:t>
            </w:r>
          </w:p>
        </w:tc>
        <w:tc>
          <w:tcPr>
            <w:tcW w:w="90" w:type="dxa"/>
            <w:tcBorders/>
            <w:shd w:fill="CCEEFF" w:val="clear"/>
            <w:vAlign w:val="center"/>
          </w:tcPr>
          <w:p>
            <w:pPr>
              <w:pStyle w:val="TableContents"/>
              <w:bidi w:val="0"/>
              <w:spacing w:before="0" w:after="283"/>
              <w:jc w:val="center"/>
              <w:rPr/>
            </w:pPr>
            <w:r>
              <w:rPr/>
              <w:t> </w:t>
            </w:r>
          </w:p>
        </w:tc>
        <w:tc>
          <w:tcPr>
            <w:tcW w:w="942" w:type="dxa"/>
            <w:tcBorders/>
            <w:shd w:fill="CCEEFF" w:val="clear"/>
            <w:vAlign w:val="center"/>
          </w:tcPr>
          <w:p>
            <w:pPr>
              <w:pStyle w:val="TableContents"/>
              <w:bidi w:val="0"/>
              <w:spacing w:before="0" w:after="283"/>
              <w:jc w:val="center"/>
              <w:rPr/>
            </w:pPr>
            <w:r>
              <w:rPr/>
              <w:t>—</w:t>
            </w:r>
          </w:p>
        </w:tc>
        <w:tc>
          <w:tcPr>
            <w:tcW w:w="90" w:type="dxa"/>
            <w:tcBorders/>
            <w:shd w:fill="CCEEFF" w:val="clear"/>
            <w:vAlign w:val="center"/>
          </w:tcPr>
          <w:p>
            <w:pPr>
              <w:pStyle w:val="TableContents"/>
              <w:bidi w:val="0"/>
              <w:spacing w:before="0" w:after="283"/>
              <w:jc w:val="center"/>
              <w:rPr/>
            </w:pPr>
            <w:r>
              <w:rPr/>
              <w:t> </w:t>
            </w:r>
          </w:p>
        </w:tc>
        <w:tc>
          <w:tcPr>
            <w:tcW w:w="1031" w:type="dxa"/>
            <w:tcBorders/>
            <w:shd w:fill="CCEEFF" w:val="clear"/>
            <w:vAlign w:val="center"/>
          </w:tcPr>
          <w:p>
            <w:pPr>
              <w:pStyle w:val="TableContents"/>
              <w:bidi w:val="0"/>
              <w:spacing w:before="0" w:after="283"/>
              <w:jc w:val="center"/>
              <w:rPr/>
            </w:pPr>
            <w:r>
              <w:rPr/>
              <w:t>—</w:t>
            </w:r>
          </w:p>
        </w:tc>
      </w:tr>
    </w:tbl>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46"/>
        <w:gridCol w:w="9892"/>
      </w:tblGrid>
      <w:tr>
        <w:trPr/>
        <w:tc>
          <w:tcPr>
            <w:tcW w:w="6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20"/>
              </w:rPr>
            </w:pPr>
            <w:r>
              <w:rPr>
                <w:sz w:val="20"/>
              </w:rPr>
              <w:t>(1)</w:t>
            </w:r>
          </w:p>
        </w:tc>
        <w:tc>
          <w:tcPr>
            <w:tcW w:w="9892" w:type="dxa"/>
            <w:tcBorders/>
            <w:vAlign w:val="center"/>
          </w:tcPr>
          <w:p>
            <w:pPr>
              <w:pStyle w:val="TableContents"/>
              <w:bidi w:val="0"/>
              <w:spacing w:before="0" w:after="283"/>
              <w:jc w:val="both"/>
              <w:rPr>
                <w:sz w:val="20"/>
              </w:rPr>
            </w:pPr>
            <w:r>
              <w:rPr>
                <w:sz w:val="20"/>
              </w:rPr>
              <w:t>The value presented in the table is equal to the product of the number of RSUs and PSUs, as applicable, that had not vested as of December 31, 2025 and the closing price of our common stock on such date, which was $2.80.</w:t>
            </w:r>
          </w:p>
        </w:tc>
      </w:tr>
    </w:tbl>
    <w:tbl>
      <w:tblPr>
        <w:tblW w:w="5000" w:type="pct"/>
        <w:jc w:val="left"/>
        <w:tblInd w:w="0" w:type="dxa"/>
        <w:tblLayout w:type="fixed"/>
        <w:tblCellMar>
          <w:top w:w="0" w:type="dxa"/>
          <w:left w:w="0" w:type="dxa"/>
          <w:bottom w:w="0" w:type="dxa"/>
          <w:right w:w="0" w:type="dxa"/>
        </w:tblCellMar>
      </w:tblPr>
      <w:tblGrid>
        <w:gridCol w:w="67"/>
        <w:gridCol w:w="252"/>
        <w:gridCol w:w="9886"/>
      </w:tblGrid>
      <w:tr>
        <w:trPr/>
        <w:tc>
          <w:tcPr>
            <w:tcW w:w="67"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20"/>
              </w:rPr>
            </w:pPr>
            <w:r>
              <w:rPr>
                <w:sz w:val="20"/>
              </w:rPr>
              <w:t>(2)</w:t>
            </w:r>
          </w:p>
        </w:tc>
        <w:tc>
          <w:tcPr>
            <w:tcW w:w="9886" w:type="dxa"/>
            <w:tcBorders/>
            <w:vAlign w:val="center"/>
          </w:tcPr>
          <w:p>
            <w:pPr>
              <w:pStyle w:val="TableContents"/>
              <w:bidi w:val="0"/>
              <w:spacing w:before="0" w:after="283"/>
              <w:jc w:val="both"/>
              <w:rPr>
                <w:sz w:val="20"/>
              </w:rPr>
            </w:pPr>
            <w:r>
              <w:rPr>
                <w:sz w:val="20"/>
              </w:rPr>
              <w:t>Represents RSUs granted under the 2021 Plan that were unvested as of December 31, 2025. These RSUs were part of an award that vests one-third on each of June 5, 2026, 2027 and 2028.</w:t>
            </w:r>
          </w:p>
        </w:tc>
      </w:tr>
    </w:tbl>
    <w:tbl>
      <w:tblPr>
        <w:tblW w:w="5000" w:type="pct"/>
        <w:jc w:val="left"/>
        <w:tblInd w:w="0" w:type="dxa"/>
        <w:tblLayout w:type="fixed"/>
        <w:tblCellMar>
          <w:top w:w="0" w:type="dxa"/>
          <w:left w:w="0" w:type="dxa"/>
          <w:bottom w:w="0" w:type="dxa"/>
          <w:right w:w="0" w:type="dxa"/>
        </w:tblCellMar>
      </w:tblPr>
      <w:tblGrid>
        <w:gridCol w:w="67"/>
        <w:gridCol w:w="233"/>
        <w:gridCol w:w="9905"/>
      </w:tblGrid>
      <w:tr>
        <w:trPr/>
        <w:tc>
          <w:tcPr>
            <w:tcW w:w="67"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20"/>
              </w:rPr>
            </w:pPr>
            <w:r>
              <w:rPr>
                <w:sz w:val="20"/>
              </w:rPr>
              <w:t>(3)</w:t>
            </w:r>
          </w:p>
        </w:tc>
        <w:tc>
          <w:tcPr>
            <w:tcW w:w="9905" w:type="dxa"/>
            <w:tcBorders/>
            <w:vAlign w:val="center"/>
          </w:tcPr>
          <w:p>
            <w:pPr>
              <w:pStyle w:val="TableContents"/>
              <w:bidi w:val="0"/>
              <w:spacing w:before="0" w:after="283"/>
              <w:jc w:val="both"/>
              <w:rPr>
                <w:sz w:val="20"/>
              </w:rPr>
            </w:pPr>
            <w:r>
              <w:rPr>
                <w:sz w:val="20"/>
              </w:rPr>
              <w:t>Represents shares earned under PSUs granted pursuant to the 2025 long term incentive plan. These shares were earned following certification of the applicable performance goals by the Compensation Committee. These earned PSUs remain subject to the NEO’s continued employment with or services to us or one of our affiliates through the vesting date.</w:t>
            </w:r>
          </w:p>
        </w:tc>
      </w:tr>
    </w:tbl>
    <w:tbl>
      <w:tblPr>
        <w:tblW w:w="5000" w:type="pct"/>
        <w:jc w:val="left"/>
        <w:tblInd w:w="0" w:type="dxa"/>
        <w:tblLayout w:type="fixed"/>
        <w:tblCellMar>
          <w:top w:w="0" w:type="dxa"/>
          <w:left w:w="0" w:type="dxa"/>
          <w:bottom w:w="0" w:type="dxa"/>
          <w:right w:w="0" w:type="dxa"/>
        </w:tblCellMar>
      </w:tblPr>
      <w:tblGrid>
        <w:gridCol w:w="67"/>
        <w:gridCol w:w="251"/>
        <w:gridCol w:w="9887"/>
      </w:tblGrid>
      <w:tr>
        <w:trPr/>
        <w:tc>
          <w:tcPr>
            <w:tcW w:w="67"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20"/>
              </w:rPr>
            </w:pPr>
            <w:r>
              <w:rPr>
                <w:sz w:val="20"/>
              </w:rPr>
              <w:t>(4)</w:t>
            </w:r>
          </w:p>
        </w:tc>
        <w:tc>
          <w:tcPr>
            <w:tcW w:w="9887" w:type="dxa"/>
            <w:tcBorders/>
            <w:vAlign w:val="center"/>
          </w:tcPr>
          <w:p>
            <w:pPr>
              <w:pStyle w:val="TableContents"/>
              <w:bidi w:val="0"/>
              <w:spacing w:before="0" w:after="283"/>
              <w:jc w:val="both"/>
              <w:rPr>
                <w:sz w:val="20"/>
              </w:rPr>
            </w:pPr>
            <w:r>
              <w:rPr>
                <w:sz w:val="20"/>
              </w:rPr>
              <w:t>Represents RSUs granted under the 2021 Plan that were unvested as of December 31, 2025. These RSUs were part of an award that vests one-third on each of November 8, 2025, 2026 and 2027.</w:t>
            </w:r>
          </w:p>
        </w:tc>
      </w:tr>
    </w:tbl>
    <w:tbl>
      <w:tblPr>
        <w:tblW w:w="5000" w:type="pct"/>
        <w:jc w:val="left"/>
        <w:tblInd w:w="0" w:type="dxa"/>
        <w:tblLayout w:type="fixed"/>
        <w:tblCellMar>
          <w:top w:w="0" w:type="dxa"/>
          <w:left w:w="0" w:type="dxa"/>
          <w:bottom w:w="0" w:type="dxa"/>
          <w:right w:w="0" w:type="dxa"/>
        </w:tblCellMar>
      </w:tblPr>
      <w:tblGrid>
        <w:gridCol w:w="67"/>
        <w:gridCol w:w="251"/>
        <w:gridCol w:w="9887"/>
      </w:tblGrid>
      <w:tr>
        <w:trPr/>
        <w:tc>
          <w:tcPr>
            <w:tcW w:w="67"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20"/>
              </w:rPr>
            </w:pPr>
            <w:r>
              <w:rPr>
                <w:sz w:val="20"/>
              </w:rPr>
              <w:t>(5)</w:t>
            </w:r>
          </w:p>
        </w:tc>
        <w:tc>
          <w:tcPr>
            <w:tcW w:w="9887" w:type="dxa"/>
            <w:tcBorders/>
            <w:vAlign w:val="center"/>
          </w:tcPr>
          <w:p>
            <w:pPr>
              <w:pStyle w:val="TableContents"/>
              <w:bidi w:val="0"/>
              <w:spacing w:before="0" w:after="283"/>
              <w:jc w:val="both"/>
              <w:rPr>
                <w:sz w:val="20"/>
              </w:rPr>
            </w:pPr>
            <w:r>
              <w:rPr>
                <w:sz w:val="20"/>
              </w:rPr>
              <w:t>Represents RSUs granted under the 2021 Plan that were unvested as of December 31, 2025. These RSUs were part of an award that vests one-third on each of August 10, 2026, 2027 and 2028.</w:t>
            </w:r>
          </w:p>
        </w:tc>
      </w:tr>
    </w:tbl>
    <w:tbl>
      <w:tblPr>
        <w:tblW w:w="5000" w:type="pct"/>
        <w:jc w:val="left"/>
        <w:tblInd w:w="0" w:type="dxa"/>
        <w:tblLayout w:type="fixed"/>
        <w:tblCellMar>
          <w:top w:w="0" w:type="dxa"/>
          <w:left w:w="0" w:type="dxa"/>
          <w:bottom w:w="0" w:type="dxa"/>
          <w:right w:w="0" w:type="dxa"/>
        </w:tblCellMar>
      </w:tblPr>
      <w:tblGrid>
        <w:gridCol w:w="67"/>
        <w:gridCol w:w="231"/>
        <w:gridCol w:w="9907"/>
      </w:tblGrid>
      <w:tr>
        <w:trPr/>
        <w:tc>
          <w:tcPr>
            <w:tcW w:w="67"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20"/>
              </w:rPr>
            </w:pPr>
            <w:r>
              <w:rPr>
                <w:sz w:val="20"/>
              </w:rPr>
              <w:t>(6)</w:t>
            </w:r>
          </w:p>
        </w:tc>
        <w:tc>
          <w:tcPr>
            <w:tcW w:w="9907" w:type="dxa"/>
            <w:tcBorders/>
            <w:vAlign w:val="center"/>
          </w:tcPr>
          <w:p>
            <w:pPr>
              <w:pStyle w:val="TableContents"/>
              <w:bidi w:val="0"/>
              <w:spacing w:before="0" w:after="283"/>
              <w:jc w:val="both"/>
              <w:rPr>
                <w:sz w:val="20"/>
              </w:rPr>
            </w:pPr>
            <w:r>
              <w:rPr>
                <w:sz w:val="20"/>
              </w:rPr>
              <w:t xml:space="preserve">Represents stock options granted that vest one-third on each of November 8, 2025, 2026 and 2027, subject to the NEO’s continued employment with or services to us or one of our affiliates through the vesting date. 232,557 options are treated as incentive stock options (ISOs). ISOs are intended to qualify for favorable tax treatment under Section 422 of the Internal Revenue Code of 1986, as amended (the “Code”). </w:t>
            </w:r>
          </w:p>
        </w:tc>
      </w:tr>
    </w:tbl>
    <w:tbl>
      <w:tblPr>
        <w:tblW w:w="5000" w:type="pct"/>
        <w:jc w:val="left"/>
        <w:tblInd w:w="0" w:type="dxa"/>
        <w:tblLayout w:type="fixed"/>
        <w:tblCellMar>
          <w:top w:w="0" w:type="dxa"/>
          <w:left w:w="0" w:type="dxa"/>
          <w:bottom w:w="0" w:type="dxa"/>
          <w:right w:w="0" w:type="dxa"/>
        </w:tblCellMar>
      </w:tblPr>
      <w:tblGrid>
        <w:gridCol w:w="67"/>
        <w:gridCol w:w="249"/>
        <w:gridCol w:w="9889"/>
      </w:tblGrid>
      <w:tr>
        <w:trPr/>
        <w:tc>
          <w:tcPr>
            <w:tcW w:w="67"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20"/>
              </w:rPr>
            </w:pPr>
            <w:r>
              <w:rPr>
                <w:sz w:val="20"/>
              </w:rPr>
              <w:t>(7)</w:t>
            </w:r>
          </w:p>
        </w:tc>
        <w:tc>
          <w:tcPr>
            <w:tcW w:w="9889" w:type="dxa"/>
            <w:tcBorders/>
            <w:vAlign w:val="center"/>
          </w:tcPr>
          <w:p>
            <w:pPr>
              <w:pStyle w:val="TableContents"/>
              <w:bidi w:val="0"/>
              <w:spacing w:before="0" w:after="283"/>
              <w:jc w:val="both"/>
              <w:rPr>
                <w:sz w:val="20"/>
              </w:rPr>
            </w:pPr>
            <w:r>
              <w:rPr>
                <w:sz w:val="20"/>
              </w:rPr>
              <w:t>Represents stock options that vest one-third on each of March 15, 2024, 2025 and 2026, subject to the NEO’s continued employment with or services to us or one of our affiliates through the vesting date.</w:t>
            </w:r>
          </w:p>
        </w:tc>
      </w:tr>
    </w:tbl>
    <w:tbl>
      <w:tblPr>
        <w:tblW w:w="5000" w:type="pct"/>
        <w:jc w:val="left"/>
        <w:tblInd w:w="0" w:type="dxa"/>
        <w:tblLayout w:type="fixed"/>
        <w:tblCellMar>
          <w:top w:w="0" w:type="dxa"/>
          <w:left w:w="0" w:type="dxa"/>
          <w:bottom w:w="0" w:type="dxa"/>
          <w:right w:w="0" w:type="dxa"/>
        </w:tblCellMar>
      </w:tblPr>
      <w:tblGrid>
        <w:gridCol w:w="67"/>
        <w:gridCol w:w="249"/>
        <w:gridCol w:w="9889"/>
      </w:tblGrid>
      <w:tr>
        <w:trPr/>
        <w:tc>
          <w:tcPr>
            <w:tcW w:w="67"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20"/>
              </w:rPr>
            </w:pPr>
            <w:r>
              <w:rPr>
                <w:sz w:val="20"/>
              </w:rPr>
              <w:t>(8)</w:t>
            </w:r>
          </w:p>
        </w:tc>
        <w:tc>
          <w:tcPr>
            <w:tcW w:w="9889" w:type="dxa"/>
            <w:tcBorders/>
            <w:vAlign w:val="center"/>
          </w:tcPr>
          <w:p>
            <w:pPr>
              <w:pStyle w:val="TableContents"/>
              <w:bidi w:val="0"/>
              <w:spacing w:before="0" w:after="283"/>
              <w:jc w:val="both"/>
              <w:rPr>
                <w:sz w:val="20"/>
              </w:rPr>
            </w:pPr>
            <w:r>
              <w:rPr>
                <w:sz w:val="20"/>
              </w:rPr>
              <w:t>Represents stocks options that vest one-third on each of August 9, 2024, 2025 and 2026, subject to the NEO’s continued employment with or services to us or one of our affiliates through the vesting date.</w:t>
            </w:r>
          </w:p>
        </w:tc>
      </w:tr>
    </w:tbl>
    <w:tbl>
      <w:tblPr>
        <w:tblW w:w="5000" w:type="pct"/>
        <w:jc w:val="left"/>
        <w:tblInd w:w="0" w:type="dxa"/>
        <w:tblLayout w:type="fixed"/>
        <w:tblCellMar>
          <w:top w:w="0" w:type="dxa"/>
          <w:left w:w="0" w:type="dxa"/>
          <w:bottom w:w="0" w:type="dxa"/>
          <w:right w:w="0" w:type="dxa"/>
        </w:tblCellMar>
      </w:tblPr>
      <w:tblGrid>
        <w:gridCol w:w="67"/>
        <w:gridCol w:w="251"/>
        <w:gridCol w:w="9887"/>
      </w:tblGrid>
      <w:tr>
        <w:trPr/>
        <w:tc>
          <w:tcPr>
            <w:tcW w:w="67"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20"/>
              </w:rPr>
            </w:pPr>
            <w:r>
              <w:rPr>
                <w:sz w:val="20"/>
              </w:rPr>
              <w:t>(9)</w:t>
            </w:r>
          </w:p>
        </w:tc>
        <w:tc>
          <w:tcPr>
            <w:tcW w:w="9887" w:type="dxa"/>
            <w:tcBorders/>
            <w:vAlign w:val="center"/>
          </w:tcPr>
          <w:p>
            <w:pPr>
              <w:pStyle w:val="TableContents"/>
              <w:bidi w:val="0"/>
              <w:spacing w:before="0" w:after="283"/>
              <w:jc w:val="both"/>
              <w:rPr>
                <w:sz w:val="20"/>
              </w:rPr>
            </w:pPr>
            <w:r>
              <w:rPr>
                <w:sz w:val="20"/>
              </w:rPr>
              <w:t>Represents RSUs granted under the 2021 Plan that were unvested as of December 31, 2025. These RSUs were part of an award that vests one-third on each of December 31, 2025, 2026 and 2027.</w:t>
            </w:r>
          </w:p>
        </w:tc>
      </w:tr>
    </w:tbl>
    <w:tbl>
      <w:tblPr>
        <w:tblW w:w="5000" w:type="pct"/>
        <w:jc w:val="left"/>
        <w:tblInd w:w="0" w:type="dxa"/>
        <w:tblLayout w:type="fixed"/>
        <w:tblCellMar>
          <w:top w:w="0" w:type="dxa"/>
          <w:left w:w="0" w:type="dxa"/>
          <w:bottom w:w="0" w:type="dxa"/>
          <w:right w:w="0" w:type="dxa"/>
        </w:tblCellMar>
      </w:tblPr>
      <w:tblGrid>
        <w:gridCol w:w="69"/>
        <w:gridCol w:w="449"/>
        <w:gridCol w:w="9687"/>
      </w:tblGrid>
      <w:tr>
        <w:trPr/>
        <w:tc>
          <w:tcPr>
            <w:tcW w:w="6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pPr>
            <w:r>
              <w:rPr/>
              <w:t>(10)</w:t>
            </w:r>
          </w:p>
        </w:tc>
        <w:tc>
          <w:tcPr>
            <w:tcW w:w="9687" w:type="dxa"/>
            <w:tcBorders/>
            <w:vAlign w:val="center"/>
          </w:tcPr>
          <w:p>
            <w:pPr>
              <w:pStyle w:val="TableContents"/>
              <w:bidi w:val="0"/>
              <w:spacing w:before="0" w:after="283"/>
              <w:jc w:val="both"/>
              <w:rPr/>
            </w:pPr>
            <w:r>
              <w:rPr/>
              <w:t>Represents stock options that vested in equal installments on each of July 23, 2022, 2023 and 2024.</w:t>
            </w:r>
          </w:p>
        </w:tc>
      </w:tr>
    </w:tbl>
    <w:tbl>
      <w:tblPr>
        <w:tblW w:w="590" w:type="dxa"/>
        <w:jc w:val="left"/>
        <w:tblInd w:w="0" w:type="dxa"/>
        <w:tblLayout w:type="fixed"/>
        <w:tblCellMar>
          <w:top w:w="0" w:type="dxa"/>
          <w:left w:w="0" w:type="dxa"/>
          <w:bottom w:w="0" w:type="dxa"/>
          <w:right w:w="0" w:type="dxa"/>
        </w:tblCellMar>
      </w:tblPr>
      <w:tblGrid>
        <w:gridCol w:w="105"/>
        <w:gridCol w:w="350"/>
        <w:gridCol w:w="135"/>
      </w:tblGrid>
      <w:tr>
        <w:trPr/>
        <w:tc>
          <w:tcPr>
            <w:tcW w:w="10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 </w:t>
            </w:r>
            <w:r>
              <w:rPr/>
              <w:t>33</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67"/>
        <w:gridCol w:w="388"/>
        <w:gridCol w:w="9750"/>
      </w:tblGrid>
      <w:tr>
        <w:trPr/>
        <w:tc>
          <w:tcPr>
            <w:tcW w:w="67"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pPr>
            <w:r>
              <w:rPr/>
              <w:t>(11)</w:t>
            </w:r>
          </w:p>
        </w:tc>
        <w:tc>
          <w:tcPr>
            <w:tcW w:w="9750" w:type="dxa"/>
            <w:tcBorders/>
            <w:vAlign w:val="center"/>
          </w:tcPr>
          <w:p>
            <w:pPr>
              <w:pStyle w:val="TableContents"/>
              <w:bidi w:val="0"/>
              <w:spacing w:before="0" w:after="283"/>
              <w:jc w:val="both"/>
              <w:rPr/>
            </w:pPr>
            <w:r>
              <w:rPr/>
              <w:t>Represents RSUs granted under the 2021 Plan that were unvested as of December 31, 2025. These RSUs were part of an award that vests on each of January 31, 2024, 2025 and 2026, subject to the NEO’s continued employment with or services to us or one of our affiliates through the vesting date.</w:t>
            </w:r>
          </w:p>
        </w:tc>
      </w:tr>
    </w:tbl>
    <w:tbl>
      <w:tblPr>
        <w:tblW w:w="5000" w:type="pct"/>
        <w:jc w:val="left"/>
        <w:tblInd w:w="0" w:type="dxa"/>
        <w:tblLayout w:type="fixed"/>
        <w:tblCellMar>
          <w:top w:w="0" w:type="dxa"/>
          <w:left w:w="0" w:type="dxa"/>
          <w:bottom w:w="0" w:type="dxa"/>
          <w:right w:w="0" w:type="dxa"/>
        </w:tblCellMar>
      </w:tblPr>
      <w:tblGrid>
        <w:gridCol w:w="67"/>
        <w:gridCol w:w="384"/>
        <w:gridCol w:w="9754"/>
      </w:tblGrid>
      <w:tr>
        <w:trPr/>
        <w:tc>
          <w:tcPr>
            <w:tcW w:w="67"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pPr>
            <w:r>
              <w:rPr/>
              <w:t>(12)</w:t>
            </w:r>
          </w:p>
        </w:tc>
        <w:tc>
          <w:tcPr>
            <w:tcW w:w="9754" w:type="dxa"/>
            <w:tcBorders/>
            <w:vAlign w:val="center"/>
          </w:tcPr>
          <w:p>
            <w:pPr>
              <w:pStyle w:val="TableContents"/>
              <w:bidi w:val="0"/>
              <w:spacing w:before="0" w:after="283"/>
              <w:jc w:val="both"/>
              <w:rPr/>
            </w:pPr>
            <w:r>
              <w:rPr/>
              <w:t>Represents shares earned under PSUs granted pursuant to the 2023 long term incentive plan. These shares were earned following certification of the applicable performance goals by the Compensation Committee. These earned PSUs remain subject to the NEO’s continued employment with or services to us or one of our affiliates through the vesting date.</w:t>
            </w:r>
          </w:p>
        </w:tc>
      </w:tr>
    </w:tbl>
    <w:tbl>
      <w:tblPr>
        <w:tblW w:w="5000" w:type="pct"/>
        <w:jc w:val="left"/>
        <w:tblInd w:w="0" w:type="dxa"/>
        <w:tblLayout w:type="fixed"/>
        <w:tblCellMar>
          <w:top w:w="0" w:type="dxa"/>
          <w:left w:w="0" w:type="dxa"/>
          <w:bottom w:w="0" w:type="dxa"/>
          <w:right w:w="0" w:type="dxa"/>
        </w:tblCellMar>
      </w:tblPr>
      <w:tblGrid>
        <w:gridCol w:w="67"/>
        <w:gridCol w:w="400"/>
        <w:gridCol w:w="9738"/>
      </w:tblGrid>
      <w:tr>
        <w:trPr/>
        <w:tc>
          <w:tcPr>
            <w:tcW w:w="67"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pPr>
            <w:r>
              <w:rPr/>
              <w:t>(13)</w:t>
            </w:r>
          </w:p>
        </w:tc>
        <w:tc>
          <w:tcPr>
            <w:tcW w:w="9738" w:type="dxa"/>
            <w:tcBorders/>
            <w:vAlign w:val="center"/>
          </w:tcPr>
          <w:p>
            <w:pPr>
              <w:pStyle w:val="TableContents"/>
              <w:bidi w:val="0"/>
              <w:spacing w:before="0" w:after="283"/>
              <w:jc w:val="both"/>
              <w:rPr/>
            </w:pPr>
            <w:r>
              <w:rPr/>
              <w:t>Represents stock options that vest one-third on each of April 21, 2026, 2027 and 2028, subject to the NEO’s continued employment with or services to us or one of our affiliates through the vesting date.</w:t>
            </w:r>
          </w:p>
        </w:tc>
      </w:tr>
    </w:tbl>
    <w:tbl>
      <w:tblPr>
        <w:tblW w:w="5000" w:type="pct"/>
        <w:jc w:val="left"/>
        <w:tblInd w:w="0" w:type="dxa"/>
        <w:tblLayout w:type="fixed"/>
        <w:tblCellMar>
          <w:top w:w="0" w:type="dxa"/>
          <w:left w:w="0" w:type="dxa"/>
          <w:bottom w:w="0" w:type="dxa"/>
          <w:right w:w="0" w:type="dxa"/>
        </w:tblCellMar>
      </w:tblPr>
      <w:tblGrid>
        <w:gridCol w:w="67"/>
        <w:gridCol w:w="402"/>
        <w:gridCol w:w="9736"/>
      </w:tblGrid>
      <w:tr>
        <w:trPr/>
        <w:tc>
          <w:tcPr>
            <w:tcW w:w="67"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pPr>
            <w:r>
              <w:rPr/>
              <w:t>(14)</w:t>
            </w:r>
          </w:p>
        </w:tc>
        <w:tc>
          <w:tcPr>
            <w:tcW w:w="9736" w:type="dxa"/>
            <w:tcBorders/>
            <w:vAlign w:val="center"/>
          </w:tcPr>
          <w:p>
            <w:pPr>
              <w:pStyle w:val="TableContents"/>
              <w:bidi w:val="0"/>
              <w:spacing w:before="0" w:after="283"/>
              <w:jc w:val="both"/>
              <w:rPr/>
            </w:pPr>
            <w:r>
              <w:rPr/>
              <w:t>Represents RSUs granted under the 2021 Plan that were unvested as of December 31, 2025. These RSUs were part of an award that vests one-third on each of April 21, 2026, 2027 and 2028.</w:t>
            </w:r>
          </w:p>
        </w:tc>
      </w:tr>
    </w:tbl>
    <w:p>
      <w:pPr>
        <w:pStyle w:val="TextBody"/>
        <w:bidi w:val="0"/>
        <w:spacing w:before="240" w:after="240"/>
        <w:ind w:left="240" w:right="240" w:hanging="0"/>
        <w:jc w:val="left"/>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Option Exercises and Stock Vested</w:t>
      </w:r>
    </w:p>
    <w:p>
      <w:pPr>
        <w:pStyle w:val="TextBody"/>
        <w:bidi w:val="0"/>
        <w:spacing w:before="240" w:after="240"/>
        <w:ind w:left="240" w:right="24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contains information about the equity awards accounted for under ASC 718 held by our NEOs that vested during Fiscal 2025.</w:t>
      </w:r>
    </w:p>
    <w:tbl>
      <w:tblPr>
        <w:tblW w:w="10205" w:type="dxa"/>
        <w:jc w:val="left"/>
        <w:tblInd w:w="0" w:type="dxa"/>
        <w:tblLayout w:type="fixed"/>
        <w:tblCellMar>
          <w:top w:w="0" w:type="dxa"/>
          <w:left w:w="0" w:type="dxa"/>
          <w:bottom w:w="0" w:type="dxa"/>
          <w:right w:w="0" w:type="dxa"/>
        </w:tblCellMar>
      </w:tblPr>
      <w:tblGrid>
        <w:gridCol w:w="1231"/>
        <w:gridCol w:w="90"/>
        <w:gridCol w:w="2446"/>
        <w:gridCol w:w="90"/>
        <w:gridCol w:w="1780"/>
        <w:gridCol w:w="90"/>
        <w:gridCol w:w="2446"/>
        <w:gridCol w:w="90"/>
        <w:gridCol w:w="1942"/>
      </w:tblGrid>
      <w:tr>
        <w:trPr/>
        <w:tc>
          <w:tcPr>
            <w:tcW w:w="123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316" w:type="dxa"/>
            <w:gridSpan w:val="3"/>
            <w:tcBorders>
              <w:bottom w:val="single" w:sz="12" w:space="0" w:color="000000"/>
            </w:tcBorders>
            <w:tcMar>
              <w:bottom w:w="28" w:type="dxa"/>
            </w:tcMar>
            <w:vAlign w:val="center"/>
          </w:tcPr>
          <w:p>
            <w:pPr>
              <w:pStyle w:val="TableContents"/>
              <w:bidi w:val="0"/>
              <w:spacing w:before="0" w:after="283"/>
              <w:jc w:val="center"/>
              <w:rPr>
                <w:b/>
                <w:sz w:val="16"/>
              </w:rPr>
            </w:pPr>
            <w:r>
              <w:rPr>
                <w:b/>
                <w:sz w:val="16"/>
              </w:rPr>
              <w:t>Option Awards</w:t>
            </w:r>
          </w:p>
        </w:tc>
        <w:tc>
          <w:tcPr>
            <w:tcW w:w="90" w:type="dxa"/>
            <w:tcBorders/>
            <w:vAlign w:val="center"/>
          </w:tcPr>
          <w:p>
            <w:pPr>
              <w:pStyle w:val="TableContents"/>
              <w:bidi w:val="0"/>
              <w:spacing w:before="0" w:after="283"/>
              <w:jc w:val="left"/>
              <w:rPr/>
            </w:pPr>
            <w:r>
              <w:rPr/>
              <w:t> </w:t>
            </w:r>
          </w:p>
        </w:tc>
        <w:tc>
          <w:tcPr>
            <w:tcW w:w="4478" w:type="dxa"/>
            <w:gridSpan w:val="3"/>
            <w:tcBorders>
              <w:bottom w:val="single" w:sz="12" w:space="0" w:color="000000"/>
            </w:tcBorders>
            <w:tcMar>
              <w:bottom w:w="28" w:type="dxa"/>
            </w:tcMar>
            <w:vAlign w:val="center"/>
          </w:tcPr>
          <w:p>
            <w:pPr>
              <w:pStyle w:val="TableContents"/>
              <w:bidi w:val="0"/>
              <w:spacing w:before="0" w:after="283"/>
              <w:jc w:val="center"/>
              <w:rPr>
                <w:b/>
                <w:sz w:val="16"/>
              </w:rPr>
            </w:pPr>
            <w:r>
              <w:rPr>
                <w:b/>
                <w:sz w:val="16"/>
              </w:rPr>
              <w:t>Stock Awards</w:t>
            </w:r>
          </w:p>
        </w:tc>
      </w:tr>
      <w:tr>
        <w:trPr/>
        <w:tc>
          <w:tcPr>
            <w:tcW w:w="1231" w:type="dxa"/>
            <w:tcBorders>
              <w:bottom w:val="single" w:sz="12" w:space="0" w:color="000000"/>
            </w:tcBorders>
            <w:tcMar>
              <w:bottom w:w="28" w:type="dxa"/>
            </w:tcMar>
            <w:vAlign w:val="center"/>
          </w:tcPr>
          <w:p>
            <w:pPr>
              <w:pStyle w:val="TableContents"/>
              <w:bidi w:val="0"/>
              <w:spacing w:before="0" w:after="283"/>
              <w:jc w:val="left"/>
              <w:rPr>
                <w:b/>
                <w:sz w:val="16"/>
              </w:rPr>
            </w:pPr>
            <w:r>
              <w:rPr>
                <w:b/>
                <w:sz w:val="16"/>
              </w:rPr>
              <w:t>Name</w:t>
            </w:r>
          </w:p>
        </w:tc>
        <w:tc>
          <w:tcPr>
            <w:tcW w:w="90" w:type="dxa"/>
            <w:tcBorders/>
            <w:vAlign w:val="center"/>
          </w:tcPr>
          <w:p>
            <w:pPr>
              <w:pStyle w:val="TableContents"/>
              <w:bidi w:val="0"/>
              <w:spacing w:before="0" w:after="283"/>
              <w:jc w:val="left"/>
              <w:rPr/>
            </w:pPr>
            <w:r>
              <w:rPr/>
              <w:t> </w:t>
            </w:r>
          </w:p>
        </w:tc>
        <w:tc>
          <w:tcPr>
            <w:tcW w:w="2446" w:type="dxa"/>
            <w:tcBorders>
              <w:bottom w:val="single" w:sz="12" w:space="0" w:color="000000"/>
            </w:tcBorders>
            <w:tcMar>
              <w:bottom w:w="28" w:type="dxa"/>
            </w:tcMar>
            <w:vAlign w:val="center"/>
          </w:tcPr>
          <w:p>
            <w:pPr>
              <w:pStyle w:val="TableContents"/>
              <w:bidi w:val="0"/>
              <w:spacing w:before="0" w:after="283"/>
              <w:jc w:val="center"/>
              <w:rPr>
                <w:b/>
                <w:sz w:val="16"/>
              </w:rPr>
            </w:pPr>
            <w:r>
              <w:rPr>
                <w:b/>
                <w:sz w:val="16"/>
              </w:rPr>
              <w:t>Number of Shares Acquired on Exercise (#)</w:t>
            </w:r>
          </w:p>
        </w:tc>
        <w:tc>
          <w:tcPr>
            <w:tcW w:w="90" w:type="dxa"/>
            <w:tcBorders/>
            <w:vAlign w:val="center"/>
          </w:tcPr>
          <w:p>
            <w:pPr>
              <w:pStyle w:val="TableContents"/>
              <w:bidi w:val="0"/>
              <w:spacing w:before="0" w:after="283"/>
              <w:jc w:val="left"/>
              <w:rPr/>
            </w:pPr>
            <w:r>
              <w:rPr/>
              <w:t> </w:t>
            </w:r>
          </w:p>
        </w:tc>
        <w:tc>
          <w:tcPr>
            <w:tcW w:w="1780" w:type="dxa"/>
            <w:tcBorders>
              <w:bottom w:val="single" w:sz="12" w:space="0" w:color="000000"/>
            </w:tcBorders>
            <w:tcMar>
              <w:bottom w:w="28" w:type="dxa"/>
            </w:tcMar>
            <w:vAlign w:val="center"/>
          </w:tcPr>
          <w:p>
            <w:pPr>
              <w:pStyle w:val="TableContents"/>
              <w:bidi w:val="0"/>
              <w:spacing w:before="0" w:after="283"/>
              <w:jc w:val="center"/>
              <w:rPr>
                <w:b/>
                <w:sz w:val="16"/>
              </w:rPr>
            </w:pPr>
            <w:r>
              <w:rPr>
                <w:b/>
                <w:sz w:val="16"/>
              </w:rPr>
              <w:t>Value Realized on Exercise ($)</w:t>
            </w:r>
          </w:p>
        </w:tc>
        <w:tc>
          <w:tcPr>
            <w:tcW w:w="90" w:type="dxa"/>
            <w:tcBorders/>
            <w:vAlign w:val="center"/>
          </w:tcPr>
          <w:p>
            <w:pPr>
              <w:pStyle w:val="TableContents"/>
              <w:bidi w:val="0"/>
              <w:spacing w:before="0" w:after="283"/>
              <w:jc w:val="left"/>
              <w:rPr/>
            </w:pPr>
            <w:r>
              <w:rPr/>
              <w:t> </w:t>
            </w:r>
          </w:p>
        </w:tc>
        <w:tc>
          <w:tcPr>
            <w:tcW w:w="2446" w:type="dxa"/>
            <w:tcBorders>
              <w:bottom w:val="single" w:sz="12" w:space="0" w:color="000000"/>
            </w:tcBorders>
            <w:tcMar>
              <w:bottom w:w="28" w:type="dxa"/>
            </w:tcMar>
            <w:vAlign w:val="center"/>
          </w:tcPr>
          <w:p>
            <w:pPr>
              <w:pStyle w:val="TableContents"/>
              <w:bidi w:val="0"/>
              <w:spacing w:before="0" w:after="283"/>
              <w:jc w:val="center"/>
              <w:rPr>
                <w:b/>
                <w:sz w:val="16"/>
              </w:rPr>
            </w:pPr>
            <w:r>
              <w:rPr>
                <w:b/>
                <w:sz w:val="16"/>
              </w:rPr>
              <w:t>Number of Shares Acquired on Exercise (#)</w:t>
            </w:r>
          </w:p>
        </w:tc>
        <w:tc>
          <w:tcPr>
            <w:tcW w:w="90" w:type="dxa"/>
            <w:tcBorders/>
            <w:vAlign w:val="center"/>
          </w:tcPr>
          <w:p>
            <w:pPr>
              <w:pStyle w:val="TableContents"/>
              <w:bidi w:val="0"/>
              <w:spacing w:before="0" w:after="283"/>
              <w:jc w:val="center"/>
              <w:rPr/>
            </w:pPr>
            <w:r>
              <w:rPr/>
              <w:t> </w:t>
            </w:r>
          </w:p>
        </w:tc>
        <w:tc>
          <w:tcPr>
            <w:tcW w:w="1942" w:type="dxa"/>
            <w:tcBorders>
              <w:bottom w:val="single" w:sz="12" w:space="0" w:color="000000"/>
            </w:tcBorders>
            <w:tcMar>
              <w:bottom w:w="28" w:type="dxa"/>
            </w:tcMar>
            <w:vAlign w:val="center"/>
          </w:tcPr>
          <w:p>
            <w:pPr>
              <w:pStyle w:val="TableContents"/>
              <w:bidi w:val="0"/>
              <w:spacing w:before="0" w:after="283"/>
              <w:jc w:val="center"/>
              <w:rPr>
                <w:b/>
                <w:sz w:val="16"/>
              </w:rPr>
            </w:pPr>
            <w:r>
              <w:rPr>
                <w:b/>
                <w:sz w:val="16"/>
              </w:rPr>
              <w:t>Value Realized on Exercise ($)</w:t>
            </w:r>
            <w:r>
              <w:rPr>
                <w:b/>
                <w:position w:val="5"/>
                <w:sz w:val="13"/>
                <w:sz w:val="16"/>
              </w:rPr>
              <w:t>(1)</w:t>
            </w:r>
          </w:p>
        </w:tc>
      </w:tr>
      <w:tr>
        <w:trPr/>
        <w:tc>
          <w:tcPr>
            <w:tcW w:w="1231" w:type="dxa"/>
            <w:tcBorders/>
            <w:shd w:fill="CCEEFF" w:val="clear"/>
            <w:vAlign w:val="center"/>
          </w:tcPr>
          <w:p>
            <w:pPr>
              <w:pStyle w:val="TableContents"/>
              <w:bidi w:val="0"/>
              <w:spacing w:before="0" w:after="283"/>
              <w:jc w:val="left"/>
              <w:rPr>
                <w:sz w:val="16"/>
              </w:rPr>
            </w:pPr>
            <w:r>
              <w:rPr>
                <w:sz w:val="16"/>
              </w:rPr>
              <w:t>Yang Wu</w:t>
            </w:r>
          </w:p>
        </w:tc>
        <w:tc>
          <w:tcPr>
            <w:tcW w:w="90" w:type="dxa"/>
            <w:tcBorders/>
            <w:shd w:fill="CCEEFF" w:val="clear"/>
            <w:vAlign w:val="center"/>
          </w:tcPr>
          <w:p>
            <w:pPr>
              <w:pStyle w:val="TableContents"/>
              <w:bidi w:val="0"/>
              <w:spacing w:before="0" w:after="283"/>
              <w:jc w:val="left"/>
              <w:rPr/>
            </w:pPr>
            <w:r>
              <w:rPr/>
              <w:t> </w:t>
            </w:r>
          </w:p>
        </w:tc>
        <w:tc>
          <w:tcPr>
            <w:tcW w:w="2446" w:type="dxa"/>
            <w:tcBorders/>
            <w:shd w:fill="CCEEFF" w:val="clear"/>
            <w:vAlign w:val="center"/>
          </w:tcPr>
          <w:p>
            <w:pPr>
              <w:pStyle w:val="TableContents"/>
              <w:bidi w:val="0"/>
              <w:spacing w:before="0" w:after="283"/>
              <w:jc w:val="center"/>
              <w:rPr/>
            </w:pPr>
            <w:r>
              <w:rPr/>
              <w:t>—</w:t>
            </w:r>
          </w:p>
        </w:tc>
        <w:tc>
          <w:tcPr>
            <w:tcW w:w="90" w:type="dxa"/>
            <w:tcBorders/>
            <w:shd w:fill="CCEEFF" w:val="clear"/>
            <w:vAlign w:val="center"/>
          </w:tcPr>
          <w:p>
            <w:pPr>
              <w:pStyle w:val="TableContents"/>
              <w:bidi w:val="0"/>
              <w:spacing w:before="0" w:after="283"/>
              <w:jc w:val="center"/>
              <w:rPr/>
            </w:pPr>
            <w:r>
              <w:rPr/>
              <w:t> </w:t>
            </w:r>
          </w:p>
        </w:tc>
        <w:tc>
          <w:tcPr>
            <w:tcW w:w="1780" w:type="dxa"/>
            <w:tcBorders/>
            <w:shd w:fill="CCEEFF" w:val="clear"/>
            <w:vAlign w:val="center"/>
          </w:tcPr>
          <w:p>
            <w:pPr>
              <w:pStyle w:val="TableContents"/>
              <w:bidi w:val="0"/>
              <w:spacing w:before="0" w:after="283"/>
              <w:jc w:val="center"/>
              <w:rPr/>
            </w:pPr>
            <w:r>
              <w:rPr/>
              <w:t>—</w:t>
            </w:r>
          </w:p>
        </w:tc>
        <w:tc>
          <w:tcPr>
            <w:tcW w:w="90" w:type="dxa"/>
            <w:tcBorders/>
            <w:shd w:fill="CCEEFF" w:val="clear"/>
            <w:vAlign w:val="center"/>
          </w:tcPr>
          <w:p>
            <w:pPr>
              <w:pStyle w:val="TableContents"/>
              <w:bidi w:val="0"/>
              <w:spacing w:before="0" w:after="283"/>
              <w:jc w:val="center"/>
              <w:rPr/>
            </w:pPr>
            <w:r>
              <w:rPr/>
              <w:t> </w:t>
            </w:r>
          </w:p>
        </w:tc>
        <w:tc>
          <w:tcPr>
            <w:tcW w:w="2446" w:type="dxa"/>
            <w:tcBorders/>
            <w:shd w:fill="CCEEFF" w:val="clear"/>
            <w:vAlign w:val="center"/>
          </w:tcPr>
          <w:p>
            <w:pPr>
              <w:pStyle w:val="TableContents"/>
              <w:bidi w:val="0"/>
              <w:spacing w:before="0" w:after="283"/>
              <w:jc w:val="center"/>
              <w:rPr/>
            </w:pPr>
            <w:r>
              <w:rPr/>
              <w:t>—</w:t>
            </w:r>
          </w:p>
        </w:tc>
        <w:tc>
          <w:tcPr>
            <w:tcW w:w="90" w:type="dxa"/>
            <w:tcBorders/>
            <w:shd w:fill="CCEEFF" w:val="clear"/>
            <w:vAlign w:val="center"/>
          </w:tcPr>
          <w:p>
            <w:pPr>
              <w:pStyle w:val="TableContents"/>
              <w:bidi w:val="0"/>
              <w:spacing w:before="0" w:after="283"/>
              <w:jc w:val="center"/>
              <w:rPr/>
            </w:pPr>
            <w:r>
              <w:rPr/>
              <w:t> </w:t>
            </w:r>
          </w:p>
        </w:tc>
        <w:tc>
          <w:tcPr>
            <w:tcW w:w="1942" w:type="dxa"/>
            <w:tcBorders/>
            <w:shd w:fill="CCEEFF" w:val="clear"/>
            <w:vAlign w:val="center"/>
          </w:tcPr>
          <w:p>
            <w:pPr>
              <w:pStyle w:val="TableContents"/>
              <w:bidi w:val="0"/>
              <w:spacing w:before="0" w:after="283"/>
              <w:jc w:val="center"/>
              <w:rPr/>
            </w:pPr>
            <w:r>
              <w:rPr/>
              <w:t>—</w:t>
            </w:r>
          </w:p>
        </w:tc>
      </w:tr>
      <w:tr>
        <w:trPr/>
        <w:tc>
          <w:tcPr>
            <w:tcW w:w="1231" w:type="dxa"/>
            <w:tcBorders/>
            <w:shd w:fill="FFFFFF" w:val="clear"/>
            <w:vAlign w:val="center"/>
          </w:tcPr>
          <w:p>
            <w:pPr>
              <w:pStyle w:val="TableContents"/>
              <w:bidi w:val="0"/>
              <w:spacing w:before="0" w:after="283"/>
              <w:jc w:val="left"/>
              <w:rPr>
                <w:sz w:val="16"/>
              </w:rPr>
            </w:pPr>
            <w:r>
              <w:rPr>
                <w:sz w:val="16"/>
              </w:rPr>
              <w:t>Rodney Worthen</w:t>
            </w:r>
          </w:p>
        </w:tc>
        <w:tc>
          <w:tcPr>
            <w:tcW w:w="90" w:type="dxa"/>
            <w:tcBorders/>
            <w:shd w:fill="FFFFFF" w:val="clear"/>
            <w:vAlign w:val="center"/>
          </w:tcPr>
          <w:p>
            <w:pPr>
              <w:pStyle w:val="TableContents"/>
              <w:bidi w:val="0"/>
              <w:spacing w:before="0" w:after="283"/>
              <w:jc w:val="left"/>
              <w:rPr/>
            </w:pPr>
            <w:r>
              <w:rPr/>
              <w:t> </w:t>
            </w:r>
          </w:p>
        </w:tc>
        <w:tc>
          <w:tcPr>
            <w:tcW w:w="2446" w:type="dxa"/>
            <w:tcBorders/>
            <w:shd w:fill="FFFFFF" w:val="clear"/>
            <w:vAlign w:val="center"/>
          </w:tcPr>
          <w:p>
            <w:pPr>
              <w:pStyle w:val="TableContents"/>
              <w:bidi w:val="0"/>
              <w:spacing w:before="0" w:after="283"/>
              <w:jc w:val="center"/>
              <w:rPr/>
            </w:pPr>
            <w:r>
              <w:rPr/>
              <w:t>—</w:t>
            </w:r>
          </w:p>
        </w:tc>
        <w:tc>
          <w:tcPr>
            <w:tcW w:w="90" w:type="dxa"/>
            <w:tcBorders/>
            <w:shd w:fill="FFFFFF" w:val="clear"/>
            <w:vAlign w:val="center"/>
          </w:tcPr>
          <w:p>
            <w:pPr>
              <w:pStyle w:val="TableContents"/>
              <w:bidi w:val="0"/>
              <w:spacing w:before="0" w:after="283"/>
              <w:jc w:val="center"/>
              <w:rPr/>
            </w:pPr>
            <w:r>
              <w:rPr/>
              <w:t> </w:t>
            </w:r>
          </w:p>
        </w:tc>
        <w:tc>
          <w:tcPr>
            <w:tcW w:w="1780" w:type="dxa"/>
            <w:tcBorders/>
            <w:shd w:fill="FFFFFF" w:val="clear"/>
            <w:vAlign w:val="center"/>
          </w:tcPr>
          <w:p>
            <w:pPr>
              <w:pStyle w:val="TableContents"/>
              <w:bidi w:val="0"/>
              <w:spacing w:before="0" w:after="283"/>
              <w:jc w:val="center"/>
              <w:rPr/>
            </w:pPr>
            <w:r>
              <w:rPr/>
              <w:t>—</w:t>
            </w:r>
          </w:p>
        </w:tc>
        <w:tc>
          <w:tcPr>
            <w:tcW w:w="90" w:type="dxa"/>
            <w:tcBorders/>
            <w:shd w:fill="FFFFFF" w:val="clear"/>
            <w:vAlign w:val="center"/>
          </w:tcPr>
          <w:p>
            <w:pPr>
              <w:pStyle w:val="TableContents"/>
              <w:bidi w:val="0"/>
              <w:spacing w:before="0" w:after="283"/>
              <w:jc w:val="center"/>
              <w:rPr/>
            </w:pPr>
            <w:r>
              <w:rPr/>
              <w:t> </w:t>
            </w:r>
          </w:p>
        </w:tc>
        <w:tc>
          <w:tcPr>
            <w:tcW w:w="2446" w:type="dxa"/>
            <w:tcBorders/>
            <w:shd w:fill="FFFFFF" w:val="clear"/>
            <w:vAlign w:val="center"/>
          </w:tcPr>
          <w:p>
            <w:pPr>
              <w:pStyle w:val="TableContents"/>
              <w:bidi w:val="0"/>
              <w:spacing w:before="0" w:after="283"/>
              <w:jc w:val="center"/>
              <w:rPr>
                <w:sz w:val="16"/>
              </w:rPr>
            </w:pPr>
            <w:r>
              <w:rPr>
                <w:sz w:val="16"/>
              </w:rPr>
              <w:t>6,460</w:t>
            </w:r>
          </w:p>
        </w:tc>
        <w:tc>
          <w:tcPr>
            <w:tcW w:w="90" w:type="dxa"/>
            <w:tcBorders/>
            <w:shd w:fill="FFFFFF" w:val="clear"/>
            <w:vAlign w:val="center"/>
          </w:tcPr>
          <w:p>
            <w:pPr>
              <w:pStyle w:val="TableContents"/>
              <w:bidi w:val="0"/>
              <w:spacing w:before="0" w:after="283"/>
              <w:jc w:val="center"/>
              <w:rPr/>
            </w:pPr>
            <w:r>
              <w:rPr/>
              <w:t> </w:t>
            </w:r>
          </w:p>
        </w:tc>
        <w:tc>
          <w:tcPr>
            <w:tcW w:w="1942" w:type="dxa"/>
            <w:tcBorders/>
            <w:shd w:fill="FFFFFF" w:val="clear"/>
            <w:vAlign w:val="center"/>
          </w:tcPr>
          <w:p>
            <w:pPr>
              <w:pStyle w:val="TableContents"/>
              <w:bidi w:val="0"/>
              <w:spacing w:before="0" w:after="283"/>
              <w:jc w:val="center"/>
              <w:rPr>
                <w:sz w:val="16"/>
              </w:rPr>
            </w:pPr>
            <w:r>
              <w:rPr>
                <w:sz w:val="16"/>
              </w:rPr>
              <w:t>31,848</w:t>
            </w:r>
          </w:p>
        </w:tc>
      </w:tr>
      <w:tr>
        <w:trPr/>
        <w:tc>
          <w:tcPr>
            <w:tcW w:w="1231" w:type="dxa"/>
            <w:tcBorders/>
            <w:shd w:fill="CCEEFF" w:val="clear"/>
            <w:vAlign w:val="center"/>
          </w:tcPr>
          <w:p>
            <w:pPr>
              <w:pStyle w:val="TableContents"/>
              <w:bidi w:val="0"/>
              <w:spacing w:before="0" w:after="283"/>
              <w:jc w:val="left"/>
              <w:rPr>
                <w:sz w:val="16"/>
              </w:rPr>
            </w:pPr>
            <w:r>
              <w:rPr>
                <w:sz w:val="16"/>
              </w:rPr>
              <w:t>Isida Tushe</w:t>
            </w:r>
          </w:p>
        </w:tc>
        <w:tc>
          <w:tcPr>
            <w:tcW w:w="90" w:type="dxa"/>
            <w:tcBorders/>
            <w:shd w:fill="CCEEFF" w:val="clear"/>
            <w:vAlign w:val="center"/>
          </w:tcPr>
          <w:p>
            <w:pPr>
              <w:pStyle w:val="TableContents"/>
              <w:bidi w:val="0"/>
              <w:spacing w:before="0" w:after="283"/>
              <w:jc w:val="left"/>
              <w:rPr/>
            </w:pPr>
            <w:r>
              <w:rPr/>
              <w:t> </w:t>
            </w:r>
          </w:p>
        </w:tc>
        <w:tc>
          <w:tcPr>
            <w:tcW w:w="2446" w:type="dxa"/>
            <w:tcBorders/>
            <w:shd w:fill="CCEEFF" w:val="clear"/>
            <w:vAlign w:val="center"/>
          </w:tcPr>
          <w:p>
            <w:pPr>
              <w:pStyle w:val="TableContents"/>
              <w:bidi w:val="0"/>
              <w:spacing w:before="0" w:after="283"/>
              <w:jc w:val="center"/>
              <w:rPr/>
            </w:pPr>
            <w:r>
              <w:rPr/>
              <w:t>—</w:t>
            </w:r>
          </w:p>
        </w:tc>
        <w:tc>
          <w:tcPr>
            <w:tcW w:w="90" w:type="dxa"/>
            <w:tcBorders/>
            <w:shd w:fill="CCEEFF" w:val="clear"/>
            <w:vAlign w:val="center"/>
          </w:tcPr>
          <w:p>
            <w:pPr>
              <w:pStyle w:val="TableContents"/>
              <w:bidi w:val="0"/>
              <w:spacing w:before="0" w:after="283"/>
              <w:jc w:val="center"/>
              <w:rPr/>
            </w:pPr>
            <w:r>
              <w:rPr/>
              <w:t> </w:t>
            </w:r>
          </w:p>
        </w:tc>
        <w:tc>
          <w:tcPr>
            <w:tcW w:w="1780" w:type="dxa"/>
            <w:tcBorders/>
            <w:shd w:fill="CCEEFF" w:val="clear"/>
            <w:vAlign w:val="center"/>
          </w:tcPr>
          <w:p>
            <w:pPr>
              <w:pStyle w:val="TableContents"/>
              <w:bidi w:val="0"/>
              <w:spacing w:before="0" w:after="283"/>
              <w:jc w:val="center"/>
              <w:rPr/>
            </w:pPr>
            <w:r>
              <w:rPr/>
              <w:t>—</w:t>
            </w:r>
          </w:p>
        </w:tc>
        <w:tc>
          <w:tcPr>
            <w:tcW w:w="90" w:type="dxa"/>
            <w:tcBorders/>
            <w:shd w:fill="CCEEFF" w:val="clear"/>
            <w:vAlign w:val="center"/>
          </w:tcPr>
          <w:p>
            <w:pPr>
              <w:pStyle w:val="TableContents"/>
              <w:bidi w:val="0"/>
              <w:spacing w:before="0" w:after="283"/>
              <w:jc w:val="center"/>
              <w:rPr/>
            </w:pPr>
            <w:r>
              <w:rPr/>
              <w:t> </w:t>
            </w:r>
          </w:p>
        </w:tc>
        <w:tc>
          <w:tcPr>
            <w:tcW w:w="2446" w:type="dxa"/>
            <w:tcBorders/>
            <w:shd w:fill="CCEEFF" w:val="clear"/>
            <w:vAlign w:val="center"/>
          </w:tcPr>
          <w:p>
            <w:pPr>
              <w:pStyle w:val="TableContents"/>
              <w:bidi w:val="0"/>
              <w:spacing w:before="0" w:after="283"/>
              <w:jc w:val="center"/>
              <w:rPr>
                <w:sz w:val="16"/>
              </w:rPr>
            </w:pPr>
            <w:r>
              <w:rPr>
                <w:sz w:val="16"/>
              </w:rPr>
              <w:t>33,334</w:t>
            </w:r>
          </w:p>
        </w:tc>
        <w:tc>
          <w:tcPr>
            <w:tcW w:w="90" w:type="dxa"/>
            <w:tcBorders/>
            <w:shd w:fill="CCEEFF" w:val="clear"/>
            <w:vAlign w:val="center"/>
          </w:tcPr>
          <w:p>
            <w:pPr>
              <w:pStyle w:val="TableContents"/>
              <w:bidi w:val="0"/>
              <w:spacing w:before="0" w:after="283"/>
              <w:jc w:val="center"/>
              <w:rPr/>
            </w:pPr>
            <w:r>
              <w:rPr/>
              <w:t> </w:t>
            </w:r>
          </w:p>
        </w:tc>
        <w:tc>
          <w:tcPr>
            <w:tcW w:w="1942" w:type="dxa"/>
            <w:tcBorders/>
            <w:shd w:fill="CCEEFF" w:val="clear"/>
            <w:vAlign w:val="center"/>
          </w:tcPr>
          <w:p>
            <w:pPr>
              <w:pStyle w:val="TableContents"/>
              <w:bidi w:val="0"/>
              <w:spacing w:before="0" w:after="283"/>
              <w:jc w:val="center"/>
              <w:rPr>
                <w:sz w:val="16"/>
              </w:rPr>
            </w:pPr>
            <w:r>
              <w:rPr>
                <w:sz w:val="16"/>
              </w:rPr>
              <w:t>93,335</w:t>
            </w:r>
          </w:p>
        </w:tc>
      </w:tr>
      <w:tr>
        <w:trPr/>
        <w:tc>
          <w:tcPr>
            <w:tcW w:w="1231" w:type="dxa"/>
            <w:tcBorders/>
            <w:vAlign w:val="center"/>
          </w:tcPr>
          <w:p>
            <w:pPr>
              <w:pStyle w:val="TableContents"/>
              <w:bidi w:val="0"/>
              <w:spacing w:before="0" w:after="283"/>
              <w:jc w:val="left"/>
              <w:rPr>
                <w:sz w:val="16"/>
              </w:rPr>
            </w:pPr>
            <w:r>
              <w:rPr>
                <w:sz w:val="16"/>
              </w:rPr>
              <w:t>Dr. Shengxian Wu</w:t>
            </w:r>
          </w:p>
        </w:tc>
        <w:tc>
          <w:tcPr>
            <w:tcW w:w="90" w:type="dxa"/>
            <w:tcBorders/>
            <w:vAlign w:val="center"/>
          </w:tcPr>
          <w:p>
            <w:pPr>
              <w:pStyle w:val="TableContents"/>
              <w:bidi w:val="0"/>
              <w:spacing w:before="0" w:after="283"/>
              <w:jc w:val="left"/>
              <w:rPr/>
            </w:pPr>
            <w:r>
              <w:rPr/>
              <w:t> </w:t>
            </w:r>
          </w:p>
        </w:tc>
        <w:tc>
          <w:tcPr>
            <w:tcW w:w="2446" w:type="dxa"/>
            <w:tcBorders/>
            <w:vAlign w:val="center"/>
          </w:tcPr>
          <w:p>
            <w:pPr>
              <w:pStyle w:val="TableContents"/>
              <w:bidi w:val="0"/>
              <w:spacing w:before="0" w:after="283"/>
              <w:jc w:val="center"/>
              <w:rPr/>
            </w:pPr>
            <w:r>
              <w:rPr/>
              <w:t>—</w:t>
            </w:r>
          </w:p>
        </w:tc>
        <w:tc>
          <w:tcPr>
            <w:tcW w:w="90" w:type="dxa"/>
            <w:tcBorders/>
            <w:vAlign w:val="center"/>
          </w:tcPr>
          <w:p>
            <w:pPr>
              <w:pStyle w:val="TableContents"/>
              <w:bidi w:val="0"/>
              <w:spacing w:before="0" w:after="283"/>
              <w:jc w:val="center"/>
              <w:rPr/>
            </w:pPr>
            <w:r>
              <w:rPr/>
              <w:t> </w:t>
            </w:r>
          </w:p>
        </w:tc>
        <w:tc>
          <w:tcPr>
            <w:tcW w:w="1780" w:type="dxa"/>
            <w:tcBorders/>
            <w:vAlign w:val="center"/>
          </w:tcPr>
          <w:p>
            <w:pPr>
              <w:pStyle w:val="TableContents"/>
              <w:bidi w:val="0"/>
              <w:spacing w:before="0" w:after="283"/>
              <w:jc w:val="center"/>
              <w:rPr/>
            </w:pPr>
            <w:r>
              <w:rPr/>
              <w:t>—</w:t>
            </w:r>
          </w:p>
        </w:tc>
        <w:tc>
          <w:tcPr>
            <w:tcW w:w="90" w:type="dxa"/>
            <w:tcBorders/>
            <w:vAlign w:val="center"/>
          </w:tcPr>
          <w:p>
            <w:pPr>
              <w:pStyle w:val="TableContents"/>
              <w:bidi w:val="0"/>
              <w:spacing w:before="0" w:after="283"/>
              <w:jc w:val="center"/>
              <w:rPr/>
            </w:pPr>
            <w:r>
              <w:rPr/>
              <w:t> </w:t>
            </w:r>
          </w:p>
        </w:tc>
        <w:tc>
          <w:tcPr>
            <w:tcW w:w="2446" w:type="dxa"/>
            <w:tcBorders/>
            <w:vAlign w:val="center"/>
          </w:tcPr>
          <w:p>
            <w:pPr>
              <w:pStyle w:val="TableContents"/>
              <w:bidi w:val="0"/>
              <w:spacing w:before="0" w:after="283"/>
              <w:jc w:val="center"/>
              <w:rPr>
                <w:sz w:val="16"/>
              </w:rPr>
            </w:pPr>
            <w:r>
              <w:rPr>
                <w:sz w:val="16"/>
              </w:rPr>
              <w:t>1,464</w:t>
            </w:r>
          </w:p>
        </w:tc>
        <w:tc>
          <w:tcPr>
            <w:tcW w:w="90" w:type="dxa"/>
            <w:tcBorders/>
            <w:vAlign w:val="center"/>
          </w:tcPr>
          <w:p>
            <w:pPr>
              <w:pStyle w:val="TableContents"/>
              <w:bidi w:val="0"/>
              <w:spacing w:before="0" w:after="283"/>
              <w:jc w:val="center"/>
              <w:rPr/>
            </w:pPr>
            <w:r>
              <w:rPr/>
              <w:t> </w:t>
            </w:r>
          </w:p>
        </w:tc>
        <w:tc>
          <w:tcPr>
            <w:tcW w:w="1942" w:type="dxa"/>
            <w:tcBorders/>
            <w:vAlign w:val="center"/>
          </w:tcPr>
          <w:p>
            <w:pPr>
              <w:pStyle w:val="TableContents"/>
              <w:bidi w:val="0"/>
              <w:spacing w:before="0" w:after="283"/>
              <w:jc w:val="center"/>
              <w:rPr>
                <w:sz w:val="16"/>
              </w:rPr>
            </w:pPr>
            <w:r>
              <w:rPr>
                <w:sz w:val="16"/>
              </w:rPr>
              <w:t>3,030</w:t>
            </w:r>
          </w:p>
        </w:tc>
      </w:tr>
      <w:tr>
        <w:trPr/>
        <w:tc>
          <w:tcPr>
            <w:tcW w:w="123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46" w:type="dxa"/>
            <w:tcBorders/>
            <w:vAlign w:val="center"/>
          </w:tcPr>
          <w:p>
            <w:pPr>
              <w:pStyle w:val="TableContents"/>
              <w:bidi w:val="0"/>
              <w:spacing w:before="0" w:after="283"/>
              <w:jc w:val="center"/>
              <w:rPr/>
            </w:pPr>
            <w:r>
              <w:rPr/>
              <w:t>—</w:t>
            </w:r>
          </w:p>
        </w:tc>
        <w:tc>
          <w:tcPr>
            <w:tcW w:w="90" w:type="dxa"/>
            <w:tcBorders/>
            <w:vAlign w:val="center"/>
          </w:tcPr>
          <w:p>
            <w:pPr>
              <w:pStyle w:val="TableContents"/>
              <w:bidi w:val="0"/>
              <w:spacing w:before="0" w:after="283"/>
              <w:jc w:val="center"/>
              <w:rPr/>
            </w:pPr>
            <w:r>
              <w:rPr/>
              <w:t> </w:t>
            </w:r>
          </w:p>
        </w:tc>
        <w:tc>
          <w:tcPr>
            <w:tcW w:w="1780" w:type="dxa"/>
            <w:tcBorders/>
            <w:vAlign w:val="center"/>
          </w:tcPr>
          <w:p>
            <w:pPr>
              <w:pStyle w:val="TableContents"/>
              <w:bidi w:val="0"/>
              <w:spacing w:before="0" w:after="283"/>
              <w:jc w:val="center"/>
              <w:rPr/>
            </w:pPr>
            <w:r>
              <w:rPr/>
              <w:t>—</w:t>
            </w:r>
          </w:p>
        </w:tc>
        <w:tc>
          <w:tcPr>
            <w:tcW w:w="90" w:type="dxa"/>
            <w:tcBorders/>
            <w:vAlign w:val="center"/>
          </w:tcPr>
          <w:p>
            <w:pPr>
              <w:pStyle w:val="TableContents"/>
              <w:bidi w:val="0"/>
              <w:spacing w:before="0" w:after="283"/>
              <w:jc w:val="center"/>
              <w:rPr/>
            </w:pPr>
            <w:r>
              <w:rPr/>
              <w:t> </w:t>
            </w:r>
          </w:p>
        </w:tc>
        <w:tc>
          <w:tcPr>
            <w:tcW w:w="2446" w:type="dxa"/>
            <w:tcBorders/>
            <w:vAlign w:val="center"/>
          </w:tcPr>
          <w:p>
            <w:pPr>
              <w:pStyle w:val="TableContents"/>
              <w:bidi w:val="0"/>
              <w:spacing w:before="0" w:after="283"/>
              <w:jc w:val="center"/>
              <w:rPr>
                <w:sz w:val="16"/>
              </w:rPr>
            </w:pPr>
            <w:r>
              <w:rPr>
                <w:sz w:val="16"/>
              </w:rPr>
              <w:t>13,333</w:t>
            </w:r>
          </w:p>
        </w:tc>
        <w:tc>
          <w:tcPr>
            <w:tcW w:w="90" w:type="dxa"/>
            <w:tcBorders/>
            <w:vAlign w:val="center"/>
          </w:tcPr>
          <w:p>
            <w:pPr>
              <w:pStyle w:val="TableContents"/>
              <w:bidi w:val="0"/>
              <w:spacing w:before="0" w:after="283"/>
              <w:jc w:val="center"/>
              <w:rPr/>
            </w:pPr>
            <w:r>
              <w:rPr/>
              <w:t> </w:t>
            </w:r>
          </w:p>
        </w:tc>
        <w:tc>
          <w:tcPr>
            <w:tcW w:w="1942" w:type="dxa"/>
            <w:tcBorders/>
            <w:vAlign w:val="center"/>
          </w:tcPr>
          <w:p>
            <w:pPr>
              <w:pStyle w:val="TableContents"/>
              <w:bidi w:val="0"/>
              <w:spacing w:before="0" w:after="283"/>
              <w:jc w:val="center"/>
              <w:rPr>
                <w:sz w:val="16"/>
              </w:rPr>
            </w:pPr>
            <w:r>
              <w:rPr>
                <w:sz w:val="16"/>
              </w:rPr>
              <w:t>20,133</w:t>
            </w:r>
          </w:p>
        </w:tc>
      </w:tr>
      <w:tr>
        <w:trPr/>
        <w:tc>
          <w:tcPr>
            <w:tcW w:w="123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46" w:type="dxa"/>
            <w:tcBorders/>
            <w:vAlign w:val="center"/>
          </w:tcPr>
          <w:p>
            <w:pPr>
              <w:pStyle w:val="TableContents"/>
              <w:bidi w:val="0"/>
              <w:spacing w:before="0" w:after="283"/>
              <w:jc w:val="center"/>
              <w:rPr/>
            </w:pPr>
            <w:r>
              <w:rPr/>
              <w:t>—</w:t>
            </w:r>
          </w:p>
        </w:tc>
        <w:tc>
          <w:tcPr>
            <w:tcW w:w="90" w:type="dxa"/>
            <w:tcBorders/>
            <w:vAlign w:val="center"/>
          </w:tcPr>
          <w:p>
            <w:pPr>
              <w:pStyle w:val="TableContents"/>
              <w:bidi w:val="0"/>
              <w:spacing w:before="0" w:after="283"/>
              <w:jc w:val="center"/>
              <w:rPr/>
            </w:pPr>
            <w:r>
              <w:rPr/>
              <w:t> </w:t>
            </w:r>
          </w:p>
        </w:tc>
        <w:tc>
          <w:tcPr>
            <w:tcW w:w="1780" w:type="dxa"/>
            <w:tcBorders/>
            <w:vAlign w:val="center"/>
          </w:tcPr>
          <w:p>
            <w:pPr>
              <w:pStyle w:val="TableContents"/>
              <w:bidi w:val="0"/>
              <w:spacing w:before="0" w:after="283"/>
              <w:jc w:val="center"/>
              <w:rPr/>
            </w:pPr>
            <w:r>
              <w:rPr/>
              <w:t>—</w:t>
            </w:r>
          </w:p>
        </w:tc>
        <w:tc>
          <w:tcPr>
            <w:tcW w:w="90" w:type="dxa"/>
            <w:tcBorders/>
            <w:vAlign w:val="center"/>
          </w:tcPr>
          <w:p>
            <w:pPr>
              <w:pStyle w:val="TableContents"/>
              <w:bidi w:val="0"/>
              <w:spacing w:before="0" w:after="283"/>
              <w:jc w:val="center"/>
              <w:rPr/>
            </w:pPr>
            <w:r>
              <w:rPr/>
              <w:t> </w:t>
            </w:r>
          </w:p>
        </w:tc>
        <w:tc>
          <w:tcPr>
            <w:tcW w:w="2446" w:type="dxa"/>
            <w:tcBorders/>
            <w:vAlign w:val="center"/>
          </w:tcPr>
          <w:p>
            <w:pPr>
              <w:pStyle w:val="TableContents"/>
              <w:bidi w:val="0"/>
              <w:spacing w:before="0" w:after="283"/>
              <w:jc w:val="center"/>
              <w:rPr>
                <w:sz w:val="16"/>
              </w:rPr>
            </w:pPr>
            <w:r>
              <w:rPr>
                <w:sz w:val="16"/>
              </w:rPr>
              <w:t>33,333</w:t>
            </w:r>
          </w:p>
        </w:tc>
        <w:tc>
          <w:tcPr>
            <w:tcW w:w="90" w:type="dxa"/>
            <w:tcBorders/>
            <w:vAlign w:val="center"/>
          </w:tcPr>
          <w:p>
            <w:pPr>
              <w:pStyle w:val="TableContents"/>
              <w:bidi w:val="0"/>
              <w:spacing w:before="0" w:after="283"/>
              <w:jc w:val="center"/>
              <w:rPr/>
            </w:pPr>
            <w:r>
              <w:rPr/>
              <w:t> </w:t>
            </w:r>
          </w:p>
        </w:tc>
        <w:tc>
          <w:tcPr>
            <w:tcW w:w="1942" w:type="dxa"/>
            <w:tcBorders/>
            <w:vAlign w:val="center"/>
          </w:tcPr>
          <w:p>
            <w:pPr>
              <w:pStyle w:val="TableContents"/>
              <w:bidi w:val="0"/>
              <w:spacing w:before="0" w:after="283"/>
              <w:jc w:val="center"/>
              <w:rPr>
                <w:sz w:val="16"/>
              </w:rPr>
            </w:pPr>
            <w:r>
              <w:rPr>
                <w:sz w:val="16"/>
              </w:rPr>
              <w:t>93,332</w:t>
            </w:r>
          </w:p>
        </w:tc>
      </w:tr>
      <w:tr>
        <w:trPr/>
        <w:tc>
          <w:tcPr>
            <w:tcW w:w="1231" w:type="dxa"/>
            <w:tcBorders/>
            <w:shd w:fill="CCEEFF" w:val="clear"/>
            <w:vAlign w:val="center"/>
          </w:tcPr>
          <w:p>
            <w:pPr>
              <w:pStyle w:val="TableContents"/>
              <w:bidi w:val="0"/>
              <w:spacing w:before="0" w:after="283"/>
              <w:jc w:val="left"/>
              <w:rPr>
                <w:sz w:val="16"/>
              </w:rPr>
            </w:pPr>
            <w:r>
              <w:rPr>
                <w:sz w:val="16"/>
              </w:rPr>
              <w:t>Dr. Wenjuan Mattis</w:t>
            </w:r>
          </w:p>
        </w:tc>
        <w:tc>
          <w:tcPr>
            <w:tcW w:w="90" w:type="dxa"/>
            <w:tcBorders/>
            <w:shd w:fill="CCEEFF" w:val="clear"/>
            <w:vAlign w:val="center"/>
          </w:tcPr>
          <w:p>
            <w:pPr>
              <w:pStyle w:val="TableContents"/>
              <w:bidi w:val="0"/>
              <w:spacing w:before="0" w:after="283"/>
              <w:jc w:val="left"/>
              <w:rPr/>
            </w:pPr>
            <w:r>
              <w:rPr/>
              <w:t> </w:t>
            </w:r>
          </w:p>
        </w:tc>
        <w:tc>
          <w:tcPr>
            <w:tcW w:w="2446" w:type="dxa"/>
            <w:tcBorders/>
            <w:shd w:fill="CCEEFF" w:val="clear"/>
            <w:vAlign w:val="center"/>
          </w:tcPr>
          <w:p>
            <w:pPr>
              <w:pStyle w:val="TableContents"/>
              <w:bidi w:val="0"/>
              <w:spacing w:before="0" w:after="283"/>
              <w:jc w:val="center"/>
              <w:rPr/>
            </w:pPr>
            <w:r>
              <w:rPr/>
              <w:t>—</w:t>
            </w:r>
          </w:p>
        </w:tc>
        <w:tc>
          <w:tcPr>
            <w:tcW w:w="90" w:type="dxa"/>
            <w:tcBorders/>
            <w:shd w:fill="CCEEFF" w:val="clear"/>
            <w:vAlign w:val="center"/>
          </w:tcPr>
          <w:p>
            <w:pPr>
              <w:pStyle w:val="TableContents"/>
              <w:bidi w:val="0"/>
              <w:spacing w:before="0" w:after="283"/>
              <w:jc w:val="center"/>
              <w:rPr/>
            </w:pPr>
            <w:r>
              <w:rPr/>
              <w:t> </w:t>
            </w:r>
          </w:p>
        </w:tc>
        <w:tc>
          <w:tcPr>
            <w:tcW w:w="1780" w:type="dxa"/>
            <w:tcBorders/>
            <w:shd w:fill="CCEEFF" w:val="clear"/>
            <w:vAlign w:val="center"/>
          </w:tcPr>
          <w:p>
            <w:pPr>
              <w:pStyle w:val="TableContents"/>
              <w:bidi w:val="0"/>
              <w:spacing w:before="0" w:after="283"/>
              <w:jc w:val="center"/>
              <w:rPr/>
            </w:pPr>
            <w:r>
              <w:rPr/>
              <w:t>—</w:t>
            </w:r>
          </w:p>
        </w:tc>
        <w:tc>
          <w:tcPr>
            <w:tcW w:w="90" w:type="dxa"/>
            <w:tcBorders/>
            <w:shd w:fill="CCEEFF" w:val="clear"/>
            <w:vAlign w:val="center"/>
          </w:tcPr>
          <w:p>
            <w:pPr>
              <w:pStyle w:val="TableContents"/>
              <w:bidi w:val="0"/>
              <w:spacing w:before="0" w:after="283"/>
              <w:jc w:val="center"/>
              <w:rPr/>
            </w:pPr>
            <w:r>
              <w:rPr/>
              <w:t> </w:t>
            </w:r>
          </w:p>
        </w:tc>
        <w:tc>
          <w:tcPr>
            <w:tcW w:w="2446" w:type="dxa"/>
            <w:tcBorders/>
            <w:shd w:fill="CCEEFF" w:val="clear"/>
            <w:vAlign w:val="center"/>
          </w:tcPr>
          <w:p>
            <w:pPr>
              <w:pStyle w:val="TableContents"/>
              <w:bidi w:val="0"/>
              <w:spacing w:before="0" w:after="283"/>
              <w:jc w:val="center"/>
              <w:rPr>
                <w:sz w:val="16"/>
              </w:rPr>
            </w:pPr>
            <w:r>
              <w:rPr>
                <w:sz w:val="16"/>
              </w:rPr>
              <w:t>33,333</w:t>
            </w:r>
          </w:p>
        </w:tc>
        <w:tc>
          <w:tcPr>
            <w:tcW w:w="90" w:type="dxa"/>
            <w:tcBorders/>
            <w:shd w:fill="CCEEFF" w:val="clear"/>
            <w:vAlign w:val="center"/>
          </w:tcPr>
          <w:p>
            <w:pPr>
              <w:pStyle w:val="TableContents"/>
              <w:bidi w:val="0"/>
              <w:spacing w:before="0" w:after="283"/>
              <w:jc w:val="center"/>
              <w:rPr/>
            </w:pPr>
            <w:r>
              <w:rPr/>
              <w:t> </w:t>
            </w:r>
          </w:p>
        </w:tc>
        <w:tc>
          <w:tcPr>
            <w:tcW w:w="1942" w:type="dxa"/>
            <w:tcBorders/>
            <w:shd w:fill="CCEEFF" w:val="clear"/>
            <w:vAlign w:val="center"/>
          </w:tcPr>
          <w:p>
            <w:pPr>
              <w:pStyle w:val="TableContents"/>
              <w:bidi w:val="0"/>
              <w:spacing w:before="0" w:after="283"/>
              <w:jc w:val="center"/>
              <w:rPr>
                <w:sz w:val="16"/>
              </w:rPr>
            </w:pPr>
            <w:r>
              <w:rPr>
                <w:sz w:val="16"/>
              </w:rPr>
              <w:t>93,332</w:t>
            </w:r>
          </w:p>
        </w:tc>
      </w:tr>
      <w:tr>
        <w:trPr/>
        <w:tc>
          <w:tcPr>
            <w:tcW w:w="1231" w:type="dxa"/>
            <w:tcBorders/>
            <w:vAlign w:val="center"/>
          </w:tcPr>
          <w:p>
            <w:pPr>
              <w:pStyle w:val="TableContents"/>
              <w:bidi w:val="0"/>
              <w:spacing w:before="0" w:after="283"/>
              <w:jc w:val="left"/>
              <w:rPr>
                <w:sz w:val="16"/>
              </w:rPr>
            </w:pPr>
            <w:r>
              <w:rPr>
                <w:sz w:val="16"/>
              </w:rPr>
              <w:t>Carl T. Schultz</w:t>
            </w:r>
          </w:p>
        </w:tc>
        <w:tc>
          <w:tcPr>
            <w:tcW w:w="90" w:type="dxa"/>
            <w:tcBorders/>
            <w:vAlign w:val="center"/>
          </w:tcPr>
          <w:p>
            <w:pPr>
              <w:pStyle w:val="TableContents"/>
              <w:bidi w:val="0"/>
              <w:spacing w:before="0" w:after="283"/>
              <w:jc w:val="left"/>
              <w:rPr/>
            </w:pPr>
            <w:r>
              <w:rPr/>
              <w:t> </w:t>
            </w:r>
          </w:p>
        </w:tc>
        <w:tc>
          <w:tcPr>
            <w:tcW w:w="2446" w:type="dxa"/>
            <w:tcBorders/>
            <w:vAlign w:val="center"/>
          </w:tcPr>
          <w:p>
            <w:pPr>
              <w:pStyle w:val="TableContents"/>
              <w:bidi w:val="0"/>
              <w:spacing w:before="0" w:after="283"/>
              <w:jc w:val="center"/>
              <w:rPr/>
            </w:pPr>
            <w:r>
              <w:rPr/>
              <w:t>—</w:t>
            </w:r>
          </w:p>
        </w:tc>
        <w:tc>
          <w:tcPr>
            <w:tcW w:w="90" w:type="dxa"/>
            <w:tcBorders/>
            <w:vAlign w:val="center"/>
          </w:tcPr>
          <w:p>
            <w:pPr>
              <w:pStyle w:val="TableContents"/>
              <w:bidi w:val="0"/>
              <w:spacing w:before="0" w:after="283"/>
              <w:jc w:val="center"/>
              <w:rPr/>
            </w:pPr>
            <w:r>
              <w:rPr/>
              <w:t> </w:t>
            </w:r>
          </w:p>
        </w:tc>
        <w:tc>
          <w:tcPr>
            <w:tcW w:w="1780" w:type="dxa"/>
            <w:tcBorders/>
            <w:vAlign w:val="center"/>
          </w:tcPr>
          <w:p>
            <w:pPr>
              <w:pStyle w:val="TableContents"/>
              <w:bidi w:val="0"/>
              <w:spacing w:before="0" w:after="283"/>
              <w:jc w:val="center"/>
              <w:rPr/>
            </w:pPr>
            <w:r>
              <w:rPr/>
              <w:t>—</w:t>
            </w:r>
          </w:p>
        </w:tc>
        <w:tc>
          <w:tcPr>
            <w:tcW w:w="90" w:type="dxa"/>
            <w:tcBorders/>
            <w:vAlign w:val="center"/>
          </w:tcPr>
          <w:p>
            <w:pPr>
              <w:pStyle w:val="TableContents"/>
              <w:bidi w:val="0"/>
              <w:spacing w:before="0" w:after="283"/>
              <w:jc w:val="center"/>
              <w:rPr/>
            </w:pPr>
            <w:r>
              <w:rPr/>
              <w:t> </w:t>
            </w:r>
          </w:p>
        </w:tc>
        <w:tc>
          <w:tcPr>
            <w:tcW w:w="2446" w:type="dxa"/>
            <w:tcBorders/>
            <w:vAlign w:val="center"/>
          </w:tcPr>
          <w:p>
            <w:pPr>
              <w:pStyle w:val="TableContents"/>
              <w:bidi w:val="0"/>
              <w:spacing w:before="0" w:after="283"/>
              <w:jc w:val="center"/>
              <w:rPr>
                <w:sz w:val="16"/>
              </w:rPr>
            </w:pPr>
            <w:r>
              <w:rPr>
                <w:sz w:val="16"/>
              </w:rPr>
              <w:t>33,333</w:t>
            </w:r>
          </w:p>
        </w:tc>
        <w:tc>
          <w:tcPr>
            <w:tcW w:w="90" w:type="dxa"/>
            <w:tcBorders/>
            <w:vAlign w:val="center"/>
          </w:tcPr>
          <w:p>
            <w:pPr>
              <w:pStyle w:val="TableContents"/>
              <w:bidi w:val="0"/>
              <w:spacing w:before="0" w:after="283"/>
              <w:jc w:val="center"/>
              <w:rPr/>
            </w:pPr>
            <w:r>
              <w:rPr/>
              <w:t> </w:t>
            </w:r>
          </w:p>
        </w:tc>
        <w:tc>
          <w:tcPr>
            <w:tcW w:w="1942" w:type="dxa"/>
            <w:tcBorders/>
            <w:vAlign w:val="center"/>
          </w:tcPr>
          <w:p>
            <w:pPr>
              <w:pStyle w:val="TableContents"/>
              <w:bidi w:val="0"/>
              <w:spacing w:before="0" w:after="283"/>
              <w:jc w:val="center"/>
              <w:rPr>
                <w:sz w:val="16"/>
              </w:rPr>
            </w:pPr>
            <w:r>
              <w:rPr>
                <w:sz w:val="16"/>
              </w:rPr>
              <w:t>93,332</w:t>
            </w:r>
          </w:p>
        </w:tc>
      </w:tr>
      <w:tr>
        <w:trPr/>
        <w:tc>
          <w:tcPr>
            <w:tcW w:w="1231" w:type="dxa"/>
            <w:tcBorders/>
            <w:shd w:fill="CCEEFF" w:val="clear"/>
            <w:vAlign w:val="center"/>
          </w:tcPr>
          <w:p>
            <w:pPr>
              <w:pStyle w:val="TableContents"/>
              <w:bidi w:val="0"/>
              <w:spacing w:before="0" w:after="283"/>
              <w:jc w:val="left"/>
              <w:rPr>
                <w:sz w:val="16"/>
              </w:rPr>
            </w:pPr>
            <w:r>
              <w:rPr>
                <w:sz w:val="16"/>
              </w:rPr>
              <w:t>Fariyal Khanbabi</w:t>
            </w:r>
          </w:p>
        </w:tc>
        <w:tc>
          <w:tcPr>
            <w:tcW w:w="90" w:type="dxa"/>
            <w:tcBorders/>
            <w:shd w:fill="CCEEFF" w:val="clear"/>
            <w:vAlign w:val="center"/>
          </w:tcPr>
          <w:p>
            <w:pPr>
              <w:pStyle w:val="TableContents"/>
              <w:bidi w:val="0"/>
              <w:spacing w:before="0" w:after="283"/>
              <w:jc w:val="left"/>
              <w:rPr/>
            </w:pPr>
            <w:r>
              <w:rPr/>
              <w:t> </w:t>
            </w:r>
          </w:p>
        </w:tc>
        <w:tc>
          <w:tcPr>
            <w:tcW w:w="2446" w:type="dxa"/>
            <w:tcBorders/>
            <w:shd w:fill="CCEEFF" w:val="clear"/>
            <w:vAlign w:val="center"/>
          </w:tcPr>
          <w:p>
            <w:pPr>
              <w:pStyle w:val="TableContents"/>
              <w:bidi w:val="0"/>
              <w:spacing w:before="0" w:after="283"/>
              <w:jc w:val="center"/>
              <w:rPr/>
            </w:pPr>
            <w:r>
              <w:rPr/>
              <w:t>—</w:t>
            </w:r>
          </w:p>
        </w:tc>
        <w:tc>
          <w:tcPr>
            <w:tcW w:w="90" w:type="dxa"/>
            <w:tcBorders/>
            <w:shd w:fill="CCEEFF" w:val="clear"/>
            <w:vAlign w:val="center"/>
          </w:tcPr>
          <w:p>
            <w:pPr>
              <w:pStyle w:val="TableContents"/>
              <w:bidi w:val="0"/>
              <w:spacing w:before="0" w:after="283"/>
              <w:jc w:val="center"/>
              <w:rPr/>
            </w:pPr>
            <w:r>
              <w:rPr/>
              <w:t> </w:t>
            </w:r>
          </w:p>
        </w:tc>
        <w:tc>
          <w:tcPr>
            <w:tcW w:w="1780" w:type="dxa"/>
            <w:tcBorders/>
            <w:shd w:fill="CCEEFF" w:val="clear"/>
            <w:vAlign w:val="center"/>
          </w:tcPr>
          <w:p>
            <w:pPr>
              <w:pStyle w:val="TableContents"/>
              <w:bidi w:val="0"/>
              <w:spacing w:before="0" w:after="283"/>
              <w:jc w:val="center"/>
              <w:rPr/>
            </w:pPr>
            <w:r>
              <w:rPr/>
              <w:t>—</w:t>
            </w:r>
          </w:p>
        </w:tc>
        <w:tc>
          <w:tcPr>
            <w:tcW w:w="90" w:type="dxa"/>
            <w:tcBorders/>
            <w:shd w:fill="CCEEFF" w:val="clear"/>
            <w:vAlign w:val="center"/>
          </w:tcPr>
          <w:p>
            <w:pPr>
              <w:pStyle w:val="TableContents"/>
              <w:bidi w:val="0"/>
              <w:spacing w:before="0" w:after="283"/>
              <w:jc w:val="center"/>
              <w:rPr/>
            </w:pPr>
            <w:r>
              <w:rPr/>
              <w:t> </w:t>
            </w:r>
          </w:p>
        </w:tc>
        <w:tc>
          <w:tcPr>
            <w:tcW w:w="2446" w:type="dxa"/>
            <w:tcBorders/>
            <w:shd w:fill="CCEEFF" w:val="clear"/>
            <w:vAlign w:val="center"/>
          </w:tcPr>
          <w:p>
            <w:pPr>
              <w:pStyle w:val="TableContents"/>
              <w:bidi w:val="0"/>
              <w:spacing w:before="0" w:after="283"/>
              <w:jc w:val="center"/>
              <w:rPr/>
            </w:pPr>
            <w:r>
              <w:rPr/>
              <w:t>—</w:t>
            </w:r>
          </w:p>
        </w:tc>
        <w:tc>
          <w:tcPr>
            <w:tcW w:w="90" w:type="dxa"/>
            <w:tcBorders/>
            <w:shd w:fill="CCEEFF" w:val="clear"/>
            <w:vAlign w:val="center"/>
          </w:tcPr>
          <w:p>
            <w:pPr>
              <w:pStyle w:val="TableContents"/>
              <w:bidi w:val="0"/>
              <w:spacing w:before="0" w:after="283"/>
              <w:jc w:val="center"/>
              <w:rPr/>
            </w:pPr>
            <w:r>
              <w:rPr/>
              <w:t> </w:t>
            </w:r>
          </w:p>
        </w:tc>
        <w:tc>
          <w:tcPr>
            <w:tcW w:w="1942" w:type="dxa"/>
            <w:tcBorders/>
            <w:shd w:fill="CCEEFF" w:val="clear"/>
            <w:vAlign w:val="center"/>
          </w:tcPr>
          <w:p>
            <w:pPr>
              <w:pStyle w:val="TableContents"/>
              <w:bidi w:val="0"/>
              <w:spacing w:before="0" w:after="283"/>
              <w:jc w:val="center"/>
              <w:rPr/>
            </w:pPr>
            <w:r>
              <w:rPr/>
              <w:t>—</w:t>
            </w:r>
          </w:p>
        </w:tc>
      </w:tr>
    </w:tbl>
    <w:tbl>
      <w:tblPr>
        <w:tblW w:w="5000" w:type="pct"/>
        <w:jc w:val="left"/>
        <w:tblInd w:w="0" w:type="dxa"/>
        <w:tblLayout w:type="fixed"/>
        <w:tblCellMar>
          <w:top w:w="0" w:type="dxa"/>
          <w:left w:w="0" w:type="dxa"/>
          <w:bottom w:w="0" w:type="dxa"/>
          <w:right w:w="0" w:type="dxa"/>
        </w:tblCellMar>
      </w:tblPr>
      <w:tblGrid>
        <w:gridCol w:w="93"/>
        <w:gridCol w:w="357"/>
        <w:gridCol w:w="9755"/>
      </w:tblGrid>
      <w:tr>
        <w:trPr/>
        <w:tc>
          <w:tcPr>
            <w:tcW w:w="93"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16"/>
              </w:rPr>
            </w:pPr>
            <w:r>
              <w:rPr>
                <w:sz w:val="16"/>
              </w:rPr>
              <w:t>(1)</w:t>
            </w:r>
          </w:p>
        </w:tc>
        <w:tc>
          <w:tcPr>
            <w:tcW w:w="9755" w:type="dxa"/>
            <w:tcBorders/>
            <w:vAlign w:val="center"/>
          </w:tcPr>
          <w:p>
            <w:pPr>
              <w:pStyle w:val="TableContents"/>
              <w:bidi w:val="0"/>
              <w:spacing w:before="0" w:after="283"/>
              <w:jc w:val="left"/>
              <w:rPr>
                <w:sz w:val="16"/>
              </w:rPr>
            </w:pPr>
            <w:r>
              <w:rPr>
                <w:sz w:val="16"/>
              </w:rPr>
              <w:t>The “value realized” upon vesting is based on the Company’s closing stock price on the vesting date.</w:t>
            </w:r>
          </w:p>
        </w:tc>
      </w:tr>
    </w:tbl>
    <w:p>
      <w:pPr>
        <w:pStyle w:val="TextBody"/>
        <w:bidi w:val="0"/>
        <w:spacing w:before="120" w:after="120"/>
        <w:ind w:left="120" w:right="120" w:hanging="0"/>
        <w:jc w:val="left"/>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Potential Payment Upon Termination or Change in Control</w:t>
      </w:r>
    </w:p>
    <w:p>
      <w:pPr>
        <w:pStyle w:val="TextBody"/>
        <w:bidi w:val="0"/>
        <w:spacing w:before="240" w:after="240"/>
        <w:ind w:left="240" w:right="24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Wu and Dr. Mattis are each a party to Employment Agreements. The following summarizes the contractual cash severance entitlement to Mr. Wu. and Dr. Mattis, upon a qualifying termination of employment:</w:t>
      </w:r>
    </w:p>
    <w:tbl>
      <w:tblPr>
        <w:tblW w:w="10205" w:type="dxa"/>
        <w:jc w:val="left"/>
        <w:tblInd w:w="-10" w:type="dxa"/>
        <w:tblLayout w:type="fixed"/>
        <w:tblCellMar>
          <w:top w:w="100" w:type="dxa"/>
          <w:left w:w="110" w:type="dxa"/>
          <w:bottom w:w="100" w:type="dxa"/>
          <w:right w:w="110" w:type="dxa"/>
        </w:tblCellMar>
      </w:tblPr>
      <w:tblGrid>
        <w:gridCol w:w="1232"/>
        <w:gridCol w:w="4463"/>
        <w:gridCol w:w="4510"/>
      </w:tblGrid>
      <w:tr>
        <w:trPr/>
        <w:tc>
          <w:tcPr>
            <w:tcW w:w="1232" w:type="dxa"/>
            <w:tcBorders>
              <w:top w:val="single" w:sz="8" w:space="0" w:color="164F78"/>
              <w:left w:val="single" w:sz="8" w:space="0" w:color="164F78"/>
              <w:bottom w:val="single" w:sz="8" w:space="0" w:color="164F78"/>
              <w:right w:val="single" w:sz="8" w:space="0" w:color="164F78"/>
            </w:tcBorders>
            <w:shd w:fill="164F78" w:val="clear"/>
            <w:vAlign w:val="center"/>
          </w:tcPr>
          <w:p>
            <w:pPr>
              <w:pStyle w:val="TableContents"/>
              <w:bidi w:val="0"/>
              <w:spacing w:lineRule="auto" w:line="276" w:before="0" w:after="283"/>
              <w:jc w:val="center"/>
              <w:rPr>
                <w:b/>
                <w:color w:val="FFFFFF"/>
                <w:sz w:val="16"/>
              </w:rPr>
            </w:pPr>
            <w:r>
              <w:rPr>
                <w:b/>
                <w:color w:val="FFFFFF"/>
                <w:sz w:val="16"/>
              </w:rPr>
              <w:t>Termination / Payout Provision</w:t>
            </w:r>
          </w:p>
        </w:tc>
        <w:tc>
          <w:tcPr>
            <w:tcW w:w="4463" w:type="dxa"/>
            <w:tcBorders>
              <w:top w:val="single" w:sz="8" w:space="0" w:color="164F78"/>
              <w:bottom w:val="single" w:sz="8" w:space="0" w:color="164F78"/>
              <w:right w:val="single" w:sz="8" w:space="0" w:color="164F78"/>
            </w:tcBorders>
            <w:shd w:fill="164F78" w:val="clear"/>
            <w:tcMar>
              <w:left w:w="0" w:type="dxa"/>
            </w:tcMar>
            <w:vAlign w:val="center"/>
          </w:tcPr>
          <w:p>
            <w:pPr>
              <w:pStyle w:val="TableContents"/>
              <w:bidi w:val="0"/>
              <w:spacing w:lineRule="auto" w:line="276" w:before="0" w:after="283"/>
              <w:jc w:val="center"/>
              <w:rPr>
                <w:b/>
                <w:color w:val="FFFFFF"/>
                <w:sz w:val="16"/>
              </w:rPr>
            </w:pPr>
            <w:r>
              <w:rPr>
                <w:b/>
                <w:color w:val="FFFFFF"/>
                <w:sz w:val="16"/>
              </w:rPr>
              <w:t>Yang Wu</w:t>
            </w:r>
          </w:p>
        </w:tc>
        <w:tc>
          <w:tcPr>
            <w:tcW w:w="4510" w:type="dxa"/>
            <w:tcBorders>
              <w:top w:val="single" w:sz="8" w:space="0" w:color="164F78"/>
              <w:bottom w:val="single" w:sz="8" w:space="0" w:color="164F78"/>
              <w:right w:val="single" w:sz="8" w:space="0" w:color="164F78"/>
            </w:tcBorders>
            <w:shd w:fill="164F78" w:val="clear"/>
            <w:tcMar>
              <w:left w:w="0" w:type="dxa"/>
            </w:tcMar>
            <w:vAlign w:val="center"/>
          </w:tcPr>
          <w:p>
            <w:pPr>
              <w:pStyle w:val="TableContents"/>
              <w:bidi w:val="0"/>
              <w:spacing w:lineRule="auto" w:line="276" w:before="0" w:after="283"/>
              <w:jc w:val="center"/>
              <w:rPr>
                <w:b/>
                <w:color w:val="FFFFFF"/>
                <w:sz w:val="16"/>
              </w:rPr>
            </w:pPr>
            <w:r>
              <w:rPr>
                <w:b/>
                <w:color w:val="FFFFFF"/>
                <w:sz w:val="16"/>
              </w:rPr>
              <w:t>Dr. Wenjuan Mattis</w:t>
            </w:r>
          </w:p>
        </w:tc>
      </w:tr>
      <w:tr>
        <w:trPr/>
        <w:tc>
          <w:tcPr>
            <w:tcW w:w="1232" w:type="dxa"/>
            <w:tcBorders>
              <w:left w:val="single" w:sz="8" w:space="0" w:color="D7E0E5"/>
              <w:bottom w:val="single" w:sz="8" w:space="0" w:color="D7E0E5"/>
              <w:right w:val="single" w:sz="8" w:space="0" w:color="D7E0E5"/>
            </w:tcBorders>
            <w:shd w:fill="FFFFFF" w:val="clear"/>
            <w:tcMar>
              <w:top w:w="0" w:type="dxa"/>
              <w:left w:w="105" w:type="dxa"/>
              <w:bottom w:w="95" w:type="dxa"/>
              <w:right w:w="105" w:type="dxa"/>
            </w:tcMar>
            <w:vAlign w:val="center"/>
          </w:tcPr>
          <w:p>
            <w:pPr>
              <w:pStyle w:val="TableContents"/>
              <w:bidi w:val="0"/>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Non-CIC Termination</w:t>
            </w:r>
          </w:p>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(Without Cause / Good Reason)</w:t>
            </w:r>
          </w:p>
        </w:tc>
        <w:tc>
          <w:tcPr>
            <w:tcW w:w="4463" w:type="dxa"/>
            <w:tcBorders>
              <w:bottom w:val="single" w:sz="8" w:space="0" w:color="D7E0E5"/>
              <w:right w:val="single" w:sz="8" w:space="0" w:color="D7E0E5"/>
            </w:tcBorders>
            <w:shd w:fill="FFFFFF" w:val="clear"/>
            <w:tcMar>
              <w:top w:w="0" w:type="dxa"/>
              <w:left w:w="0" w:type="dxa"/>
              <w:bottom w:w="95" w:type="dxa"/>
              <w:right w:w="105" w:type="dxa"/>
            </w:tcMar>
            <w:vAlign w:val="center"/>
          </w:tcPr>
          <w:p>
            <w:pPr>
              <w:pStyle w:val="TableContents"/>
              <w:bidi w:val="0"/>
              <w:spacing w:before="0" w:after="283"/>
              <w:jc w:val="left"/>
              <w:rPr>
                <w:sz w:val="16"/>
              </w:rPr>
            </w:pPr>
            <w:r>
              <w:rPr>
                <w:b/>
                <w:sz w:val="16"/>
              </w:rPr>
              <w:t>Cash Severance:</w:t>
            </w:r>
            <w:r>
              <w:rPr>
                <w:sz w:val="16"/>
              </w:rPr>
              <w:t xml:space="preserve"> 2.5x (base salary + greater of 3-year average annual bonus or target annual bonus).</w:t>
            </w:r>
          </w:p>
        </w:tc>
        <w:tc>
          <w:tcPr>
            <w:tcW w:w="4510" w:type="dxa"/>
            <w:tcBorders>
              <w:bottom w:val="single" w:sz="8" w:space="0" w:color="D7E0E5"/>
              <w:right w:val="single" w:sz="8" w:space="0" w:color="D7E0E5"/>
            </w:tcBorders>
            <w:shd w:fill="FFFFFF" w:val="clear"/>
            <w:tcMar>
              <w:top w:w="0" w:type="dxa"/>
              <w:left w:w="0" w:type="dxa"/>
              <w:bottom w:w="95" w:type="dxa"/>
              <w:right w:w="105" w:type="dxa"/>
            </w:tcMar>
            <w:vAlign w:val="center"/>
          </w:tcPr>
          <w:p>
            <w:pPr>
              <w:pStyle w:val="TableContents"/>
              <w:bidi w:val="0"/>
              <w:spacing w:before="0" w:after="283"/>
              <w:jc w:val="left"/>
              <w:rPr>
                <w:sz w:val="16"/>
              </w:rPr>
            </w:pPr>
            <w:r>
              <w:rPr>
                <w:b/>
                <w:sz w:val="16"/>
              </w:rPr>
              <w:t>Cash Severance:</w:t>
            </w:r>
            <w:r>
              <w:rPr>
                <w:sz w:val="16"/>
              </w:rPr>
              <w:t xml:space="preserve"> 1.5x (base salary + greater of 3-year average annual bonus or target annual bonus).</w:t>
            </w:r>
          </w:p>
        </w:tc>
      </w:tr>
      <w:tr>
        <w:trPr/>
        <w:tc>
          <w:tcPr>
            <w:tcW w:w="1232" w:type="dxa"/>
            <w:tcBorders>
              <w:left w:val="single" w:sz="8" w:space="0" w:color="D7E0E5"/>
              <w:bottom w:val="single" w:sz="8" w:space="0" w:color="D7E0E5"/>
              <w:right w:val="single" w:sz="8" w:space="0" w:color="D7E0E5"/>
            </w:tcBorders>
            <w:shd w:fill="FFFFFF" w:val="clear"/>
            <w:tcMar>
              <w:top w:w="0" w:type="dxa"/>
              <w:left w:w="105" w:type="dxa"/>
              <w:bottom w:w="95" w:type="dxa"/>
              <w:right w:w="105" w:type="dxa"/>
            </w:tcMar>
            <w:vAlign w:val="center"/>
          </w:tcPr>
          <w:p>
            <w:pPr>
              <w:pStyle w:val="TableContents"/>
              <w:bidi w:val="0"/>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CIC Termination</w:t>
            </w:r>
          </w:p>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(Without Cause / Good Reason)</w:t>
            </w:r>
          </w:p>
        </w:tc>
        <w:tc>
          <w:tcPr>
            <w:tcW w:w="4463" w:type="dxa"/>
            <w:tcBorders>
              <w:bottom w:val="single" w:sz="8" w:space="0" w:color="D7E0E5"/>
              <w:right w:val="single" w:sz="8" w:space="0" w:color="D7E0E5"/>
            </w:tcBorders>
            <w:shd w:fill="FFFFFF" w:val="clear"/>
            <w:tcMar>
              <w:top w:w="0" w:type="dxa"/>
              <w:left w:w="0" w:type="dxa"/>
              <w:bottom w:w="95" w:type="dxa"/>
              <w:right w:w="105" w:type="dxa"/>
            </w:tcMar>
            <w:vAlign w:val="center"/>
          </w:tcPr>
          <w:p>
            <w:pPr>
              <w:pStyle w:val="TableContents"/>
              <w:bidi w:val="0"/>
              <w:jc w:val="left"/>
              <w:rPr>
                <w:rFonts w:ascii="Times New Roman;Times;Serif" w:hAnsi="Times New Roman;Times;Serif"/>
                <w:b w:val="false"/>
                <w:i w:val="false"/>
                <w:caps w:val="false"/>
                <w:smallCaps w:val="false"/>
                <w:sz w:val="16"/>
              </w:rPr>
            </w:pPr>
            <w:r>
              <w:rPr>
                <w:rFonts w:ascii="Times New Roman;Times;Serif" w:hAnsi="Times New Roman;Times;Serif"/>
                <w:b/>
                <w:i w:val="false"/>
                <w:caps w:val="false"/>
                <w:smallCaps w:val="false"/>
                <w:sz w:val="16"/>
              </w:rPr>
              <w:t>Cash Severance:</w:t>
            </w:r>
            <w:r>
              <w:rPr>
                <w:rFonts w:ascii="Times New Roman;Times;Serif" w:hAnsi="Times New Roman;Times;Serif"/>
                <w:b w:val="false"/>
                <w:i w:val="false"/>
                <w:caps w:val="false"/>
                <w:smallCaps w:val="false"/>
                <w:sz w:val="16"/>
              </w:rPr>
              <w:t xml:space="preserve"> 3.0x (base salary + greater of 3-year average annual bonus or target annual bonus).</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Additional pro rata bonus equal to the greater of the 3-year average annual bonus or the annual bonus the executive would have earned for the year based on performance through termination, prorated for days worked. For a December 31 termination, the service fraction is 100%.</w:t>
            </w:r>
          </w:p>
        </w:tc>
        <w:tc>
          <w:tcPr>
            <w:tcW w:w="4510" w:type="dxa"/>
            <w:tcBorders>
              <w:bottom w:val="single" w:sz="8" w:space="0" w:color="D7E0E5"/>
              <w:right w:val="single" w:sz="8" w:space="0" w:color="D7E0E5"/>
            </w:tcBorders>
            <w:shd w:fill="FFFFFF" w:val="clear"/>
            <w:tcMar>
              <w:top w:w="0" w:type="dxa"/>
              <w:left w:w="0" w:type="dxa"/>
              <w:bottom w:w="95" w:type="dxa"/>
              <w:right w:w="105" w:type="dxa"/>
            </w:tcMar>
            <w:vAlign w:val="center"/>
          </w:tcPr>
          <w:p>
            <w:pPr>
              <w:pStyle w:val="TableContents"/>
              <w:bidi w:val="0"/>
              <w:jc w:val="left"/>
              <w:rPr>
                <w:rFonts w:ascii="Times New Roman;Times;Serif" w:hAnsi="Times New Roman;Times;Serif"/>
                <w:b w:val="false"/>
                <w:i w:val="false"/>
                <w:caps w:val="false"/>
                <w:smallCaps w:val="false"/>
                <w:sz w:val="16"/>
              </w:rPr>
            </w:pPr>
            <w:r>
              <w:rPr>
                <w:rFonts w:ascii="Times New Roman;Times;Serif" w:hAnsi="Times New Roman;Times;Serif"/>
                <w:b/>
                <w:i w:val="false"/>
                <w:caps w:val="false"/>
                <w:smallCaps w:val="false"/>
                <w:sz w:val="16"/>
              </w:rPr>
              <w:t>Cash Severance:</w:t>
            </w:r>
            <w:r>
              <w:rPr>
                <w:rFonts w:ascii="Times New Roman;Times;Serif" w:hAnsi="Times New Roman;Times;Serif"/>
                <w:b w:val="false"/>
                <w:i w:val="false"/>
                <w:caps w:val="false"/>
                <w:smallCaps w:val="false"/>
                <w:sz w:val="16"/>
              </w:rPr>
              <w:t xml:space="preserve"> 2.0x (base salary + greater of 3-year average annual bonus or target annual bonus).</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Additional pro rata bonus equal to the greater of the 3-year average annual bonus or the annual bonus the executive would have earned for the year based on performance through termination, prorated for days worked. For a December 31 termination, the service fraction is 100%.</w:t>
            </w:r>
          </w:p>
        </w:tc>
      </w:tr>
    </w:tbl>
    <w:p>
      <w:pPr>
        <w:pStyle w:val="TextBody"/>
        <w:bidi w:val="0"/>
        <w:spacing w:before="240" w:after="240"/>
        <w:ind w:left="240" w:right="240" w:hanging="0"/>
        <w:jc w:val="both"/>
        <w:rPr>
          <w:caps w:val="false"/>
          <w:smallCaps w:val="false"/>
        </w:rPr>
      </w:pPr>
      <w:r>
        <w:rPr>
          <w:caps w:val="false"/>
          <w:smallCaps w:val="false"/>
        </w:rPr>
        <w:t> </w:t>
      </w:r>
    </w:p>
    <w:tbl>
      <w:tblPr>
        <w:tblW w:w="590" w:type="dxa"/>
        <w:jc w:val="left"/>
        <w:tblInd w:w="0" w:type="dxa"/>
        <w:tblLayout w:type="fixed"/>
        <w:tblCellMar>
          <w:top w:w="0" w:type="dxa"/>
          <w:left w:w="0" w:type="dxa"/>
          <w:bottom w:w="0" w:type="dxa"/>
          <w:right w:w="0" w:type="dxa"/>
        </w:tblCellMar>
      </w:tblPr>
      <w:tblGrid>
        <w:gridCol w:w="105"/>
        <w:gridCol w:w="350"/>
        <w:gridCol w:w="135"/>
      </w:tblGrid>
      <w:tr>
        <w:trPr/>
        <w:tc>
          <w:tcPr>
            <w:tcW w:w="10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 </w:t>
            </w:r>
            <w:r>
              <w:rPr/>
              <w:t>34</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240" w:after="240"/>
        <w:ind w:left="240" w:right="24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treatment of outstanding stock options, time-based RSUs and performance-based RSUs under the applicable Microvast award agreements upon specified terminations of employment. The summary describes vesting, forfeiture and post-termination exercise provisions.</w:t>
      </w:r>
    </w:p>
    <w:tbl>
      <w:tblPr>
        <w:tblW w:w="10205" w:type="dxa"/>
        <w:jc w:val="left"/>
        <w:tblInd w:w="-10" w:type="dxa"/>
        <w:tblLayout w:type="fixed"/>
        <w:tblCellMar>
          <w:top w:w="70" w:type="dxa"/>
          <w:left w:w="90" w:type="dxa"/>
          <w:bottom w:w="70" w:type="dxa"/>
          <w:right w:w="90" w:type="dxa"/>
        </w:tblCellMar>
      </w:tblPr>
      <w:tblGrid>
        <w:gridCol w:w="1049"/>
        <w:gridCol w:w="3040"/>
        <w:gridCol w:w="2972"/>
        <w:gridCol w:w="3144"/>
      </w:tblGrid>
      <w:tr>
        <w:trPr/>
        <w:tc>
          <w:tcPr>
            <w:tcW w:w="1049" w:type="dxa"/>
            <w:tcBorders>
              <w:top w:val="single" w:sz="8" w:space="0" w:color="A6A6A6"/>
              <w:left w:val="single" w:sz="8" w:space="0" w:color="A6A6A6"/>
              <w:bottom w:val="single" w:sz="8" w:space="0" w:color="A6A6A6"/>
              <w:right w:val="single" w:sz="8" w:space="0" w:color="A6A6A6"/>
            </w:tcBorders>
            <w:shd w:fill="1F4E78" w:val="clear"/>
            <w:vAlign w:val="center"/>
          </w:tcPr>
          <w:p>
            <w:pPr>
              <w:pStyle w:val="TableContents"/>
              <w:bidi w:val="0"/>
              <w:spacing w:before="0" w:after="283"/>
              <w:jc w:val="center"/>
              <w:rPr>
                <w:b/>
                <w:color w:val="FFFFFF"/>
                <w:sz w:val="16"/>
              </w:rPr>
            </w:pPr>
            <w:r>
              <w:rPr>
                <w:b/>
                <w:color w:val="FFFFFF"/>
                <w:sz w:val="16"/>
              </w:rPr>
              <w:t>Termination Scenario</w:t>
            </w:r>
          </w:p>
        </w:tc>
        <w:tc>
          <w:tcPr>
            <w:tcW w:w="3040" w:type="dxa"/>
            <w:tcBorders>
              <w:top w:val="single" w:sz="8" w:space="0" w:color="A6A6A6"/>
              <w:bottom w:val="single" w:sz="8" w:space="0" w:color="A6A6A6"/>
              <w:right w:val="single" w:sz="8" w:space="0" w:color="A6A6A6"/>
            </w:tcBorders>
            <w:shd w:fill="1F4E78" w:val="clear"/>
            <w:tcMar>
              <w:left w:w="0" w:type="dxa"/>
            </w:tcMar>
            <w:vAlign w:val="center"/>
          </w:tcPr>
          <w:p>
            <w:pPr>
              <w:pStyle w:val="TableContents"/>
              <w:bidi w:val="0"/>
              <w:spacing w:before="0" w:after="283"/>
              <w:jc w:val="center"/>
              <w:rPr>
                <w:b/>
                <w:color w:val="FFFFFF"/>
                <w:sz w:val="16"/>
              </w:rPr>
            </w:pPr>
            <w:r>
              <w:rPr>
                <w:b/>
                <w:color w:val="FFFFFF"/>
                <w:sz w:val="16"/>
              </w:rPr>
              <w:t>Stock Options</w:t>
            </w:r>
          </w:p>
        </w:tc>
        <w:tc>
          <w:tcPr>
            <w:tcW w:w="2972" w:type="dxa"/>
            <w:tcBorders>
              <w:top w:val="single" w:sz="8" w:space="0" w:color="A6A6A6"/>
              <w:bottom w:val="single" w:sz="8" w:space="0" w:color="A6A6A6"/>
              <w:right w:val="single" w:sz="8" w:space="0" w:color="A6A6A6"/>
            </w:tcBorders>
            <w:shd w:fill="1F4E78" w:val="clear"/>
            <w:tcMar>
              <w:left w:w="0" w:type="dxa"/>
            </w:tcMar>
            <w:vAlign w:val="center"/>
          </w:tcPr>
          <w:p>
            <w:pPr>
              <w:pStyle w:val="TableContents"/>
              <w:bidi w:val="0"/>
              <w:spacing w:before="0" w:after="283"/>
              <w:jc w:val="center"/>
              <w:rPr>
                <w:b/>
                <w:color w:val="FFFFFF"/>
                <w:sz w:val="16"/>
              </w:rPr>
            </w:pPr>
            <w:r>
              <w:rPr>
                <w:b/>
                <w:color w:val="FFFFFF"/>
                <w:sz w:val="16"/>
              </w:rPr>
              <w:t>RSUs</w:t>
            </w:r>
          </w:p>
        </w:tc>
        <w:tc>
          <w:tcPr>
            <w:tcW w:w="3144" w:type="dxa"/>
            <w:tcBorders>
              <w:top w:val="single" w:sz="8" w:space="0" w:color="A6A6A6"/>
              <w:bottom w:val="single" w:sz="8" w:space="0" w:color="A6A6A6"/>
              <w:right w:val="single" w:sz="8" w:space="0" w:color="A6A6A6"/>
            </w:tcBorders>
            <w:shd w:fill="1F4E78" w:val="clear"/>
            <w:tcMar>
              <w:left w:w="0" w:type="dxa"/>
            </w:tcMar>
            <w:vAlign w:val="center"/>
          </w:tcPr>
          <w:p>
            <w:pPr>
              <w:pStyle w:val="TableContents"/>
              <w:bidi w:val="0"/>
              <w:spacing w:before="0" w:after="283"/>
              <w:jc w:val="center"/>
              <w:rPr>
                <w:b/>
                <w:color w:val="FFFFFF"/>
                <w:sz w:val="16"/>
              </w:rPr>
            </w:pPr>
            <w:r>
              <w:rPr>
                <w:b/>
                <w:color w:val="FFFFFF"/>
                <w:sz w:val="16"/>
              </w:rPr>
              <w:t>PSUs</w:t>
            </w:r>
          </w:p>
        </w:tc>
      </w:tr>
      <w:tr>
        <w:trPr/>
        <w:tc>
          <w:tcPr>
            <w:tcW w:w="1049" w:type="dxa"/>
            <w:tcBorders>
              <w:left w:val="single" w:sz="8" w:space="0" w:color="A6A6A6"/>
              <w:bottom w:val="single" w:sz="8" w:space="0" w:color="A6A6A6"/>
              <w:right w:val="single" w:sz="8" w:space="0" w:color="A6A6A6"/>
            </w:tcBorders>
            <w:shd w:fill="FFFFFF" w:val="clear"/>
            <w:tcMar>
              <w:top w:w="0" w:type="dxa"/>
            </w:tcMar>
            <w:vAlign w:val="center"/>
          </w:tcPr>
          <w:p>
            <w:pPr>
              <w:pStyle w:val="TableContents"/>
              <w:bidi w:val="0"/>
              <w:spacing w:before="0" w:after="283"/>
              <w:jc w:val="center"/>
              <w:rPr>
                <w:b/>
                <w:sz w:val="16"/>
              </w:rPr>
            </w:pPr>
            <w:r>
              <w:rPr>
                <w:b/>
                <w:sz w:val="16"/>
              </w:rPr>
              <w:t>Without Cause</w:t>
              <w:br/>
              <w:t>(No CIC)</w:t>
            </w:r>
          </w:p>
        </w:tc>
        <w:tc>
          <w:tcPr>
            <w:tcW w:w="3040" w:type="dxa"/>
            <w:tcBorders>
              <w:bottom w:val="single" w:sz="8" w:space="0" w:color="A6A6A6"/>
              <w:right w:val="single" w:sz="8" w:space="0" w:color="A6A6A6"/>
            </w:tcBorders>
            <w:tcMar>
              <w:top w:w="0" w:type="dxa"/>
              <w:left w:w="0" w:type="dxa"/>
            </w:tcMar>
            <w:vAlign w:val="center"/>
          </w:tcPr>
          <w:p>
            <w:pPr>
              <w:pStyle w:val="TableContents"/>
              <w:bidi w:val="0"/>
              <w:spacing w:before="0" w:after="283"/>
              <w:jc w:val="left"/>
              <w:rPr>
                <w:sz w:val="16"/>
              </w:rPr>
            </w:pPr>
            <w:r>
              <w:rPr>
                <w:sz w:val="16"/>
              </w:rPr>
              <w:t>Pro rata vesting of unvested stock options based on service through termination. Vested, exercisable stock options remain exercisable for 90 days (or through expiration, if earlier).</w:t>
            </w:r>
          </w:p>
        </w:tc>
        <w:tc>
          <w:tcPr>
            <w:tcW w:w="2972" w:type="dxa"/>
            <w:tcBorders>
              <w:bottom w:val="single" w:sz="8" w:space="0" w:color="A6A6A6"/>
              <w:right w:val="single" w:sz="8" w:space="0" w:color="A6A6A6"/>
            </w:tcBorders>
            <w:tcMar>
              <w:top w:w="0" w:type="dxa"/>
              <w:left w:w="0" w:type="dxa"/>
            </w:tcMar>
            <w:vAlign w:val="center"/>
          </w:tcPr>
          <w:p>
            <w:pPr>
              <w:pStyle w:val="TableContents"/>
              <w:bidi w:val="0"/>
              <w:spacing w:before="0" w:after="283"/>
              <w:jc w:val="left"/>
              <w:rPr>
                <w:sz w:val="16"/>
              </w:rPr>
            </w:pPr>
            <w:r>
              <w:rPr>
                <w:sz w:val="16"/>
              </w:rPr>
              <w:t>Unvested RSUs vest pro rata based on service through termination; remaining unvested RSUs are forfeited.</w:t>
            </w:r>
          </w:p>
        </w:tc>
        <w:tc>
          <w:tcPr>
            <w:tcW w:w="3144" w:type="dxa"/>
            <w:tcBorders>
              <w:bottom w:val="single" w:sz="8" w:space="0" w:color="A6A6A6"/>
              <w:right w:val="single" w:sz="8" w:space="0" w:color="A6A6A6"/>
            </w:tcBorders>
            <w:tcMar>
              <w:top w:w="0" w:type="dxa"/>
              <w:left w:w="0" w:type="dxa"/>
            </w:tcMar>
            <w:vAlign w:val="center"/>
          </w:tcPr>
          <w:p>
            <w:pPr>
              <w:pStyle w:val="TableContents"/>
              <w:bidi w:val="0"/>
              <w:spacing w:before="0" w:after="283"/>
              <w:jc w:val="left"/>
              <w:rPr>
                <w:sz w:val="16"/>
              </w:rPr>
            </w:pPr>
            <w:r>
              <w:rPr>
                <w:sz w:val="16"/>
              </w:rPr>
              <w:t>If performance has been determined and PSUs are earned but unvested, the earned PSUs vest pro rata based on service through termination. If termination occurs before the number of earned RSUs is determined, all RSUs are forfeited.</w:t>
            </w:r>
          </w:p>
        </w:tc>
      </w:tr>
      <w:tr>
        <w:trPr/>
        <w:tc>
          <w:tcPr>
            <w:tcW w:w="1049" w:type="dxa"/>
            <w:tcBorders>
              <w:left w:val="single" w:sz="8" w:space="0" w:color="A6A6A6"/>
              <w:bottom w:val="single" w:sz="8" w:space="0" w:color="A6A6A6"/>
              <w:right w:val="single" w:sz="8" w:space="0" w:color="A6A6A6"/>
            </w:tcBorders>
            <w:shd w:fill="FFFFFF" w:val="clear"/>
            <w:tcMar>
              <w:top w:w="0" w:type="dxa"/>
            </w:tcMar>
            <w:vAlign w:val="center"/>
          </w:tcPr>
          <w:p>
            <w:pPr>
              <w:pStyle w:val="TableContents"/>
              <w:bidi w:val="0"/>
              <w:spacing w:before="0" w:after="283"/>
              <w:jc w:val="center"/>
              <w:rPr>
                <w:b/>
                <w:sz w:val="16"/>
              </w:rPr>
            </w:pPr>
            <w:r>
              <w:rPr>
                <w:b/>
                <w:sz w:val="16"/>
              </w:rPr>
              <w:t>Good Reason</w:t>
              <w:br/>
              <w:t>(Non-CIC)</w:t>
            </w:r>
          </w:p>
        </w:tc>
        <w:tc>
          <w:tcPr>
            <w:tcW w:w="3040" w:type="dxa"/>
            <w:tcBorders>
              <w:bottom w:val="single" w:sz="8" w:space="0" w:color="A6A6A6"/>
              <w:right w:val="single" w:sz="8" w:space="0" w:color="A6A6A6"/>
            </w:tcBorders>
            <w:tcMar>
              <w:top w:w="0" w:type="dxa"/>
              <w:left w:w="0" w:type="dxa"/>
            </w:tcMar>
            <w:vAlign w:val="center"/>
          </w:tcPr>
          <w:p>
            <w:pPr>
              <w:pStyle w:val="TableContents"/>
              <w:bidi w:val="0"/>
              <w:spacing w:before="0" w:after="283"/>
              <w:jc w:val="left"/>
              <w:rPr>
                <w:sz w:val="16"/>
              </w:rPr>
            </w:pPr>
            <w:r>
              <w:rPr>
                <w:sz w:val="16"/>
              </w:rPr>
              <w:t>Pro rata vesting of unvested stock options based on service through termination. Vested, exercisable stock options remain exercisable for 90 days (or through expiration, if earlier).</w:t>
            </w:r>
          </w:p>
        </w:tc>
        <w:tc>
          <w:tcPr>
            <w:tcW w:w="2972" w:type="dxa"/>
            <w:tcBorders>
              <w:bottom w:val="single" w:sz="8" w:space="0" w:color="A6A6A6"/>
              <w:right w:val="single" w:sz="8" w:space="0" w:color="A6A6A6"/>
            </w:tcBorders>
            <w:tcMar>
              <w:top w:w="0" w:type="dxa"/>
              <w:left w:w="0" w:type="dxa"/>
            </w:tcMar>
            <w:vAlign w:val="center"/>
          </w:tcPr>
          <w:p>
            <w:pPr>
              <w:pStyle w:val="TableContents"/>
              <w:bidi w:val="0"/>
              <w:spacing w:before="0" w:after="283"/>
              <w:jc w:val="left"/>
              <w:rPr>
                <w:sz w:val="16"/>
              </w:rPr>
            </w:pPr>
            <w:r>
              <w:rPr>
                <w:sz w:val="16"/>
              </w:rPr>
              <w:t>The standard award form does not provide a separate Good Reason exception outside a Change in Control; unvested RSUs are forfeited.</w:t>
            </w:r>
          </w:p>
        </w:tc>
        <w:tc>
          <w:tcPr>
            <w:tcW w:w="3144" w:type="dxa"/>
            <w:tcBorders>
              <w:bottom w:val="single" w:sz="8" w:space="0" w:color="A6A6A6"/>
              <w:right w:val="single" w:sz="8" w:space="0" w:color="A6A6A6"/>
            </w:tcBorders>
            <w:tcMar>
              <w:top w:w="0" w:type="dxa"/>
              <w:left w:w="0" w:type="dxa"/>
            </w:tcMar>
            <w:vAlign w:val="center"/>
          </w:tcPr>
          <w:p>
            <w:pPr>
              <w:pStyle w:val="TableContents"/>
              <w:bidi w:val="0"/>
              <w:spacing w:before="0" w:after="283"/>
              <w:jc w:val="left"/>
              <w:rPr>
                <w:sz w:val="16"/>
              </w:rPr>
            </w:pPr>
            <w:r>
              <w:rPr>
                <w:sz w:val="16"/>
              </w:rPr>
              <w:t xml:space="preserve">The standard award form does not provide a separate Good Reason exception outside a Change in Control, PSUs are forfeited. </w:t>
            </w:r>
          </w:p>
        </w:tc>
      </w:tr>
      <w:tr>
        <w:trPr/>
        <w:tc>
          <w:tcPr>
            <w:tcW w:w="1049" w:type="dxa"/>
            <w:tcBorders>
              <w:left w:val="single" w:sz="8" w:space="0" w:color="A6A6A6"/>
              <w:bottom w:val="single" w:sz="8" w:space="0" w:color="A6A6A6"/>
              <w:right w:val="single" w:sz="8" w:space="0" w:color="A6A6A6"/>
            </w:tcBorders>
            <w:shd w:fill="FFFFFF" w:val="clear"/>
            <w:tcMar>
              <w:top w:w="0" w:type="dxa"/>
            </w:tcMar>
            <w:vAlign w:val="center"/>
          </w:tcPr>
          <w:p>
            <w:pPr>
              <w:pStyle w:val="TableContents"/>
              <w:bidi w:val="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 xml:space="preserve">Without Cause / </w:t>
            </w:r>
          </w:p>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Good Reason</w:t>
              <w:br/>
              <w:t>(CIC)</w:t>
            </w:r>
          </w:p>
        </w:tc>
        <w:tc>
          <w:tcPr>
            <w:tcW w:w="3040" w:type="dxa"/>
            <w:tcBorders>
              <w:bottom w:val="single" w:sz="8" w:space="0" w:color="A6A6A6"/>
              <w:right w:val="single" w:sz="8" w:space="0" w:color="A6A6A6"/>
            </w:tcBorders>
            <w:tcMar>
              <w:top w:w="0" w:type="dxa"/>
              <w:left w:w="0" w:type="dxa"/>
            </w:tcMar>
            <w:vAlign w:val="center"/>
          </w:tcPr>
          <w:p>
            <w:pPr>
              <w:pStyle w:val="TableContents"/>
              <w:bidi w:val="0"/>
              <w:spacing w:before="0" w:after="283"/>
              <w:jc w:val="left"/>
              <w:rPr>
                <w:sz w:val="16"/>
              </w:rPr>
            </w:pPr>
            <w:r>
              <w:rPr>
                <w:sz w:val="16"/>
              </w:rPr>
              <w:t>100% of then-outstanding stock options vest upon a qualifying termination in connection with or within 12 months following a Change in Control. If not assumed/replaced, 100% vests immediately before the Change in Control.</w:t>
            </w:r>
          </w:p>
        </w:tc>
        <w:tc>
          <w:tcPr>
            <w:tcW w:w="2972" w:type="dxa"/>
            <w:tcBorders>
              <w:bottom w:val="single" w:sz="8" w:space="0" w:color="A6A6A6"/>
              <w:right w:val="single" w:sz="8" w:space="0" w:color="A6A6A6"/>
            </w:tcBorders>
            <w:tcMar>
              <w:top w:w="0" w:type="dxa"/>
              <w:left w:w="0" w:type="dxa"/>
            </w:tcMar>
            <w:vAlign w:val="center"/>
          </w:tcPr>
          <w:p>
            <w:pPr>
              <w:pStyle w:val="TableContents"/>
              <w:bidi w:val="0"/>
              <w:spacing w:before="0" w:after="283"/>
              <w:jc w:val="left"/>
              <w:rPr>
                <w:sz w:val="16"/>
              </w:rPr>
            </w:pPr>
            <w:r>
              <w:rPr>
                <w:sz w:val="16"/>
              </w:rPr>
              <w:t>100% of then-outstanding RSUs vest upon a qualifying termination in connection with or within 12 months following a Change in Control. If not assumed/replaced, 100% vests immediately before the Change in Control.</w:t>
            </w:r>
          </w:p>
        </w:tc>
        <w:tc>
          <w:tcPr>
            <w:tcW w:w="3144" w:type="dxa"/>
            <w:tcBorders>
              <w:bottom w:val="single" w:sz="8" w:space="0" w:color="A6A6A6"/>
              <w:right w:val="single" w:sz="8" w:space="0" w:color="A6A6A6"/>
            </w:tcBorders>
            <w:tcMar>
              <w:top w:w="0" w:type="dxa"/>
              <w:left w:w="0" w:type="dxa"/>
            </w:tcMar>
            <w:vAlign w:val="center"/>
          </w:tcPr>
          <w:p>
            <w:pPr>
              <w:pStyle w:val="TableContents"/>
              <w:bidi w:val="0"/>
              <w:spacing w:before="0" w:after="283"/>
              <w:jc w:val="left"/>
              <w:rPr>
                <w:sz w:val="16"/>
              </w:rPr>
            </w:pPr>
            <w:r>
              <w:rPr>
                <w:sz w:val="16"/>
              </w:rPr>
              <w:t>100% of then-outstanding PSUs vest upon a qualifying termination in connection with or within 12 months following a Change in Control; if performance is not yet determined, the PSUs are deemed earned at 100% of target.</w:t>
            </w:r>
          </w:p>
        </w:tc>
      </w:tr>
      <w:tr>
        <w:trPr/>
        <w:tc>
          <w:tcPr>
            <w:tcW w:w="1049" w:type="dxa"/>
            <w:tcBorders>
              <w:left w:val="single" w:sz="8" w:space="0" w:color="A6A6A6"/>
              <w:bottom w:val="single" w:sz="8" w:space="0" w:color="A6A6A6"/>
              <w:right w:val="single" w:sz="8" w:space="0" w:color="A6A6A6"/>
            </w:tcBorders>
            <w:shd w:fill="FFFFFF" w:val="clear"/>
            <w:tcMar>
              <w:top w:w="0" w:type="dxa"/>
            </w:tcMar>
            <w:vAlign w:val="center"/>
          </w:tcPr>
          <w:p>
            <w:pPr>
              <w:pStyle w:val="TableContents"/>
              <w:bidi w:val="0"/>
              <w:spacing w:before="0" w:after="283"/>
              <w:jc w:val="center"/>
              <w:rPr>
                <w:b/>
                <w:sz w:val="16"/>
              </w:rPr>
            </w:pPr>
            <w:r>
              <w:rPr>
                <w:b/>
                <w:sz w:val="16"/>
              </w:rPr>
              <w:t>Death / Disability</w:t>
            </w:r>
          </w:p>
        </w:tc>
        <w:tc>
          <w:tcPr>
            <w:tcW w:w="3040" w:type="dxa"/>
            <w:tcBorders>
              <w:bottom w:val="single" w:sz="8" w:space="0" w:color="A6A6A6"/>
              <w:right w:val="single" w:sz="8" w:space="0" w:color="A6A6A6"/>
            </w:tcBorders>
            <w:tcMar>
              <w:top w:w="0" w:type="dxa"/>
              <w:left w:w="0" w:type="dxa"/>
            </w:tcMar>
            <w:vAlign w:val="center"/>
          </w:tcPr>
          <w:p>
            <w:pPr>
              <w:pStyle w:val="TableContents"/>
              <w:bidi w:val="0"/>
              <w:spacing w:before="0" w:after="283"/>
              <w:jc w:val="left"/>
              <w:rPr>
                <w:sz w:val="16"/>
              </w:rPr>
            </w:pPr>
            <w:r>
              <w:rPr>
                <w:sz w:val="16"/>
              </w:rPr>
              <w:t>Unvested stock options vest pro rata based on service through death/disability. Vested, exercisable stock options remain exercisable for up to 12 months (or through expiration, if earlier).</w:t>
            </w:r>
          </w:p>
        </w:tc>
        <w:tc>
          <w:tcPr>
            <w:tcW w:w="2972" w:type="dxa"/>
            <w:tcBorders>
              <w:bottom w:val="single" w:sz="8" w:space="0" w:color="A6A6A6"/>
              <w:right w:val="single" w:sz="8" w:space="0" w:color="A6A6A6"/>
            </w:tcBorders>
            <w:tcMar>
              <w:top w:w="0" w:type="dxa"/>
              <w:left w:w="0" w:type="dxa"/>
            </w:tcMar>
            <w:vAlign w:val="center"/>
          </w:tcPr>
          <w:p>
            <w:pPr>
              <w:pStyle w:val="TableContents"/>
              <w:bidi w:val="0"/>
              <w:spacing w:before="0" w:after="283"/>
              <w:jc w:val="left"/>
              <w:rPr>
                <w:sz w:val="16"/>
              </w:rPr>
            </w:pPr>
            <w:r>
              <w:rPr>
                <w:sz w:val="16"/>
              </w:rPr>
              <w:t>Unvested RSUs vest pro rata based on service through death/disability; remaining unvested RSUs are forfeited.</w:t>
            </w:r>
          </w:p>
        </w:tc>
        <w:tc>
          <w:tcPr>
            <w:tcW w:w="3144" w:type="dxa"/>
            <w:tcBorders>
              <w:bottom w:val="single" w:sz="8" w:space="0" w:color="A6A6A6"/>
              <w:right w:val="single" w:sz="8" w:space="0" w:color="A6A6A6"/>
            </w:tcBorders>
            <w:tcMar>
              <w:top w:w="0" w:type="dxa"/>
              <w:left w:w="0" w:type="dxa"/>
            </w:tcMar>
            <w:vAlign w:val="center"/>
          </w:tcPr>
          <w:p>
            <w:pPr>
              <w:pStyle w:val="TableContents"/>
              <w:bidi w:val="0"/>
              <w:spacing w:before="0" w:after="283"/>
              <w:jc w:val="left"/>
              <w:rPr>
                <w:sz w:val="16"/>
              </w:rPr>
            </w:pPr>
            <w:r>
              <w:rPr>
                <w:sz w:val="16"/>
              </w:rPr>
              <w:t>If PSUs are earned but unvested, the earned PSUs vest pro rata based on service through death/disability. Unearned PSUs are forfeited; if performance has not yet been determined, the award is forfeited.</w:t>
            </w:r>
          </w:p>
        </w:tc>
      </w:tr>
      <w:tr>
        <w:trPr/>
        <w:tc>
          <w:tcPr>
            <w:tcW w:w="1049" w:type="dxa"/>
            <w:tcBorders>
              <w:left w:val="single" w:sz="8" w:space="0" w:color="A6A6A6"/>
              <w:bottom w:val="single" w:sz="8" w:space="0" w:color="A6A6A6"/>
              <w:right w:val="single" w:sz="8" w:space="0" w:color="A6A6A6"/>
            </w:tcBorders>
            <w:shd w:fill="FFFFFF" w:val="clear"/>
            <w:tcMar>
              <w:top w:w="0" w:type="dxa"/>
            </w:tcMar>
            <w:vAlign w:val="center"/>
          </w:tcPr>
          <w:p>
            <w:pPr>
              <w:pStyle w:val="TableContents"/>
              <w:bidi w:val="0"/>
              <w:spacing w:before="0" w:after="283"/>
              <w:jc w:val="center"/>
              <w:rPr>
                <w:b/>
                <w:sz w:val="16"/>
              </w:rPr>
            </w:pPr>
            <w:r>
              <w:rPr>
                <w:b/>
                <w:sz w:val="16"/>
              </w:rPr>
              <w:t>Retirement</w:t>
            </w:r>
          </w:p>
        </w:tc>
        <w:tc>
          <w:tcPr>
            <w:tcW w:w="3040" w:type="dxa"/>
            <w:tcBorders>
              <w:bottom w:val="single" w:sz="8" w:space="0" w:color="A6A6A6"/>
              <w:right w:val="single" w:sz="8" w:space="0" w:color="A6A6A6"/>
            </w:tcBorders>
            <w:tcMar>
              <w:top w:w="0" w:type="dxa"/>
              <w:left w:w="0" w:type="dxa"/>
            </w:tcMar>
            <w:vAlign w:val="center"/>
          </w:tcPr>
          <w:p>
            <w:pPr>
              <w:pStyle w:val="TableContents"/>
              <w:bidi w:val="0"/>
              <w:spacing w:before="0" w:after="283"/>
              <w:jc w:val="left"/>
              <w:rPr>
                <w:sz w:val="16"/>
              </w:rPr>
            </w:pPr>
            <w:r>
              <w:rPr>
                <w:sz w:val="16"/>
              </w:rPr>
              <w:t>Unvested stock options vest pro rata based on service through Retirement. Vested, exercisable stock options remain exercisable for 90 days (or through expiration, if earlier).</w:t>
            </w:r>
          </w:p>
        </w:tc>
        <w:tc>
          <w:tcPr>
            <w:tcW w:w="2972" w:type="dxa"/>
            <w:tcBorders>
              <w:bottom w:val="single" w:sz="8" w:space="0" w:color="A6A6A6"/>
              <w:right w:val="single" w:sz="8" w:space="0" w:color="A6A6A6"/>
            </w:tcBorders>
            <w:tcMar>
              <w:top w:w="0" w:type="dxa"/>
              <w:left w:w="0" w:type="dxa"/>
            </w:tcMar>
            <w:vAlign w:val="center"/>
          </w:tcPr>
          <w:p>
            <w:pPr>
              <w:pStyle w:val="TableContents"/>
              <w:bidi w:val="0"/>
              <w:spacing w:before="0" w:after="283"/>
              <w:jc w:val="left"/>
              <w:rPr>
                <w:sz w:val="16"/>
              </w:rPr>
            </w:pPr>
            <w:r>
              <w:rPr>
                <w:sz w:val="16"/>
              </w:rPr>
              <w:t>Unvested RSUs vest pro rata based on service through Retirement; remaining unvested RSUs are forfeited.</w:t>
            </w:r>
          </w:p>
        </w:tc>
        <w:tc>
          <w:tcPr>
            <w:tcW w:w="3144" w:type="dxa"/>
            <w:tcBorders>
              <w:bottom w:val="single" w:sz="8" w:space="0" w:color="A6A6A6"/>
              <w:right w:val="single" w:sz="8" w:space="0" w:color="A6A6A6"/>
            </w:tcBorders>
            <w:tcMar>
              <w:top w:w="0" w:type="dxa"/>
              <w:left w:w="0" w:type="dxa"/>
            </w:tcMar>
            <w:vAlign w:val="center"/>
          </w:tcPr>
          <w:p>
            <w:pPr>
              <w:pStyle w:val="TableContents"/>
              <w:bidi w:val="0"/>
              <w:spacing w:before="0" w:after="283"/>
              <w:jc w:val="left"/>
              <w:rPr>
                <w:sz w:val="16"/>
              </w:rPr>
            </w:pPr>
            <w:r>
              <w:rPr>
                <w:sz w:val="16"/>
              </w:rPr>
              <w:t>If PSUs are earned but unvested, the earned PSUs vest pro rata based on service through Retirement. Unearned PSUs are forfeited; if performance has not yet been determined, the award is forfeited.</w:t>
            </w:r>
          </w:p>
        </w:tc>
      </w:tr>
    </w:tbl>
    <w:p>
      <w:pPr>
        <w:pStyle w:val="TextBody"/>
        <w:bidi w:val="0"/>
        <w:spacing w:before="120" w:after="120"/>
        <w:ind w:left="120" w:right="1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Wu’s outstanding 2023 PSU award is subject to different termination provisions. Before performance is determined, the PSUs are generally forfeited upon termination, except in connection with certain Change in Control events. Once earned, the PSUs vest pro rata upon death, disability, Retirement or termination without Cause. In connection with certain Change in Control events, the PSUs vest in full, with performance deemed achieved at 100% of target if not yet determined. Dr. Wu’s employment agreement with Microvast Power Systems does not contemplate definitions for a termination without cause or for good reason. If Dr. Wu is terminated due to (i) an inability to return to work following the expiry of a medical treatment period for an illness or non-work-related injury; (ii) an inability to perform his duties following training or a change in position or (iii) a material change in the objective circumstances pursuant to which the employment agreement was based that renders the agreement impossible to perform (and the parties fail to agreement on an amendment), Microvast Power Systems may terminate the employment agreement by giving Dr. Wu 30 days’ prior written notice or paying a month of Dr. Wu’s then-current base salary in lieu of notice.</w:t>
      </w:r>
    </w:p>
    <w:p>
      <w:pPr>
        <w:pStyle w:val="TextBody"/>
        <w:bidi w:val="0"/>
        <w:spacing w:before="120" w:after="120"/>
        <w:ind w:left="120" w:right="12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Retirement” means a voluntary or involuntary termination of employment, other than due to death, disability or termination by the Company for cause, on or after the participant has attained age 60 and completed 15 years of service with the Company. Mr. Wu is the only NEO currently eligible for Retirement.</w:t>
      </w:r>
    </w:p>
    <w:p>
      <w:pPr>
        <w:pStyle w:val="TextBody"/>
        <w:bidi w:val="0"/>
        <w:spacing w:before="120" w:after="120"/>
        <w:ind w:left="120" w:right="1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describes the potential payments and benefits that would have been payable to our NEOs assuming an eligible termination (as described above under “Executive Compensation—Transition and Separation Agreements”) of their employment on December 31, 2025, the last business day of 2025, and a change in control also occurring on such date. Mr. Schultz did not receive cash severance or acceleration of equity awards in connection with his termination of employment.</w:t>
      </w:r>
    </w:p>
    <w:p>
      <w:pPr>
        <w:pStyle w:val="TextBody"/>
        <w:bidi w:val="0"/>
        <w:spacing w:before="120" w:after="120"/>
        <w:ind w:left="120" w:right="120" w:hanging="0"/>
        <w:jc w:val="both"/>
        <w:rPr>
          <w:caps w:val="false"/>
          <w:smallCaps w:val="false"/>
        </w:rPr>
      </w:pPr>
      <w:r>
        <w:rPr>
          <w:caps w:val="false"/>
          <w:smallCaps w:val="false"/>
        </w:rPr>
        <w:t> </w:t>
      </w:r>
    </w:p>
    <w:tbl>
      <w:tblPr>
        <w:tblW w:w="590" w:type="dxa"/>
        <w:jc w:val="left"/>
        <w:tblInd w:w="0" w:type="dxa"/>
        <w:tblLayout w:type="fixed"/>
        <w:tblCellMar>
          <w:top w:w="0" w:type="dxa"/>
          <w:left w:w="0" w:type="dxa"/>
          <w:bottom w:w="0" w:type="dxa"/>
          <w:right w:w="0" w:type="dxa"/>
        </w:tblCellMar>
      </w:tblPr>
      <w:tblGrid>
        <w:gridCol w:w="105"/>
        <w:gridCol w:w="350"/>
        <w:gridCol w:w="135"/>
      </w:tblGrid>
      <w:tr>
        <w:trPr/>
        <w:tc>
          <w:tcPr>
            <w:tcW w:w="10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 </w:t>
            </w:r>
            <w:r>
              <w:rPr/>
              <w:t>35</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240" w:after="240"/>
        <w:ind w:left="240" w:right="24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her termination of employment, Ms. Khanbabi received six months of base salary ($200,000) as a cash severance per the terms of her offer letter.</w:t>
      </w:r>
    </w:p>
    <w:tbl>
      <w:tblPr>
        <w:tblW w:w="8455" w:type="dxa"/>
        <w:jc w:val="left"/>
        <w:tblInd w:w="0" w:type="dxa"/>
        <w:tblLayout w:type="fixed"/>
        <w:tblCellMar>
          <w:top w:w="0" w:type="dxa"/>
          <w:left w:w="0" w:type="dxa"/>
          <w:bottom w:w="28" w:type="dxa"/>
          <w:right w:w="0" w:type="dxa"/>
        </w:tblCellMar>
      </w:tblPr>
      <w:tblGrid>
        <w:gridCol w:w="1520"/>
        <w:gridCol w:w="90"/>
        <w:gridCol w:w="1195"/>
        <w:gridCol w:w="1150"/>
        <w:gridCol w:w="1195"/>
        <w:gridCol w:w="1090"/>
        <w:gridCol w:w="1310"/>
        <w:gridCol w:w="905"/>
      </w:tblGrid>
      <w:tr>
        <w:trPr/>
        <w:tc>
          <w:tcPr>
            <w:tcW w:w="1520" w:type="dxa"/>
            <w:tcBorders>
              <w:bottom w:val="single" w:sz="8" w:space="0" w:color="000000"/>
            </w:tcBorders>
            <w:vAlign w:val="center"/>
          </w:tcPr>
          <w:p>
            <w:pPr>
              <w:pStyle w:val="TableContents"/>
              <w:bidi w:val="0"/>
              <w:spacing w:before="0" w:after="283"/>
              <w:jc w:val="left"/>
              <w:rPr>
                <w:b/>
                <w:sz w:val="16"/>
              </w:rPr>
            </w:pPr>
            <w:r>
              <w:rPr>
                <w:b/>
                <w:sz w:val="16"/>
              </w:rPr>
              <w:t>Name</w:t>
            </w:r>
          </w:p>
        </w:tc>
        <w:tc>
          <w:tcPr>
            <w:tcW w:w="90" w:type="dxa"/>
            <w:tcBorders>
              <w:bottom w:val="single" w:sz="8" w:space="0" w:color="000000"/>
            </w:tcBorders>
            <w:vAlign w:val="center"/>
          </w:tcPr>
          <w:p>
            <w:pPr>
              <w:pStyle w:val="TableContents"/>
              <w:bidi w:val="0"/>
              <w:spacing w:before="0" w:after="283"/>
              <w:jc w:val="left"/>
              <w:rPr/>
            </w:pPr>
            <w:r>
              <w:rPr/>
              <w:t> </w:t>
            </w:r>
          </w:p>
        </w:tc>
        <w:tc>
          <w:tcPr>
            <w:tcW w:w="1195" w:type="dxa"/>
            <w:tcBorders>
              <w:bottom w:val="single" w:sz="8" w:space="0" w:color="000000"/>
            </w:tcBorders>
            <w:vAlign w:val="center"/>
          </w:tcPr>
          <w:p>
            <w:pPr>
              <w:pStyle w:val="TableContents"/>
              <w:bidi w:val="0"/>
              <w:spacing w:before="65" w:after="20"/>
              <w:ind w:left="65" w:right="65" w:hanging="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Without Cause</w:t>
            </w:r>
          </w:p>
          <w:p>
            <w:pPr>
              <w:pStyle w:val="TableContents"/>
              <w:bidi w:val="0"/>
              <w:spacing w:before="65" w:after="20"/>
              <w:ind w:left="65" w:right="65" w:hanging="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(No CIC) ($)</w:t>
            </w:r>
          </w:p>
        </w:tc>
        <w:tc>
          <w:tcPr>
            <w:tcW w:w="1150" w:type="dxa"/>
            <w:tcBorders>
              <w:bottom w:val="single" w:sz="8" w:space="0" w:color="000000"/>
            </w:tcBorders>
            <w:vAlign w:val="center"/>
          </w:tcPr>
          <w:p>
            <w:pPr>
              <w:pStyle w:val="TableContents"/>
              <w:bidi w:val="0"/>
              <w:spacing w:before="65" w:after="20"/>
              <w:ind w:left="65" w:right="65" w:hanging="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Good Reason</w:t>
            </w:r>
          </w:p>
          <w:p>
            <w:pPr>
              <w:pStyle w:val="TableContents"/>
              <w:bidi w:val="0"/>
              <w:spacing w:before="65" w:after="20"/>
              <w:ind w:left="65" w:right="65" w:hanging="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(Non-CIC) ($)</w:t>
            </w:r>
          </w:p>
        </w:tc>
        <w:tc>
          <w:tcPr>
            <w:tcW w:w="1195" w:type="dxa"/>
            <w:tcBorders>
              <w:bottom w:val="single" w:sz="8" w:space="0" w:color="000000"/>
            </w:tcBorders>
            <w:vAlign w:val="center"/>
          </w:tcPr>
          <w:p>
            <w:pPr>
              <w:pStyle w:val="TableContents"/>
              <w:bidi w:val="0"/>
              <w:spacing w:before="65" w:after="20"/>
              <w:ind w:left="65" w:right="65" w:hanging="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Without Cause</w:t>
            </w:r>
          </w:p>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CIC ($)</w:t>
            </w:r>
          </w:p>
        </w:tc>
        <w:tc>
          <w:tcPr>
            <w:tcW w:w="1090" w:type="dxa"/>
            <w:tcBorders>
              <w:bottom w:val="single" w:sz="8" w:space="0" w:color="000000"/>
            </w:tcBorders>
            <w:vAlign w:val="center"/>
          </w:tcPr>
          <w:p>
            <w:pPr>
              <w:pStyle w:val="TableContents"/>
              <w:bidi w:val="0"/>
              <w:spacing w:before="65" w:after="20"/>
              <w:ind w:left="65" w:right="65" w:hanging="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Good Reason</w:t>
            </w:r>
          </w:p>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CIC ($)</w:t>
            </w:r>
          </w:p>
        </w:tc>
        <w:tc>
          <w:tcPr>
            <w:tcW w:w="1310" w:type="dxa"/>
            <w:tcBorders>
              <w:bottom w:val="single" w:sz="8" w:space="0" w:color="000000"/>
            </w:tcBorders>
            <w:vAlign w:val="center"/>
          </w:tcPr>
          <w:p>
            <w:pPr>
              <w:pStyle w:val="TableContents"/>
              <w:bidi w:val="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Death / Disability</w:t>
            </w:r>
          </w:p>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905" w:type="dxa"/>
            <w:tcBorders>
              <w:bottom w:val="single" w:sz="8" w:space="0" w:color="000000"/>
            </w:tcBorders>
            <w:vAlign w:val="center"/>
          </w:tcPr>
          <w:p>
            <w:pPr>
              <w:pStyle w:val="TableContents"/>
              <w:bidi w:val="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Retirement</w:t>
            </w:r>
          </w:p>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r>
      <w:tr>
        <w:trPr/>
        <w:tc>
          <w:tcPr>
            <w:tcW w:w="1520" w:type="dxa"/>
            <w:tcBorders/>
            <w:shd w:fill="CCEEFF" w:val="clear"/>
            <w:tcMar>
              <w:bottom w:w="0" w:type="dxa"/>
            </w:tcMar>
            <w:vAlign w:val="center"/>
          </w:tcPr>
          <w:p>
            <w:pPr>
              <w:pStyle w:val="TableContents"/>
              <w:bidi w:val="0"/>
              <w:spacing w:before="0" w:after="283"/>
              <w:jc w:val="left"/>
              <w:rPr>
                <w:b/>
                <w:sz w:val="16"/>
              </w:rPr>
            </w:pPr>
            <w:r>
              <w:rPr>
                <w:b/>
                <w:sz w:val="16"/>
              </w:rPr>
              <w:t>Yang Wu</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95" w:type="dxa"/>
            <w:tcBorders/>
            <w:shd w:fill="CCEEFF" w:val="clear"/>
            <w:tcMar>
              <w:bottom w:w="0" w:type="dxa"/>
            </w:tcMar>
            <w:vAlign w:val="center"/>
          </w:tcPr>
          <w:p>
            <w:pPr>
              <w:pStyle w:val="TableContents"/>
              <w:bidi w:val="0"/>
              <w:spacing w:before="0" w:after="283"/>
              <w:jc w:val="center"/>
              <w:rPr/>
            </w:pPr>
            <w:r>
              <w:rPr/>
              <w:t> </w:t>
            </w:r>
          </w:p>
        </w:tc>
        <w:tc>
          <w:tcPr>
            <w:tcW w:w="1150" w:type="dxa"/>
            <w:tcBorders/>
            <w:shd w:fill="CCEEFF" w:val="clear"/>
            <w:tcMar>
              <w:bottom w:w="0" w:type="dxa"/>
            </w:tcMar>
            <w:vAlign w:val="center"/>
          </w:tcPr>
          <w:p>
            <w:pPr>
              <w:pStyle w:val="TableContents"/>
              <w:bidi w:val="0"/>
              <w:spacing w:before="0" w:after="283"/>
              <w:jc w:val="center"/>
              <w:rPr/>
            </w:pPr>
            <w:r>
              <w:rPr/>
              <w:t> </w:t>
            </w:r>
          </w:p>
        </w:tc>
        <w:tc>
          <w:tcPr>
            <w:tcW w:w="1195" w:type="dxa"/>
            <w:tcBorders/>
            <w:shd w:fill="CCEEFF" w:val="clear"/>
            <w:tcMar>
              <w:bottom w:w="0" w:type="dxa"/>
            </w:tcMar>
            <w:vAlign w:val="center"/>
          </w:tcPr>
          <w:p>
            <w:pPr>
              <w:pStyle w:val="TableContents"/>
              <w:bidi w:val="0"/>
              <w:spacing w:before="0" w:after="283"/>
              <w:jc w:val="center"/>
              <w:rPr/>
            </w:pPr>
            <w:r>
              <w:rPr/>
              <w:t> </w:t>
            </w:r>
          </w:p>
        </w:tc>
        <w:tc>
          <w:tcPr>
            <w:tcW w:w="1090" w:type="dxa"/>
            <w:tcBorders/>
            <w:shd w:fill="CCEEFF" w:val="clear"/>
            <w:tcMar>
              <w:bottom w:w="0" w:type="dxa"/>
            </w:tcMar>
            <w:vAlign w:val="center"/>
          </w:tcPr>
          <w:p>
            <w:pPr>
              <w:pStyle w:val="TableContents"/>
              <w:bidi w:val="0"/>
              <w:spacing w:before="0" w:after="283"/>
              <w:jc w:val="center"/>
              <w:rPr/>
            </w:pPr>
            <w:r>
              <w:rPr/>
              <w:t> </w:t>
            </w:r>
          </w:p>
        </w:tc>
        <w:tc>
          <w:tcPr>
            <w:tcW w:w="1310" w:type="dxa"/>
            <w:tcBorders/>
            <w:shd w:fill="CCEEFF" w:val="clear"/>
            <w:tcMar>
              <w:bottom w:w="0" w:type="dxa"/>
            </w:tcMar>
            <w:vAlign w:val="center"/>
          </w:tcPr>
          <w:p>
            <w:pPr>
              <w:pStyle w:val="TableContents"/>
              <w:bidi w:val="0"/>
              <w:spacing w:before="0" w:after="283"/>
              <w:jc w:val="center"/>
              <w:rPr/>
            </w:pPr>
            <w:r>
              <w:rPr/>
              <w:t> </w:t>
            </w:r>
          </w:p>
        </w:tc>
        <w:tc>
          <w:tcPr>
            <w:tcW w:w="905" w:type="dxa"/>
            <w:tcBorders/>
            <w:shd w:fill="CCEEFF" w:val="clear"/>
            <w:tcMar>
              <w:bottom w:w="0" w:type="dxa"/>
            </w:tcMar>
            <w:vAlign w:val="center"/>
          </w:tcPr>
          <w:p>
            <w:pPr>
              <w:pStyle w:val="TableContents"/>
              <w:bidi w:val="0"/>
              <w:spacing w:before="0" w:after="283"/>
              <w:jc w:val="center"/>
              <w:rPr/>
            </w:pPr>
            <w:r>
              <w:rPr/>
              <w:t> </w:t>
            </w:r>
          </w:p>
        </w:tc>
      </w:tr>
      <w:tr>
        <w:trPr/>
        <w:tc>
          <w:tcPr>
            <w:tcW w:w="1520" w:type="dxa"/>
            <w:tcBorders/>
            <w:shd w:fill="CCEEFF" w:val="clear"/>
            <w:tcMar>
              <w:bottom w:w="0" w:type="dxa"/>
            </w:tcMar>
            <w:vAlign w:val="center"/>
          </w:tcPr>
          <w:p>
            <w:pPr>
              <w:pStyle w:val="TableContents"/>
              <w:bidi w:val="0"/>
              <w:spacing w:before="0" w:after="283"/>
              <w:jc w:val="left"/>
              <w:rPr>
                <w:sz w:val="16"/>
              </w:rPr>
            </w:pPr>
            <w:r>
              <w:rPr>
                <w:sz w:val="16"/>
              </w:rPr>
              <w:t>Cash severance</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95" w:type="dxa"/>
            <w:tcBorders/>
            <w:shd w:fill="CCEEFF" w:val="clear"/>
            <w:tcMar>
              <w:bottom w:w="0" w:type="dxa"/>
            </w:tcMar>
            <w:vAlign w:val="center"/>
          </w:tcPr>
          <w:p>
            <w:pPr>
              <w:pStyle w:val="TableContents"/>
              <w:bidi w:val="0"/>
              <w:spacing w:before="0" w:after="283"/>
              <w:jc w:val="center"/>
              <w:rPr>
                <w:sz w:val="16"/>
              </w:rPr>
            </w:pPr>
            <w:r>
              <w:rPr>
                <w:sz w:val="16"/>
              </w:rPr>
              <w:t>2,682,500</w:t>
            </w:r>
          </w:p>
        </w:tc>
        <w:tc>
          <w:tcPr>
            <w:tcW w:w="1150" w:type="dxa"/>
            <w:tcBorders/>
            <w:shd w:fill="CCEEFF" w:val="clear"/>
            <w:tcMar>
              <w:bottom w:w="0" w:type="dxa"/>
            </w:tcMar>
            <w:vAlign w:val="center"/>
          </w:tcPr>
          <w:p>
            <w:pPr>
              <w:pStyle w:val="TableContents"/>
              <w:bidi w:val="0"/>
              <w:spacing w:before="0" w:after="283"/>
              <w:jc w:val="center"/>
              <w:rPr>
                <w:sz w:val="16"/>
              </w:rPr>
            </w:pPr>
            <w:r>
              <w:rPr>
                <w:sz w:val="16"/>
              </w:rPr>
              <w:t>2,682,500</w:t>
            </w:r>
          </w:p>
        </w:tc>
        <w:tc>
          <w:tcPr>
            <w:tcW w:w="1195" w:type="dxa"/>
            <w:tcBorders/>
            <w:shd w:fill="CCEEFF" w:val="clear"/>
            <w:tcMar>
              <w:bottom w:w="0" w:type="dxa"/>
            </w:tcMar>
            <w:vAlign w:val="center"/>
          </w:tcPr>
          <w:p>
            <w:pPr>
              <w:pStyle w:val="TableContents"/>
              <w:bidi w:val="0"/>
              <w:spacing w:before="0" w:after="283"/>
              <w:jc w:val="center"/>
              <w:rPr>
                <w:sz w:val="16"/>
              </w:rPr>
            </w:pPr>
            <w:r>
              <w:rPr>
                <w:sz w:val="16"/>
              </w:rPr>
              <w:t>3,219,000</w:t>
            </w:r>
          </w:p>
        </w:tc>
        <w:tc>
          <w:tcPr>
            <w:tcW w:w="1090" w:type="dxa"/>
            <w:tcBorders/>
            <w:shd w:fill="CCEEFF" w:val="clear"/>
            <w:tcMar>
              <w:bottom w:w="0" w:type="dxa"/>
            </w:tcMar>
            <w:vAlign w:val="center"/>
          </w:tcPr>
          <w:p>
            <w:pPr>
              <w:pStyle w:val="TableContents"/>
              <w:bidi w:val="0"/>
              <w:spacing w:before="0" w:after="283"/>
              <w:jc w:val="center"/>
              <w:rPr>
                <w:sz w:val="16"/>
              </w:rPr>
            </w:pPr>
            <w:r>
              <w:rPr>
                <w:sz w:val="16"/>
              </w:rPr>
              <w:t>3,219,000</w:t>
            </w:r>
          </w:p>
        </w:tc>
        <w:tc>
          <w:tcPr>
            <w:tcW w:w="1310" w:type="dxa"/>
            <w:tcBorders/>
            <w:shd w:fill="CCEEFF" w:val="clear"/>
            <w:tcMar>
              <w:bottom w:w="0" w:type="dxa"/>
            </w:tcMar>
            <w:vAlign w:val="center"/>
          </w:tcPr>
          <w:p>
            <w:pPr>
              <w:pStyle w:val="TableContents"/>
              <w:bidi w:val="0"/>
              <w:spacing w:before="0" w:after="283"/>
              <w:jc w:val="center"/>
              <w:rPr>
                <w:sz w:val="16"/>
              </w:rPr>
            </w:pPr>
            <w:r>
              <w:rPr>
                <w:sz w:val="16"/>
              </w:rPr>
              <w:t>0</w:t>
            </w:r>
          </w:p>
        </w:tc>
        <w:tc>
          <w:tcPr>
            <w:tcW w:w="905" w:type="dxa"/>
            <w:tcBorders/>
            <w:shd w:fill="CCEEFF" w:val="clear"/>
            <w:tcMar>
              <w:bottom w:w="0" w:type="dxa"/>
            </w:tcMar>
            <w:vAlign w:val="center"/>
          </w:tcPr>
          <w:p>
            <w:pPr>
              <w:pStyle w:val="TableContents"/>
              <w:bidi w:val="0"/>
              <w:spacing w:before="0" w:after="283"/>
              <w:jc w:val="center"/>
              <w:rPr>
                <w:sz w:val="16"/>
              </w:rPr>
            </w:pPr>
            <w:r>
              <w:rPr>
                <w:sz w:val="16"/>
              </w:rPr>
              <w:t>0</w:t>
            </w:r>
          </w:p>
        </w:tc>
      </w:tr>
      <w:tr>
        <w:trPr/>
        <w:tc>
          <w:tcPr>
            <w:tcW w:w="1520" w:type="dxa"/>
            <w:tcBorders>
              <w:bottom w:val="single" w:sz="8" w:space="0" w:color="000000"/>
            </w:tcBorders>
            <w:shd w:fill="CCEEFF" w:val="clear"/>
            <w:vAlign w:val="center"/>
          </w:tcPr>
          <w:p>
            <w:pPr>
              <w:pStyle w:val="TableContents"/>
              <w:bidi w:val="0"/>
              <w:spacing w:before="0" w:after="283"/>
              <w:jc w:val="left"/>
              <w:rPr>
                <w:sz w:val="16"/>
              </w:rPr>
            </w:pPr>
            <w:r>
              <w:rPr>
                <w:sz w:val="16"/>
              </w:rPr>
              <w:t>Equity awards</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1195" w:type="dxa"/>
            <w:tcBorders>
              <w:bottom w:val="single" w:sz="8" w:space="0" w:color="000000"/>
            </w:tcBorders>
            <w:shd w:fill="CCEEFF" w:val="clear"/>
            <w:vAlign w:val="center"/>
          </w:tcPr>
          <w:p>
            <w:pPr>
              <w:pStyle w:val="TableContents"/>
              <w:bidi w:val="0"/>
              <w:spacing w:before="0" w:after="283"/>
              <w:jc w:val="center"/>
              <w:rPr>
                <w:sz w:val="16"/>
              </w:rPr>
            </w:pPr>
            <w:r>
              <w:rPr>
                <w:sz w:val="16"/>
              </w:rPr>
              <w:t>210,271</w:t>
            </w:r>
          </w:p>
        </w:tc>
        <w:tc>
          <w:tcPr>
            <w:tcW w:w="1150" w:type="dxa"/>
            <w:tcBorders>
              <w:bottom w:val="single" w:sz="8" w:space="0" w:color="000000"/>
            </w:tcBorders>
            <w:shd w:fill="CCEEFF" w:val="clear"/>
            <w:vAlign w:val="center"/>
          </w:tcPr>
          <w:p>
            <w:pPr>
              <w:pStyle w:val="TableContents"/>
              <w:bidi w:val="0"/>
              <w:spacing w:before="0" w:after="283"/>
              <w:jc w:val="center"/>
              <w:rPr>
                <w:sz w:val="16"/>
              </w:rPr>
            </w:pPr>
            <w:r>
              <w:rPr>
                <w:sz w:val="16"/>
              </w:rPr>
              <w:t>0</w:t>
            </w:r>
          </w:p>
        </w:tc>
        <w:tc>
          <w:tcPr>
            <w:tcW w:w="1195" w:type="dxa"/>
            <w:tcBorders>
              <w:bottom w:val="single" w:sz="8" w:space="0" w:color="000000"/>
            </w:tcBorders>
            <w:shd w:fill="CCEEFF" w:val="clear"/>
            <w:vAlign w:val="center"/>
          </w:tcPr>
          <w:p>
            <w:pPr>
              <w:pStyle w:val="TableContents"/>
              <w:bidi w:val="0"/>
              <w:spacing w:before="0" w:after="283"/>
              <w:jc w:val="center"/>
              <w:rPr>
                <w:sz w:val="16"/>
              </w:rPr>
            </w:pPr>
            <w:r>
              <w:rPr>
                <w:sz w:val="16"/>
              </w:rPr>
              <w:t>2,523,254</w:t>
            </w:r>
          </w:p>
        </w:tc>
        <w:tc>
          <w:tcPr>
            <w:tcW w:w="1090" w:type="dxa"/>
            <w:tcBorders>
              <w:bottom w:val="single" w:sz="8" w:space="0" w:color="000000"/>
            </w:tcBorders>
            <w:shd w:fill="CCEEFF" w:val="clear"/>
            <w:vAlign w:val="center"/>
          </w:tcPr>
          <w:p>
            <w:pPr>
              <w:pStyle w:val="TableContents"/>
              <w:bidi w:val="0"/>
              <w:spacing w:before="0" w:after="283"/>
              <w:jc w:val="center"/>
              <w:rPr>
                <w:sz w:val="16"/>
              </w:rPr>
            </w:pPr>
            <w:r>
              <w:rPr>
                <w:sz w:val="16"/>
              </w:rPr>
              <w:t>2,523,254</w:t>
            </w:r>
          </w:p>
        </w:tc>
        <w:tc>
          <w:tcPr>
            <w:tcW w:w="1310" w:type="dxa"/>
            <w:tcBorders>
              <w:bottom w:val="single" w:sz="8" w:space="0" w:color="000000"/>
            </w:tcBorders>
            <w:shd w:fill="CCEEFF" w:val="clear"/>
            <w:vAlign w:val="center"/>
          </w:tcPr>
          <w:p>
            <w:pPr>
              <w:pStyle w:val="TableContents"/>
              <w:bidi w:val="0"/>
              <w:spacing w:before="0" w:after="283"/>
              <w:jc w:val="center"/>
              <w:rPr>
                <w:sz w:val="16"/>
              </w:rPr>
            </w:pPr>
            <w:r>
              <w:rPr>
                <w:sz w:val="16"/>
              </w:rPr>
              <w:t>210,271</w:t>
            </w:r>
          </w:p>
        </w:tc>
        <w:tc>
          <w:tcPr>
            <w:tcW w:w="905" w:type="dxa"/>
            <w:tcBorders>
              <w:bottom w:val="single" w:sz="8" w:space="0" w:color="000000"/>
            </w:tcBorders>
            <w:shd w:fill="CCEEFF" w:val="clear"/>
            <w:vAlign w:val="center"/>
          </w:tcPr>
          <w:p>
            <w:pPr>
              <w:pStyle w:val="TableContents"/>
              <w:bidi w:val="0"/>
              <w:spacing w:before="0" w:after="283"/>
              <w:jc w:val="center"/>
              <w:rPr>
                <w:sz w:val="16"/>
              </w:rPr>
            </w:pPr>
            <w:r>
              <w:rPr>
                <w:sz w:val="16"/>
              </w:rPr>
              <w:t>210,271</w:t>
            </w:r>
          </w:p>
        </w:tc>
      </w:tr>
      <w:tr>
        <w:trPr/>
        <w:tc>
          <w:tcPr>
            <w:tcW w:w="1520" w:type="dxa"/>
            <w:tcBorders/>
            <w:shd w:fill="CCEEFF" w:val="clear"/>
            <w:tcMar>
              <w:bottom w:w="0" w:type="dxa"/>
            </w:tcMar>
            <w:vAlign w:val="center"/>
          </w:tcPr>
          <w:p>
            <w:pPr>
              <w:pStyle w:val="TableContents"/>
              <w:bidi w:val="0"/>
              <w:spacing w:before="0" w:after="283"/>
              <w:jc w:val="left"/>
              <w:rPr>
                <w:b/>
                <w:sz w:val="16"/>
              </w:rPr>
            </w:pPr>
            <w:r>
              <w:rPr>
                <w:b/>
                <w:sz w:val="16"/>
              </w:rPr>
              <w:t>Total</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95" w:type="dxa"/>
            <w:tcBorders/>
            <w:shd w:fill="CCEEFF" w:val="clear"/>
            <w:tcMar>
              <w:bottom w:w="0" w:type="dxa"/>
            </w:tcMar>
            <w:vAlign w:val="center"/>
          </w:tcPr>
          <w:p>
            <w:pPr>
              <w:pStyle w:val="TableContents"/>
              <w:bidi w:val="0"/>
              <w:spacing w:before="0" w:after="283"/>
              <w:jc w:val="center"/>
              <w:rPr>
                <w:b/>
                <w:sz w:val="16"/>
              </w:rPr>
            </w:pPr>
            <w:r>
              <w:rPr>
                <w:b/>
                <w:sz w:val="16"/>
              </w:rPr>
              <w:t>2,892,771</w:t>
            </w:r>
          </w:p>
        </w:tc>
        <w:tc>
          <w:tcPr>
            <w:tcW w:w="1150" w:type="dxa"/>
            <w:tcBorders/>
            <w:shd w:fill="CCEEFF" w:val="clear"/>
            <w:tcMar>
              <w:bottom w:w="0" w:type="dxa"/>
            </w:tcMar>
            <w:vAlign w:val="center"/>
          </w:tcPr>
          <w:p>
            <w:pPr>
              <w:pStyle w:val="TableContents"/>
              <w:bidi w:val="0"/>
              <w:spacing w:before="0" w:after="283"/>
              <w:jc w:val="center"/>
              <w:rPr>
                <w:b/>
                <w:sz w:val="16"/>
              </w:rPr>
            </w:pPr>
            <w:r>
              <w:rPr>
                <w:b/>
                <w:sz w:val="16"/>
              </w:rPr>
              <w:t>2,682,500</w:t>
            </w:r>
          </w:p>
        </w:tc>
        <w:tc>
          <w:tcPr>
            <w:tcW w:w="1195" w:type="dxa"/>
            <w:tcBorders/>
            <w:shd w:fill="CCEEFF" w:val="clear"/>
            <w:tcMar>
              <w:bottom w:w="0" w:type="dxa"/>
            </w:tcMar>
            <w:vAlign w:val="center"/>
          </w:tcPr>
          <w:p>
            <w:pPr>
              <w:pStyle w:val="TableContents"/>
              <w:bidi w:val="0"/>
              <w:spacing w:before="0" w:after="283"/>
              <w:jc w:val="center"/>
              <w:rPr>
                <w:b/>
                <w:sz w:val="16"/>
              </w:rPr>
            </w:pPr>
            <w:r>
              <w:rPr>
                <w:b/>
                <w:sz w:val="16"/>
              </w:rPr>
              <w:t>5,742,254</w:t>
            </w:r>
          </w:p>
        </w:tc>
        <w:tc>
          <w:tcPr>
            <w:tcW w:w="1090" w:type="dxa"/>
            <w:tcBorders/>
            <w:shd w:fill="CCEEFF" w:val="clear"/>
            <w:tcMar>
              <w:bottom w:w="0" w:type="dxa"/>
            </w:tcMar>
            <w:vAlign w:val="center"/>
          </w:tcPr>
          <w:p>
            <w:pPr>
              <w:pStyle w:val="TableContents"/>
              <w:bidi w:val="0"/>
              <w:spacing w:before="0" w:after="283"/>
              <w:jc w:val="center"/>
              <w:rPr>
                <w:b/>
                <w:sz w:val="16"/>
              </w:rPr>
            </w:pPr>
            <w:r>
              <w:rPr>
                <w:b/>
                <w:sz w:val="16"/>
              </w:rPr>
              <w:t>5,742,254</w:t>
            </w:r>
          </w:p>
        </w:tc>
        <w:tc>
          <w:tcPr>
            <w:tcW w:w="1310" w:type="dxa"/>
            <w:tcBorders/>
            <w:shd w:fill="CCEEFF" w:val="clear"/>
            <w:tcMar>
              <w:bottom w:w="0" w:type="dxa"/>
            </w:tcMar>
            <w:vAlign w:val="center"/>
          </w:tcPr>
          <w:p>
            <w:pPr>
              <w:pStyle w:val="TableContents"/>
              <w:bidi w:val="0"/>
              <w:spacing w:before="0" w:after="283"/>
              <w:jc w:val="center"/>
              <w:rPr>
                <w:b/>
                <w:sz w:val="16"/>
              </w:rPr>
            </w:pPr>
            <w:r>
              <w:rPr>
                <w:b/>
                <w:sz w:val="16"/>
              </w:rPr>
              <w:t>210,271</w:t>
            </w:r>
          </w:p>
        </w:tc>
        <w:tc>
          <w:tcPr>
            <w:tcW w:w="905" w:type="dxa"/>
            <w:tcBorders/>
            <w:shd w:fill="CCEEFF" w:val="clear"/>
            <w:tcMar>
              <w:bottom w:w="0" w:type="dxa"/>
            </w:tcMar>
            <w:vAlign w:val="center"/>
          </w:tcPr>
          <w:p>
            <w:pPr>
              <w:pStyle w:val="TableContents"/>
              <w:bidi w:val="0"/>
              <w:spacing w:before="0" w:after="283"/>
              <w:jc w:val="center"/>
              <w:rPr>
                <w:b/>
                <w:sz w:val="16"/>
              </w:rPr>
            </w:pPr>
            <w:r>
              <w:rPr>
                <w:b/>
                <w:sz w:val="16"/>
              </w:rPr>
              <w:t>210,271</w:t>
            </w:r>
          </w:p>
        </w:tc>
      </w:tr>
      <w:tr>
        <w:trPr/>
        <w:tc>
          <w:tcPr>
            <w:tcW w:w="1520" w:type="dxa"/>
            <w:tcBorders/>
            <w:shd w:fill="FFFFFF" w:val="clear"/>
            <w:tcMar>
              <w:bottom w:w="0" w:type="dxa"/>
            </w:tcMar>
            <w:vAlign w:val="center"/>
          </w:tcPr>
          <w:p>
            <w:pPr>
              <w:pStyle w:val="TableContents"/>
              <w:bidi w:val="0"/>
              <w:spacing w:before="0" w:after="283"/>
              <w:jc w:val="left"/>
              <w:rPr>
                <w:b/>
                <w:sz w:val="16"/>
              </w:rPr>
            </w:pPr>
            <w:r>
              <w:rPr>
                <w:b/>
                <w:sz w:val="16"/>
              </w:rPr>
              <w:t>Rodney Worthen</w:t>
            </w:r>
          </w:p>
        </w:tc>
        <w:tc>
          <w:tcPr>
            <w:tcW w:w="90" w:type="dxa"/>
            <w:tcBorders/>
            <w:shd w:fill="FFFFFF" w:val="clear"/>
            <w:tcMar>
              <w:bottom w:w="0" w:type="dxa"/>
            </w:tcMar>
            <w:vAlign w:val="center"/>
          </w:tcPr>
          <w:p>
            <w:pPr>
              <w:pStyle w:val="TableContents"/>
              <w:bidi w:val="0"/>
              <w:spacing w:before="0" w:after="283"/>
              <w:jc w:val="left"/>
              <w:rPr/>
            </w:pPr>
            <w:r>
              <w:rPr/>
              <w:t> </w:t>
            </w:r>
          </w:p>
        </w:tc>
        <w:tc>
          <w:tcPr>
            <w:tcW w:w="1195" w:type="dxa"/>
            <w:tcBorders/>
            <w:shd w:fill="FFFFFF" w:val="clear"/>
            <w:tcMar>
              <w:bottom w:w="0" w:type="dxa"/>
            </w:tcMar>
            <w:vAlign w:val="center"/>
          </w:tcPr>
          <w:p>
            <w:pPr>
              <w:pStyle w:val="TableContents"/>
              <w:bidi w:val="0"/>
              <w:spacing w:before="0" w:after="283"/>
              <w:jc w:val="center"/>
              <w:rPr/>
            </w:pPr>
            <w:r>
              <w:rPr/>
              <w:t> </w:t>
            </w:r>
          </w:p>
        </w:tc>
        <w:tc>
          <w:tcPr>
            <w:tcW w:w="1150" w:type="dxa"/>
            <w:tcBorders/>
            <w:shd w:fill="FFFFFF" w:val="clear"/>
            <w:tcMar>
              <w:bottom w:w="0" w:type="dxa"/>
            </w:tcMar>
            <w:vAlign w:val="center"/>
          </w:tcPr>
          <w:p>
            <w:pPr>
              <w:pStyle w:val="TableContents"/>
              <w:bidi w:val="0"/>
              <w:spacing w:before="0" w:after="283"/>
              <w:jc w:val="center"/>
              <w:rPr/>
            </w:pPr>
            <w:r>
              <w:rPr/>
              <w:t> </w:t>
            </w:r>
          </w:p>
        </w:tc>
        <w:tc>
          <w:tcPr>
            <w:tcW w:w="1195" w:type="dxa"/>
            <w:tcBorders/>
            <w:shd w:fill="FFFFFF" w:val="clear"/>
            <w:tcMar>
              <w:bottom w:w="0" w:type="dxa"/>
            </w:tcMar>
            <w:vAlign w:val="center"/>
          </w:tcPr>
          <w:p>
            <w:pPr>
              <w:pStyle w:val="TableContents"/>
              <w:bidi w:val="0"/>
              <w:spacing w:before="0" w:after="283"/>
              <w:jc w:val="center"/>
              <w:rPr/>
            </w:pPr>
            <w:r>
              <w:rPr/>
              <w:t> </w:t>
            </w:r>
          </w:p>
        </w:tc>
        <w:tc>
          <w:tcPr>
            <w:tcW w:w="1090" w:type="dxa"/>
            <w:tcBorders/>
            <w:shd w:fill="FFFFFF" w:val="clear"/>
            <w:tcMar>
              <w:bottom w:w="0" w:type="dxa"/>
            </w:tcMar>
            <w:vAlign w:val="center"/>
          </w:tcPr>
          <w:p>
            <w:pPr>
              <w:pStyle w:val="TableContents"/>
              <w:bidi w:val="0"/>
              <w:spacing w:before="0" w:after="283"/>
              <w:jc w:val="center"/>
              <w:rPr/>
            </w:pPr>
            <w:r>
              <w:rPr/>
              <w:t> </w:t>
            </w:r>
          </w:p>
        </w:tc>
        <w:tc>
          <w:tcPr>
            <w:tcW w:w="1310" w:type="dxa"/>
            <w:tcBorders/>
            <w:shd w:fill="FFFFFF" w:val="clear"/>
            <w:tcMar>
              <w:bottom w:w="0" w:type="dxa"/>
            </w:tcMar>
            <w:vAlign w:val="center"/>
          </w:tcPr>
          <w:p>
            <w:pPr>
              <w:pStyle w:val="TableContents"/>
              <w:bidi w:val="0"/>
              <w:spacing w:before="0" w:after="283"/>
              <w:jc w:val="center"/>
              <w:rPr/>
            </w:pPr>
            <w:r>
              <w:rPr/>
              <w:t> </w:t>
            </w:r>
          </w:p>
        </w:tc>
        <w:tc>
          <w:tcPr>
            <w:tcW w:w="905" w:type="dxa"/>
            <w:tcBorders/>
            <w:shd w:fill="FFFFFF" w:val="clear"/>
            <w:tcMar>
              <w:bottom w:w="0" w:type="dxa"/>
            </w:tcMar>
            <w:vAlign w:val="center"/>
          </w:tcPr>
          <w:p>
            <w:pPr>
              <w:pStyle w:val="TableContents"/>
              <w:bidi w:val="0"/>
              <w:spacing w:before="0" w:after="283"/>
              <w:jc w:val="center"/>
              <w:rPr/>
            </w:pPr>
            <w:r>
              <w:rPr/>
              <w:t> </w:t>
            </w:r>
          </w:p>
        </w:tc>
      </w:tr>
      <w:tr>
        <w:trPr/>
        <w:tc>
          <w:tcPr>
            <w:tcW w:w="1520" w:type="dxa"/>
            <w:tcBorders/>
            <w:shd w:fill="FFFFFF" w:val="clear"/>
            <w:tcMar>
              <w:bottom w:w="0" w:type="dxa"/>
            </w:tcMar>
            <w:vAlign w:val="center"/>
          </w:tcPr>
          <w:p>
            <w:pPr>
              <w:pStyle w:val="TableContents"/>
              <w:bidi w:val="0"/>
              <w:spacing w:before="0" w:after="283"/>
              <w:jc w:val="left"/>
              <w:rPr>
                <w:sz w:val="16"/>
              </w:rPr>
            </w:pPr>
            <w:r>
              <w:rPr>
                <w:sz w:val="16"/>
              </w:rPr>
              <w:t>Cash severance</w:t>
            </w:r>
          </w:p>
        </w:tc>
        <w:tc>
          <w:tcPr>
            <w:tcW w:w="90" w:type="dxa"/>
            <w:tcBorders/>
            <w:shd w:fill="FFFFFF" w:val="clear"/>
            <w:tcMar>
              <w:bottom w:w="0" w:type="dxa"/>
            </w:tcMar>
            <w:vAlign w:val="center"/>
          </w:tcPr>
          <w:p>
            <w:pPr>
              <w:pStyle w:val="TableContents"/>
              <w:bidi w:val="0"/>
              <w:spacing w:before="0" w:after="283"/>
              <w:jc w:val="left"/>
              <w:rPr/>
            </w:pPr>
            <w:r>
              <w:rPr/>
              <w:t> </w:t>
            </w:r>
          </w:p>
        </w:tc>
        <w:tc>
          <w:tcPr>
            <w:tcW w:w="1195" w:type="dxa"/>
            <w:tcBorders/>
            <w:shd w:fill="FFFFFF" w:val="clear"/>
            <w:tcMar>
              <w:bottom w:w="0" w:type="dxa"/>
            </w:tcMar>
            <w:vAlign w:val="center"/>
          </w:tcPr>
          <w:p>
            <w:pPr>
              <w:pStyle w:val="TableContents"/>
              <w:bidi w:val="0"/>
              <w:spacing w:before="0" w:after="283"/>
              <w:jc w:val="center"/>
              <w:rPr>
                <w:sz w:val="16"/>
              </w:rPr>
            </w:pPr>
            <w:r>
              <w:rPr>
                <w:sz w:val="16"/>
              </w:rPr>
              <w:t>0</w:t>
            </w:r>
          </w:p>
        </w:tc>
        <w:tc>
          <w:tcPr>
            <w:tcW w:w="1150" w:type="dxa"/>
            <w:tcBorders/>
            <w:shd w:fill="FFFFFF" w:val="clear"/>
            <w:tcMar>
              <w:bottom w:w="0" w:type="dxa"/>
            </w:tcMar>
            <w:vAlign w:val="center"/>
          </w:tcPr>
          <w:p>
            <w:pPr>
              <w:pStyle w:val="TableContents"/>
              <w:bidi w:val="0"/>
              <w:spacing w:before="0" w:after="283"/>
              <w:jc w:val="center"/>
              <w:rPr>
                <w:sz w:val="16"/>
              </w:rPr>
            </w:pPr>
            <w:r>
              <w:rPr>
                <w:sz w:val="16"/>
              </w:rPr>
              <w:t>0</w:t>
            </w:r>
          </w:p>
        </w:tc>
        <w:tc>
          <w:tcPr>
            <w:tcW w:w="1195" w:type="dxa"/>
            <w:tcBorders/>
            <w:shd w:fill="FFFFFF" w:val="clear"/>
            <w:tcMar>
              <w:bottom w:w="0" w:type="dxa"/>
            </w:tcMar>
            <w:vAlign w:val="center"/>
          </w:tcPr>
          <w:p>
            <w:pPr>
              <w:pStyle w:val="TableContents"/>
              <w:bidi w:val="0"/>
              <w:spacing w:before="0" w:after="283"/>
              <w:jc w:val="center"/>
              <w:rPr>
                <w:sz w:val="16"/>
              </w:rPr>
            </w:pPr>
            <w:r>
              <w:rPr>
                <w:sz w:val="16"/>
              </w:rPr>
              <w:t>0</w:t>
            </w:r>
          </w:p>
        </w:tc>
        <w:tc>
          <w:tcPr>
            <w:tcW w:w="1090" w:type="dxa"/>
            <w:tcBorders/>
            <w:shd w:fill="FFFFFF" w:val="clear"/>
            <w:tcMar>
              <w:bottom w:w="0" w:type="dxa"/>
            </w:tcMar>
            <w:vAlign w:val="center"/>
          </w:tcPr>
          <w:p>
            <w:pPr>
              <w:pStyle w:val="TableContents"/>
              <w:bidi w:val="0"/>
              <w:spacing w:before="0" w:after="283"/>
              <w:jc w:val="center"/>
              <w:rPr>
                <w:sz w:val="16"/>
              </w:rPr>
            </w:pPr>
            <w:r>
              <w:rPr>
                <w:sz w:val="16"/>
              </w:rPr>
              <w:t>0</w:t>
            </w:r>
          </w:p>
        </w:tc>
        <w:tc>
          <w:tcPr>
            <w:tcW w:w="1310" w:type="dxa"/>
            <w:tcBorders/>
            <w:shd w:fill="FFFFFF" w:val="clear"/>
            <w:tcMar>
              <w:bottom w:w="0" w:type="dxa"/>
            </w:tcMar>
            <w:vAlign w:val="center"/>
          </w:tcPr>
          <w:p>
            <w:pPr>
              <w:pStyle w:val="TableContents"/>
              <w:bidi w:val="0"/>
              <w:spacing w:before="0" w:after="283"/>
              <w:jc w:val="center"/>
              <w:rPr>
                <w:sz w:val="16"/>
              </w:rPr>
            </w:pPr>
            <w:r>
              <w:rPr>
                <w:sz w:val="16"/>
              </w:rPr>
              <w:t>0</w:t>
            </w:r>
          </w:p>
        </w:tc>
        <w:tc>
          <w:tcPr>
            <w:tcW w:w="905" w:type="dxa"/>
            <w:tcBorders/>
            <w:shd w:fill="FFFFFF" w:val="clear"/>
            <w:tcMar>
              <w:bottom w:w="0" w:type="dxa"/>
            </w:tcMar>
            <w:vAlign w:val="center"/>
          </w:tcPr>
          <w:p>
            <w:pPr>
              <w:pStyle w:val="TableContents"/>
              <w:bidi w:val="0"/>
              <w:spacing w:before="0" w:after="283"/>
              <w:jc w:val="center"/>
              <w:rPr>
                <w:sz w:val="16"/>
              </w:rPr>
            </w:pPr>
            <w:r>
              <w:rPr>
                <w:sz w:val="16"/>
              </w:rPr>
              <w:t>0</w:t>
            </w:r>
          </w:p>
        </w:tc>
      </w:tr>
      <w:tr>
        <w:trPr/>
        <w:tc>
          <w:tcPr>
            <w:tcW w:w="1520" w:type="dxa"/>
            <w:tcBorders>
              <w:bottom w:val="single" w:sz="8" w:space="0" w:color="000000"/>
            </w:tcBorders>
            <w:shd w:fill="FFFFFF" w:val="clear"/>
            <w:vAlign w:val="center"/>
          </w:tcPr>
          <w:p>
            <w:pPr>
              <w:pStyle w:val="TableContents"/>
              <w:bidi w:val="0"/>
              <w:spacing w:before="0" w:after="283"/>
              <w:jc w:val="left"/>
              <w:rPr>
                <w:sz w:val="16"/>
              </w:rPr>
            </w:pPr>
            <w:r>
              <w:rPr>
                <w:sz w:val="16"/>
              </w:rPr>
              <w:t>Equity awards</w:t>
            </w:r>
          </w:p>
        </w:tc>
        <w:tc>
          <w:tcPr>
            <w:tcW w:w="90" w:type="dxa"/>
            <w:tcBorders>
              <w:bottom w:val="single" w:sz="8" w:space="0" w:color="000000"/>
            </w:tcBorders>
            <w:shd w:fill="FFFFFF" w:val="clear"/>
            <w:vAlign w:val="center"/>
          </w:tcPr>
          <w:p>
            <w:pPr>
              <w:pStyle w:val="TableContents"/>
              <w:bidi w:val="0"/>
              <w:spacing w:before="0" w:after="283"/>
              <w:jc w:val="left"/>
              <w:rPr/>
            </w:pPr>
            <w:r>
              <w:rPr/>
              <w:t> </w:t>
            </w:r>
          </w:p>
        </w:tc>
        <w:tc>
          <w:tcPr>
            <w:tcW w:w="1195" w:type="dxa"/>
            <w:tcBorders>
              <w:bottom w:val="single" w:sz="8" w:space="0" w:color="000000"/>
            </w:tcBorders>
            <w:shd w:fill="FFFFFF" w:val="clear"/>
            <w:vAlign w:val="center"/>
          </w:tcPr>
          <w:p>
            <w:pPr>
              <w:pStyle w:val="TableContents"/>
              <w:bidi w:val="0"/>
              <w:spacing w:before="0" w:after="283"/>
              <w:jc w:val="center"/>
              <w:rPr>
                <w:sz w:val="16"/>
              </w:rPr>
            </w:pPr>
            <w:r>
              <w:rPr>
                <w:sz w:val="16"/>
              </w:rPr>
              <w:t>6,174</w:t>
            </w:r>
          </w:p>
        </w:tc>
        <w:tc>
          <w:tcPr>
            <w:tcW w:w="1150" w:type="dxa"/>
            <w:tcBorders>
              <w:bottom w:val="single" w:sz="8" w:space="0" w:color="000000"/>
            </w:tcBorders>
            <w:shd w:fill="FFFFFF" w:val="clear"/>
            <w:vAlign w:val="center"/>
          </w:tcPr>
          <w:p>
            <w:pPr>
              <w:pStyle w:val="TableContents"/>
              <w:bidi w:val="0"/>
              <w:spacing w:before="0" w:after="283"/>
              <w:jc w:val="center"/>
              <w:rPr>
                <w:sz w:val="16"/>
              </w:rPr>
            </w:pPr>
            <w:r>
              <w:rPr>
                <w:sz w:val="16"/>
              </w:rPr>
              <w:t>0</w:t>
            </w:r>
          </w:p>
        </w:tc>
        <w:tc>
          <w:tcPr>
            <w:tcW w:w="1195" w:type="dxa"/>
            <w:tcBorders>
              <w:bottom w:val="single" w:sz="8" w:space="0" w:color="000000"/>
            </w:tcBorders>
            <w:shd w:fill="FFFFFF" w:val="clear"/>
            <w:vAlign w:val="center"/>
          </w:tcPr>
          <w:p>
            <w:pPr>
              <w:pStyle w:val="TableContents"/>
              <w:bidi w:val="0"/>
              <w:spacing w:before="0" w:after="283"/>
              <w:jc w:val="center"/>
              <w:rPr>
                <w:sz w:val="16"/>
              </w:rPr>
            </w:pPr>
            <w:r>
              <w:rPr>
                <w:sz w:val="16"/>
              </w:rPr>
              <w:t>78,173</w:t>
            </w:r>
          </w:p>
        </w:tc>
        <w:tc>
          <w:tcPr>
            <w:tcW w:w="1090" w:type="dxa"/>
            <w:tcBorders>
              <w:bottom w:val="single" w:sz="8" w:space="0" w:color="000000"/>
            </w:tcBorders>
            <w:shd w:fill="FFFFFF" w:val="clear"/>
            <w:vAlign w:val="center"/>
          </w:tcPr>
          <w:p>
            <w:pPr>
              <w:pStyle w:val="TableContents"/>
              <w:bidi w:val="0"/>
              <w:spacing w:before="0" w:after="283"/>
              <w:jc w:val="center"/>
              <w:rPr>
                <w:sz w:val="16"/>
              </w:rPr>
            </w:pPr>
            <w:r>
              <w:rPr>
                <w:sz w:val="16"/>
              </w:rPr>
              <w:t>78,173</w:t>
            </w:r>
          </w:p>
        </w:tc>
        <w:tc>
          <w:tcPr>
            <w:tcW w:w="1310" w:type="dxa"/>
            <w:tcBorders>
              <w:bottom w:val="single" w:sz="8" w:space="0" w:color="000000"/>
            </w:tcBorders>
            <w:shd w:fill="FFFFFF" w:val="clear"/>
            <w:vAlign w:val="center"/>
          </w:tcPr>
          <w:p>
            <w:pPr>
              <w:pStyle w:val="TableContents"/>
              <w:bidi w:val="0"/>
              <w:spacing w:before="0" w:after="283"/>
              <w:jc w:val="center"/>
              <w:rPr>
                <w:sz w:val="16"/>
              </w:rPr>
            </w:pPr>
            <w:r>
              <w:rPr>
                <w:sz w:val="16"/>
              </w:rPr>
              <w:t>6,174</w:t>
            </w:r>
          </w:p>
        </w:tc>
        <w:tc>
          <w:tcPr>
            <w:tcW w:w="905" w:type="dxa"/>
            <w:tcBorders>
              <w:bottom w:val="single" w:sz="8" w:space="0" w:color="000000"/>
            </w:tcBorders>
            <w:shd w:fill="FFFFFF" w:val="clear"/>
            <w:vAlign w:val="center"/>
          </w:tcPr>
          <w:p>
            <w:pPr>
              <w:pStyle w:val="TableContents"/>
              <w:bidi w:val="0"/>
              <w:spacing w:before="0" w:after="283"/>
              <w:jc w:val="center"/>
              <w:rPr>
                <w:sz w:val="16"/>
              </w:rPr>
            </w:pPr>
            <w:r>
              <w:rPr>
                <w:sz w:val="16"/>
              </w:rPr>
              <w:t>0</w:t>
            </w:r>
          </w:p>
        </w:tc>
      </w:tr>
      <w:tr>
        <w:trPr/>
        <w:tc>
          <w:tcPr>
            <w:tcW w:w="1520" w:type="dxa"/>
            <w:tcBorders/>
            <w:shd w:fill="FFFFFF" w:val="clear"/>
            <w:tcMar>
              <w:bottom w:w="0" w:type="dxa"/>
            </w:tcMar>
            <w:vAlign w:val="center"/>
          </w:tcPr>
          <w:p>
            <w:pPr>
              <w:pStyle w:val="TableContents"/>
              <w:bidi w:val="0"/>
              <w:spacing w:before="0" w:after="283"/>
              <w:jc w:val="left"/>
              <w:rPr>
                <w:b/>
                <w:sz w:val="16"/>
              </w:rPr>
            </w:pPr>
            <w:r>
              <w:rPr>
                <w:b/>
                <w:sz w:val="16"/>
              </w:rPr>
              <w:t>Total</w:t>
            </w:r>
          </w:p>
        </w:tc>
        <w:tc>
          <w:tcPr>
            <w:tcW w:w="90" w:type="dxa"/>
            <w:tcBorders/>
            <w:shd w:fill="FFFFFF" w:val="clear"/>
            <w:tcMar>
              <w:bottom w:w="0" w:type="dxa"/>
            </w:tcMar>
            <w:vAlign w:val="center"/>
          </w:tcPr>
          <w:p>
            <w:pPr>
              <w:pStyle w:val="TableContents"/>
              <w:bidi w:val="0"/>
              <w:spacing w:before="0" w:after="283"/>
              <w:jc w:val="left"/>
              <w:rPr/>
            </w:pPr>
            <w:r>
              <w:rPr/>
              <w:t> </w:t>
            </w:r>
          </w:p>
        </w:tc>
        <w:tc>
          <w:tcPr>
            <w:tcW w:w="1195" w:type="dxa"/>
            <w:tcBorders/>
            <w:shd w:fill="FFFFFF" w:val="clear"/>
            <w:tcMar>
              <w:bottom w:w="0" w:type="dxa"/>
            </w:tcMar>
            <w:vAlign w:val="center"/>
          </w:tcPr>
          <w:p>
            <w:pPr>
              <w:pStyle w:val="TableContents"/>
              <w:bidi w:val="0"/>
              <w:spacing w:before="0" w:after="283"/>
              <w:jc w:val="center"/>
              <w:rPr>
                <w:b/>
                <w:sz w:val="16"/>
              </w:rPr>
            </w:pPr>
            <w:r>
              <w:rPr>
                <w:b/>
                <w:sz w:val="16"/>
              </w:rPr>
              <w:t>6,174</w:t>
            </w:r>
          </w:p>
        </w:tc>
        <w:tc>
          <w:tcPr>
            <w:tcW w:w="1150" w:type="dxa"/>
            <w:tcBorders/>
            <w:shd w:fill="FFFFFF" w:val="clear"/>
            <w:tcMar>
              <w:bottom w:w="0" w:type="dxa"/>
            </w:tcMar>
            <w:vAlign w:val="center"/>
          </w:tcPr>
          <w:p>
            <w:pPr>
              <w:pStyle w:val="TableContents"/>
              <w:bidi w:val="0"/>
              <w:spacing w:before="0" w:after="283"/>
              <w:jc w:val="center"/>
              <w:rPr>
                <w:b/>
                <w:sz w:val="16"/>
              </w:rPr>
            </w:pPr>
            <w:r>
              <w:rPr>
                <w:b/>
                <w:sz w:val="16"/>
              </w:rPr>
              <w:t>0</w:t>
            </w:r>
          </w:p>
        </w:tc>
        <w:tc>
          <w:tcPr>
            <w:tcW w:w="1195" w:type="dxa"/>
            <w:tcBorders/>
            <w:shd w:fill="FFFFFF" w:val="clear"/>
            <w:tcMar>
              <w:bottom w:w="0" w:type="dxa"/>
            </w:tcMar>
            <w:vAlign w:val="center"/>
          </w:tcPr>
          <w:p>
            <w:pPr>
              <w:pStyle w:val="TableContents"/>
              <w:bidi w:val="0"/>
              <w:spacing w:before="0" w:after="283"/>
              <w:jc w:val="center"/>
              <w:rPr>
                <w:b/>
                <w:sz w:val="16"/>
              </w:rPr>
            </w:pPr>
            <w:r>
              <w:rPr>
                <w:b/>
                <w:sz w:val="16"/>
              </w:rPr>
              <w:t>78,173</w:t>
            </w:r>
          </w:p>
        </w:tc>
        <w:tc>
          <w:tcPr>
            <w:tcW w:w="1090" w:type="dxa"/>
            <w:tcBorders/>
            <w:shd w:fill="FFFFFF" w:val="clear"/>
            <w:tcMar>
              <w:bottom w:w="0" w:type="dxa"/>
            </w:tcMar>
            <w:vAlign w:val="center"/>
          </w:tcPr>
          <w:p>
            <w:pPr>
              <w:pStyle w:val="TableContents"/>
              <w:bidi w:val="0"/>
              <w:spacing w:before="0" w:after="283"/>
              <w:jc w:val="center"/>
              <w:rPr>
                <w:b/>
                <w:sz w:val="16"/>
              </w:rPr>
            </w:pPr>
            <w:r>
              <w:rPr>
                <w:b/>
                <w:sz w:val="16"/>
              </w:rPr>
              <w:t>78,173</w:t>
            </w:r>
          </w:p>
        </w:tc>
        <w:tc>
          <w:tcPr>
            <w:tcW w:w="1310" w:type="dxa"/>
            <w:tcBorders/>
            <w:shd w:fill="FFFFFF" w:val="clear"/>
            <w:tcMar>
              <w:bottom w:w="0" w:type="dxa"/>
            </w:tcMar>
            <w:vAlign w:val="center"/>
          </w:tcPr>
          <w:p>
            <w:pPr>
              <w:pStyle w:val="TableContents"/>
              <w:bidi w:val="0"/>
              <w:spacing w:before="0" w:after="283"/>
              <w:jc w:val="center"/>
              <w:rPr>
                <w:b/>
                <w:sz w:val="16"/>
              </w:rPr>
            </w:pPr>
            <w:r>
              <w:rPr>
                <w:b/>
                <w:sz w:val="16"/>
              </w:rPr>
              <w:t>6,174</w:t>
            </w:r>
          </w:p>
        </w:tc>
        <w:tc>
          <w:tcPr>
            <w:tcW w:w="905" w:type="dxa"/>
            <w:tcBorders/>
            <w:shd w:fill="FFFFFF" w:val="clear"/>
            <w:tcMar>
              <w:bottom w:w="0" w:type="dxa"/>
            </w:tcMar>
            <w:vAlign w:val="center"/>
          </w:tcPr>
          <w:p>
            <w:pPr>
              <w:pStyle w:val="TableContents"/>
              <w:bidi w:val="0"/>
              <w:spacing w:before="0" w:after="283"/>
              <w:jc w:val="center"/>
              <w:rPr>
                <w:b/>
                <w:sz w:val="16"/>
              </w:rPr>
            </w:pPr>
            <w:r>
              <w:rPr>
                <w:b/>
                <w:sz w:val="16"/>
              </w:rPr>
              <w:t>0</w:t>
            </w:r>
          </w:p>
        </w:tc>
      </w:tr>
      <w:tr>
        <w:trPr/>
        <w:tc>
          <w:tcPr>
            <w:tcW w:w="1520" w:type="dxa"/>
            <w:tcBorders/>
            <w:shd w:fill="CCEEFF" w:val="clear"/>
            <w:tcMar>
              <w:bottom w:w="0" w:type="dxa"/>
            </w:tcMar>
            <w:vAlign w:val="center"/>
          </w:tcPr>
          <w:p>
            <w:pPr>
              <w:pStyle w:val="TableContents"/>
              <w:bidi w:val="0"/>
              <w:spacing w:before="0" w:after="283"/>
              <w:jc w:val="left"/>
              <w:rPr>
                <w:b/>
                <w:sz w:val="16"/>
              </w:rPr>
            </w:pPr>
            <w:r>
              <w:rPr>
                <w:b/>
                <w:sz w:val="16"/>
              </w:rPr>
              <w:t>Isida Tushe</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95" w:type="dxa"/>
            <w:tcBorders/>
            <w:shd w:fill="CCEEFF" w:val="clear"/>
            <w:tcMar>
              <w:bottom w:w="0" w:type="dxa"/>
            </w:tcMar>
            <w:vAlign w:val="center"/>
          </w:tcPr>
          <w:p>
            <w:pPr>
              <w:pStyle w:val="TableContents"/>
              <w:bidi w:val="0"/>
              <w:spacing w:before="0" w:after="283"/>
              <w:jc w:val="center"/>
              <w:rPr/>
            </w:pPr>
            <w:r>
              <w:rPr/>
              <w:t> </w:t>
            </w:r>
          </w:p>
        </w:tc>
        <w:tc>
          <w:tcPr>
            <w:tcW w:w="1150" w:type="dxa"/>
            <w:tcBorders/>
            <w:shd w:fill="CCEEFF" w:val="clear"/>
            <w:tcMar>
              <w:bottom w:w="0" w:type="dxa"/>
            </w:tcMar>
            <w:vAlign w:val="center"/>
          </w:tcPr>
          <w:p>
            <w:pPr>
              <w:pStyle w:val="TableContents"/>
              <w:bidi w:val="0"/>
              <w:spacing w:before="0" w:after="283"/>
              <w:jc w:val="center"/>
              <w:rPr/>
            </w:pPr>
            <w:r>
              <w:rPr/>
              <w:t> </w:t>
            </w:r>
          </w:p>
        </w:tc>
        <w:tc>
          <w:tcPr>
            <w:tcW w:w="1195" w:type="dxa"/>
            <w:tcBorders/>
            <w:shd w:fill="CCEEFF" w:val="clear"/>
            <w:tcMar>
              <w:bottom w:w="0" w:type="dxa"/>
            </w:tcMar>
            <w:vAlign w:val="center"/>
          </w:tcPr>
          <w:p>
            <w:pPr>
              <w:pStyle w:val="TableContents"/>
              <w:bidi w:val="0"/>
              <w:spacing w:before="0" w:after="283"/>
              <w:jc w:val="center"/>
              <w:rPr/>
            </w:pPr>
            <w:r>
              <w:rPr/>
              <w:t> </w:t>
            </w:r>
          </w:p>
        </w:tc>
        <w:tc>
          <w:tcPr>
            <w:tcW w:w="1090" w:type="dxa"/>
            <w:tcBorders/>
            <w:shd w:fill="CCEEFF" w:val="clear"/>
            <w:tcMar>
              <w:bottom w:w="0" w:type="dxa"/>
            </w:tcMar>
            <w:vAlign w:val="center"/>
          </w:tcPr>
          <w:p>
            <w:pPr>
              <w:pStyle w:val="TableContents"/>
              <w:bidi w:val="0"/>
              <w:spacing w:before="0" w:after="283"/>
              <w:jc w:val="center"/>
              <w:rPr/>
            </w:pPr>
            <w:r>
              <w:rPr/>
              <w:t> </w:t>
            </w:r>
          </w:p>
        </w:tc>
        <w:tc>
          <w:tcPr>
            <w:tcW w:w="1310" w:type="dxa"/>
            <w:tcBorders/>
            <w:shd w:fill="CCEEFF" w:val="clear"/>
            <w:tcMar>
              <w:bottom w:w="0" w:type="dxa"/>
            </w:tcMar>
            <w:vAlign w:val="center"/>
          </w:tcPr>
          <w:p>
            <w:pPr>
              <w:pStyle w:val="TableContents"/>
              <w:bidi w:val="0"/>
              <w:spacing w:before="0" w:after="283"/>
              <w:jc w:val="center"/>
              <w:rPr/>
            </w:pPr>
            <w:r>
              <w:rPr/>
              <w:t> </w:t>
            </w:r>
          </w:p>
        </w:tc>
        <w:tc>
          <w:tcPr>
            <w:tcW w:w="905" w:type="dxa"/>
            <w:tcBorders/>
            <w:shd w:fill="CCEEFF" w:val="clear"/>
            <w:tcMar>
              <w:bottom w:w="0" w:type="dxa"/>
            </w:tcMar>
            <w:vAlign w:val="center"/>
          </w:tcPr>
          <w:p>
            <w:pPr>
              <w:pStyle w:val="TableContents"/>
              <w:bidi w:val="0"/>
              <w:spacing w:before="0" w:after="283"/>
              <w:jc w:val="center"/>
              <w:rPr/>
            </w:pPr>
            <w:r>
              <w:rPr/>
              <w:t> </w:t>
            </w:r>
          </w:p>
        </w:tc>
      </w:tr>
      <w:tr>
        <w:trPr/>
        <w:tc>
          <w:tcPr>
            <w:tcW w:w="1520" w:type="dxa"/>
            <w:tcBorders/>
            <w:shd w:fill="CCEEFF" w:val="clear"/>
            <w:tcMar>
              <w:bottom w:w="0" w:type="dxa"/>
            </w:tcMar>
            <w:vAlign w:val="center"/>
          </w:tcPr>
          <w:p>
            <w:pPr>
              <w:pStyle w:val="TableContents"/>
              <w:bidi w:val="0"/>
              <w:spacing w:before="0" w:after="283"/>
              <w:jc w:val="left"/>
              <w:rPr>
                <w:sz w:val="16"/>
              </w:rPr>
            </w:pPr>
            <w:r>
              <w:rPr>
                <w:sz w:val="16"/>
              </w:rPr>
              <w:t>Cash severance</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95" w:type="dxa"/>
            <w:tcBorders/>
            <w:shd w:fill="CCEEFF" w:val="clear"/>
            <w:tcMar>
              <w:bottom w:w="0" w:type="dxa"/>
            </w:tcMar>
            <w:vAlign w:val="center"/>
          </w:tcPr>
          <w:p>
            <w:pPr>
              <w:pStyle w:val="TableContents"/>
              <w:bidi w:val="0"/>
              <w:spacing w:before="0" w:after="283"/>
              <w:jc w:val="center"/>
              <w:rPr>
                <w:sz w:val="16"/>
              </w:rPr>
            </w:pPr>
            <w:r>
              <w:rPr>
                <w:sz w:val="16"/>
              </w:rPr>
              <w:t>0</w:t>
            </w:r>
          </w:p>
        </w:tc>
        <w:tc>
          <w:tcPr>
            <w:tcW w:w="1150" w:type="dxa"/>
            <w:tcBorders/>
            <w:shd w:fill="CCEEFF" w:val="clear"/>
            <w:tcMar>
              <w:bottom w:w="0" w:type="dxa"/>
            </w:tcMar>
            <w:vAlign w:val="center"/>
          </w:tcPr>
          <w:p>
            <w:pPr>
              <w:pStyle w:val="TableContents"/>
              <w:bidi w:val="0"/>
              <w:spacing w:before="0" w:after="283"/>
              <w:jc w:val="center"/>
              <w:rPr>
                <w:sz w:val="16"/>
              </w:rPr>
            </w:pPr>
            <w:r>
              <w:rPr>
                <w:sz w:val="16"/>
              </w:rPr>
              <w:t>0</w:t>
            </w:r>
          </w:p>
        </w:tc>
        <w:tc>
          <w:tcPr>
            <w:tcW w:w="1195" w:type="dxa"/>
            <w:tcBorders/>
            <w:shd w:fill="CCEEFF" w:val="clear"/>
            <w:tcMar>
              <w:bottom w:w="0" w:type="dxa"/>
            </w:tcMar>
            <w:vAlign w:val="center"/>
          </w:tcPr>
          <w:p>
            <w:pPr>
              <w:pStyle w:val="TableContents"/>
              <w:bidi w:val="0"/>
              <w:spacing w:before="0" w:after="283"/>
              <w:jc w:val="center"/>
              <w:rPr>
                <w:sz w:val="16"/>
              </w:rPr>
            </w:pPr>
            <w:r>
              <w:rPr>
                <w:sz w:val="16"/>
              </w:rPr>
              <w:t>0</w:t>
            </w:r>
          </w:p>
        </w:tc>
        <w:tc>
          <w:tcPr>
            <w:tcW w:w="1090" w:type="dxa"/>
            <w:tcBorders/>
            <w:shd w:fill="CCEEFF" w:val="clear"/>
            <w:tcMar>
              <w:bottom w:w="0" w:type="dxa"/>
            </w:tcMar>
            <w:vAlign w:val="center"/>
          </w:tcPr>
          <w:p>
            <w:pPr>
              <w:pStyle w:val="TableContents"/>
              <w:bidi w:val="0"/>
              <w:spacing w:before="0" w:after="283"/>
              <w:jc w:val="center"/>
              <w:rPr>
                <w:sz w:val="16"/>
              </w:rPr>
            </w:pPr>
            <w:r>
              <w:rPr>
                <w:sz w:val="16"/>
              </w:rPr>
              <w:t>0</w:t>
            </w:r>
          </w:p>
        </w:tc>
        <w:tc>
          <w:tcPr>
            <w:tcW w:w="1310" w:type="dxa"/>
            <w:tcBorders/>
            <w:shd w:fill="CCEEFF" w:val="clear"/>
            <w:tcMar>
              <w:bottom w:w="0" w:type="dxa"/>
            </w:tcMar>
            <w:vAlign w:val="center"/>
          </w:tcPr>
          <w:p>
            <w:pPr>
              <w:pStyle w:val="TableContents"/>
              <w:bidi w:val="0"/>
              <w:spacing w:before="0" w:after="283"/>
              <w:jc w:val="center"/>
              <w:rPr>
                <w:sz w:val="16"/>
              </w:rPr>
            </w:pPr>
            <w:r>
              <w:rPr>
                <w:sz w:val="16"/>
              </w:rPr>
              <w:t>0</w:t>
            </w:r>
          </w:p>
        </w:tc>
        <w:tc>
          <w:tcPr>
            <w:tcW w:w="905" w:type="dxa"/>
            <w:tcBorders/>
            <w:shd w:fill="CCEEFF" w:val="clear"/>
            <w:tcMar>
              <w:bottom w:w="0" w:type="dxa"/>
            </w:tcMar>
            <w:vAlign w:val="center"/>
          </w:tcPr>
          <w:p>
            <w:pPr>
              <w:pStyle w:val="TableContents"/>
              <w:bidi w:val="0"/>
              <w:spacing w:before="0" w:after="283"/>
              <w:jc w:val="center"/>
              <w:rPr>
                <w:sz w:val="16"/>
              </w:rPr>
            </w:pPr>
            <w:r>
              <w:rPr>
                <w:sz w:val="16"/>
              </w:rPr>
              <w:t>0</w:t>
            </w:r>
          </w:p>
        </w:tc>
      </w:tr>
      <w:tr>
        <w:trPr/>
        <w:tc>
          <w:tcPr>
            <w:tcW w:w="1520" w:type="dxa"/>
            <w:tcBorders>
              <w:bottom w:val="single" w:sz="8" w:space="0" w:color="000000"/>
            </w:tcBorders>
            <w:shd w:fill="CCEEFF" w:val="clear"/>
            <w:vAlign w:val="center"/>
          </w:tcPr>
          <w:p>
            <w:pPr>
              <w:pStyle w:val="TableContents"/>
              <w:bidi w:val="0"/>
              <w:spacing w:before="0" w:after="283"/>
              <w:jc w:val="left"/>
              <w:rPr>
                <w:sz w:val="16"/>
              </w:rPr>
            </w:pPr>
            <w:r>
              <w:rPr>
                <w:sz w:val="16"/>
              </w:rPr>
              <w:t>Equity awards</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1195" w:type="dxa"/>
            <w:tcBorders>
              <w:bottom w:val="single" w:sz="8" w:space="0" w:color="000000"/>
            </w:tcBorders>
            <w:shd w:fill="CCEEFF" w:val="clear"/>
            <w:vAlign w:val="center"/>
          </w:tcPr>
          <w:p>
            <w:pPr>
              <w:pStyle w:val="TableContents"/>
              <w:bidi w:val="0"/>
              <w:spacing w:before="0" w:after="283"/>
              <w:jc w:val="center"/>
              <w:rPr>
                <w:sz w:val="16"/>
              </w:rPr>
            </w:pPr>
            <w:r>
              <w:rPr>
                <w:sz w:val="16"/>
              </w:rPr>
              <w:t>96,500</w:t>
            </w:r>
          </w:p>
        </w:tc>
        <w:tc>
          <w:tcPr>
            <w:tcW w:w="1150" w:type="dxa"/>
            <w:tcBorders>
              <w:bottom w:val="single" w:sz="8" w:space="0" w:color="000000"/>
            </w:tcBorders>
            <w:shd w:fill="CCEEFF" w:val="clear"/>
            <w:vAlign w:val="center"/>
          </w:tcPr>
          <w:p>
            <w:pPr>
              <w:pStyle w:val="TableContents"/>
              <w:bidi w:val="0"/>
              <w:spacing w:before="0" w:after="283"/>
              <w:jc w:val="center"/>
              <w:rPr>
                <w:sz w:val="16"/>
              </w:rPr>
            </w:pPr>
            <w:r>
              <w:rPr>
                <w:sz w:val="16"/>
              </w:rPr>
              <w:t>61,500</w:t>
            </w:r>
          </w:p>
        </w:tc>
        <w:tc>
          <w:tcPr>
            <w:tcW w:w="1195" w:type="dxa"/>
            <w:tcBorders>
              <w:bottom w:val="single" w:sz="8" w:space="0" w:color="000000"/>
            </w:tcBorders>
            <w:shd w:fill="CCEEFF" w:val="clear"/>
            <w:vAlign w:val="center"/>
          </w:tcPr>
          <w:p>
            <w:pPr>
              <w:pStyle w:val="TableContents"/>
              <w:bidi w:val="0"/>
              <w:spacing w:before="0" w:after="283"/>
              <w:jc w:val="center"/>
              <w:rPr>
                <w:sz w:val="16"/>
              </w:rPr>
            </w:pPr>
            <w:r>
              <w:rPr>
                <w:sz w:val="16"/>
              </w:rPr>
              <w:t>1,735,335</w:t>
            </w:r>
          </w:p>
        </w:tc>
        <w:tc>
          <w:tcPr>
            <w:tcW w:w="1090" w:type="dxa"/>
            <w:tcBorders>
              <w:bottom w:val="single" w:sz="8" w:space="0" w:color="000000"/>
            </w:tcBorders>
            <w:shd w:fill="CCEEFF" w:val="clear"/>
            <w:vAlign w:val="center"/>
          </w:tcPr>
          <w:p>
            <w:pPr>
              <w:pStyle w:val="TableContents"/>
              <w:bidi w:val="0"/>
              <w:spacing w:before="0" w:after="283"/>
              <w:jc w:val="center"/>
              <w:rPr>
                <w:sz w:val="16"/>
              </w:rPr>
            </w:pPr>
            <w:r>
              <w:rPr>
                <w:sz w:val="16"/>
              </w:rPr>
              <w:t>1,735,335</w:t>
            </w:r>
          </w:p>
        </w:tc>
        <w:tc>
          <w:tcPr>
            <w:tcW w:w="1310" w:type="dxa"/>
            <w:tcBorders>
              <w:bottom w:val="single" w:sz="8" w:space="0" w:color="000000"/>
            </w:tcBorders>
            <w:shd w:fill="CCEEFF" w:val="clear"/>
            <w:vAlign w:val="center"/>
          </w:tcPr>
          <w:p>
            <w:pPr>
              <w:pStyle w:val="TableContents"/>
              <w:bidi w:val="0"/>
              <w:spacing w:before="0" w:after="283"/>
              <w:jc w:val="center"/>
              <w:rPr>
                <w:sz w:val="16"/>
              </w:rPr>
            </w:pPr>
            <w:r>
              <w:rPr>
                <w:sz w:val="16"/>
              </w:rPr>
              <w:t>96,500</w:t>
            </w:r>
          </w:p>
        </w:tc>
        <w:tc>
          <w:tcPr>
            <w:tcW w:w="905" w:type="dxa"/>
            <w:tcBorders>
              <w:bottom w:val="single" w:sz="8" w:space="0" w:color="000000"/>
            </w:tcBorders>
            <w:shd w:fill="CCEEFF" w:val="clear"/>
            <w:vAlign w:val="center"/>
          </w:tcPr>
          <w:p>
            <w:pPr>
              <w:pStyle w:val="TableContents"/>
              <w:bidi w:val="0"/>
              <w:spacing w:before="0" w:after="283"/>
              <w:jc w:val="center"/>
              <w:rPr>
                <w:sz w:val="16"/>
              </w:rPr>
            </w:pPr>
            <w:r>
              <w:rPr>
                <w:sz w:val="16"/>
              </w:rPr>
              <w:t>0</w:t>
            </w:r>
          </w:p>
        </w:tc>
      </w:tr>
      <w:tr>
        <w:trPr/>
        <w:tc>
          <w:tcPr>
            <w:tcW w:w="1520" w:type="dxa"/>
            <w:tcBorders/>
            <w:shd w:fill="CCEEFF" w:val="clear"/>
            <w:tcMar>
              <w:bottom w:w="0" w:type="dxa"/>
            </w:tcMar>
            <w:vAlign w:val="center"/>
          </w:tcPr>
          <w:p>
            <w:pPr>
              <w:pStyle w:val="TableContents"/>
              <w:bidi w:val="0"/>
              <w:spacing w:before="0" w:after="283"/>
              <w:jc w:val="left"/>
              <w:rPr>
                <w:b/>
                <w:sz w:val="16"/>
              </w:rPr>
            </w:pPr>
            <w:r>
              <w:rPr>
                <w:b/>
                <w:sz w:val="16"/>
              </w:rPr>
              <w:t>Total</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95" w:type="dxa"/>
            <w:tcBorders/>
            <w:shd w:fill="CCEEFF" w:val="clear"/>
            <w:tcMar>
              <w:bottom w:w="0" w:type="dxa"/>
            </w:tcMar>
            <w:vAlign w:val="center"/>
          </w:tcPr>
          <w:p>
            <w:pPr>
              <w:pStyle w:val="TableContents"/>
              <w:bidi w:val="0"/>
              <w:spacing w:before="0" w:after="283"/>
              <w:jc w:val="center"/>
              <w:rPr>
                <w:b/>
                <w:sz w:val="16"/>
              </w:rPr>
            </w:pPr>
            <w:r>
              <w:rPr>
                <w:b/>
                <w:sz w:val="16"/>
              </w:rPr>
              <w:t>96,500</w:t>
            </w:r>
          </w:p>
        </w:tc>
        <w:tc>
          <w:tcPr>
            <w:tcW w:w="1150" w:type="dxa"/>
            <w:tcBorders/>
            <w:shd w:fill="CCEEFF" w:val="clear"/>
            <w:tcMar>
              <w:bottom w:w="0" w:type="dxa"/>
            </w:tcMar>
            <w:vAlign w:val="center"/>
          </w:tcPr>
          <w:p>
            <w:pPr>
              <w:pStyle w:val="TableContents"/>
              <w:bidi w:val="0"/>
              <w:spacing w:before="0" w:after="283"/>
              <w:jc w:val="center"/>
              <w:rPr>
                <w:b/>
                <w:sz w:val="16"/>
              </w:rPr>
            </w:pPr>
            <w:r>
              <w:rPr>
                <w:b/>
                <w:sz w:val="16"/>
              </w:rPr>
              <w:t>61,500</w:t>
            </w:r>
          </w:p>
        </w:tc>
        <w:tc>
          <w:tcPr>
            <w:tcW w:w="1195" w:type="dxa"/>
            <w:tcBorders/>
            <w:shd w:fill="CCEEFF" w:val="clear"/>
            <w:tcMar>
              <w:bottom w:w="0" w:type="dxa"/>
            </w:tcMar>
            <w:vAlign w:val="center"/>
          </w:tcPr>
          <w:p>
            <w:pPr>
              <w:pStyle w:val="TableContents"/>
              <w:bidi w:val="0"/>
              <w:spacing w:before="0" w:after="283"/>
              <w:jc w:val="center"/>
              <w:rPr>
                <w:b/>
                <w:sz w:val="16"/>
              </w:rPr>
            </w:pPr>
            <w:r>
              <w:rPr>
                <w:b/>
                <w:sz w:val="16"/>
              </w:rPr>
              <w:t>1,735,335</w:t>
            </w:r>
          </w:p>
        </w:tc>
        <w:tc>
          <w:tcPr>
            <w:tcW w:w="1090" w:type="dxa"/>
            <w:tcBorders/>
            <w:shd w:fill="CCEEFF" w:val="clear"/>
            <w:tcMar>
              <w:bottom w:w="0" w:type="dxa"/>
            </w:tcMar>
            <w:vAlign w:val="center"/>
          </w:tcPr>
          <w:p>
            <w:pPr>
              <w:pStyle w:val="TableContents"/>
              <w:bidi w:val="0"/>
              <w:spacing w:before="0" w:after="283"/>
              <w:jc w:val="center"/>
              <w:rPr>
                <w:b/>
                <w:sz w:val="16"/>
              </w:rPr>
            </w:pPr>
            <w:r>
              <w:rPr>
                <w:b/>
                <w:sz w:val="16"/>
              </w:rPr>
              <w:t>1,735,335</w:t>
            </w:r>
          </w:p>
        </w:tc>
        <w:tc>
          <w:tcPr>
            <w:tcW w:w="1310" w:type="dxa"/>
            <w:tcBorders/>
            <w:shd w:fill="CCEEFF" w:val="clear"/>
            <w:tcMar>
              <w:bottom w:w="0" w:type="dxa"/>
            </w:tcMar>
            <w:vAlign w:val="center"/>
          </w:tcPr>
          <w:p>
            <w:pPr>
              <w:pStyle w:val="TableContents"/>
              <w:bidi w:val="0"/>
              <w:spacing w:before="0" w:after="283"/>
              <w:jc w:val="center"/>
              <w:rPr>
                <w:b/>
                <w:sz w:val="16"/>
              </w:rPr>
            </w:pPr>
            <w:r>
              <w:rPr>
                <w:b/>
                <w:sz w:val="16"/>
              </w:rPr>
              <w:t>96,500</w:t>
            </w:r>
          </w:p>
        </w:tc>
        <w:tc>
          <w:tcPr>
            <w:tcW w:w="905" w:type="dxa"/>
            <w:tcBorders/>
            <w:shd w:fill="CCEEFF" w:val="clear"/>
            <w:tcMar>
              <w:bottom w:w="0" w:type="dxa"/>
            </w:tcMar>
            <w:vAlign w:val="center"/>
          </w:tcPr>
          <w:p>
            <w:pPr>
              <w:pStyle w:val="TableContents"/>
              <w:bidi w:val="0"/>
              <w:spacing w:before="0" w:after="283"/>
              <w:jc w:val="center"/>
              <w:rPr>
                <w:b/>
                <w:sz w:val="16"/>
              </w:rPr>
            </w:pPr>
            <w:r>
              <w:rPr>
                <w:b/>
                <w:sz w:val="16"/>
              </w:rPr>
              <w:t>0</w:t>
            </w:r>
          </w:p>
        </w:tc>
      </w:tr>
      <w:tr>
        <w:trPr/>
        <w:tc>
          <w:tcPr>
            <w:tcW w:w="1520" w:type="dxa"/>
            <w:tcBorders/>
            <w:tcMar>
              <w:bottom w:w="0" w:type="dxa"/>
            </w:tcMar>
            <w:vAlign w:val="center"/>
          </w:tcPr>
          <w:p>
            <w:pPr>
              <w:pStyle w:val="TableContents"/>
              <w:bidi w:val="0"/>
              <w:spacing w:before="0" w:after="283"/>
              <w:jc w:val="left"/>
              <w:rPr>
                <w:b/>
                <w:sz w:val="16"/>
              </w:rPr>
            </w:pPr>
            <w:r>
              <w:rPr>
                <w:b/>
                <w:sz w:val="16"/>
              </w:rPr>
              <w:t>Dr. Shengxian Wu</w:t>
            </w:r>
          </w:p>
        </w:tc>
        <w:tc>
          <w:tcPr>
            <w:tcW w:w="90" w:type="dxa"/>
            <w:tcBorders/>
            <w:tcMar>
              <w:bottom w:w="0" w:type="dxa"/>
            </w:tcMar>
            <w:vAlign w:val="center"/>
          </w:tcPr>
          <w:p>
            <w:pPr>
              <w:pStyle w:val="TableContents"/>
              <w:bidi w:val="0"/>
              <w:spacing w:before="0" w:after="283"/>
              <w:jc w:val="left"/>
              <w:rPr/>
            </w:pPr>
            <w:r>
              <w:rPr/>
              <w:t> </w:t>
            </w:r>
          </w:p>
        </w:tc>
        <w:tc>
          <w:tcPr>
            <w:tcW w:w="1195" w:type="dxa"/>
            <w:tcBorders/>
            <w:tcMar>
              <w:bottom w:w="0" w:type="dxa"/>
            </w:tcMar>
            <w:vAlign w:val="center"/>
          </w:tcPr>
          <w:p>
            <w:pPr>
              <w:pStyle w:val="TableContents"/>
              <w:bidi w:val="0"/>
              <w:spacing w:before="0" w:after="283"/>
              <w:jc w:val="center"/>
              <w:rPr/>
            </w:pPr>
            <w:r>
              <w:rPr/>
              <w:t> </w:t>
            </w:r>
          </w:p>
        </w:tc>
        <w:tc>
          <w:tcPr>
            <w:tcW w:w="1150" w:type="dxa"/>
            <w:tcBorders/>
            <w:tcMar>
              <w:bottom w:w="0" w:type="dxa"/>
            </w:tcMar>
            <w:vAlign w:val="center"/>
          </w:tcPr>
          <w:p>
            <w:pPr>
              <w:pStyle w:val="TableContents"/>
              <w:bidi w:val="0"/>
              <w:spacing w:before="0" w:after="283"/>
              <w:jc w:val="center"/>
              <w:rPr/>
            </w:pPr>
            <w:r>
              <w:rPr/>
              <w:t> </w:t>
            </w:r>
          </w:p>
        </w:tc>
        <w:tc>
          <w:tcPr>
            <w:tcW w:w="1195" w:type="dxa"/>
            <w:tcBorders/>
            <w:tcMar>
              <w:bottom w:w="0" w:type="dxa"/>
            </w:tcMar>
            <w:vAlign w:val="center"/>
          </w:tcPr>
          <w:p>
            <w:pPr>
              <w:pStyle w:val="TableContents"/>
              <w:bidi w:val="0"/>
              <w:spacing w:before="0" w:after="283"/>
              <w:jc w:val="center"/>
              <w:rPr/>
            </w:pPr>
            <w:r>
              <w:rPr/>
              <w:t> </w:t>
            </w:r>
          </w:p>
        </w:tc>
        <w:tc>
          <w:tcPr>
            <w:tcW w:w="1090" w:type="dxa"/>
            <w:tcBorders/>
            <w:tcMar>
              <w:bottom w:w="0" w:type="dxa"/>
            </w:tcMar>
            <w:vAlign w:val="center"/>
          </w:tcPr>
          <w:p>
            <w:pPr>
              <w:pStyle w:val="TableContents"/>
              <w:bidi w:val="0"/>
              <w:spacing w:before="0" w:after="283"/>
              <w:jc w:val="center"/>
              <w:rPr/>
            </w:pPr>
            <w:r>
              <w:rPr/>
              <w:t> </w:t>
            </w:r>
          </w:p>
        </w:tc>
        <w:tc>
          <w:tcPr>
            <w:tcW w:w="1310" w:type="dxa"/>
            <w:tcBorders/>
            <w:tcMar>
              <w:bottom w:w="0" w:type="dxa"/>
            </w:tcMar>
            <w:vAlign w:val="center"/>
          </w:tcPr>
          <w:p>
            <w:pPr>
              <w:pStyle w:val="TableContents"/>
              <w:bidi w:val="0"/>
              <w:spacing w:before="0" w:after="283"/>
              <w:jc w:val="center"/>
              <w:rPr/>
            </w:pPr>
            <w:r>
              <w:rPr/>
              <w:t> </w:t>
            </w:r>
          </w:p>
        </w:tc>
        <w:tc>
          <w:tcPr>
            <w:tcW w:w="905" w:type="dxa"/>
            <w:tcBorders/>
            <w:tcMar>
              <w:bottom w:w="0" w:type="dxa"/>
            </w:tcMar>
            <w:vAlign w:val="center"/>
          </w:tcPr>
          <w:p>
            <w:pPr>
              <w:pStyle w:val="TableContents"/>
              <w:bidi w:val="0"/>
              <w:spacing w:before="0" w:after="283"/>
              <w:jc w:val="center"/>
              <w:rPr/>
            </w:pPr>
            <w:r>
              <w:rPr/>
              <w:t> </w:t>
            </w:r>
          </w:p>
        </w:tc>
      </w:tr>
      <w:tr>
        <w:trPr/>
        <w:tc>
          <w:tcPr>
            <w:tcW w:w="1520" w:type="dxa"/>
            <w:tcBorders/>
            <w:tcMar>
              <w:bottom w:w="0" w:type="dxa"/>
            </w:tcMar>
            <w:vAlign w:val="center"/>
          </w:tcPr>
          <w:p>
            <w:pPr>
              <w:pStyle w:val="TableContents"/>
              <w:bidi w:val="0"/>
              <w:spacing w:before="0" w:after="283"/>
              <w:jc w:val="left"/>
              <w:rPr>
                <w:sz w:val="16"/>
              </w:rPr>
            </w:pPr>
            <w:r>
              <w:rPr>
                <w:sz w:val="16"/>
              </w:rPr>
              <w:t>Cash severance</w:t>
            </w:r>
          </w:p>
        </w:tc>
        <w:tc>
          <w:tcPr>
            <w:tcW w:w="90" w:type="dxa"/>
            <w:tcBorders/>
            <w:tcMar>
              <w:bottom w:w="0" w:type="dxa"/>
            </w:tcMar>
            <w:vAlign w:val="center"/>
          </w:tcPr>
          <w:p>
            <w:pPr>
              <w:pStyle w:val="TableContents"/>
              <w:bidi w:val="0"/>
              <w:spacing w:before="0" w:after="283"/>
              <w:jc w:val="left"/>
              <w:rPr/>
            </w:pPr>
            <w:r>
              <w:rPr/>
              <w:t> </w:t>
            </w:r>
          </w:p>
        </w:tc>
        <w:tc>
          <w:tcPr>
            <w:tcW w:w="1195" w:type="dxa"/>
            <w:tcBorders/>
            <w:tcMar>
              <w:bottom w:w="0" w:type="dxa"/>
            </w:tcMar>
            <w:vAlign w:val="center"/>
          </w:tcPr>
          <w:p>
            <w:pPr>
              <w:pStyle w:val="TableContents"/>
              <w:bidi w:val="0"/>
              <w:spacing w:before="0" w:after="283"/>
              <w:jc w:val="center"/>
              <w:rPr>
                <w:sz w:val="16"/>
              </w:rPr>
            </w:pPr>
            <w:r>
              <w:rPr>
                <w:sz w:val="16"/>
              </w:rPr>
              <w:t>0</w:t>
            </w:r>
          </w:p>
        </w:tc>
        <w:tc>
          <w:tcPr>
            <w:tcW w:w="1150" w:type="dxa"/>
            <w:tcBorders/>
            <w:tcMar>
              <w:bottom w:w="0" w:type="dxa"/>
            </w:tcMar>
            <w:vAlign w:val="center"/>
          </w:tcPr>
          <w:p>
            <w:pPr>
              <w:pStyle w:val="TableContents"/>
              <w:bidi w:val="0"/>
              <w:spacing w:before="0" w:after="283"/>
              <w:jc w:val="center"/>
              <w:rPr>
                <w:sz w:val="16"/>
              </w:rPr>
            </w:pPr>
            <w:r>
              <w:rPr>
                <w:sz w:val="16"/>
              </w:rPr>
              <w:t>0</w:t>
            </w:r>
          </w:p>
        </w:tc>
        <w:tc>
          <w:tcPr>
            <w:tcW w:w="1195" w:type="dxa"/>
            <w:tcBorders/>
            <w:tcMar>
              <w:bottom w:w="0" w:type="dxa"/>
            </w:tcMar>
            <w:vAlign w:val="center"/>
          </w:tcPr>
          <w:p>
            <w:pPr>
              <w:pStyle w:val="TableContents"/>
              <w:bidi w:val="0"/>
              <w:spacing w:before="0" w:after="283"/>
              <w:jc w:val="center"/>
              <w:rPr>
                <w:sz w:val="16"/>
              </w:rPr>
            </w:pPr>
            <w:r>
              <w:rPr>
                <w:sz w:val="16"/>
              </w:rPr>
              <w:t>0</w:t>
            </w:r>
          </w:p>
        </w:tc>
        <w:tc>
          <w:tcPr>
            <w:tcW w:w="1090" w:type="dxa"/>
            <w:tcBorders/>
            <w:tcMar>
              <w:bottom w:w="0" w:type="dxa"/>
            </w:tcMar>
            <w:vAlign w:val="center"/>
          </w:tcPr>
          <w:p>
            <w:pPr>
              <w:pStyle w:val="TableContents"/>
              <w:bidi w:val="0"/>
              <w:spacing w:before="0" w:after="283"/>
              <w:jc w:val="center"/>
              <w:rPr>
                <w:sz w:val="16"/>
              </w:rPr>
            </w:pPr>
            <w:r>
              <w:rPr>
                <w:sz w:val="16"/>
              </w:rPr>
              <w:t>0</w:t>
            </w:r>
          </w:p>
        </w:tc>
        <w:tc>
          <w:tcPr>
            <w:tcW w:w="1310" w:type="dxa"/>
            <w:tcBorders/>
            <w:tcMar>
              <w:bottom w:w="0" w:type="dxa"/>
            </w:tcMar>
            <w:vAlign w:val="center"/>
          </w:tcPr>
          <w:p>
            <w:pPr>
              <w:pStyle w:val="TableContents"/>
              <w:bidi w:val="0"/>
              <w:spacing w:before="0" w:after="283"/>
              <w:jc w:val="center"/>
              <w:rPr>
                <w:sz w:val="16"/>
              </w:rPr>
            </w:pPr>
            <w:r>
              <w:rPr>
                <w:sz w:val="16"/>
              </w:rPr>
              <w:t>0</w:t>
            </w:r>
          </w:p>
        </w:tc>
        <w:tc>
          <w:tcPr>
            <w:tcW w:w="905" w:type="dxa"/>
            <w:tcBorders/>
            <w:tcMar>
              <w:bottom w:w="0" w:type="dxa"/>
            </w:tcMar>
            <w:vAlign w:val="center"/>
          </w:tcPr>
          <w:p>
            <w:pPr>
              <w:pStyle w:val="TableContents"/>
              <w:bidi w:val="0"/>
              <w:spacing w:before="0" w:after="283"/>
              <w:jc w:val="center"/>
              <w:rPr>
                <w:sz w:val="16"/>
              </w:rPr>
            </w:pPr>
            <w:r>
              <w:rPr>
                <w:sz w:val="16"/>
              </w:rPr>
              <w:t>0</w:t>
            </w:r>
          </w:p>
        </w:tc>
      </w:tr>
      <w:tr>
        <w:trPr/>
        <w:tc>
          <w:tcPr>
            <w:tcW w:w="1520" w:type="dxa"/>
            <w:tcBorders>
              <w:bottom w:val="single" w:sz="8" w:space="0" w:color="000000"/>
            </w:tcBorders>
            <w:vAlign w:val="center"/>
          </w:tcPr>
          <w:p>
            <w:pPr>
              <w:pStyle w:val="TableContents"/>
              <w:bidi w:val="0"/>
              <w:spacing w:before="0" w:after="283"/>
              <w:jc w:val="left"/>
              <w:rPr>
                <w:sz w:val="16"/>
              </w:rPr>
            </w:pPr>
            <w:r>
              <w:rPr>
                <w:sz w:val="16"/>
              </w:rPr>
              <w:t>Equity awards</w:t>
            </w:r>
          </w:p>
        </w:tc>
        <w:tc>
          <w:tcPr>
            <w:tcW w:w="90" w:type="dxa"/>
            <w:tcBorders>
              <w:bottom w:val="single" w:sz="8" w:space="0" w:color="000000"/>
            </w:tcBorders>
            <w:vAlign w:val="center"/>
          </w:tcPr>
          <w:p>
            <w:pPr>
              <w:pStyle w:val="TableContents"/>
              <w:bidi w:val="0"/>
              <w:spacing w:before="0" w:after="283"/>
              <w:jc w:val="left"/>
              <w:rPr/>
            </w:pPr>
            <w:r>
              <w:rPr/>
              <w:t> </w:t>
            </w:r>
          </w:p>
        </w:tc>
        <w:tc>
          <w:tcPr>
            <w:tcW w:w="1195" w:type="dxa"/>
            <w:tcBorders>
              <w:bottom w:val="single" w:sz="8" w:space="0" w:color="000000"/>
            </w:tcBorders>
            <w:vAlign w:val="center"/>
          </w:tcPr>
          <w:p>
            <w:pPr>
              <w:pStyle w:val="TableContents"/>
              <w:bidi w:val="0"/>
              <w:spacing w:before="0" w:after="283"/>
              <w:jc w:val="center"/>
              <w:rPr>
                <w:sz w:val="16"/>
              </w:rPr>
            </w:pPr>
            <w:r>
              <w:rPr>
                <w:sz w:val="16"/>
              </w:rPr>
              <w:t>223,221</w:t>
            </w:r>
          </w:p>
        </w:tc>
        <w:tc>
          <w:tcPr>
            <w:tcW w:w="1150" w:type="dxa"/>
            <w:tcBorders>
              <w:bottom w:val="single" w:sz="8" w:space="0" w:color="000000"/>
            </w:tcBorders>
            <w:vAlign w:val="center"/>
          </w:tcPr>
          <w:p>
            <w:pPr>
              <w:pStyle w:val="TableContents"/>
              <w:bidi w:val="0"/>
              <w:spacing w:before="0" w:after="283"/>
              <w:jc w:val="center"/>
              <w:rPr>
                <w:sz w:val="16"/>
              </w:rPr>
            </w:pPr>
            <w:r>
              <w:rPr>
                <w:sz w:val="16"/>
              </w:rPr>
              <w:t>0</w:t>
            </w:r>
          </w:p>
        </w:tc>
        <w:tc>
          <w:tcPr>
            <w:tcW w:w="1195" w:type="dxa"/>
            <w:tcBorders>
              <w:bottom w:val="single" w:sz="8" w:space="0" w:color="000000"/>
            </w:tcBorders>
            <w:vAlign w:val="center"/>
          </w:tcPr>
          <w:p>
            <w:pPr>
              <w:pStyle w:val="TableContents"/>
              <w:bidi w:val="0"/>
              <w:spacing w:before="0" w:after="283"/>
              <w:jc w:val="center"/>
              <w:rPr>
                <w:sz w:val="16"/>
              </w:rPr>
            </w:pPr>
            <w:r>
              <w:rPr>
                <w:sz w:val="16"/>
              </w:rPr>
              <w:t>1,762,667</w:t>
            </w:r>
          </w:p>
        </w:tc>
        <w:tc>
          <w:tcPr>
            <w:tcW w:w="1090" w:type="dxa"/>
            <w:tcBorders>
              <w:bottom w:val="single" w:sz="8" w:space="0" w:color="000000"/>
            </w:tcBorders>
            <w:vAlign w:val="center"/>
          </w:tcPr>
          <w:p>
            <w:pPr>
              <w:pStyle w:val="TableContents"/>
              <w:bidi w:val="0"/>
              <w:spacing w:before="0" w:after="283"/>
              <w:jc w:val="center"/>
              <w:rPr>
                <w:sz w:val="16"/>
              </w:rPr>
            </w:pPr>
            <w:r>
              <w:rPr>
                <w:sz w:val="16"/>
              </w:rPr>
              <w:t>1,762,667</w:t>
            </w:r>
          </w:p>
        </w:tc>
        <w:tc>
          <w:tcPr>
            <w:tcW w:w="1310" w:type="dxa"/>
            <w:tcBorders>
              <w:bottom w:val="single" w:sz="8" w:space="0" w:color="000000"/>
            </w:tcBorders>
            <w:vAlign w:val="center"/>
          </w:tcPr>
          <w:p>
            <w:pPr>
              <w:pStyle w:val="TableContents"/>
              <w:bidi w:val="0"/>
              <w:spacing w:before="0" w:after="283"/>
              <w:jc w:val="center"/>
              <w:rPr>
                <w:sz w:val="16"/>
              </w:rPr>
            </w:pPr>
            <w:r>
              <w:rPr>
                <w:sz w:val="16"/>
              </w:rPr>
              <w:t>105,888</w:t>
            </w:r>
          </w:p>
        </w:tc>
        <w:tc>
          <w:tcPr>
            <w:tcW w:w="905" w:type="dxa"/>
            <w:tcBorders>
              <w:bottom w:val="single" w:sz="8" w:space="0" w:color="000000"/>
            </w:tcBorders>
            <w:vAlign w:val="center"/>
          </w:tcPr>
          <w:p>
            <w:pPr>
              <w:pStyle w:val="TableContents"/>
              <w:bidi w:val="0"/>
              <w:spacing w:before="0" w:after="283"/>
              <w:jc w:val="center"/>
              <w:rPr>
                <w:sz w:val="16"/>
              </w:rPr>
            </w:pPr>
            <w:r>
              <w:rPr>
                <w:sz w:val="16"/>
              </w:rPr>
              <w:t>0</w:t>
            </w:r>
          </w:p>
        </w:tc>
      </w:tr>
      <w:tr>
        <w:trPr/>
        <w:tc>
          <w:tcPr>
            <w:tcW w:w="1520" w:type="dxa"/>
            <w:tcBorders/>
            <w:tcMar>
              <w:bottom w:w="0" w:type="dxa"/>
            </w:tcMar>
            <w:vAlign w:val="center"/>
          </w:tcPr>
          <w:p>
            <w:pPr>
              <w:pStyle w:val="TableContents"/>
              <w:bidi w:val="0"/>
              <w:spacing w:before="0" w:after="283"/>
              <w:jc w:val="left"/>
              <w:rPr>
                <w:b/>
                <w:sz w:val="16"/>
              </w:rPr>
            </w:pPr>
            <w:r>
              <w:rPr>
                <w:b/>
                <w:sz w:val="16"/>
              </w:rPr>
              <w:t>Total</w:t>
            </w:r>
          </w:p>
        </w:tc>
        <w:tc>
          <w:tcPr>
            <w:tcW w:w="90" w:type="dxa"/>
            <w:tcBorders/>
            <w:tcMar>
              <w:bottom w:w="0" w:type="dxa"/>
            </w:tcMar>
            <w:vAlign w:val="center"/>
          </w:tcPr>
          <w:p>
            <w:pPr>
              <w:pStyle w:val="TableContents"/>
              <w:bidi w:val="0"/>
              <w:spacing w:before="0" w:after="283"/>
              <w:jc w:val="left"/>
              <w:rPr/>
            </w:pPr>
            <w:r>
              <w:rPr/>
              <w:t> </w:t>
            </w:r>
          </w:p>
        </w:tc>
        <w:tc>
          <w:tcPr>
            <w:tcW w:w="1195" w:type="dxa"/>
            <w:tcBorders/>
            <w:tcMar>
              <w:bottom w:w="0" w:type="dxa"/>
            </w:tcMar>
            <w:vAlign w:val="center"/>
          </w:tcPr>
          <w:p>
            <w:pPr>
              <w:pStyle w:val="TableContents"/>
              <w:bidi w:val="0"/>
              <w:spacing w:before="0" w:after="283"/>
              <w:jc w:val="center"/>
              <w:rPr>
                <w:b/>
                <w:sz w:val="16"/>
              </w:rPr>
            </w:pPr>
            <w:r>
              <w:rPr>
                <w:b/>
                <w:sz w:val="16"/>
              </w:rPr>
              <w:t>223,221</w:t>
            </w:r>
          </w:p>
        </w:tc>
        <w:tc>
          <w:tcPr>
            <w:tcW w:w="1150" w:type="dxa"/>
            <w:tcBorders/>
            <w:tcMar>
              <w:bottom w:w="0" w:type="dxa"/>
            </w:tcMar>
            <w:vAlign w:val="center"/>
          </w:tcPr>
          <w:p>
            <w:pPr>
              <w:pStyle w:val="TableContents"/>
              <w:bidi w:val="0"/>
              <w:spacing w:before="0" w:after="283"/>
              <w:jc w:val="center"/>
              <w:rPr>
                <w:b/>
                <w:sz w:val="16"/>
              </w:rPr>
            </w:pPr>
            <w:r>
              <w:rPr>
                <w:b/>
                <w:sz w:val="16"/>
              </w:rPr>
              <w:t>0</w:t>
            </w:r>
          </w:p>
        </w:tc>
        <w:tc>
          <w:tcPr>
            <w:tcW w:w="1195" w:type="dxa"/>
            <w:tcBorders/>
            <w:tcMar>
              <w:bottom w:w="0" w:type="dxa"/>
            </w:tcMar>
            <w:vAlign w:val="center"/>
          </w:tcPr>
          <w:p>
            <w:pPr>
              <w:pStyle w:val="TableContents"/>
              <w:bidi w:val="0"/>
              <w:spacing w:before="0" w:after="283"/>
              <w:jc w:val="center"/>
              <w:rPr>
                <w:b/>
                <w:sz w:val="16"/>
              </w:rPr>
            </w:pPr>
            <w:r>
              <w:rPr>
                <w:b/>
                <w:sz w:val="16"/>
              </w:rPr>
              <w:t>1,762,667</w:t>
            </w:r>
          </w:p>
        </w:tc>
        <w:tc>
          <w:tcPr>
            <w:tcW w:w="1090" w:type="dxa"/>
            <w:tcBorders/>
            <w:tcMar>
              <w:bottom w:w="0" w:type="dxa"/>
            </w:tcMar>
            <w:vAlign w:val="center"/>
          </w:tcPr>
          <w:p>
            <w:pPr>
              <w:pStyle w:val="TableContents"/>
              <w:bidi w:val="0"/>
              <w:spacing w:before="0" w:after="283"/>
              <w:jc w:val="center"/>
              <w:rPr>
                <w:b/>
                <w:sz w:val="16"/>
              </w:rPr>
            </w:pPr>
            <w:r>
              <w:rPr>
                <w:b/>
                <w:sz w:val="16"/>
              </w:rPr>
              <w:t>1,762,667</w:t>
            </w:r>
          </w:p>
        </w:tc>
        <w:tc>
          <w:tcPr>
            <w:tcW w:w="1310" w:type="dxa"/>
            <w:tcBorders/>
            <w:tcMar>
              <w:bottom w:w="0" w:type="dxa"/>
            </w:tcMar>
            <w:vAlign w:val="center"/>
          </w:tcPr>
          <w:p>
            <w:pPr>
              <w:pStyle w:val="TableContents"/>
              <w:bidi w:val="0"/>
              <w:spacing w:before="0" w:after="283"/>
              <w:jc w:val="center"/>
              <w:rPr>
                <w:b/>
                <w:sz w:val="16"/>
              </w:rPr>
            </w:pPr>
            <w:r>
              <w:rPr>
                <w:b/>
                <w:sz w:val="16"/>
              </w:rPr>
              <w:t>105,888</w:t>
            </w:r>
          </w:p>
        </w:tc>
        <w:tc>
          <w:tcPr>
            <w:tcW w:w="905" w:type="dxa"/>
            <w:tcBorders/>
            <w:tcMar>
              <w:bottom w:w="0" w:type="dxa"/>
            </w:tcMar>
            <w:vAlign w:val="center"/>
          </w:tcPr>
          <w:p>
            <w:pPr>
              <w:pStyle w:val="TableContents"/>
              <w:bidi w:val="0"/>
              <w:spacing w:before="0" w:after="283"/>
              <w:jc w:val="center"/>
              <w:rPr>
                <w:b/>
                <w:sz w:val="16"/>
              </w:rPr>
            </w:pPr>
            <w:r>
              <w:rPr>
                <w:b/>
                <w:sz w:val="16"/>
              </w:rPr>
              <w:t>0</w:t>
            </w:r>
          </w:p>
        </w:tc>
      </w:tr>
      <w:tr>
        <w:trPr/>
        <w:tc>
          <w:tcPr>
            <w:tcW w:w="1520" w:type="dxa"/>
            <w:tcBorders/>
            <w:shd w:fill="CCEEFF" w:val="clear"/>
            <w:tcMar>
              <w:bottom w:w="0" w:type="dxa"/>
            </w:tcMar>
            <w:vAlign w:val="center"/>
          </w:tcPr>
          <w:p>
            <w:pPr>
              <w:pStyle w:val="TableContents"/>
              <w:bidi w:val="0"/>
              <w:spacing w:before="0" w:after="283"/>
              <w:jc w:val="left"/>
              <w:rPr>
                <w:b/>
                <w:sz w:val="16"/>
              </w:rPr>
            </w:pPr>
            <w:r>
              <w:rPr>
                <w:b/>
                <w:sz w:val="16"/>
              </w:rPr>
              <w:t>Dr. Wenjuan Mattis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95" w:type="dxa"/>
            <w:tcBorders/>
            <w:shd w:fill="CCEEFF" w:val="clear"/>
            <w:tcMar>
              <w:bottom w:w="0" w:type="dxa"/>
            </w:tcMar>
            <w:vAlign w:val="center"/>
          </w:tcPr>
          <w:p>
            <w:pPr>
              <w:pStyle w:val="TableContents"/>
              <w:bidi w:val="0"/>
              <w:spacing w:before="0" w:after="283"/>
              <w:jc w:val="center"/>
              <w:rPr/>
            </w:pPr>
            <w:r>
              <w:rPr/>
              <w:t> </w:t>
            </w:r>
          </w:p>
        </w:tc>
        <w:tc>
          <w:tcPr>
            <w:tcW w:w="1150" w:type="dxa"/>
            <w:tcBorders/>
            <w:shd w:fill="CCEEFF" w:val="clear"/>
            <w:tcMar>
              <w:bottom w:w="0" w:type="dxa"/>
            </w:tcMar>
            <w:vAlign w:val="center"/>
          </w:tcPr>
          <w:p>
            <w:pPr>
              <w:pStyle w:val="TableContents"/>
              <w:bidi w:val="0"/>
              <w:spacing w:before="0" w:after="283"/>
              <w:jc w:val="center"/>
              <w:rPr/>
            </w:pPr>
            <w:r>
              <w:rPr/>
              <w:t> </w:t>
            </w:r>
          </w:p>
        </w:tc>
        <w:tc>
          <w:tcPr>
            <w:tcW w:w="1195" w:type="dxa"/>
            <w:tcBorders/>
            <w:shd w:fill="CCEEFF" w:val="clear"/>
            <w:tcMar>
              <w:bottom w:w="0" w:type="dxa"/>
            </w:tcMar>
            <w:vAlign w:val="center"/>
          </w:tcPr>
          <w:p>
            <w:pPr>
              <w:pStyle w:val="TableContents"/>
              <w:bidi w:val="0"/>
              <w:spacing w:before="0" w:after="283"/>
              <w:jc w:val="center"/>
              <w:rPr/>
            </w:pPr>
            <w:r>
              <w:rPr/>
              <w:t> </w:t>
            </w:r>
          </w:p>
        </w:tc>
        <w:tc>
          <w:tcPr>
            <w:tcW w:w="1090" w:type="dxa"/>
            <w:tcBorders/>
            <w:shd w:fill="CCEEFF" w:val="clear"/>
            <w:tcMar>
              <w:bottom w:w="0" w:type="dxa"/>
            </w:tcMar>
            <w:vAlign w:val="center"/>
          </w:tcPr>
          <w:p>
            <w:pPr>
              <w:pStyle w:val="TableContents"/>
              <w:bidi w:val="0"/>
              <w:spacing w:before="0" w:after="283"/>
              <w:jc w:val="center"/>
              <w:rPr/>
            </w:pPr>
            <w:r>
              <w:rPr/>
              <w:t> </w:t>
            </w:r>
          </w:p>
        </w:tc>
        <w:tc>
          <w:tcPr>
            <w:tcW w:w="1310" w:type="dxa"/>
            <w:tcBorders/>
            <w:shd w:fill="CCEEFF" w:val="clear"/>
            <w:tcMar>
              <w:bottom w:w="0" w:type="dxa"/>
            </w:tcMar>
            <w:vAlign w:val="center"/>
          </w:tcPr>
          <w:p>
            <w:pPr>
              <w:pStyle w:val="TableContents"/>
              <w:bidi w:val="0"/>
              <w:spacing w:before="0" w:after="283"/>
              <w:jc w:val="center"/>
              <w:rPr/>
            </w:pPr>
            <w:r>
              <w:rPr/>
              <w:t> </w:t>
            </w:r>
          </w:p>
        </w:tc>
        <w:tc>
          <w:tcPr>
            <w:tcW w:w="905" w:type="dxa"/>
            <w:tcBorders/>
            <w:shd w:fill="CCEEFF" w:val="clear"/>
            <w:tcMar>
              <w:bottom w:w="0" w:type="dxa"/>
            </w:tcMar>
            <w:vAlign w:val="center"/>
          </w:tcPr>
          <w:p>
            <w:pPr>
              <w:pStyle w:val="TableContents"/>
              <w:bidi w:val="0"/>
              <w:spacing w:before="0" w:after="283"/>
              <w:jc w:val="center"/>
              <w:rPr/>
            </w:pPr>
            <w:r>
              <w:rPr/>
              <w:t> </w:t>
            </w:r>
          </w:p>
        </w:tc>
      </w:tr>
      <w:tr>
        <w:trPr/>
        <w:tc>
          <w:tcPr>
            <w:tcW w:w="1520" w:type="dxa"/>
            <w:tcBorders/>
            <w:shd w:fill="CCEEFF" w:val="clear"/>
            <w:tcMar>
              <w:bottom w:w="0" w:type="dxa"/>
            </w:tcMar>
            <w:vAlign w:val="center"/>
          </w:tcPr>
          <w:p>
            <w:pPr>
              <w:pStyle w:val="TableContents"/>
              <w:bidi w:val="0"/>
              <w:spacing w:before="0" w:after="283"/>
              <w:jc w:val="left"/>
              <w:rPr>
                <w:sz w:val="16"/>
              </w:rPr>
            </w:pPr>
            <w:r>
              <w:rPr>
                <w:sz w:val="16"/>
              </w:rPr>
              <w:t>Cash severance</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95" w:type="dxa"/>
            <w:tcBorders/>
            <w:shd w:fill="CCEEFF" w:val="clear"/>
            <w:tcMar>
              <w:bottom w:w="0" w:type="dxa"/>
            </w:tcMar>
            <w:vAlign w:val="center"/>
          </w:tcPr>
          <w:p>
            <w:pPr>
              <w:pStyle w:val="TableContents"/>
              <w:bidi w:val="0"/>
              <w:spacing w:before="0" w:after="283"/>
              <w:jc w:val="center"/>
              <w:rPr>
                <w:sz w:val="16"/>
              </w:rPr>
            </w:pPr>
            <w:r>
              <w:rPr>
                <w:sz w:val="16"/>
              </w:rPr>
              <w:t>900,000</w:t>
            </w:r>
          </w:p>
        </w:tc>
        <w:tc>
          <w:tcPr>
            <w:tcW w:w="1150" w:type="dxa"/>
            <w:tcBorders/>
            <w:shd w:fill="CCEEFF" w:val="clear"/>
            <w:tcMar>
              <w:bottom w:w="0" w:type="dxa"/>
            </w:tcMar>
            <w:vAlign w:val="center"/>
          </w:tcPr>
          <w:p>
            <w:pPr>
              <w:pStyle w:val="TableContents"/>
              <w:bidi w:val="0"/>
              <w:spacing w:before="0" w:after="283"/>
              <w:jc w:val="center"/>
              <w:rPr>
                <w:sz w:val="16"/>
              </w:rPr>
            </w:pPr>
            <w:r>
              <w:rPr>
                <w:sz w:val="16"/>
              </w:rPr>
              <w:t>900,000</w:t>
            </w:r>
          </w:p>
        </w:tc>
        <w:tc>
          <w:tcPr>
            <w:tcW w:w="1195" w:type="dxa"/>
            <w:tcBorders/>
            <w:shd w:fill="CCEEFF" w:val="clear"/>
            <w:tcMar>
              <w:bottom w:w="0" w:type="dxa"/>
            </w:tcMar>
            <w:vAlign w:val="center"/>
          </w:tcPr>
          <w:p>
            <w:pPr>
              <w:pStyle w:val="TableContents"/>
              <w:bidi w:val="0"/>
              <w:spacing w:before="0" w:after="283"/>
              <w:jc w:val="center"/>
              <w:rPr>
                <w:sz w:val="16"/>
              </w:rPr>
            </w:pPr>
            <w:r>
              <w:rPr>
                <w:sz w:val="16"/>
              </w:rPr>
              <w:t>1,200,000</w:t>
            </w:r>
          </w:p>
        </w:tc>
        <w:tc>
          <w:tcPr>
            <w:tcW w:w="1090" w:type="dxa"/>
            <w:tcBorders/>
            <w:shd w:fill="CCEEFF" w:val="clear"/>
            <w:tcMar>
              <w:bottom w:w="0" w:type="dxa"/>
            </w:tcMar>
            <w:vAlign w:val="center"/>
          </w:tcPr>
          <w:p>
            <w:pPr>
              <w:pStyle w:val="TableContents"/>
              <w:bidi w:val="0"/>
              <w:spacing w:before="0" w:after="283"/>
              <w:jc w:val="center"/>
              <w:rPr>
                <w:sz w:val="16"/>
              </w:rPr>
            </w:pPr>
            <w:r>
              <w:rPr>
                <w:sz w:val="16"/>
              </w:rPr>
              <w:t>1,200,000</w:t>
            </w:r>
          </w:p>
        </w:tc>
        <w:tc>
          <w:tcPr>
            <w:tcW w:w="1310" w:type="dxa"/>
            <w:tcBorders/>
            <w:shd w:fill="CCEEFF" w:val="clear"/>
            <w:tcMar>
              <w:bottom w:w="0" w:type="dxa"/>
            </w:tcMar>
            <w:vAlign w:val="center"/>
          </w:tcPr>
          <w:p>
            <w:pPr>
              <w:pStyle w:val="TableContents"/>
              <w:bidi w:val="0"/>
              <w:spacing w:before="0" w:after="283"/>
              <w:jc w:val="center"/>
              <w:rPr>
                <w:sz w:val="16"/>
              </w:rPr>
            </w:pPr>
            <w:r>
              <w:rPr>
                <w:sz w:val="16"/>
              </w:rPr>
              <w:t>0</w:t>
            </w:r>
          </w:p>
        </w:tc>
        <w:tc>
          <w:tcPr>
            <w:tcW w:w="905" w:type="dxa"/>
            <w:tcBorders/>
            <w:shd w:fill="CCEEFF" w:val="clear"/>
            <w:tcMar>
              <w:bottom w:w="0" w:type="dxa"/>
            </w:tcMar>
            <w:vAlign w:val="center"/>
          </w:tcPr>
          <w:p>
            <w:pPr>
              <w:pStyle w:val="TableContents"/>
              <w:bidi w:val="0"/>
              <w:spacing w:before="0" w:after="283"/>
              <w:jc w:val="center"/>
              <w:rPr>
                <w:sz w:val="16"/>
              </w:rPr>
            </w:pPr>
            <w:r>
              <w:rPr>
                <w:sz w:val="16"/>
              </w:rPr>
              <w:t>0</w:t>
            </w:r>
          </w:p>
        </w:tc>
      </w:tr>
      <w:tr>
        <w:trPr/>
        <w:tc>
          <w:tcPr>
            <w:tcW w:w="1520" w:type="dxa"/>
            <w:tcBorders>
              <w:bottom w:val="single" w:sz="8" w:space="0" w:color="000000"/>
            </w:tcBorders>
            <w:shd w:fill="CCEEFF" w:val="clear"/>
            <w:vAlign w:val="center"/>
          </w:tcPr>
          <w:p>
            <w:pPr>
              <w:pStyle w:val="TableContents"/>
              <w:bidi w:val="0"/>
              <w:spacing w:before="0" w:after="283"/>
              <w:jc w:val="left"/>
              <w:rPr>
                <w:sz w:val="16"/>
              </w:rPr>
            </w:pPr>
            <w:r>
              <w:rPr>
                <w:sz w:val="16"/>
              </w:rPr>
              <w:t>Equity awards</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1195" w:type="dxa"/>
            <w:tcBorders>
              <w:bottom w:val="single" w:sz="8" w:space="0" w:color="000000"/>
            </w:tcBorders>
            <w:shd w:fill="CCEEFF" w:val="clear"/>
            <w:vAlign w:val="center"/>
          </w:tcPr>
          <w:p>
            <w:pPr>
              <w:pStyle w:val="TableContents"/>
              <w:bidi w:val="0"/>
              <w:spacing w:before="0" w:after="283"/>
              <w:jc w:val="center"/>
              <w:rPr>
                <w:sz w:val="16"/>
              </w:rPr>
            </w:pPr>
            <w:r>
              <w:rPr>
                <w:sz w:val="16"/>
              </w:rPr>
              <w:t>23,333</w:t>
            </w:r>
          </w:p>
        </w:tc>
        <w:tc>
          <w:tcPr>
            <w:tcW w:w="1150" w:type="dxa"/>
            <w:tcBorders>
              <w:bottom w:val="single" w:sz="8" w:space="0" w:color="000000"/>
            </w:tcBorders>
            <w:shd w:fill="CCEEFF" w:val="clear"/>
            <w:vAlign w:val="center"/>
          </w:tcPr>
          <w:p>
            <w:pPr>
              <w:pStyle w:val="TableContents"/>
              <w:bidi w:val="0"/>
              <w:spacing w:before="0" w:after="283"/>
              <w:jc w:val="center"/>
              <w:rPr>
                <w:sz w:val="16"/>
              </w:rPr>
            </w:pPr>
            <w:r>
              <w:rPr>
                <w:sz w:val="16"/>
              </w:rPr>
              <w:t>0</w:t>
            </w:r>
          </w:p>
        </w:tc>
        <w:tc>
          <w:tcPr>
            <w:tcW w:w="1195" w:type="dxa"/>
            <w:tcBorders>
              <w:bottom w:val="single" w:sz="8" w:space="0" w:color="000000"/>
            </w:tcBorders>
            <w:shd w:fill="CCEEFF" w:val="clear"/>
            <w:vAlign w:val="center"/>
          </w:tcPr>
          <w:p>
            <w:pPr>
              <w:pStyle w:val="TableContents"/>
              <w:bidi w:val="0"/>
              <w:spacing w:before="0" w:after="283"/>
              <w:jc w:val="center"/>
              <w:rPr>
                <w:sz w:val="16"/>
              </w:rPr>
            </w:pPr>
            <w:r>
              <w:rPr>
                <w:sz w:val="16"/>
              </w:rPr>
              <w:t>466,668</w:t>
            </w:r>
          </w:p>
        </w:tc>
        <w:tc>
          <w:tcPr>
            <w:tcW w:w="1090" w:type="dxa"/>
            <w:tcBorders>
              <w:bottom w:val="single" w:sz="8" w:space="0" w:color="000000"/>
            </w:tcBorders>
            <w:shd w:fill="CCEEFF" w:val="clear"/>
            <w:vAlign w:val="center"/>
          </w:tcPr>
          <w:p>
            <w:pPr>
              <w:pStyle w:val="TableContents"/>
              <w:bidi w:val="0"/>
              <w:spacing w:before="0" w:after="283"/>
              <w:jc w:val="center"/>
              <w:rPr>
                <w:sz w:val="16"/>
              </w:rPr>
            </w:pPr>
            <w:r>
              <w:rPr>
                <w:sz w:val="16"/>
              </w:rPr>
              <w:t>466,668</w:t>
            </w:r>
          </w:p>
        </w:tc>
        <w:tc>
          <w:tcPr>
            <w:tcW w:w="1310" w:type="dxa"/>
            <w:tcBorders>
              <w:bottom w:val="single" w:sz="8" w:space="0" w:color="000000"/>
            </w:tcBorders>
            <w:shd w:fill="CCEEFF" w:val="clear"/>
            <w:vAlign w:val="center"/>
          </w:tcPr>
          <w:p>
            <w:pPr>
              <w:pStyle w:val="TableContents"/>
              <w:bidi w:val="0"/>
              <w:spacing w:before="0" w:after="283"/>
              <w:jc w:val="center"/>
              <w:rPr>
                <w:sz w:val="16"/>
              </w:rPr>
            </w:pPr>
            <w:r>
              <w:rPr>
                <w:sz w:val="16"/>
              </w:rPr>
              <w:t>23,333</w:t>
            </w:r>
          </w:p>
        </w:tc>
        <w:tc>
          <w:tcPr>
            <w:tcW w:w="905" w:type="dxa"/>
            <w:tcBorders>
              <w:bottom w:val="single" w:sz="8" w:space="0" w:color="000000"/>
            </w:tcBorders>
            <w:shd w:fill="CCEEFF" w:val="clear"/>
            <w:vAlign w:val="center"/>
          </w:tcPr>
          <w:p>
            <w:pPr>
              <w:pStyle w:val="TableContents"/>
              <w:bidi w:val="0"/>
              <w:spacing w:before="0" w:after="283"/>
              <w:jc w:val="center"/>
              <w:rPr>
                <w:sz w:val="16"/>
              </w:rPr>
            </w:pPr>
            <w:r>
              <w:rPr>
                <w:sz w:val="16"/>
              </w:rPr>
              <w:t>0</w:t>
            </w:r>
          </w:p>
        </w:tc>
      </w:tr>
      <w:tr>
        <w:trPr/>
        <w:tc>
          <w:tcPr>
            <w:tcW w:w="1520" w:type="dxa"/>
            <w:tcBorders/>
            <w:shd w:fill="CCEEFF" w:val="clear"/>
            <w:tcMar>
              <w:bottom w:w="0" w:type="dxa"/>
            </w:tcMar>
            <w:vAlign w:val="center"/>
          </w:tcPr>
          <w:p>
            <w:pPr>
              <w:pStyle w:val="TableContents"/>
              <w:bidi w:val="0"/>
              <w:spacing w:before="0" w:after="283"/>
              <w:jc w:val="left"/>
              <w:rPr>
                <w:b/>
                <w:sz w:val="16"/>
              </w:rPr>
            </w:pPr>
            <w:r>
              <w:rPr>
                <w:b/>
                <w:sz w:val="16"/>
              </w:rPr>
              <w:t>Total</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95" w:type="dxa"/>
            <w:tcBorders/>
            <w:shd w:fill="CCEEFF" w:val="clear"/>
            <w:tcMar>
              <w:bottom w:w="0" w:type="dxa"/>
            </w:tcMar>
            <w:vAlign w:val="center"/>
          </w:tcPr>
          <w:p>
            <w:pPr>
              <w:pStyle w:val="TableContents"/>
              <w:bidi w:val="0"/>
              <w:spacing w:before="0" w:after="283"/>
              <w:jc w:val="center"/>
              <w:rPr>
                <w:b/>
                <w:sz w:val="16"/>
              </w:rPr>
            </w:pPr>
            <w:r>
              <w:rPr>
                <w:b/>
                <w:sz w:val="16"/>
              </w:rPr>
              <w:t>923,333</w:t>
            </w:r>
          </w:p>
        </w:tc>
        <w:tc>
          <w:tcPr>
            <w:tcW w:w="1150" w:type="dxa"/>
            <w:tcBorders/>
            <w:shd w:fill="CCEEFF" w:val="clear"/>
            <w:tcMar>
              <w:bottom w:w="0" w:type="dxa"/>
            </w:tcMar>
            <w:vAlign w:val="center"/>
          </w:tcPr>
          <w:p>
            <w:pPr>
              <w:pStyle w:val="TableContents"/>
              <w:bidi w:val="0"/>
              <w:spacing w:before="0" w:after="283"/>
              <w:jc w:val="center"/>
              <w:rPr>
                <w:b/>
                <w:sz w:val="16"/>
              </w:rPr>
            </w:pPr>
            <w:r>
              <w:rPr>
                <w:b/>
                <w:sz w:val="16"/>
              </w:rPr>
              <w:t>900,000</w:t>
            </w:r>
          </w:p>
        </w:tc>
        <w:tc>
          <w:tcPr>
            <w:tcW w:w="1195" w:type="dxa"/>
            <w:tcBorders/>
            <w:shd w:fill="CCEEFF" w:val="clear"/>
            <w:tcMar>
              <w:bottom w:w="0" w:type="dxa"/>
            </w:tcMar>
            <w:vAlign w:val="center"/>
          </w:tcPr>
          <w:p>
            <w:pPr>
              <w:pStyle w:val="TableContents"/>
              <w:bidi w:val="0"/>
              <w:spacing w:before="0" w:after="283"/>
              <w:jc w:val="center"/>
              <w:rPr>
                <w:b/>
                <w:sz w:val="16"/>
              </w:rPr>
            </w:pPr>
            <w:r>
              <w:rPr>
                <w:b/>
                <w:sz w:val="16"/>
              </w:rPr>
              <w:t>1,666,668</w:t>
            </w:r>
          </w:p>
        </w:tc>
        <w:tc>
          <w:tcPr>
            <w:tcW w:w="1090" w:type="dxa"/>
            <w:tcBorders/>
            <w:shd w:fill="CCEEFF" w:val="clear"/>
            <w:tcMar>
              <w:bottom w:w="0" w:type="dxa"/>
            </w:tcMar>
            <w:vAlign w:val="center"/>
          </w:tcPr>
          <w:p>
            <w:pPr>
              <w:pStyle w:val="TableContents"/>
              <w:bidi w:val="0"/>
              <w:spacing w:before="0" w:after="283"/>
              <w:jc w:val="center"/>
              <w:rPr>
                <w:b/>
                <w:sz w:val="16"/>
              </w:rPr>
            </w:pPr>
            <w:r>
              <w:rPr>
                <w:b/>
                <w:sz w:val="16"/>
              </w:rPr>
              <w:t>1,666,668</w:t>
            </w:r>
          </w:p>
        </w:tc>
        <w:tc>
          <w:tcPr>
            <w:tcW w:w="1310" w:type="dxa"/>
            <w:tcBorders/>
            <w:shd w:fill="CCEEFF" w:val="clear"/>
            <w:tcMar>
              <w:bottom w:w="0" w:type="dxa"/>
            </w:tcMar>
            <w:vAlign w:val="center"/>
          </w:tcPr>
          <w:p>
            <w:pPr>
              <w:pStyle w:val="TableContents"/>
              <w:bidi w:val="0"/>
              <w:spacing w:before="0" w:after="283"/>
              <w:jc w:val="center"/>
              <w:rPr>
                <w:b/>
                <w:sz w:val="16"/>
              </w:rPr>
            </w:pPr>
            <w:r>
              <w:rPr>
                <w:b/>
                <w:sz w:val="16"/>
              </w:rPr>
              <w:t>23,333</w:t>
            </w:r>
          </w:p>
        </w:tc>
        <w:tc>
          <w:tcPr>
            <w:tcW w:w="905" w:type="dxa"/>
            <w:tcBorders/>
            <w:shd w:fill="CCEEFF" w:val="clear"/>
            <w:tcMar>
              <w:bottom w:w="0" w:type="dxa"/>
            </w:tcMar>
            <w:vAlign w:val="center"/>
          </w:tcPr>
          <w:p>
            <w:pPr>
              <w:pStyle w:val="TableContents"/>
              <w:bidi w:val="0"/>
              <w:spacing w:before="0" w:after="283"/>
              <w:jc w:val="center"/>
              <w:rPr>
                <w:b/>
                <w:sz w:val="16"/>
              </w:rPr>
            </w:pPr>
            <w:r>
              <w:rPr>
                <w:b/>
                <w:sz w:val="16"/>
              </w:rPr>
              <w:t>0</w:t>
            </w:r>
          </w:p>
        </w:tc>
      </w:tr>
    </w:tbl>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tbl>
      <w:tblPr>
        <w:tblW w:w="590" w:type="dxa"/>
        <w:jc w:val="left"/>
        <w:tblInd w:w="0" w:type="dxa"/>
        <w:tblLayout w:type="fixed"/>
        <w:tblCellMar>
          <w:top w:w="0" w:type="dxa"/>
          <w:left w:w="0" w:type="dxa"/>
          <w:bottom w:w="0" w:type="dxa"/>
          <w:right w:w="0" w:type="dxa"/>
        </w:tblCellMar>
      </w:tblPr>
      <w:tblGrid>
        <w:gridCol w:w="105"/>
        <w:gridCol w:w="350"/>
        <w:gridCol w:w="135"/>
      </w:tblGrid>
      <w:tr>
        <w:trPr/>
        <w:tc>
          <w:tcPr>
            <w:tcW w:w="10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 </w:t>
            </w:r>
            <w:r>
              <w:rPr/>
              <w:t>36</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left"/>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Pay Versus Performance Disclosure</w:t>
      </w:r>
    </w:p>
    <w:p>
      <w:pPr>
        <w:pStyle w:val="TextBody"/>
        <w:bidi w:val="0"/>
        <w:spacing w:before="120" w:after="120"/>
        <w:ind w:left="120" w:right="1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Below is information about the relationship between executive “compensation actually paid” to our NEOs and our financial performance, as required by Section 953(a) of the Dodd-Frank Act and Item 402(v) of Regulation S-K. The Company became an accelerated filer on December 31, 2025. Consistent with the SEC rules, we are only required to provide disclosure for the past three fiscal years.</w:t>
      </w:r>
    </w:p>
    <w:p>
      <w:pPr>
        <w:pStyle w:val="TextBody"/>
        <w:bidi w:val="0"/>
        <w:spacing w:before="120" w:after="120"/>
        <w:ind w:left="120" w:right="1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Pay-for-performance is a key element of our executive compensation program. The design and philosophy of our program is intended to create a strong link between executive compensation and the interests of our stockholders. For further information concerning our pay-for-performance philosophy and how we align executive compensation with the Company’s performance, including through the grant of equity as a meaningful component of our compensation program, refer to “—Compensation Discussion and Analysis.”</w:t>
      </w:r>
    </w:p>
    <w:p>
      <w:pPr>
        <w:pStyle w:val="TextBody"/>
        <w:bidi w:val="0"/>
        <w:spacing w:before="120" w:after="120"/>
        <w:ind w:left="120" w:right="12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Compensation actually paid” does not correlate to the total amount of cash or equity compensation realized during each fiscal year and is different from “realizable” or “realized” compensation as reported in the Compensation Discussion and Analysis. Instead, it is a nuanced calculation that includes the increase (or decrease) in value of certain elements of compensation over each fiscal year, even if granted in a prior year. The amount of compensation ultimately received may, in fact, be different from the amounts disclosed in these columns of the PVP Table below.</w:t>
      </w:r>
    </w:p>
    <w:p>
      <w:pPr>
        <w:pStyle w:val="TextBody"/>
        <w:bidi w:val="0"/>
        <w:spacing w:before="0" w:after="240"/>
        <w:jc w:val="left"/>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Pay Versus Performance Table (“PVP Table”)</w:t>
      </w:r>
    </w:p>
    <w:tbl>
      <w:tblPr>
        <w:tblW w:w="9264" w:type="dxa"/>
        <w:jc w:val="left"/>
        <w:tblInd w:w="0" w:type="dxa"/>
        <w:tblLayout w:type="fixed"/>
        <w:tblCellMar>
          <w:top w:w="0" w:type="dxa"/>
          <w:left w:w="0" w:type="dxa"/>
          <w:bottom w:w="0" w:type="dxa"/>
          <w:right w:w="0" w:type="dxa"/>
        </w:tblCellMar>
      </w:tblPr>
      <w:tblGrid>
        <w:gridCol w:w="425"/>
        <w:gridCol w:w="90"/>
        <w:gridCol w:w="1085"/>
        <w:gridCol w:w="90"/>
        <w:gridCol w:w="1085"/>
        <w:gridCol w:w="90"/>
        <w:gridCol w:w="1085"/>
        <w:gridCol w:w="90"/>
        <w:gridCol w:w="1085"/>
        <w:gridCol w:w="90"/>
        <w:gridCol w:w="954"/>
        <w:gridCol w:w="91"/>
        <w:gridCol w:w="954"/>
        <w:gridCol w:w="90"/>
        <w:gridCol w:w="905"/>
        <w:gridCol w:w="90"/>
        <w:gridCol w:w="965"/>
      </w:tblGrid>
      <w:tr>
        <w:trPr/>
        <w:tc>
          <w:tcPr>
            <w:tcW w:w="4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999" w:type="dxa"/>
            <w:gridSpan w:val="3"/>
            <w:tcBorders>
              <w:bottom w:val="single" w:sz="12" w:space="0" w:color="000000"/>
            </w:tcBorders>
            <w:tcMar>
              <w:bottom w:w="28" w:type="dxa"/>
            </w:tcMar>
            <w:vAlign w:val="center"/>
          </w:tcPr>
          <w:p>
            <w:pPr>
              <w:pStyle w:val="TableContents"/>
              <w:bidi w:val="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Value of Initial Fixed $100</w:t>
            </w:r>
          </w:p>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Investment Based On:</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center"/>
              <w:rPr/>
            </w:pPr>
            <w:r>
              <w:rPr/>
              <w:t> </w:t>
            </w:r>
          </w:p>
        </w:tc>
      </w:tr>
      <w:tr>
        <w:trPr/>
        <w:tc>
          <w:tcPr>
            <w:tcW w:w="425" w:type="dxa"/>
            <w:tcBorders>
              <w:bottom w:val="single" w:sz="12" w:space="0" w:color="000000"/>
            </w:tcBorders>
            <w:tcMar>
              <w:bottom w:w="28" w:type="dxa"/>
            </w:tcMar>
            <w:vAlign w:val="center"/>
          </w:tcPr>
          <w:p>
            <w:pPr>
              <w:pStyle w:val="TableContents"/>
              <w:bidi w:val="0"/>
              <w:spacing w:before="0" w:after="283"/>
              <w:jc w:val="left"/>
              <w:rPr>
                <w:b/>
                <w:sz w:val="16"/>
              </w:rPr>
            </w:pPr>
            <w:r>
              <w:rPr>
                <w:b/>
                <w:sz w:val="16"/>
              </w:rPr>
              <w:t>Year</w:t>
            </w:r>
          </w:p>
        </w:tc>
        <w:tc>
          <w:tcPr>
            <w:tcW w:w="90" w:type="dxa"/>
            <w:tcBorders/>
            <w:vAlign w:val="center"/>
          </w:tcPr>
          <w:p>
            <w:pPr>
              <w:pStyle w:val="TableContents"/>
              <w:bidi w:val="0"/>
              <w:spacing w:before="0" w:after="283"/>
              <w:jc w:val="left"/>
              <w:rPr/>
            </w:pPr>
            <w:r>
              <w:rPr/>
              <w:t> </w:t>
            </w:r>
          </w:p>
        </w:tc>
        <w:tc>
          <w:tcPr>
            <w:tcW w:w="1085" w:type="dxa"/>
            <w:tcBorders>
              <w:bottom w:val="single" w:sz="12" w:space="0" w:color="000000"/>
            </w:tcBorders>
            <w:tcMar>
              <w:bottom w:w="28" w:type="dxa"/>
            </w:tcMar>
            <w:vAlign w:val="center"/>
          </w:tcPr>
          <w:p>
            <w:pPr>
              <w:pStyle w:val="TableContents"/>
              <w:bidi w:val="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Summary</w:t>
            </w:r>
          </w:p>
          <w:p>
            <w:pPr>
              <w:pStyle w:val="TableContents"/>
              <w:bidi w:val="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Compensation</w:t>
            </w:r>
          </w:p>
          <w:p>
            <w:pPr>
              <w:pStyle w:val="TableContents"/>
              <w:bidi w:val="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Table Total</w:t>
            </w:r>
          </w:p>
          <w:p>
            <w:pPr>
              <w:pStyle w:val="TableContents"/>
              <w:bidi w:val="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for PEO</w:t>
            </w:r>
          </w:p>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r>
              <w:rPr>
                <w:rFonts w:ascii="Times New Roman;Times;Serif" w:hAnsi="Times New Roman;Times;Serif"/>
                <w:b/>
                <w:i w:val="false"/>
                <w:caps w:val="false"/>
                <w:smallCaps w:val="false"/>
                <w:position w:val="5"/>
                <w:sz w:val="13"/>
                <w:sz w:val="16"/>
              </w:rPr>
              <w:t>(1)(2)</w:t>
            </w:r>
          </w:p>
        </w:tc>
        <w:tc>
          <w:tcPr>
            <w:tcW w:w="90" w:type="dxa"/>
            <w:tcBorders/>
            <w:vAlign w:val="center"/>
          </w:tcPr>
          <w:p>
            <w:pPr>
              <w:pStyle w:val="TableContents"/>
              <w:bidi w:val="0"/>
              <w:spacing w:before="0" w:after="283"/>
              <w:jc w:val="left"/>
              <w:rPr/>
            </w:pPr>
            <w:r>
              <w:rPr/>
              <w:t> </w:t>
            </w:r>
          </w:p>
        </w:tc>
        <w:tc>
          <w:tcPr>
            <w:tcW w:w="1085" w:type="dxa"/>
            <w:tcBorders>
              <w:bottom w:val="single" w:sz="12" w:space="0" w:color="000000"/>
            </w:tcBorders>
            <w:tcMar>
              <w:bottom w:w="28" w:type="dxa"/>
            </w:tcMar>
            <w:vAlign w:val="center"/>
          </w:tcPr>
          <w:p>
            <w:pPr>
              <w:pStyle w:val="TableContents"/>
              <w:bidi w:val="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Compensation</w:t>
            </w:r>
          </w:p>
          <w:p>
            <w:pPr>
              <w:pStyle w:val="TableContents"/>
              <w:bidi w:val="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Actually Paid</w:t>
            </w:r>
          </w:p>
          <w:p>
            <w:pPr>
              <w:pStyle w:val="TableContents"/>
              <w:bidi w:val="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to PEO</w:t>
            </w:r>
          </w:p>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r>
              <w:rPr>
                <w:rFonts w:ascii="Times New Roman;Times;Serif" w:hAnsi="Times New Roman;Times;Serif"/>
                <w:b/>
                <w:i w:val="false"/>
                <w:caps w:val="false"/>
                <w:smallCaps w:val="false"/>
                <w:position w:val="5"/>
                <w:sz w:val="13"/>
                <w:sz w:val="16"/>
              </w:rPr>
              <w:t>(3)</w:t>
            </w:r>
          </w:p>
        </w:tc>
        <w:tc>
          <w:tcPr>
            <w:tcW w:w="90" w:type="dxa"/>
            <w:tcBorders/>
            <w:vAlign w:val="center"/>
          </w:tcPr>
          <w:p>
            <w:pPr>
              <w:pStyle w:val="TableContents"/>
              <w:bidi w:val="0"/>
              <w:spacing w:before="0" w:after="283"/>
              <w:jc w:val="left"/>
              <w:rPr/>
            </w:pPr>
            <w:r>
              <w:rPr/>
              <w:t> </w:t>
            </w:r>
          </w:p>
        </w:tc>
        <w:tc>
          <w:tcPr>
            <w:tcW w:w="1085" w:type="dxa"/>
            <w:tcBorders>
              <w:bottom w:val="single" w:sz="12" w:space="0" w:color="000000"/>
            </w:tcBorders>
            <w:tcMar>
              <w:bottom w:w="28" w:type="dxa"/>
            </w:tcMar>
            <w:vAlign w:val="center"/>
          </w:tcPr>
          <w:p>
            <w:pPr>
              <w:pStyle w:val="TableContents"/>
              <w:bidi w:val="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Average</w:t>
            </w:r>
          </w:p>
          <w:p>
            <w:pPr>
              <w:pStyle w:val="TableContents"/>
              <w:bidi w:val="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Summary</w:t>
            </w:r>
          </w:p>
          <w:p>
            <w:pPr>
              <w:pStyle w:val="TableContents"/>
              <w:bidi w:val="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Compensation</w:t>
            </w:r>
          </w:p>
          <w:p>
            <w:pPr>
              <w:pStyle w:val="TableContents"/>
              <w:bidi w:val="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Table for</w:t>
            </w:r>
          </w:p>
          <w:p>
            <w:pPr>
              <w:pStyle w:val="TableContents"/>
              <w:bidi w:val="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Non-PEO</w:t>
            </w:r>
          </w:p>
          <w:p>
            <w:pPr>
              <w:pStyle w:val="TableContents"/>
              <w:bidi w:val="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NEOs</w:t>
            </w:r>
          </w:p>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r>
              <w:rPr>
                <w:rFonts w:ascii="Times New Roman;Times;Serif" w:hAnsi="Times New Roman;Times;Serif"/>
                <w:b/>
                <w:i w:val="false"/>
                <w:caps w:val="false"/>
                <w:smallCaps w:val="false"/>
                <w:position w:val="5"/>
                <w:sz w:val="13"/>
                <w:sz w:val="16"/>
              </w:rPr>
              <w:t>(1)(2)</w:t>
            </w:r>
          </w:p>
        </w:tc>
        <w:tc>
          <w:tcPr>
            <w:tcW w:w="90" w:type="dxa"/>
            <w:tcBorders/>
            <w:vAlign w:val="center"/>
          </w:tcPr>
          <w:p>
            <w:pPr>
              <w:pStyle w:val="TableContents"/>
              <w:bidi w:val="0"/>
              <w:spacing w:before="0" w:after="283"/>
              <w:jc w:val="left"/>
              <w:rPr/>
            </w:pPr>
            <w:r>
              <w:rPr/>
              <w:t> </w:t>
            </w:r>
          </w:p>
        </w:tc>
        <w:tc>
          <w:tcPr>
            <w:tcW w:w="1085" w:type="dxa"/>
            <w:tcBorders>
              <w:bottom w:val="single" w:sz="12" w:space="0" w:color="000000"/>
            </w:tcBorders>
            <w:tcMar>
              <w:bottom w:w="28" w:type="dxa"/>
            </w:tcMar>
            <w:vAlign w:val="center"/>
          </w:tcPr>
          <w:p>
            <w:pPr>
              <w:pStyle w:val="TableContents"/>
              <w:bidi w:val="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Average</w:t>
            </w:r>
          </w:p>
          <w:p>
            <w:pPr>
              <w:pStyle w:val="TableContents"/>
              <w:bidi w:val="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Compensation</w:t>
            </w:r>
          </w:p>
          <w:p>
            <w:pPr>
              <w:pStyle w:val="TableContents"/>
              <w:bidi w:val="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Actually Paid</w:t>
            </w:r>
          </w:p>
          <w:p>
            <w:pPr>
              <w:pStyle w:val="TableContents"/>
              <w:bidi w:val="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to Non-PEO</w:t>
            </w:r>
          </w:p>
          <w:p>
            <w:pPr>
              <w:pStyle w:val="TableContents"/>
              <w:bidi w:val="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NEOs</w:t>
            </w:r>
          </w:p>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r>
              <w:rPr>
                <w:rFonts w:ascii="Times New Roman;Times;Serif" w:hAnsi="Times New Roman;Times;Serif"/>
                <w:b/>
                <w:i w:val="false"/>
                <w:caps w:val="false"/>
                <w:smallCaps w:val="false"/>
                <w:position w:val="5"/>
                <w:sz w:val="13"/>
                <w:sz w:val="16"/>
              </w:rPr>
              <w:t>(3)</w:t>
            </w:r>
          </w:p>
        </w:tc>
        <w:tc>
          <w:tcPr>
            <w:tcW w:w="90" w:type="dxa"/>
            <w:tcBorders/>
            <w:vAlign w:val="center"/>
          </w:tcPr>
          <w:p>
            <w:pPr>
              <w:pStyle w:val="TableContents"/>
              <w:bidi w:val="0"/>
              <w:spacing w:before="0" w:after="283"/>
              <w:jc w:val="left"/>
              <w:rPr/>
            </w:pPr>
            <w:r>
              <w:rPr/>
              <w:t> </w:t>
            </w:r>
          </w:p>
        </w:tc>
        <w:tc>
          <w:tcPr>
            <w:tcW w:w="954" w:type="dxa"/>
            <w:tcBorders>
              <w:bottom w:val="single" w:sz="12" w:space="0" w:color="000000"/>
            </w:tcBorders>
            <w:tcMar>
              <w:bottom w:w="28" w:type="dxa"/>
            </w:tcMar>
            <w:vAlign w:val="center"/>
          </w:tcPr>
          <w:p>
            <w:pPr>
              <w:pStyle w:val="TableContents"/>
              <w:bidi w:val="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Total</w:t>
            </w:r>
          </w:p>
          <w:p>
            <w:pPr>
              <w:pStyle w:val="TableContents"/>
              <w:bidi w:val="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Shareholder</w:t>
            </w:r>
          </w:p>
          <w:p>
            <w:pPr>
              <w:pStyle w:val="TableContents"/>
              <w:bidi w:val="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Return</w:t>
            </w:r>
          </w:p>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91" w:type="dxa"/>
            <w:tcBorders/>
            <w:vAlign w:val="center"/>
          </w:tcPr>
          <w:p>
            <w:pPr>
              <w:pStyle w:val="TableContents"/>
              <w:bidi w:val="0"/>
              <w:spacing w:before="0" w:after="283"/>
              <w:jc w:val="left"/>
              <w:rPr/>
            </w:pPr>
            <w:r>
              <w:rPr/>
              <w:t> </w:t>
            </w:r>
          </w:p>
        </w:tc>
        <w:tc>
          <w:tcPr>
            <w:tcW w:w="954" w:type="dxa"/>
            <w:tcBorders>
              <w:bottom w:val="single" w:sz="12" w:space="0" w:color="000000"/>
            </w:tcBorders>
            <w:tcMar>
              <w:bottom w:w="28" w:type="dxa"/>
            </w:tcMar>
            <w:vAlign w:val="center"/>
          </w:tcPr>
          <w:p>
            <w:pPr>
              <w:pStyle w:val="TableContents"/>
              <w:bidi w:val="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Peer Group</w:t>
            </w:r>
          </w:p>
          <w:p>
            <w:pPr>
              <w:pStyle w:val="TableContents"/>
              <w:bidi w:val="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Total</w:t>
            </w:r>
          </w:p>
          <w:p>
            <w:pPr>
              <w:pStyle w:val="TableContents"/>
              <w:bidi w:val="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Shareholder</w:t>
            </w:r>
          </w:p>
          <w:p>
            <w:pPr>
              <w:pStyle w:val="TableContents"/>
              <w:bidi w:val="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Return</w:t>
            </w:r>
          </w:p>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Net Income</w:t>
            </w:r>
          </w:p>
          <w:p>
            <w:pPr>
              <w:pStyle w:val="TableContents"/>
              <w:bidi w:val="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(in millions)</w:t>
            </w:r>
          </w:p>
        </w:tc>
        <w:tc>
          <w:tcPr>
            <w:tcW w:w="90" w:type="dxa"/>
            <w:tcBorders/>
            <w:vAlign w:val="center"/>
          </w:tcPr>
          <w:p>
            <w:pPr>
              <w:pStyle w:val="TableContents"/>
              <w:bidi w:val="0"/>
              <w:spacing w:before="0" w:after="283"/>
              <w:jc w:val="left"/>
              <w:rPr/>
            </w:pPr>
            <w:r>
              <w:rPr/>
              <w:t> </w:t>
            </w:r>
          </w:p>
        </w:tc>
        <w:tc>
          <w:tcPr>
            <w:tcW w:w="965" w:type="dxa"/>
            <w:tcBorders>
              <w:bottom w:val="single" w:sz="12" w:space="0" w:color="000000"/>
            </w:tcBorders>
            <w:tcMar>
              <w:bottom w:w="28" w:type="dxa"/>
            </w:tcMar>
            <w:vAlign w:val="center"/>
          </w:tcPr>
          <w:p>
            <w:pPr>
              <w:pStyle w:val="TableContents"/>
              <w:bidi w:val="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Revenue ($)</w:t>
            </w:r>
          </w:p>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(in millions)</w:t>
            </w:r>
          </w:p>
        </w:tc>
      </w:tr>
      <w:tr>
        <w:trPr/>
        <w:tc>
          <w:tcPr>
            <w:tcW w:w="425" w:type="dxa"/>
            <w:tcBorders/>
            <w:shd w:fill="CCEEFF" w:val="clear"/>
            <w:vAlign w:val="center"/>
          </w:tcPr>
          <w:p>
            <w:pPr>
              <w:pStyle w:val="TableContents"/>
              <w:bidi w:val="0"/>
              <w:spacing w:before="0" w:after="283"/>
              <w:jc w:val="left"/>
              <w:rPr>
                <w:sz w:val="16"/>
              </w:rPr>
            </w:pPr>
            <w:r>
              <w:rPr>
                <w:sz w:val="16"/>
              </w:rPr>
              <w:t>2025</w:t>
            </w:r>
          </w:p>
        </w:tc>
        <w:tc>
          <w:tcPr>
            <w:tcW w:w="90" w:type="dxa"/>
            <w:tcBorders/>
            <w:shd w:fill="CCEEFF" w:val="clear"/>
            <w:vAlign w:val="center"/>
          </w:tcPr>
          <w:p>
            <w:pPr>
              <w:pStyle w:val="TableContents"/>
              <w:bidi w:val="0"/>
              <w:spacing w:before="0" w:after="283"/>
              <w:jc w:val="center"/>
              <w:rPr/>
            </w:pPr>
            <w:r>
              <w:rPr/>
              <w:t> </w:t>
            </w:r>
          </w:p>
        </w:tc>
        <w:tc>
          <w:tcPr>
            <w:tcW w:w="1085" w:type="dxa"/>
            <w:tcBorders/>
            <w:shd w:fill="CCEEFF" w:val="clear"/>
            <w:vAlign w:val="center"/>
          </w:tcPr>
          <w:p>
            <w:pPr>
              <w:pStyle w:val="TableContents"/>
              <w:bidi w:val="0"/>
              <w:spacing w:before="0" w:after="283"/>
              <w:jc w:val="center"/>
              <w:rPr>
                <w:sz w:val="16"/>
              </w:rPr>
            </w:pPr>
            <w:r>
              <w:rPr>
                <w:sz w:val="16"/>
              </w:rPr>
              <w:t>3,775,310</w:t>
            </w:r>
          </w:p>
        </w:tc>
        <w:tc>
          <w:tcPr>
            <w:tcW w:w="90" w:type="dxa"/>
            <w:tcBorders/>
            <w:shd w:fill="CCEEFF" w:val="clear"/>
            <w:vAlign w:val="center"/>
          </w:tcPr>
          <w:p>
            <w:pPr>
              <w:pStyle w:val="TableContents"/>
              <w:bidi w:val="0"/>
              <w:spacing w:before="0" w:after="283"/>
              <w:jc w:val="center"/>
              <w:rPr/>
            </w:pPr>
            <w:r>
              <w:rPr/>
              <w:t> </w:t>
            </w:r>
          </w:p>
        </w:tc>
        <w:tc>
          <w:tcPr>
            <w:tcW w:w="1085" w:type="dxa"/>
            <w:tcBorders/>
            <w:shd w:fill="CCEEFF" w:val="clear"/>
            <w:vAlign w:val="center"/>
          </w:tcPr>
          <w:p>
            <w:pPr>
              <w:pStyle w:val="TableContents"/>
              <w:bidi w:val="0"/>
              <w:spacing w:before="0" w:after="283"/>
              <w:jc w:val="center"/>
              <w:rPr>
                <w:sz w:val="16"/>
              </w:rPr>
            </w:pPr>
            <w:r>
              <w:rPr>
                <w:sz w:val="16"/>
              </w:rPr>
              <w:t>2,197,717</w:t>
            </w:r>
          </w:p>
        </w:tc>
        <w:tc>
          <w:tcPr>
            <w:tcW w:w="90" w:type="dxa"/>
            <w:tcBorders/>
            <w:shd w:fill="CCEEFF" w:val="clear"/>
            <w:vAlign w:val="center"/>
          </w:tcPr>
          <w:p>
            <w:pPr>
              <w:pStyle w:val="TableContents"/>
              <w:bidi w:val="0"/>
              <w:spacing w:before="0" w:after="283"/>
              <w:jc w:val="center"/>
              <w:rPr/>
            </w:pPr>
            <w:r>
              <w:rPr/>
              <w:t> </w:t>
            </w:r>
          </w:p>
        </w:tc>
        <w:tc>
          <w:tcPr>
            <w:tcW w:w="1085" w:type="dxa"/>
            <w:tcBorders/>
            <w:shd w:fill="CCEEFF" w:val="clear"/>
            <w:vAlign w:val="center"/>
          </w:tcPr>
          <w:p>
            <w:pPr>
              <w:pStyle w:val="TableContents"/>
              <w:bidi w:val="0"/>
              <w:spacing w:before="0" w:after="283"/>
              <w:jc w:val="center"/>
              <w:rPr>
                <w:sz w:val="16"/>
              </w:rPr>
            </w:pPr>
            <w:r>
              <w:rPr>
                <w:sz w:val="16"/>
              </w:rPr>
              <w:t>916,591</w:t>
            </w:r>
          </w:p>
        </w:tc>
        <w:tc>
          <w:tcPr>
            <w:tcW w:w="90" w:type="dxa"/>
            <w:tcBorders/>
            <w:shd w:fill="CCEEFF" w:val="clear"/>
            <w:vAlign w:val="center"/>
          </w:tcPr>
          <w:p>
            <w:pPr>
              <w:pStyle w:val="TableContents"/>
              <w:bidi w:val="0"/>
              <w:spacing w:before="0" w:after="283"/>
              <w:jc w:val="center"/>
              <w:rPr/>
            </w:pPr>
            <w:r>
              <w:rPr/>
              <w:t> </w:t>
            </w:r>
          </w:p>
        </w:tc>
        <w:tc>
          <w:tcPr>
            <w:tcW w:w="1085" w:type="dxa"/>
            <w:tcBorders/>
            <w:shd w:fill="CCEEFF" w:val="clear"/>
            <w:vAlign w:val="center"/>
          </w:tcPr>
          <w:p>
            <w:pPr>
              <w:pStyle w:val="TableContents"/>
              <w:bidi w:val="0"/>
              <w:spacing w:before="0" w:after="283"/>
              <w:jc w:val="center"/>
              <w:rPr>
                <w:sz w:val="16"/>
              </w:rPr>
            </w:pPr>
            <w:r>
              <w:rPr>
                <w:sz w:val="16"/>
              </w:rPr>
              <w:t>1,152,592</w:t>
            </w:r>
          </w:p>
        </w:tc>
        <w:tc>
          <w:tcPr>
            <w:tcW w:w="90" w:type="dxa"/>
            <w:tcBorders/>
            <w:shd w:fill="CCEEFF" w:val="clear"/>
            <w:vAlign w:val="center"/>
          </w:tcPr>
          <w:p>
            <w:pPr>
              <w:pStyle w:val="TableContents"/>
              <w:bidi w:val="0"/>
              <w:spacing w:before="0" w:after="283"/>
              <w:jc w:val="center"/>
              <w:rPr/>
            </w:pPr>
            <w:r>
              <w:rPr/>
              <w:t> </w:t>
            </w:r>
          </w:p>
        </w:tc>
        <w:tc>
          <w:tcPr>
            <w:tcW w:w="954" w:type="dxa"/>
            <w:tcBorders/>
            <w:shd w:fill="CCEEFF" w:val="clear"/>
            <w:vAlign w:val="center"/>
          </w:tcPr>
          <w:p>
            <w:pPr>
              <w:pStyle w:val="TableContents"/>
              <w:bidi w:val="0"/>
              <w:spacing w:before="0" w:after="283"/>
              <w:jc w:val="center"/>
              <w:rPr>
                <w:sz w:val="16"/>
              </w:rPr>
            </w:pPr>
            <w:r>
              <w:rPr>
                <w:sz w:val="16"/>
              </w:rPr>
              <w:t>183</w:t>
            </w:r>
          </w:p>
        </w:tc>
        <w:tc>
          <w:tcPr>
            <w:tcW w:w="91" w:type="dxa"/>
            <w:tcBorders/>
            <w:shd w:fill="CCEEFF" w:val="clear"/>
            <w:vAlign w:val="center"/>
          </w:tcPr>
          <w:p>
            <w:pPr>
              <w:pStyle w:val="TableContents"/>
              <w:bidi w:val="0"/>
              <w:spacing w:before="0" w:after="283"/>
              <w:jc w:val="center"/>
              <w:rPr/>
            </w:pPr>
            <w:r>
              <w:rPr/>
              <w:t> </w:t>
            </w:r>
          </w:p>
        </w:tc>
        <w:tc>
          <w:tcPr>
            <w:tcW w:w="954" w:type="dxa"/>
            <w:tcBorders/>
            <w:shd w:fill="CCEEFF" w:val="clear"/>
            <w:vAlign w:val="center"/>
          </w:tcPr>
          <w:p>
            <w:pPr>
              <w:pStyle w:val="TableContents"/>
              <w:bidi w:val="0"/>
              <w:spacing w:before="0" w:after="283"/>
              <w:jc w:val="center"/>
              <w:rPr>
                <w:sz w:val="16"/>
              </w:rPr>
            </w:pPr>
            <w:r>
              <w:rPr>
                <w:sz w:val="16"/>
              </w:rPr>
              <w:t>216</w:t>
            </w:r>
          </w:p>
        </w:tc>
        <w:tc>
          <w:tcPr>
            <w:tcW w:w="90" w:type="dxa"/>
            <w:tcBorders/>
            <w:shd w:fill="CCEEFF" w:val="clear"/>
            <w:vAlign w:val="center"/>
          </w:tcPr>
          <w:p>
            <w:pPr>
              <w:pStyle w:val="TableContents"/>
              <w:bidi w:val="0"/>
              <w:spacing w:before="0" w:after="283"/>
              <w:jc w:val="center"/>
              <w:rPr/>
            </w:pPr>
            <w:r>
              <w:rPr/>
              <w:t> </w:t>
            </w:r>
          </w:p>
        </w:tc>
        <w:tc>
          <w:tcPr>
            <w:tcW w:w="905" w:type="dxa"/>
            <w:tcBorders>
              <w:top w:val="single" w:sz="12" w:space="0" w:color="000000"/>
            </w:tcBorders>
            <w:shd w:fill="CCEEFF" w:val="clear"/>
            <w:tcMar>
              <w:top w:w="28" w:type="dxa"/>
            </w:tcMar>
            <w:vAlign w:val="center"/>
          </w:tcPr>
          <w:p>
            <w:pPr>
              <w:pStyle w:val="TableContents"/>
              <w:bidi w:val="0"/>
              <w:spacing w:before="0" w:after="283"/>
              <w:jc w:val="center"/>
              <w:rPr>
                <w:sz w:val="16"/>
              </w:rPr>
            </w:pPr>
            <w:r>
              <w:rPr>
                <w:sz w:val="16"/>
              </w:rPr>
              <w:t>(29)</w:t>
            </w:r>
          </w:p>
        </w:tc>
        <w:tc>
          <w:tcPr>
            <w:tcW w:w="90" w:type="dxa"/>
            <w:tcBorders/>
            <w:shd w:fill="CCEEFF" w:val="clear"/>
            <w:vAlign w:val="center"/>
          </w:tcPr>
          <w:p>
            <w:pPr>
              <w:pStyle w:val="TableContents"/>
              <w:bidi w:val="0"/>
              <w:spacing w:before="0" w:after="283"/>
              <w:jc w:val="center"/>
              <w:rPr/>
            </w:pPr>
            <w:r>
              <w:rPr/>
              <w:t> </w:t>
            </w:r>
          </w:p>
        </w:tc>
        <w:tc>
          <w:tcPr>
            <w:tcW w:w="965" w:type="dxa"/>
            <w:tcBorders/>
            <w:shd w:fill="CCEEFF" w:val="clear"/>
            <w:vAlign w:val="center"/>
          </w:tcPr>
          <w:p>
            <w:pPr>
              <w:pStyle w:val="TableContents"/>
              <w:bidi w:val="0"/>
              <w:spacing w:before="0" w:after="283"/>
              <w:jc w:val="center"/>
              <w:rPr>
                <w:sz w:val="16"/>
              </w:rPr>
            </w:pPr>
            <w:r>
              <w:rPr>
                <w:sz w:val="16"/>
              </w:rPr>
              <w:t>428</w:t>
            </w:r>
          </w:p>
        </w:tc>
      </w:tr>
      <w:tr>
        <w:trPr/>
        <w:tc>
          <w:tcPr>
            <w:tcW w:w="425" w:type="dxa"/>
            <w:tcBorders/>
            <w:vAlign w:val="center"/>
          </w:tcPr>
          <w:p>
            <w:pPr>
              <w:pStyle w:val="TableContents"/>
              <w:bidi w:val="0"/>
              <w:spacing w:before="0" w:after="283"/>
              <w:jc w:val="left"/>
              <w:rPr>
                <w:sz w:val="16"/>
              </w:rPr>
            </w:pPr>
            <w:r>
              <w:rPr>
                <w:sz w:val="16"/>
              </w:rPr>
              <w:t>2024</w:t>
            </w:r>
          </w:p>
        </w:tc>
        <w:tc>
          <w:tcPr>
            <w:tcW w:w="90" w:type="dxa"/>
            <w:tcBorders/>
            <w:vAlign w:val="center"/>
          </w:tcPr>
          <w:p>
            <w:pPr>
              <w:pStyle w:val="TableContents"/>
              <w:bidi w:val="0"/>
              <w:spacing w:before="0" w:after="283"/>
              <w:jc w:val="center"/>
              <w:rPr/>
            </w:pPr>
            <w:r>
              <w:rPr/>
              <w:t> </w:t>
            </w:r>
          </w:p>
        </w:tc>
        <w:tc>
          <w:tcPr>
            <w:tcW w:w="1085" w:type="dxa"/>
            <w:tcBorders/>
            <w:vAlign w:val="center"/>
          </w:tcPr>
          <w:p>
            <w:pPr>
              <w:pStyle w:val="TableContents"/>
              <w:bidi w:val="0"/>
              <w:spacing w:before="0" w:after="283"/>
              <w:jc w:val="center"/>
              <w:rPr>
                <w:sz w:val="16"/>
              </w:rPr>
            </w:pPr>
            <w:r>
              <w:rPr>
                <w:sz w:val="16"/>
              </w:rPr>
              <w:t>1,141,226</w:t>
            </w:r>
          </w:p>
        </w:tc>
        <w:tc>
          <w:tcPr>
            <w:tcW w:w="90" w:type="dxa"/>
            <w:tcBorders/>
            <w:vAlign w:val="center"/>
          </w:tcPr>
          <w:p>
            <w:pPr>
              <w:pStyle w:val="TableContents"/>
              <w:bidi w:val="0"/>
              <w:spacing w:before="0" w:after="283"/>
              <w:jc w:val="center"/>
              <w:rPr/>
            </w:pPr>
            <w:r>
              <w:rPr/>
              <w:t> </w:t>
            </w:r>
          </w:p>
        </w:tc>
        <w:tc>
          <w:tcPr>
            <w:tcW w:w="1085" w:type="dxa"/>
            <w:tcBorders/>
            <w:vAlign w:val="center"/>
          </w:tcPr>
          <w:p>
            <w:pPr>
              <w:pStyle w:val="TableContents"/>
              <w:bidi w:val="0"/>
              <w:spacing w:before="0" w:after="283"/>
              <w:jc w:val="center"/>
              <w:rPr>
                <w:sz w:val="16"/>
              </w:rPr>
            </w:pPr>
            <w:r>
              <w:rPr>
                <w:sz w:val="16"/>
              </w:rPr>
              <w:t>1,349,785</w:t>
            </w:r>
          </w:p>
        </w:tc>
        <w:tc>
          <w:tcPr>
            <w:tcW w:w="90" w:type="dxa"/>
            <w:tcBorders/>
            <w:vAlign w:val="center"/>
          </w:tcPr>
          <w:p>
            <w:pPr>
              <w:pStyle w:val="TableContents"/>
              <w:bidi w:val="0"/>
              <w:spacing w:before="0" w:after="283"/>
              <w:jc w:val="center"/>
              <w:rPr/>
            </w:pPr>
            <w:r>
              <w:rPr/>
              <w:t> </w:t>
            </w:r>
          </w:p>
        </w:tc>
        <w:tc>
          <w:tcPr>
            <w:tcW w:w="1085" w:type="dxa"/>
            <w:tcBorders/>
            <w:vAlign w:val="center"/>
          </w:tcPr>
          <w:p>
            <w:pPr>
              <w:pStyle w:val="TableContents"/>
              <w:bidi w:val="0"/>
              <w:spacing w:before="0" w:after="283"/>
              <w:jc w:val="center"/>
              <w:rPr>
                <w:sz w:val="16"/>
              </w:rPr>
            </w:pPr>
            <w:r>
              <w:rPr>
                <w:sz w:val="16"/>
              </w:rPr>
              <w:t>1,241,315</w:t>
            </w:r>
          </w:p>
        </w:tc>
        <w:tc>
          <w:tcPr>
            <w:tcW w:w="90" w:type="dxa"/>
            <w:tcBorders/>
            <w:vAlign w:val="center"/>
          </w:tcPr>
          <w:p>
            <w:pPr>
              <w:pStyle w:val="TableContents"/>
              <w:bidi w:val="0"/>
              <w:spacing w:before="0" w:after="283"/>
              <w:jc w:val="center"/>
              <w:rPr/>
            </w:pPr>
            <w:r>
              <w:rPr/>
              <w:t> </w:t>
            </w:r>
          </w:p>
        </w:tc>
        <w:tc>
          <w:tcPr>
            <w:tcW w:w="1085" w:type="dxa"/>
            <w:tcBorders/>
            <w:vAlign w:val="center"/>
          </w:tcPr>
          <w:p>
            <w:pPr>
              <w:pStyle w:val="TableContents"/>
              <w:bidi w:val="0"/>
              <w:spacing w:before="0" w:after="283"/>
              <w:jc w:val="center"/>
              <w:rPr>
                <w:sz w:val="16"/>
              </w:rPr>
            </w:pPr>
            <w:r>
              <w:rPr>
                <w:sz w:val="16"/>
              </w:rPr>
              <w:t>1,895,256</w:t>
            </w:r>
          </w:p>
        </w:tc>
        <w:tc>
          <w:tcPr>
            <w:tcW w:w="90" w:type="dxa"/>
            <w:tcBorders/>
            <w:vAlign w:val="center"/>
          </w:tcPr>
          <w:p>
            <w:pPr>
              <w:pStyle w:val="TableContents"/>
              <w:bidi w:val="0"/>
              <w:spacing w:before="0" w:after="283"/>
              <w:jc w:val="center"/>
              <w:rPr/>
            </w:pPr>
            <w:r>
              <w:rPr/>
              <w:t> </w:t>
            </w:r>
          </w:p>
        </w:tc>
        <w:tc>
          <w:tcPr>
            <w:tcW w:w="954" w:type="dxa"/>
            <w:tcBorders/>
            <w:vAlign w:val="center"/>
          </w:tcPr>
          <w:p>
            <w:pPr>
              <w:pStyle w:val="TableContents"/>
              <w:bidi w:val="0"/>
              <w:spacing w:before="0" w:after="283"/>
              <w:jc w:val="center"/>
              <w:rPr>
                <w:sz w:val="16"/>
              </w:rPr>
            </w:pPr>
            <w:r>
              <w:rPr>
                <w:sz w:val="16"/>
              </w:rPr>
              <w:t>135</w:t>
            </w:r>
          </w:p>
        </w:tc>
        <w:tc>
          <w:tcPr>
            <w:tcW w:w="91" w:type="dxa"/>
            <w:tcBorders/>
            <w:vAlign w:val="center"/>
          </w:tcPr>
          <w:p>
            <w:pPr>
              <w:pStyle w:val="TableContents"/>
              <w:bidi w:val="0"/>
              <w:spacing w:before="0" w:after="283"/>
              <w:jc w:val="center"/>
              <w:rPr/>
            </w:pPr>
            <w:r>
              <w:rPr/>
              <w:t> </w:t>
            </w:r>
          </w:p>
        </w:tc>
        <w:tc>
          <w:tcPr>
            <w:tcW w:w="954" w:type="dxa"/>
            <w:tcBorders/>
            <w:vAlign w:val="center"/>
          </w:tcPr>
          <w:p>
            <w:pPr>
              <w:pStyle w:val="TableContents"/>
              <w:bidi w:val="0"/>
              <w:spacing w:before="0" w:after="283"/>
              <w:jc w:val="center"/>
              <w:rPr>
                <w:sz w:val="16"/>
              </w:rPr>
            </w:pPr>
            <w:r>
              <w:rPr>
                <w:sz w:val="16"/>
              </w:rPr>
              <w:t>160</w:t>
            </w:r>
          </w:p>
        </w:tc>
        <w:tc>
          <w:tcPr>
            <w:tcW w:w="90" w:type="dxa"/>
            <w:tcBorders/>
            <w:vAlign w:val="center"/>
          </w:tcPr>
          <w:p>
            <w:pPr>
              <w:pStyle w:val="TableContents"/>
              <w:bidi w:val="0"/>
              <w:spacing w:before="0" w:after="283"/>
              <w:jc w:val="center"/>
              <w:rPr/>
            </w:pPr>
            <w:r>
              <w:rPr/>
              <w:t> </w:t>
            </w:r>
          </w:p>
        </w:tc>
        <w:tc>
          <w:tcPr>
            <w:tcW w:w="905" w:type="dxa"/>
            <w:tcBorders/>
            <w:vAlign w:val="center"/>
          </w:tcPr>
          <w:p>
            <w:pPr>
              <w:pStyle w:val="TableContents"/>
              <w:bidi w:val="0"/>
              <w:spacing w:before="0" w:after="283"/>
              <w:jc w:val="center"/>
              <w:rPr>
                <w:sz w:val="16"/>
              </w:rPr>
            </w:pPr>
            <w:r>
              <w:rPr>
                <w:sz w:val="16"/>
              </w:rPr>
              <w:t>(195)</w:t>
            </w:r>
          </w:p>
        </w:tc>
        <w:tc>
          <w:tcPr>
            <w:tcW w:w="90" w:type="dxa"/>
            <w:tcBorders/>
            <w:vAlign w:val="center"/>
          </w:tcPr>
          <w:p>
            <w:pPr>
              <w:pStyle w:val="TableContents"/>
              <w:bidi w:val="0"/>
              <w:spacing w:before="0" w:after="283"/>
              <w:jc w:val="center"/>
              <w:rPr/>
            </w:pPr>
            <w:r>
              <w:rPr/>
              <w:t> </w:t>
            </w:r>
          </w:p>
        </w:tc>
        <w:tc>
          <w:tcPr>
            <w:tcW w:w="965" w:type="dxa"/>
            <w:tcBorders/>
            <w:vAlign w:val="center"/>
          </w:tcPr>
          <w:p>
            <w:pPr>
              <w:pStyle w:val="TableContents"/>
              <w:bidi w:val="0"/>
              <w:spacing w:before="0" w:after="283"/>
              <w:jc w:val="center"/>
              <w:rPr>
                <w:sz w:val="16"/>
              </w:rPr>
            </w:pPr>
            <w:r>
              <w:rPr>
                <w:sz w:val="16"/>
              </w:rPr>
              <w:t>380</w:t>
            </w:r>
          </w:p>
        </w:tc>
      </w:tr>
      <w:tr>
        <w:trPr/>
        <w:tc>
          <w:tcPr>
            <w:tcW w:w="425" w:type="dxa"/>
            <w:tcBorders/>
            <w:shd w:fill="CCEEFF" w:val="clear"/>
            <w:vAlign w:val="center"/>
          </w:tcPr>
          <w:p>
            <w:pPr>
              <w:pStyle w:val="TableContents"/>
              <w:bidi w:val="0"/>
              <w:spacing w:before="0" w:after="283"/>
              <w:jc w:val="left"/>
              <w:rPr>
                <w:sz w:val="16"/>
              </w:rPr>
            </w:pPr>
            <w:r>
              <w:rPr>
                <w:sz w:val="16"/>
              </w:rPr>
              <w:t>2023</w:t>
            </w:r>
          </w:p>
        </w:tc>
        <w:tc>
          <w:tcPr>
            <w:tcW w:w="90" w:type="dxa"/>
            <w:tcBorders/>
            <w:shd w:fill="CCEEFF" w:val="clear"/>
            <w:vAlign w:val="center"/>
          </w:tcPr>
          <w:p>
            <w:pPr>
              <w:pStyle w:val="TableContents"/>
              <w:bidi w:val="0"/>
              <w:spacing w:before="0" w:after="283"/>
              <w:jc w:val="center"/>
              <w:rPr/>
            </w:pPr>
            <w:r>
              <w:rPr/>
              <w:t> </w:t>
            </w:r>
          </w:p>
        </w:tc>
        <w:tc>
          <w:tcPr>
            <w:tcW w:w="1085" w:type="dxa"/>
            <w:tcBorders/>
            <w:shd w:fill="CCEEFF" w:val="clear"/>
            <w:vAlign w:val="center"/>
          </w:tcPr>
          <w:p>
            <w:pPr>
              <w:pStyle w:val="TableContents"/>
              <w:bidi w:val="0"/>
              <w:spacing w:before="0" w:after="283"/>
              <w:jc w:val="center"/>
              <w:rPr>
                <w:sz w:val="16"/>
              </w:rPr>
            </w:pPr>
            <w:r>
              <w:rPr>
                <w:sz w:val="16"/>
              </w:rPr>
              <w:t>649,008</w:t>
            </w:r>
          </w:p>
        </w:tc>
        <w:tc>
          <w:tcPr>
            <w:tcW w:w="90" w:type="dxa"/>
            <w:tcBorders/>
            <w:shd w:fill="CCEEFF" w:val="clear"/>
            <w:vAlign w:val="center"/>
          </w:tcPr>
          <w:p>
            <w:pPr>
              <w:pStyle w:val="TableContents"/>
              <w:bidi w:val="0"/>
              <w:spacing w:before="0" w:after="283"/>
              <w:jc w:val="center"/>
              <w:rPr/>
            </w:pPr>
            <w:r>
              <w:rPr/>
              <w:t> </w:t>
            </w:r>
          </w:p>
        </w:tc>
        <w:tc>
          <w:tcPr>
            <w:tcW w:w="1085" w:type="dxa"/>
            <w:tcBorders/>
            <w:shd w:fill="CCEEFF" w:val="clear"/>
            <w:vAlign w:val="center"/>
          </w:tcPr>
          <w:p>
            <w:pPr>
              <w:pStyle w:val="TableContents"/>
              <w:bidi w:val="0"/>
              <w:spacing w:before="0" w:after="283"/>
              <w:jc w:val="center"/>
              <w:rPr>
                <w:sz w:val="16"/>
              </w:rPr>
            </w:pPr>
            <w:r>
              <w:rPr>
                <w:sz w:val="16"/>
              </w:rPr>
              <w:t>554,345</w:t>
            </w:r>
          </w:p>
        </w:tc>
        <w:tc>
          <w:tcPr>
            <w:tcW w:w="90" w:type="dxa"/>
            <w:tcBorders/>
            <w:shd w:fill="CCEEFF" w:val="clear"/>
            <w:vAlign w:val="center"/>
          </w:tcPr>
          <w:p>
            <w:pPr>
              <w:pStyle w:val="TableContents"/>
              <w:bidi w:val="0"/>
              <w:spacing w:before="0" w:after="283"/>
              <w:jc w:val="center"/>
              <w:rPr/>
            </w:pPr>
            <w:r>
              <w:rPr/>
              <w:t> </w:t>
            </w:r>
          </w:p>
        </w:tc>
        <w:tc>
          <w:tcPr>
            <w:tcW w:w="1085" w:type="dxa"/>
            <w:tcBorders/>
            <w:shd w:fill="CCEEFF" w:val="clear"/>
            <w:vAlign w:val="center"/>
          </w:tcPr>
          <w:p>
            <w:pPr>
              <w:pStyle w:val="TableContents"/>
              <w:bidi w:val="0"/>
              <w:spacing w:before="0" w:after="283"/>
              <w:jc w:val="center"/>
              <w:rPr>
                <w:sz w:val="16"/>
              </w:rPr>
            </w:pPr>
            <w:r>
              <w:rPr>
                <w:sz w:val="16"/>
              </w:rPr>
              <w:t>1,506,396</w:t>
            </w:r>
          </w:p>
        </w:tc>
        <w:tc>
          <w:tcPr>
            <w:tcW w:w="90" w:type="dxa"/>
            <w:tcBorders/>
            <w:shd w:fill="CCEEFF" w:val="clear"/>
            <w:vAlign w:val="center"/>
          </w:tcPr>
          <w:p>
            <w:pPr>
              <w:pStyle w:val="TableContents"/>
              <w:bidi w:val="0"/>
              <w:spacing w:before="0" w:after="283"/>
              <w:jc w:val="center"/>
              <w:rPr/>
            </w:pPr>
            <w:r>
              <w:rPr/>
              <w:t> </w:t>
            </w:r>
          </w:p>
        </w:tc>
        <w:tc>
          <w:tcPr>
            <w:tcW w:w="1085" w:type="dxa"/>
            <w:tcBorders/>
            <w:shd w:fill="CCEEFF" w:val="clear"/>
            <w:vAlign w:val="center"/>
          </w:tcPr>
          <w:p>
            <w:pPr>
              <w:pStyle w:val="TableContents"/>
              <w:bidi w:val="0"/>
              <w:spacing w:before="0" w:after="283"/>
              <w:jc w:val="center"/>
              <w:rPr>
                <w:sz w:val="16"/>
              </w:rPr>
            </w:pPr>
            <w:r>
              <w:rPr>
                <w:sz w:val="16"/>
              </w:rPr>
              <w:t>1,425,089</w:t>
            </w:r>
          </w:p>
        </w:tc>
        <w:tc>
          <w:tcPr>
            <w:tcW w:w="90" w:type="dxa"/>
            <w:tcBorders/>
            <w:shd w:fill="CCEEFF" w:val="clear"/>
            <w:vAlign w:val="center"/>
          </w:tcPr>
          <w:p>
            <w:pPr>
              <w:pStyle w:val="TableContents"/>
              <w:bidi w:val="0"/>
              <w:spacing w:before="0" w:after="283"/>
              <w:jc w:val="center"/>
              <w:rPr/>
            </w:pPr>
            <w:r>
              <w:rPr/>
              <w:t> </w:t>
            </w:r>
          </w:p>
        </w:tc>
        <w:tc>
          <w:tcPr>
            <w:tcW w:w="954" w:type="dxa"/>
            <w:tcBorders/>
            <w:shd w:fill="CCEEFF" w:val="clear"/>
            <w:vAlign w:val="center"/>
          </w:tcPr>
          <w:p>
            <w:pPr>
              <w:pStyle w:val="TableContents"/>
              <w:bidi w:val="0"/>
              <w:spacing w:before="0" w:after="283"/>
              <w:jc w:val="center"/>
              <w:rPr>
                <w:sz w:val="16"/>
              </w:rPr>
            </w:pPr>
            <w:r>
              <w:rPr>
                <w:sz w:val="16"/>
              </w:rPr>
              <w:t>92</w:t>
            </w:r>
          </w:p>
        </w:tc>
        <w:tc>
          <w:tcPr>
            <w:tcW w:w="91" w:type="dxa"/>
            <w:tcBorders/>
            <w:shd w:fill="CCEEFF" w:val="clear"/>
            <w:vAlign w:val="center"/>
          </w:tcPr>
          <w:p>
            <w:pPr>
              <w:pStyle w:val="TableContents"/>
              <w:bidi w:val="0"/>
              <w:spacing w:before="0" w:after="283"/>
              <w:jc w:val="center"/>
              <w:rPr/>
            </w:pPr>
            <w:r>
              <w:rPr/>
              <w:t> </w:t>
            </w:r>
          </w:p>
        </w:tc>
        <w:tc>
          <w:tcPr>
            <w:tcW w:w="954" w:type="dxa"/>
            <w:tcBorders/>
            <w:shd w:fill="CCEEFF" w:val="clear"/>
            <w:vAlign w:val="center"/>
          </w:tcPr>
          <w:p>
            <w:pPr>
              <w:pStyle w:val="TableContents"/>
              <w:bidi w:val="0"/>
              <w:spacing w:before="0" w:after="283"/>
              <w:jc w:val="center"/>
              <w:rPr>
                <w:sz w:val="16"/>
              </w:rPr>
            </w:pPr>
            <w:r>
              <w:rPr>
                <w:sz w:val="16"/>
              </w:rPr>
              <w:t>127</w:t>
            </w:r>
          </w:p>
        </w:tc>
        <w:tc>
          <w:tcPr>
            <w:tcW w:w="90" w:type="dxa"/>
            <w:tcBorders/>
            <w:shd w:fill="CCEEFF" w:val="clear"/>
            <w:vAlign w:val="center"/>
          </w:tcPr>
          <w:p>
            <w:pPr>
              <w:pStyle w:val="TableContents"/>
              <w:bidi w:val="0"/>
              <w:spacing w:before="0" w:after="283"/>
              <w:jc w:val="center"/>
              <w:rPr/>
            </w:pPr>
            <w:r>
              <w:rPr/>
              <w:t> </w:t>
            </w:r>
          </w:p>
        </w:tc>
        <w:tc>
          <w:tcPr>
            <w:tcW w:w="905" w:type="dxa"/>
            <w:tcBorders/>
            <w:shd w:fill="CCEEFF" w:val="clear"/>
            <w:vAlign w:val="center"/>
          </w:tcPr>
          <w:p>
            <w:pPr>
              <w:pStyle w:val="TableContents"/>
              <w:bidi w:val="0"/>
              <w:spacing w:before="0" w:after="283"/>
              <w:jc w:val="center"/>
              <w:rPr>
                <w:sz w:val="16"/>
              </w:rPr>
            </w:pPr>
            <w:r>
              <w:rPr>
                <w:sz w:val="16"/>
              </w:rPr>
              <w:t>(106)</w:t>
            </w:r>
          </w:p>
        </w:tc>
        <w:tc>
          <w:tcPr>
            <w:tcW w:w="90" w:type="dxa"/>
            <w:tcBorders/>
            <w:shd w:fill="CCEEFF" w:val="clear"/>
            <w:vAlign w:val="center"/>
          </w:tcPr>
          <w:p>
            <w:pPr>
              <w:pStyle w:val="TableContents"/>
              <w:bidi w:val="0"/>
              <w:spacing w:before="0" w:after="283"/>
              <w:jc w:val="center"/>
              <w:rPr/>
            </w:pPr>
            <w:r>
              <w:rPr/>
              <w:t> </w:t>
            </w:r>
          </w:p>
        </w:tc>
        <w:tc>
          <w:tcPr>
            <w:tcW w:w="965" w:type="dxa"/>
            <w:tcBorders/>
            <w:shd w:fill="CCEEFF" w:val="clear"/>
            <w:vAlign w:val="center"/>
          </w:tcPr>
          <w:p>
            <w:pPr>
              <w:pStyle w:val="TableContents"/>
              <w:bidi w:val="0"/>
              <w:spacing w:before="0" w:after="283"/>
              <w:jc w:val="center"/>
              <w:rPr>
                <w:sz w:val="16"/>
              </w:rPr>
            </w:pPr>
            <w:r>
              <w:rPr>
                <w:sz w:val="16"/>
              </w:rPr>
              <w:t>307</w:t>
            </w:r>
          </w:p>
        </w:tc>
      </w:tr>
    </w:tbl>
    <w:tbl>
      <w:tblPr>
        <w:tblW w:w="5000" w:type="pct"/>
        <w:jc w:val="left"/>
        <w:tblInd w:w="0" w:type="dxa"/>
        <w:tblLayout w:type="fixed"/>
        <w:tblCellMar>
          <w:top w:w="0" w:type="dxa"/>
          <w:left w:w="0" w:type="dxa"/>
          <w:bottom w:w="0" w:type="dxa"/>
          <w:right w:w="0" w:type="dxa"/>
        </w:tblCellMar>
      </w:tblPr>
      <w:tblGrid>
        <w:gridCol w:w="67"/>
        <w:gridCol w:w="218"/>
        <w:gridCol w:w="9920"/>
      </w:tblGrid>
      <w:tr>
        <w:trPr/>
        <w:tc>
          <w:tcPr>
            <w:tcW w:w="6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16"/>
              </w:rPr>
            </w:pPr>
            <w:r>
              <w:rPr>
                <w:sz w:val="16"/>
              </w:rPr>
              <w:t>(1)</w:t>
            </w:r>
          </w:p>
        </w:tc>
        <w:tc>
          <w:tcPr>
            <w:tcW w:w="9920" w:type="dxa"/>
            <w:tcBorders/>
            <w:vAlign w:val="center"/>
          </w:tcPr>
          <w:p>
            <w:pPr>
              <w:pStyle w:val="TableContents"/>
              <w:bidi w:val="0"/>
              <w:spacing w:before="0" w:after="283"/>
              <w:jc w:val="left"/>
              <w:rPr>
                <w:sz w:val="16"/>
              </w:rPr>
            </w:pPr>
            <w:r>
              <w:rPr>
                <w:sz w:val="16"/>
              </w:rPr>
              <w:t>For each of 2023, 2024 and 2025, the Chief Executive Officer in the compensation columns is Mr. Wu. For 2023, the NEOs in the compensation columns are Craig Webster, Zachariah Ward, and Shane Smith. For 2024, the NEOs in the compensation columns are Dr. Wu and Ms. Tushe. For 2025, the NEOs in the compensation columns are Mr. Worthen, Ms. Tushe, Dr. Wu, Dr. Mattis, Mr. Schultz, and Ms. Khanbabi.</w:t>
            </w:r>
          </w:p>
        </w:tc>
      </w:tr>
    </w:tbl>
    <w:tbl>
      <w:tblPr>
        <w:tblW w:w="5000" w:type="pct"/>
        <w:jc w:val="left"/>
        <w:tblInd w:w="0" w:type="dxa"/>
        <w:tblLayout w:type="fixed"/>
        <w:tblCellMar>
          <w:top w:w="0" w:type="dxa"/>
          <w:left w:w="0" w:type="dxa"/>
          <w:bottom w:w="0" w:type="dxa"/>
          <w:right w:w="0" w:type="dxa"/>
        </w:tblCellMar>
      </w:tblPr>
      <w:tblGrid>
        <w:gridCol w:w="67"/>
        <w:gridCol w:w="217"/>
        <w:gridCol w:w="9921"/>
      </w:tblGrid>
      <w:tr>
        <w:trPr/>
        <w:tc>
          <w:tcPr>
            <w:tcW w:w="6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16"/>
              </w:rPr>
            </w:pPr>
            <w:r>
              <w:rPr>
                <w:sz w:val="16"/>
              </w:rPr>
              <w:t>(2)</w:t>
            </w:r>
          </w:p>
        </w:tc>
        <w:tc>
          <w:tcPr>
            <w:tcW w:w="9921" w:type="dxa"/>
            <w:tcBorders/>
            <w:vAlign w:val="center"/>
          </w:tcPr>
          <w:p>
            <w:pPr>
              <w:pStyle w:val="TableContents"/>
              <w:bidi w:val="0"/>
              <w:spacing w:before="0" w:after="283"/>
              <w:jc w:val="left"/>
              <w:rPr>
                <w:sz w:val="16"/>
              </w:rPr>
            </w:pPr>
            <w:r>
              <w:rPr>
                <w:sz w:val="16"/>
              </w:rPr>
              <w:t>Amounts reported in these columns represent (i) the total compensation reported in the Summary Compensation Table (“SCT”) for the applicable year for our PEO, Mr. Wu, and (ii) the average total compensation reported in the SCT for the applicable year for our Non-PEO NEOs. The 2024 SCT amounts previously reported were incorrectly calculated. The amounts previously reported were $1,141,207 for our PEO and $1,269,434 for our Non-PEO NEOs.</w:t>
            </w:r>
          </w:p>
        </w:tc>
      </w:tr>
    </w:tbl>
    <w:tbl>
      <w:tblPr>
        <w:tblW w:w="5000" w:type="pct"/>
        <w:jc w:val="left"/>
        <w:tblInd w:w="0" w:type="dxa"/>
        <w:tblLayout w:type="fixed"/>
        <w:tblCellMar>
          <w:top w:w="0" w:type="dxa"/>
          <w:left w:w="0" w:type="dxa"/>
          <w:bottom w:w="0" w:type="dxa"/>
          <w:right w:w="0" w:type="dxa"/>
        </w:tblCellMar>
      </w:tblPr>
      <w:tblGrid>
        <w:gridCol w:w="67"/>
        <w:gridCol w:w="217"/>
        <w:gridCol w:w="9921"/>
      </w:tblGrid>
      <w:tr>
        <w:trPr/>
        <w:tc>
          <w:tcPr>
            <w:tcW w:w="6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16"/>
              </w:rPr>
            </w:pPr>
            <w:r>
              <w:rPr>
                <w:sz w:val="16"/>
              </w:rPr>
              <w:t>(3)</w:t>
            </w:r>
          </w:p>
        </w:tc>
        <w:tc>
          <w:tcPr>
            <w:tcW w:w="9921" w:type="dxa"/>
            <w:tcBorders/>
            <w:vAlign w:val="center"/>
          </w:tcPr>
          <w:p>
            <w:pPr>
              <w:pStyle w:val="TableContents"/>
              <w:bidi w:val="0"/>
              <w:spacing w:before="0" w:after="283"/>
              <w:jc w:val="left"/>
              <w:rPr>
                <w:sz w:val="16"/>
              </w:rPr>
            </w:pPr>
            <w:r>
              <w:rPr>
                <w:sz w:val="16"/>
              </w:rPr>
              <w:t>Amounts reported in these columns represent compensation actually paid; adjustments were made to the amounts reported in the Summary Compensation Table for the applicable year. A reconciliation of the adjustments for 2025 for Mr. Wu and for the average of the Non-PEO NEOs is set forth in the following table, which describes the adjustments, each of which is prescribed by the SEC rules, to calculate the CAP Amounts from SCT amounts.</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590" w:type="dxa"/>
        <w:jc w:val="left"/>
        <w:tblInd w:w="0" w:type="dxa"/>
        <w:tblLayout w:type="fixed"/>
        <w:tblCellMar>
          <w:top w:w="0" w:type="dxa"/>
          <w:left w:w="0" w:type="dxa"/>
          <w:bottom w:w="0" w:type="dxa"/>
          <w:right w:w="0" w:type="dxa"/>
        </w:tblCellMar>
      </w:tblPr>
      <w:tblGrid>
        <w:gridCol w:w="105"/>
        <w:gridCol w:w="350"/>
        <w:gridCol w:w="135"/>
      </w:tblGrid>
      <w:tr>
        <w:trPr/>
        <w:tc>
          <w:tcPr>
            <w:tcW w:w="10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 </w:t>
            </w:r>
            <w:r>
              <w:rPr/>
              <w:t>37</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tbl>
      <w:tblPr>
        <w:tblW w:w="10205" w:type="dxa"/>
        <w:jc w:val="left"/>
        <w:tblInd w:w="0" w:type="dxa"/>
        <w:shd w:fill="CCEEFF" w:val="clear"/>
        <w:tblLayout w:type="fixed"/>
        <w:tblCellMar>
          <w:top w:w="0" w:type="dxa"/>
          <w:left w:w="0" w:type="dxa"/>
          <w:bottom w:w="0" w:type="dxa"/>
          <w:right w:w="0" w:type="dxa"/>
        </w:tblCellMar>
      </w:tblPr>
      <w:tblGrid>
        <w:gridCol w:w="8160"/>
        <w:gridCol w:w="262"/>
        <w:gridCol w:w="598"/>
        <w:gridCol w:w="205"/>
        <w:gridCol w:w="755"/>
        <w:gridCol w:w="90"/>
        <w:gridCol w:w="135"/>
      </w:tblGrid>
      <w:tr>
        <w:trPr/>
        <w:tc>
          <w:tcPr>
            <w:tcW w:w="8422" w:type="dxa"/>
            <w:gridSpan w:val="2"/>
            <w:tcBorders/>
            <w:shd w:fill="CCEEFF" w:val="clear"/>
            <w:vAlign w:val="center"/>
          </w:tcPr>
          <w:p>
            <w:pPr>
              <w:pStyle w:val="TableContents"/>
              <w:bidi w:val="0"/>
              <w:spacing w:before="0" w:after="283"/>
              <w:jc w:val="center"/>
              <w:rPr/>
            </w:pPr>
            <w:r>
              <w:rPr/>
              <w:t> </w:t>
            </w:r>
          </w:p>
        </w:tc>
        <w:tc>
          <w:tcPr>
            <w:tcW w:w="1558" w:type="dxa"/>
            <w:gridSpan w:val="3"/>
            <w:tcBorders>
              <w:bottom w:val="single" w:sz="8" w:space="0" w:color="000000"/>
            </w:tcBorders>
            <w:shd w:fill="CCEEFF" w:val="clear"/>
            <w:tcMar>
              <w:bottom w:w="58" w:type="dxa"/>
            </w:tcMar>
            <w:vAlign w:val="center"/>
          </w:tcPr>
          <w:p>
            <w:pPr>
              <w:pStyle w:val="TableContents"/>
              <w:bidi w:val="0"/>
              <w:spacing w:before="0" w:after="283"/>
              <w:jc w:val="center"/>
              <w:rPr>
                <w:b/>
                <w:sz w:val="16"/>
              </w:rPr>
            </w:pPr>
            <w:r>
              <w:rPr>
                <w:b/>
                <w:sz w:val="16"/>
              </w:rPr>
              <w:t>2025</w:t>
            </w:r>
          </w:p>
        </w:tc>
        <w:tc>
          <w:tcPr>
            <w:tcW w:w="90" w:type="dxa"/>
            <w:tcBorders/>
            <w:shd w:fill="CCEEFF" w:val="clear"/>
            <w:vAlign w:val="center"/>
          </w:tcPr>
          <w:p>
            <w:pPr>
              <w:pStyle w:val="TableContents"/>
              <w:bidi w:val="0"/>
              <w:spacing w:before="0" w:after="283"/>
              <w:jc w:val="center"/>
              <w:rPr/>
            </w:pPr>
            <w:r>
              <w:rPr/>
              <w:t> </w:t>
            </w:r>
          </w:p>
        </w:tc>
        <w:tc>
          <w:tcPr>
            <w:tcW w:w="135" w:type="dxa"/>
            <w:tcBorders/>
            <w:shd w:fill="CCEEFF" w:val="clear"/>
            <w:vAlign w:val="center"/>
          </w:tcPr>
          <w:p>
            <w:pPr>
              <w:pStyle w:val="TableContents"/>
              <w:bidi w:val="0"/>
              <w:spacing w:before="0" w:after="283"/>
              <w:jc w:val="center"/>
              <w:rPr/>
            </w:pPr>
            <w:r>
              <w:rPr/>
              <w:t> </w:t>
            </w:r>
          </w:p>
        </w:tc>
      </w:tr>
      <w:tr>
        <w:trPr/>
        <w:tc>
          <w:tcPr>
            <w:tcW w:w="8422" w:type="dxa"/>
            <w:gridSpan w:val="2"/>
            <w:tcBorders/>
            <w:shd w:fill="FFFFFF" w:val="clear"/>
            <w:vAlign w:val="center"/>
          </w:tcPr>
          <w:p>
            <w:pPr>
              <w:pStyle w:val="TableContents"/>
              <w:bidi w:val="0"/>
              <w:spacing w:before="0" w:after="283"/>
              <w:jc w:val="left"/>
              <w:rPr/>
            </w:pPr>
            <w:r>
              <w:rPr/>
              <w:t> </w:t>
            </w:r>
          </w:p>
        </w:tc>
        <w:tc>
          <w:tcPr>
            <w:tcW w:w="803" w:type="dxa"/>
            <w:gridSpan w:val="2"/>
            <w:tcBorders>
              <w:bottom w:val="single" w:sz="8" w:space="0" w:color="000000"/>
            </w:tcBorders>
            <w:shd w:fill="FFFFFF" w:val="clear"/>
            <w:tcMar>
              <w:bottom w:w="58" w:type="dxa"/>
            </w:tcMar>
            <w:vAlign w:val="center"/>
          </w:tcPr>
          <w:p>
            <w:pPr>
              <w:pStyle w:val="TableContents"/>
              <w:bidi w:val="0"/>
              <w:spacing w:before="0" w:after="283"/>
              <w:jc w:val="center"/>
              <w:rPr>
                <w:b/>
                <w:sz w:val="16"/>
              </w:rPr>
            </w:pPr>
            <w:r>
              <w:rPr>
                <w:b/>
                <w:sz w:val="16"/>
              </w:rPr>
              <w:t>CEO</w:t>
            </w:r>
          </w:p>
        </w:tc>
        <w:tc>
          <w:tcPr>
            <w:tcW w:w="755" w:type="dxa"/>
            <w:tcBorders>
              <w:bottom w:val="single" w:sz="8" w:space="0" w:color="000000"/>
            </w:tcBorders>
            <w:shd w:fill="FFFFFF" w:val="clear"/>
            <w:tcMar>
              <w:bottom w:w="58" w:type="dxa"/>
            </w:tcMar>
            <w:vAlign w:val="center"/>
          </w:tcPr>
          <w:p>
            <w:pPr>
              <w:pStyle w:val="TableContents"/>
              <w:bidi w:val="0"/>
              <w:spacing w:before="0" w:after="283"/>
              <w:jc w:val="center"/>
              <w:rPr>
                <w:b/>
                <w:sz w:val="16"/>
              </w:rPr>
            </w:pPr>
            <w:r>
              <w:rPr>
                <w:b/>
                <w:sz w:val="16"/>
              </w:rPr>
              <w:t>Average</w:t>
              <w:br/>
              <w:t>Non-PEO</w:t>
              <w:br/>
              <w:t>NEOs</w:t>
            </w:r>
          </w:p>
        </w:tc>
        <w:tc>
          <w:tcPr>
            <w:tcW w:w="90" w:type="dxa"/>
            <w:tcBorders/>
            <w:shd w:fill="FFFFFF" w:val="clear"/>
            <w:vAlign w:val="center"/>
          </w:tcPr>
          <w:p>
            <w:pPr>
              <w:pStyle w:val="TableContents"/>
              <w:bidi w:val="0"/>
              <w:spacing w:before="0" w:after="283"/>
              <w:jc w:val="center"/>
              <w:rPr/>
            </w:pPr>
            <w:r>
              <w:rPr/>
              <w:t> </w:t>
            </w:r>
          </w:p>
        </w:tc>
        <w:tc>
          <w:tcPr>
            <w:tcW w:w="135" w:type="dxa"/>
            <w:tcBorders/>
            <w:shd w:fill="FFFFFF" w:val="clear"/>
            <w:vAlign w:val="center"/>
          </w:tcPr>
          <w:p>
            <w:pPr>
              <w:pStyle w:val="TableContents"/>
              <w:bidi w:val="0"/>
              <w:spacing w:before="0" w:after="283"/>
              <w:jc w:val="center"/>
              <w:rPr/>
            </w:pPr>
            <w:r>
              <w:rPr/>
              <w:t> </w:t>
            </w:r>
          </w:p>
        </w:tc>
      </w:tr>
      <w:tr>
        <w:trPr/>
        <w:tc>
          <w:tcPr>
            <w:tcW w:w="8160" w:type="dxa"/>
            <w:tcBorders/>
            <w:shd w:fill="CCEEFF" w:val="clear"/>
            <w:vAlign w:val="center"/>
          </w:tcPr>
          <w:p>
            <w:pPr>
              <w:pStyle w:val="TableContents"/>
              <w:bidi w:val="0"/>
              <w:spacing w:before="0" w:after="283"/>
              <w:jc w:val="left"/>
              <w:rPr>
                <w:b/>
                <w:sz w:val="16"/>
              </w:rPr>
            </w:pPr>
            <w:r>
              <w:rPr>
                <w:b/>
                <w:sz w:val="16"/>
              </w:rPr>
              <w:t>Summary Compensation Table Total</w:t>
            </w:r>
          </w:p>
        </w:tc>
        <w:tc>
          <w:tcPr>
            <w:tcW w:w="860" w:type="dxa"/>
            <w:gridSpan w:val="2"/>
            <w:tcBorders/>
            <w:shd w:fill="CCEEFF" w:val="clear"/>
            <w:vAlign w:val="center"/>
          </w:tcPr>
          <w:p>
            <w:pPr>
              <w:pStyle w:val="TableContents"/>
              <w:bidi w:val="0"/>
              <w:spacing w:before="0" w:after="283"/>
              <w:jc w:val="center"/>
              <w:rPr>
                <w:b/>
                <w:sz w:val="16"/>
              </w:rPr>
            </w:pPr>
            <w:r>
              <w:rPr>
                <w:b/>
                <w:sz w:val="16"/>
              </w:rPr>
              <w:t>$3,775,310</w:t>
            </w:r>
          </w:p>
        </w:tc>
        <w:tc>
          <w:tcPr>
            <w:tcW w:w="960" w:type="dxa"/>
            <w:gridSpan w:val="2"/>
            <w:tcBorders/>
            <w:shd w:fill="CCEEFF" w:val="clear"/>
            <w:vAlign w:val="center"/>
          </w:tcPr>
          <w:p>
            <w:pPr>
              <w:pStyle w:val="TableContents"/>
              <w:bidi w:val="0"/>
              <w:spacing w:before="0" w:after="283"/>
              <w:jc w:val="center"/>
              <w:rPr>
                <w:b/>
                <w:sz w:val="16"/>
              </w:rPr>
            </w:pPr>
            <w:r>
              <w:rPr>
                <w:b/>
                <w:sz w:val="16"/>
              </w:rPr>
              <w:t>$916,591</w:t>
            </w:r>
          </w:p>
        </w:tc>
        <w:tc>
          <w:tcPr>
            <w:tcW w:w="90" w:type="dxa"/>
            <w:tcBorders/>
            <w:shd w:fill="CCEEFF" w:val="clear"/>
            <w:vAlign w:val="center"/>
          </w:tcPr>
          <w:p>
            <w:pPr>
              <w:pStyle w:val="TableContents"/>
              <w:bidi w:val="0"/>
              <w:spacing w:before="0" w:after="283"/>
              <w:jc w:val="center"/>
              <w:rPr/>
            </w:pPr>
            <w:r>
              <w:rPr/>
              <w:t> </w:t>
            </w:r>
          </w:p>
        </w:tc>
        <w:tc>
          <w:tcPr>
            <w:tcW w:w="135" w:type="dxa"/>
            <w:tcBorders/>
            <w:shd w:fill="CCEEFF" w:val="clear"/>
            <w:vAlign w:val="center"/>
          </w:tcPr>
          <w:p>
            <w:pPr>
              <w:pStyle w:val="TableContents"/>
              <w:bidi w:val="0"/>
              <w:spacing w:before="0" w:after="283"/>
              <w:jc w:val="center"/>
              <w:rPr/>
            </w:pPr>
            <w:r>
              <w:rPr/>
              <w:t> </w:t>
            </w:r>
          </w:p>
        </w:tc>
      </w:tr>
      <w:tr>
        <w:trPr/>
        <w:tc>
          <w:tcPr>
            <w:tcW w:w="8160" w:type="dxa"/>
            <w:tcBorders/>
            <w:shd w:fill="FFFFFF" w:val="clear"/>
            <w:vAlign w:val="center"/>
          </w:tcPr>
          <w:p>
            <w:pPr>
              <w:pStyle w:val="TableContents"/>
              <w:bidi w:val="0"/>
              <w:spacing w:before="0" w:after="283"/>
              <w:jc w:val="left"/>
              <w:rPr>
                <w:sz w:val="16"/>
              </w:rPr>
            </w:pPr>
            <w:r>
              <w:rPr>
                <w:i/>
                <w:sz w:val="16"/>
              </w:rPr>
              <w:t>Minus</w:t>
            </w:r>
            <w:r>
              <w:rPr>
                <w:sz w:val="16"/>
              </w:rPr>
              <w:t xml:space="preserve"> Stock Award Value &amp; Option Award Value Reported in SCT for the Covered Year</w:t>
            </w:r>
          </w:p>
        </w:tc>
        <w:tc>
          <w:tcPr>
            <w:tcW w:w="860" w:type="dxa"/>
            <w:gridSpan w:val="2"/>
            <w:tcBorders/>
            <w:shd w:fill="FFFFFF" w:val="clear"/>
            <w:vAlign w:val="center"/>
          </w:tcPr>
          <w:p>
            <w:pPr>
              <w:pStyle w:val="TableContents"/>
              <w:bidi w:val="0"/>
              <w:spacing w:before="0" w:after="283"/>
              <w:jc w:val="center"/>
              <w:rPr>
                <w:sz w:val="16"/>
              </w:rPr>
            </w:pPr>
            <w:r>
              <w:rPr>
                <w:sz w:val="16"/>
              </w:rPr>
              <w:t>$3,099,998</w:t>
            </w:r>
          </w:p>
        </w:tc>
        <w:tc>
          <w:tcPr>
            <w:tcW w:w="960" w:type="dxa"/>
            <w:gridSpan w:val="2"/>
            <w:tcBorders/>
            <w:shd w:fill="FFFFFF" w:val="clear"/>
            <w:vAlign w:val="center"/>
          </w:tcPr>
          <w:p>
            <w:pPr>
              <w:pStyle w:val="TableContents"/>
              <w:bidi w:val="0"/>
              <w:spacing w:before="0" w:after="283"/>
              <w:jc w:val="center"/>
              <w:rPr>
                <w:sz w:val="16"/>
              </w:rPr>
            </w:pPr>
            <w:r>
              <w:rPr>
                <w:sz w:val="16"/>
              </w:rPr>
              <w:t>$575,517</w:t>
            </w:r>
          </w:p>
        </w:tc>
        <w:tc>
          <w:tcPr>
            <w:tcW w:w="90" w:type="dxa"/>
            <w:tcBorders/>
            <w:shd w:fill="FFFFFF" w:val="clear"/>
            <w:vAlign w:val="center"/>
          </w:tcPr>
          <w:p>
            <w:pPr>
              <w:pStyle w:val="TableContents"/>
              <w:bidi w:val="0"/>
              <w:spacing w:before="0" w:after="283"/>
              <w:jc w:val="center"/>
              <w:rPr/>
            </w:pPr>
            <w:r>
              <w:rPr/>
              <w:t> </w:t>
            </w:r>
          </w:p>
        </w:tc>
        <w:tc>
          <w:tcPr>
            <w:tcW w:w="135" w:type="dxa"/>
            <w:tcBorders/>
            <w:shd w:fill="FFFFFF" w:val="clear"/>
            <w:vAlign w:val="center"/>
          </w:tcPr>
          <w:p>
            <w:pPr>
              <w:pStyle w:val="TableContents"/>
              <w:bidi w:val="0"/>
              <w:spacing w:before="0" w:after="283"/>
              <w:jc w:val="center"/>
              <w:rPr/>
            </w:pPr>
            <w:r>
              <w:rPr/>
              <w:t> </w:t>
            </w:r>
          </w:p>
        </w:tc>
      </w:tr>
      <w:tr>
        <w:trPr/>
        <w:tc>
          <w:tcPr>
            <w:tcW w:w="8160" w:type="dxa"/>
            <w:tcBorders/>
            <w:shd w:fill="CCEEFF" w:val="clear"/>
            <w:vAlign w:val="center"/>
          </w:tcPr>
          <w:p>
            <w:pPr>
              <w:pStyle w:val="TableContents"/>
              <w:bidi w:val="0"/>
              <w:spacing w:before="0" w:after="283"/>
              <w:jc w:val="left"/>
              <w:rPr>
                <w:sz w:val="16"/>
              </w:rPr>
            </w:pPr>
            <w:r>
              <w:rPr>
                <w:i/>
                <w:sz w:val="16"/>
              </w:rPr>
              <w:t xml:space="preserve">Plus </w:t>
            </w:r>
            <w:r>
              <w:rPr>
                <w:sz w:val="16"/>
              </w:rPr>
              <w:t>Year End Fair Value of Equity Awards Granted During the Covered Year that Remain Outstanding and Unvested as of Last Day of the Covered Year</w:t>
            </w:r>
          </w:p>
        </w:tc>
        <w:tc>
          <w:tcPr>
            <w:tcW w:w="860" w:type="dxa"/>
            <w:gridSpan w:val="2"/>
            <w:tcBorders/>
            <w:shd w:fill="CCEEFF" w:val="clear"/>
            <w:vAlign w:val="center"/>
          </w:tcPr>
          <w:p>
            <w:pPr>
              <w:pStyle w:val="TableContents"/>
              <w:bidi w:val="0"/>
              <w:spacing w:before="0" w:after="283"/>
              <w:jc w:val="center"/>
              <w:rPr>
                <w:sz w:val="16"/>
              </w:rPr>
            </w:pPr>
            <w:r>
              <w:rPr>
                <w:sz w:val="16"/>
              </w:rPr>
              <w:t>$1,522,405</w:t>
            </w:r>
          </w:p>
        </w:tc>
        <w:tc>
          <w:tcPr>
            <w:tcW w:w="960" w:type="dxa"/>
            <w:gridSpan w:val="2"/>
            <w:tcBorders/>
            <w:shd w:fill="CCEEFF" w:val="clear"/>
            <w:vAlign w:val="center"/>
          </w:tcPr>
          <w:p>
            <w:pPr>
              <w:pStyle w:val="TableContents"/>
              <w:bidi w:val="0"/>
              <w:spacing w:before="0" w:after="283"/>
              <w:jc w:val="center"/>
              <w:rPr>
                <w:sz w:val="16"/>
              </w:rPr>
            </w:pPr>
            <w:r>
              <w:rPr>
                <w:sz w:val="16"/>
              </w:rPr>
              <w:t>$212,959</w:t>
            </w:r>
          </w:p>
        </w:tc>
        <w:tc>
          <w:tcPr>
            <w:tcW w:w="90" w:type="dxa"/>
            <w:tcBorders/>
            <w:shd w:fill="CCEEFF" w:val="clear"/>
            <w:vAlign w:val="center"/>
          </w:tcPr>
          <w:p>
            <w:pPr>
              <w:pStyle w:val="TableContents"/>
              <w:bidi w:val="0"/>
              <w:spacing w:before="0" w:after="283"/>
              <w:jc w:val="center"/>
              <w:rPr/>
            </w:pPr>
            <w:r>
              <w:rPr/>
              <w:t> </w:t>
            </w:r>
          </w:p>
        </w:tc>
        <w:tc>
          <w:tcPr>
            <w:tcW w:w="135" w:type="dxa"/>
            <w:tcBorders/>
            <w:shd w:fill="CCEEFF" w:val="clear"/>
            <w:vAlign w:val="center"/>
          </w:tcPr>
          <w:p>
            <w:pPr>
              <w:pStyle w:val="TableContents"/>
              <w:bidi w:val="0"/>
              <w:spacing w:before="0" w:after="283"/>
              <w:jc w:val="center"/>
              <w:rPr/>
            </w:pPr>
            <w:r>
              <w:rPr/>
              <w:t> </w:t>
            </w:r>
          </w:p>
        </w:tc>
      </w:tr>
      <w:tr>
        <w:trPr/>
        <w:tc>
          <w:tcPr>
            <w:tcW w:w="8160" w:type="dxa"/>
            <w:tcBorders/>
            <w:shd w:fill="FFFFFF" w:val="clear"/>
            <w:vAlign w:val="center"/>
          </w:tcPr>
          <w:p>
            <w:pPr>
              <w:pStyle w:val="TableContents"/>
              <w:bidi w:val="0"/>
              <w:spacing w:before="0" w:after="283"/>
              <w:jc w:val="left"/>
              <w:rPr>
                <w:sz w:val="16"/>
              </w:rPr>
            </w:pPr>
            <w:r>
              <w:rPr>
                <w:i/>
                <w:sz w:val="16"/>
              </w:rPr>
              <w:t xml:space="preserve">Plus </w:t>
            </w:r>
            <w:r>
              <w:rPr>
                <w:sz w:val="16"/>
              </w:rPr>
              <w:t xml:space="preserve">Year over Year Change in Fair Value as of the Last Day of the Covered Year of Outstanding and Unvested Equity Awards Granted in Prior Years </w:t>
            </w:r>
          </w:p>
        </w:tc>
        <w:tc>
          <w:tcPr>
            <w:tcW w:w="860" w:type="dxa"/>
            <w:gridSpan w:val="2"/>
            <w:tcBorders/>
            <w:shd w:fill="FFFFFF" w:val="clear"/>
            <w:vAlign w:val="center"/>
          </w:tcPr>
          <w:p>
            <w:pPr>
              <w:pStyle w:val="TableContents"/>
              <w:bidi w:val="0"/>
              <w:spacing w:before="0" w:after="283"/>
              <w:jc w:val="center"/>
              <w:rPr>
                <w:sz w:val="16"/>
              </w:rPr>
            </w:pPr>
            <w:r>
              <w:rPr>
                <w:sz w:val="16"/>
              </w:rPr>
              <w:t>$0</w:t>
            </w:r>
          </w:p>
        </w:tc>
        <w:tc>
          <w:tcPr>
            <w:tcW w:w="960" w:type="dxa"/>
            <w:gridSpan w:val="2"/>
            <w:tcBorders/>
            <w:shd w:fill="FFFFFF" w:val="clear"/>
            <w:vAlign w:val="center"/>
          </w:tcPr>
          <w:p>
            <w:pPr>
              <w:pStyle w:val="TableContents"/>
              <w:bidi w:val="0"/>
              <w:spacing w:before="0" w:after="283"/>
              <w:jc w:val="center"/>
              <w:rPr>
                <w:sz w:val="16"/>
              </w:rPr>
            </w:pPr>
            <w:r>
              <w:rPr>
                <w:sz w:val="16"/>
              </w:rPr>
              <w:t>$219,068</w:t>
            </w:r>
          </w:p>
        </w:tc>
        <w:tc>
          <w:tcPr>
            <w:tcW w:w="90" w:type="dxa"/>
            <w:tcBorders/>
            <w:shd w:fill="FFFFFF" w:val="clear"/>
            <w:vAlign w:val="center"/>
          </w:tcPr>
          <w:p>
            <w:pPr>
              <w:pStyle w:val="TableContents"/>
              <w:bidi w:val="0"/>
              <w:spacing w:before="0" w:after="283"/>
              <w:jc w:val="center"/>
              <w:rPr/>
            </w:pPr>
            <w:r>
              <w:rPr/>
              <w:t> </w:t>
            </w:r>
          </w:p>
        </w:tc>
        <w:tc>
          <w:tcPr>
            <w:tcW w:w="135" w:type="dxa"/>
            <w:tcBorders/>
            <w:shd w:fill="FFFFFF" w:val="clear"/>
            <w:vAlign w:val="center"/>
          </w:tcPr>
          <w:p>
            <w:pPr>
              <w:pStyle w:val="TableContents"/>
              <w:bidi w:val="0"/>
              <w:spacing w:before="0" w:after="283"/>
              <w:jc w:val="left"/>
              <w:rPr/>
            </w:pPr>
            <w:r>
              <w:rPr/>
              <w:t> </w:t>
            </w:r>
          </w:p>
        </w:tc>
      </w:tr>
      <w:tr>
        <w:trPr/>
        <w:tc>
          <w:tcPr>
            <w:tcW w:w="8160" w:type="dxa"/>
            <w:tcBorders/>
            <w:shd w:fill="CCEEFF" w:val="clear"/>
            <w:vAlign w:val="center"/>
          </w:tcPr>
          <w:p>
            <w:pPr>
              <w:pStyle w:val="TableContents"/>
              <w:bidi w:val="0"/>
              <w:spacing w:before="0" w:after="283"/>
              <w:jc w:val="left"/>
              <w:rPr>
                <w:sz w:val="16"/>
              </w:rPr>
            </w:pPr>
            <w:r>
              <w:rPr>
                <w:i/>
                <w:sz w:val="16"/>
              </w:rPr>
              <w:t xml:space="preserve">Plus </w:t>
            </w:r>
            <w:r>
              <w:rPr>
                <w:sz w:val="16"/>
              </w:rPr>
              <w:t>Fair Value as of Vesting Date of Equity Awards Granted and Vested in the Covered Year</w:t>
            </w:r>
          </w:p>
        </w:tc>
        <w:tc>
          <w:tcPr>
            <w:tcW w:w="860" w:type="dxa"/>
            <w:gridSpan w:val="2"/>
            <w:tcBorders/>
            <w:shd w:fill="CCEEFF" w:val="clear"/>
            <w:vAlign w:val="center"/>
          </w:tcPr>
          <w:p>
            <w:pPr>
              <w:pStyle w:val="TableContents"/>
              <w:bidi w:val="0"/>
              <w:spacing w:before="0" w:after="283"/>
              <w:jc w:val="center"/>
              <w:rPr>
                <w:sz w:val="16"/>
              </w:rPr>
            </w:pPr>
            <w:r>
              <w:rPr>
                <w:sz w:val="16"/>
              </w:rPr>
              <w:t>$0</w:t>
            </w:r>
          </w:p>
        </w:tc>
        <w:tc>
          <w:tcPr>
            <w:tcW w:w="960" w:type="dxa"/>
            <w:gridSpan w:val="2"/>
            <w:tcBorders/>
            <w:shd w:fill="CCEEFF" w:val="clear"/>
            <w:vAlign w:val="center"/>
          </w:tcPr>
          <w:p>
            <w:pPr>
              <w:pStyle w:val="TableContents"/>
              <w:bidi w:val="0"/>
              <w:spacing w:before="0" w:after="283"/>
              <w:jc w:val="center"/>
              <w:rPr>
                <w:sz w:val="16"/>
              </w:rPr>
            </w:pPr>
            <w:r>
              <w:rPr>
                <w:sz w:val="16"/>
              </w:rPr>
              <w:t>$46,666</w:t>
            </w:r>
          </w:p>
        </w:tc>
        <w:tc>
          <w:tcPr>
            <w:tcW w:w="90" w:type="dxa"/>
            <w:tcBorders/>
            <w:shd w:fill="CCEEFF" w:val="clear"/>
            <w:vAlign w:val="center"/>
          </w:tcPr>
          <w:p>
            <w:pPr>
              <w:pStyle w:val="TableContents"/>
              <w:bidi w:val="0"/>
              <w:spacing w:before="0" w:after="283"/>
              <w:jc w:val="center"/>
              <w:rPr/>
            </w:pPr>
            <w:r>
              <w:rPr/>
              <w:t> </w:t>
            </w:r>
          </w:p>
        </w:tc>
        <w:tc>
          <w:tcPr>
            <w:tcW w:w="135" w:type="dxa"/>
            <w:tcBorders/>
            <w:shd w:fill="CCEEFF" w:val="clear"/>
            <w:vAlign w:val="center"/>
          </w:tcPr>
          <w:p>
            <w:pPr>
              <w:pStyle w:val="TableContents"/>
              <w:bidi w:val="0"/>
              <w:spacing w:before="0" w:after="283"/>
              <w:jc w:val="center"/>
              <w:rPr/>
            </w:pPr>
            <w:r>
              <w:rPr/>
              <w:t> </w:t>
            </w:r>
          </w:p>
        </w:tc>
      </w:tr>
      <w:tr>
        <w:trPr/>
        <w:tc>
          <w:tcPr>
            <w:tcW w:w="8160" w:type="dxa"/>
            <w:tcBorders/>
            <w:shd w:fill="FFFFFF" w:val="clear"/>
            <w:vAlign w:val="center"/>
          </w:tcPr>
          <w:p>
            <w:pPr>
              <w:pStyle w:val="TableContents"/>
              <w:bidi w:val="0"/>
              <w:spacing w:before="0" w:after="283"/>
              <w:jc w:val="left"/>
              <w:rPr>
                <w:sz w:val="16"/>
              </w:rPr>
            </w:pPr>
            <w:r>
              <w:rPr>
                <w:i/>
                <w:sz w:val="16"/>
              </w:rPr>
              <w:t xml:space="preserve">Plus </w:t>
            </w:r>
            <w:r>
              <w:rPr>
                <w:sz w:val="16"/>
              </w:rPr>
              <w:t xml:space="preserve">Year over Year Change in Fair Value as of the Vesting Date of Equity Awards Granted in Prior Years that Vested During the Covered Year </w:t>
            </w:r>
          </w:p>
        </w:tc>
        <w:tc>
          <w:tcPr>
            <w:tcW w:w="860" w:type="dxa"/>
            <w:gridSpan w:val="2"/>
            <w:tcBorders/>
            <w:shd w:fill="FFFFFF" w:val="clear"/>
            <w:vAlign w:val="center"/>
          </w:tcPr>
          <w:p>
            <w:pPr>
              <w:pStyle w:val="TableContents"/>
              <w:bidi w:val="0"/>
              <w:spacing w:before="0" w:after="283"/>
              <w:jc w:val="center"/>
              <w:rPr>
                <w:sz w:val="16"/>
              </w:rPr>
            </w:pPr>
            <w:r>
              <w:rPr>
                <w:sz w:val="16"/>
              </w:rPr>
              <w:t>$0</w:t>
            </w:r>
          </w:p>
        </w:tc>
        <w:tc>
          <w:tcPr>
            <w:tcW w:w="960" w:type="dxa"/>
            <w:gridSpan w:val="2"/>
            <w:tcBorders/>
            <w:shd w:fill="FFFFFF" w:val="clear"/>
            <w:vAlign w:val="center"/>
          </w:tcPr>
          <w:p>
            <w:pPr>
              <w:pStyle w:val="TableContents"/>
              <w:bidi w:val="0"/>
              <w:spacing w:before="0" w:after="283"/>
              <w:jc w:val="center"/>
              <w:rPr>
                <w:sz w:val="16"/>
              </w:rPr>
            </w:pPr>
            <w:r>
              <w:rPr>
                <w:sz w:val="16"/>
              </w:rPr>
              <w:t>$332,824</w:t>
            </w:r>
          </w:p>
        </w:tc>
        <w:tc>
          <w:tcPr>
            <w:tcW w:w="90" w:type="dxa"/>
            <w:tcBorders/>
            <w:shd w:fill="FFFFFF" w:val="clear"/>
            <w:vAlign w:val="center"/>
          </w:tcPr>
          <w:p>
            <w:pPr>
              <w:pStyle w:val="TableContents"/>
              <w:bidi w:val="0"/>
              <w:spacing w:before="0" w:after="283"/>
              <w:jc w:val="center"/>
              <w:rPr/>
            </w:pPr>
            <w:r>
              <w:rPr/>
              <w:t> </w:t>
            </w:r>
          </w:p>
        </w:tc>
        <w:tc>
          <w:tcPr>
            <w:tcW w:w="135" w:type="dxa"/>
            <w:tcBorders/>
            <w:shd w:fill="FFFFFF" w:val="clear"/>
            <w:vAlign w:val="center"/>
          </w:tcPr>
          <w:p>
            <w:pPr>
              <w:pStyle w:val="TableContents"/>
              <w:bidi w:val="0"/>
              <w:spacing w:before="0" w:after="283"/>
              <w:jc w:val="center"/>
              <w:rPr/>
            </w:pPr>
            <w:r>
              <w:rPr/>
              <w:t> </w:t>
            </w:r>
          </w:p>
        </w:tc>
      </w:tr>
      <w:tr>
        <w:trPr/>
        <w:tc>
          <w:tcPr>
            <w:tcW w:w="8160" w:type="dxa"/>
            <w:tcBorders/>
            <w:shd w:fill="CCEEFF" w:val="clear"/>
            <w:vAlign w:val="center"/>
          </w:tcPr>
          <w:p>
            <w:pPr>
              <w:pStyle w:val="TableContents"/>
              <w:bidi w:val="0"/>
              <w:spacing w:before="0" w:after="283"/>
              <w:jc w:val="left"/>
              <w:rPr>
                <w:sz w:val="16"/>
              </w:rPr>
            </w:pPr>
            <w:r>
              <w:rPr>
                <w:i/>
                <w:sz w:val="16"/>
              </w:rPr>
              <w:t xml:space="preserve">Minus </w:t>
            </w:r>
            <w:r>
              <w:rPr>
                <w:sz w:val="16"/>
              </w:rPr>
              <w:t>Fair Value at the End of the Prior Year of Equity Awards that Failed to Meet Vesting Conditions in the Covered or were Forfeited During the Covered Year</w:t>
            </w:r>
          </w:p>
        </w:tc>
        <w:tc>
          <w:tcPr>
            <w:tcW w:w="860" w:type="dxa"/>
            <w:gridSpan w:val="2"/>
            <w:tcBorders/>
            <w:shd w:fill="CCEEFF" w:val="clear"/>
            <w:vAlign w:val="center"/>
          </w:tcPr>
          <w:p>
            <w:pPr>
              <w:pStyle w:val="TableContents"/>
              <w:bidi w:val="0"/>
              <w:spacing w:before="0" w:after="283"/>
              <w:jc w:val="center"/>
              <w:rPr>
                <w:sz w:val="16"/>
              </w:rPr>
            </w:pPr>
            <w:r>
              <w:rPr>
                <w:sz w:val="16"/>
              </w:rPr>
              <w:t>$0</w:t>
            </w:r>
          </w:p>
        </w:tc>
        <w:tc>
          <w:tcPr>
            <w:tcW w:w="960" w:type="dxa"/>
            <w:gridSpan w:val="2"/>
            <w:tcBorders/>
            <w:shd w:fill="CCEEFF" w:val="clear"/>
            <w:vAlign w:val="center"/>
          </w:tcPr>
          <w:p>
            <w:pPr>
              <w:pStyle w:val="TableContents"/>
              <w:bidi w:val="0"/>
              <w:spacing w:before="0" w:after="283"/>
              <w:jc w:val="center"/>
              <w:rPr>
                <w:sz w:val="16"/>
              </w:rPr>
            </w:pPr>
            <w:r>
              <w:rPr>
                <w:sz w:val="16"/>
              </w:rPr>
              <w:t>$0</w:t>
            </w:r>
          </w:p>
        </w:tc>
        <w:tc>
          <w:tcPr>
            <w:tcW w:w="90" w:type="dxa"/>
            <w:tcBorders/>
            <w:shd w:fill="CCEEFF" w:val="clear"/>
            <w:vAlign w:val="center"/>
          </w:tcPr>
          <w:p>
            <w:pPr>
              <w:pStyle w:val="TableContents"/>
              <w:bidi w:val="0"/>
              <w:spacing w:before="0" w:after="283"/>
              <w:jc w:val="center"/>
              <w:rPr/>
            </w:pPr>
            <w:r>
              <w:rPr/>
              <w:t> </w:t>
            </w:r>
          </w:p>
        </w:tc>
        <w:tc>
          <w:tcPr>
            <w:tcW w:w="135" w:type="dxa"/>
            <w:tcBorders/>
            <w:shd w:fill="CCEEFF" w:val="clear"/>
            <w:vAlign w:val="center"/>
          </w:tcPr>
          <w:p>
            <w:pPr>
              <w:pStyle w:val="TableContents"/>
              <w:bidi w:val="0"/>
              <w:spacing w:before="0" w:after="283"/>
              <w:jc w:val="center"/>
              <w:rPr/>
            </w:pPr>
            <w:r>
              <w:rPr/>
              <w:t> </w:t>
            </w:r>
          </w:p>
        </w:tc>
      </w:tr>
      <w:tr>
        <w:trPr/>
        <w:tc>
          <w:tcPr>
            <w:tcW w:w="8160" w:type="dxa"/>
            <w:tcBorders/>
            <w:shd w:fill="FFFFFF" w:val="clear"/>
            <w:vAlign w:val="center"/>
          </w:tcPr>
          <w:p>
            <w:pPr>
              <w:pStyle w:val="TableContents"/>
              <w:bidi w:val="0"/>
              <w:spacing w:before="0" w:after="283"/>
              <w:jc w:val="left"/>
              <w:rPr>
                <w:sz w:val="16"/>
              </w:rPr>
            </w:pPr>
            <w:r>
              <w:rPr>
                <w:i/>
                <w:sz w:val="16"/>
              </w:rPr>
              <w:t xml:space="preserve">Plus </w:t>
            </w:r>
            <w:r>
              <w:rPr>
                <w:sz w:val="16"/>
              </w:rPr>
              <w:t>Value of Dividends or other Earnings Paid on Stock or Option Awards Not Otherwise Reflected in Fair Value or Total Compensation for the Covered Year</w:t>
            </w:r>
          </w:p>
        </w:tc>
        <w:tc>
          <w:tcPr>
            <w:tcW w:w="860" w:type="dxa"/>
            <w:gridSpan w:val="2"/>
            <w:tcBorders/>
            <w:shd w:fill="FFFFFF" w:val="clear"/>
            <w:vAlign w:val="center"/>
          </w:tcPr>
          <w:p>
            <w:pPr>
              <w:pStyle w:val="TableContents"/>
              <w:bidi w:val="0"/>
              <w:spacing w:before="0" w:after="283"/>
              <w:jc w:val="center"/>
              <w:rPr>
                <w:sz w:val="16"/>
              </w:rPr>
            </w:pPr>
            <w:r>
              <w:rPr>
                <w:sz w:val="16"/>
              </w:rPr>
              <w:t>$0</w:t>
            </w:r>
          </w:p>
        </w:tc>
        <w:tc>
          <w:tcPr>
            <w:tcW w:w="960" w:type="dxa"/>
            <w:gridSpan w:val="2"/>
            <w:tcBorders/>
            <w:shd w:fill="FFFFFF" w:val="clear"/>
            <w:vAlign w:val="center"/>
          </w:tcPr>
          <w:p>
            <w:pPr>
              <w:pStyle w:val="TableContents"/>
              <w:bidi w:val="0"/>
              <w:spacing w:before="0" w:after="283"/>
              <w:jc w:val="center"/>
              <w:rPr>
                <w:sz w:val="16"/>
              </w:rPr>
            </w:pPr>
            <w:r>
              <w:rPr>
                <w:sz w:val="16"/>
              </w:rPr>
              <w:t>$0</w:t>
            </w:r>
          </w:p>
        </w:tc>
        <w:tc>
          <w:tcPr>
            <w:tcW w:w="90" w:type="dxa"/>
            <w:tcBorders/>
            <w:shd w:fill="FFFFFF" w:val="clear"/>
            <w:vAlign w:val="center"/>
          </w:tcPr>
          <w:p>
            <w:pPr>
              <w:pStyle w:val="TableContents"/>
              <w:bidi w:val="0"/>
              <w:spacing w:before="0" w:after="283"/>
              <w:jc w:val="center"/>
              <w:rPr/>
            </w:pPr>
            <w:r>
              <w:rPr/>
              <w:t> </w:t>
            </w:r>
          </w:p>
        </w:tc>
        <w:tc>
          <w:tcPr>
            <w:tcW w:w="135" w:type="dxa"/>
            <w:tcBorders/>
            <w:shd w:fill="FFFFFF" w:val="clear"/>
            <w:vAlign w:val="center"/>
          </w:tcPr>
          <w:p>
            <w:pPr>
              <w:pStyle w:val="TableContents"/>
              <w:bidi w:val="0"/>
              <w:spacing w:before="0" w:after="283"/>
              <w:jc w:val="center"/>
              <w:rPr/>
            </w:pPr>
            <w:r>
              <w:rPr/>
              <w:t> </w:t>
            </w:r>
          </w:p>
        </w:tc>
      </w:tr>
      <w:tr>
        <w:trPr/>
        <w:tc>
          <w:tcPr>
            <w:tcW w:w="8160" w:type="dxa"/>
            <w:tcBorders/>
            <w:shd w:fill="CCEEFF" w:val="clear"/>
            <w:vAlign w:val="center"/>
          </w:tcPr>
          <w:p>
            <w:pPr>
              <w:pStyle w:val="TableContents"/>
              <w:bidi w:val="0"/>
              <w:spacing w:before="0" w:after="283"/>
              <w:jc w:val="left"/>
              <w:rPr>
                <w:b/>
                <w:sz w:val="16"/>
              </w:rPr>
            </w:pPr>
            <w:r>
              <w:rPr>
                <w:b/>
                <w:sz w:val="16"/>
              </w:rPr>
              <w:t>Compensation Actually Paid</w:t>
            </w:r>
          </w:p>
        </w:tc>
        <w:tc>
          <w:tcPr>
            <w:tcW w:w="860" w:type="dxa"/>
            <w:gridSpan w:val="2"/>
            <w:tcBorders/>
            <w:shd w:fill="CCEEFF" w:val="clear"/>
            <w:vAlign w:val="center"/>
          </w:tcPr>
          <w:p>
            <w:pPr>
              <w:pStyle w:val="TableContents"/>
              <w:bidi w:val="0"/>
              <w:spacing w:before="0" w:after="283"/>
              <w:jc w:val="center"/>
              <w:rPr>
                <w:b/>
                <w:sz w:val="16"/>
              </w:rPr>
            </w:pPr>
            <w:r>
              <w:rPr>
                <w:b/>
                <w:sz w:val="16"/>
              </w:rPr>
              <w:t>$2,197,717</w:t>
            </w:r>
          </w:p>
        </w:tc>
        <w:tc>
          <w:tcPr>
            <w:tcW w:w="960" w:type="dxa"/>
            <w:gridSpan w:val="2"/>
            <w:tcBorders/>
            <w:shd w:fill="CCEEFF" w:val="clear"/>
            <w:vAlign w:val="center"/>
          </w:tcPr>
          <w:p>
            <w:pPr>
              <w:pStyle w:val="TableContents"/>
              <w:bidi w:val="0"/>
              <w:spacing w:before="0" w:after="283"/>
              <w:jc w:val="center"/>
              <w:rPr>
                <w:b/>
                <w:sz w:val="16"/>
              </w:rPr>
            </w:pPr>
            <w:r>
              <w:rPr>
                <w:b/>
                <w:sz w:val="16"/>
              </w:rPr>
              <w:t>$1,152,592</w:t>
            </w:r>
          </w:p>
        </w:tc>
        <w:tc>
          <w:tcPr>
            <w:tcW w:w="90" w:type="dxa"/>
            <w:tcBorders/>
            <w:shd w:fill="CCEEFF" w:val="clear"/>
            <w:vAlign w:val="center"/>
          </w:tcPr>
          <w:p>
            <w:pPr>
              <w:pStyle w:val="TableContents"/>
              <w:bidi w:val="0"/>
              <w:spacing w:before="0" w:after="283"/>
              <w:jc w:val="center"/>
              <w:rPr/>
            </w:pPr>
            <w:r>
              <w:rPr/>
              <w:t> </w:t>
            </w:r>
          </w:p>
        </w:tc>
        <w:tc>
          <w:tcPr>
            <w:tcW w:w="135" w:type="dxa"/>
            <w:tcBorders/>
            <w:shd w:fill="CCEEFF" w:val="clear"/>
            <w:vAlign w:val="center"/>
          </w:tcPr>
          <w:p>
            <w:pPr>
              <w:pStyle w:val="TableContents"/>
              <w:bidi w:val="0"/>
              <w:spacing w:before="0" w:after="283"/>
              <w:jc w:val="center"/>
              <w:rPr/>
            </w:pPr>
            <w:r>
              <w:rPr/>
              <w:t> </w:t>
            </w:r>
          </w:p>
        </w:tc>
      </w:tr>
      <w:tr>
        <w:trPr/>
        <w:tc>
          <w:tcPr>
            <w:tcW w:w="8160"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598"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r>
    </w:tbl>
    <w:p>
      <w:pPr>
        <w:pStyle w:val="TextBody"/>
        <w:bidi w:val="0"/>
        <w:spacing w:before="120" w:after="120"/>
        <w:ind w:left="120" w:right="12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In the table above, the unvested equity values are computed in accordance with the methodology used for financial reporting purposes, and for unvested awards subject to performance-based vesting conditions, based on the probable outcome of such performance-based vesting conditions as of the last day of the year.</w:t>
      </w:r>
    </w:p>
    <w:tbl>
      <w:tblPr>
        <w:tblW w:w="5000" w:type="pct"/>
        <w:jc w:val="left"/>
        <w:tblInd w:w="0" w:type="dxa"/>
        <w:tblLayout w:type="fixed"/>
        <w:tblCellMar>
          <w:top w:w="0" w:type="dxa"/>
          <w:left w:w="0" w:type="dxa"/>
          <w:bottom w:w="0" w:type="dxa"/>
          <w:right w:w="0" w:type="dxa"/>
        </w:tblCellMar>
      </w:tblPr>
      <w:tblGrid>
        <w:gridCol w:w="67"/>
        <w:gridCol w:w="252"/>
        <w:gridCol w:w="9886"/>
      </w:tblGrid>
      <w:tr>
        <w:trPr/>
        <w:tc>
          <w:tcPr>
            <w:tcW w:w="67"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16"/>
              </w:rPr>
            </w:pPr>
            <w:r>
              <w:rPr>
                <w:sz w:val="16"/>
              </w:rPr>
              <w:t>(4)</w:t>
            </w:r>
          </w:p>
        </w:tc>
        <w:tc>
          <w:tcPr>
            <w:tcW w:w="9886" w:type="dxa"/>
            <w:tcBorders/>
            <w:vAlign w:val="center"/>
          </w:tcPr>
          <w:p>
            <w:pPr>
              <w:pStyle w:val="TableContents"/>
              <w:bidi w:val="0"/>
              <w:spacing w:before="0" w:after="283"/>
              <w:jc w:val="left"/>
              <w:rPr>
                <w:sz w:val="16"/>
              </w:rPr>
            </w:pPr>
            <w:r>
              <w:rPr>
                <w:sz w:val="16"/>
              </w:rPr>
              <w:t>We selected the Russell 2000 Electrical Components Subsector Index (referred to herein as the “Peer Group”) as our peer group for purposes of this disclosure.</w:t>
            </w:r>
          </w:p>
        </w:tc>
      </w:tr>
    </w:tbl>
    <w:tbl>
      <w:tblPr>
        <w:tblW w:w="5000" w:type="pct"/>
        <w:jc w:val="left"/>
        <w:tblInd w:w="0" w:type="dxa"/>
        <w:tblLayout w:type="fixed"/>
        <w:tblCellMar>
          <w:top w:w="0" w:type="dxa"/>
          <w:left w:w="0" w:type="dxa"/>
          <w:bottom w:w="0" w:type="dxa"/>
          <w:right w:w="0" w:type="dxa"/>
        </w:tblCellMar>
      </w:tblPr>
      <w:tblGrid>
        <w:gridCol w:w="67"/>
        <w:gridCol w:w="226"/>
        <w:gridCol w:w="9912"/>
      </w:tblGrid>
      <w:tr>
        <w:trPr/>
        <w:tc>
          <w:tcPr>
            <w:tcW w:w="6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16"/>
              </w:rPr>
            </w:pPr>
            <w:r>
              <w:rPr>
                <w:sz w:val="16"/>
              </w:rPr>
              <w:t>(5)</w:t>
            </w:r>
          </w:p>
        </w:tc>
        <w:tc>
          <w:tcPr>
            <w:tcW w:w="9912" w:type="dxa"/>
            <w:tcBorders/>
            <w:vAlign w:val="center"/>
          </w:tcPr>
          <w:p>
            <w:pPr>
              <w:pStyle w:val="TableContents"/>
              <w:bidi w:val="0"/>
              <w:spacing w:before="0" w:after="283"/>
              <w:jc w:val="left"/>
              <w:rPr>
                <w:sz w:val="16"/>
              </w:rPr>
            </w:pPr>
            <w:r>
              <w:rPr>
                <w:sz w:val="16"/>
              </w:rPr>
              <w:t>We have selected Revenue as the as the company-selected measure for the pay versus performance disclosure, representing the most important financial performance measure used to link compensation actually paid to the PEO and the other NEOs in Fiscal 2025 to the Company’s performance.</w:t>
            </w:r>
          </w:p>
        </w:tc>
      </w:tr>
    </w:tbl>
    <w:p>
      <w:pPr>
        <w:pStyle w:val="TextBody"/>
        <w:bidi w:val="0"/>
        <w:jc w:val="left"/>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Analysis of the Information Presented in the Pay Versus Performance Table</w:t>
      </w:r>
    </w:p>
    <w:p>
      <w:pPr>
        <w:pStyle w:val="TextBody"/>
        <w:bidi w:val="0"/>
        <w:spacing w:before="120" w:after="120"/>
        <w:ind w:left="120" w:right="1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graphs illustrate the relationships between the “compensation actually paid” to our PEO and non-PEO NEOs and the various metrics provided for this PVP analysis.</w:t>
      </w:r>
    </w:p>
    <w:p>
      <w:pPr>
        <w:pStyle w:val="TextBody"/>
        <w:bidi w:val="0"/>
        <w:spacing w:before="120" w:after="120"/>
        <w:ind w:left="120" w:right="12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Total Shareholder Return</w:t>
      </w:r>
      <w:r>
        <w:rPr>
          <w:rFonts w:ascii="Times New Roman;Times;Serif" w:hAnsi="Times New Roman;Times;Serif"/>
          <w:b w:val="false"/>
          <w:i w:val="false"/>
          <w:caps w:val="false"/>
          <w:smallCaps w:val="false"/>
          <w:sz w:val="20"/>
        </w:rPr>
        <w:t>: The graph below reflects the relationship between the CAP to the PEO and Non-PEO NEOs, Company TSR, and Peer Group TSR for the applicable reporting year.</w:t>
      </w:r>
    </w:p>
    <w:p>
      <w:pPr>
        <w:pStyle w:val="TextBody"/>
        <w:bidi w:val="0"/>
        <w:spacing w:before="120" w:after="120"/>
        <w:ind w:left="120" w:right="120" w:hanging="0"/>
        <w:jc w:val="both"/>
        <w:rPr>
          <w:caps w:val="false"/>
          <w:smallCaps w:val="false"/>
        </w:rPr>
      </w:pPr>
      <w:r>
        <w:rPr>
          <w:caps w:val="false"/>
          <w:smallCaps w:val="false"/>
        </w:rPr>
        <w:t> </w:t>
      </w:r>
    </w:p>
    <w:p>
      <w:pPr>
        <w:pStyle w:val="TextBody"/>
        <w:bidi w:val="0"/>
        <w:spacing w:before="120" w:after="120"/>
        <w:ind w:left="120" w:right="120" w:hanging="0"/>
        <w:jc w:val="both"/>
        <w:rPr>
          <w:caps w:val="false"/>
          <w:smallCaps w:val="false"/>
        </w:rPr>
      </w:pPr>
      <w:r>
        <w:rPr>
          <w:caps w:val="false"/>
          <w:smallCaps w:val="false"/>
        </w:rPr>
        <w:t> </w:t>
      </w:r>
    </w:p>
    <w:p>
      <w:pPr>
        <w:pStyle w:val="TextBody"/>
        <w:bidi w:val="0"/>
        <w:spacing w:before="120" w:after="120"/>
        <w:ind w:left="120" w:right="120" w:hanging="0"/>
        <w:jc w:val="both"/>
        <w:rPr>
          <w:caps w:val="false"/>
          <w:smallCaps w:val="false"/>
        </w:rPr>
      </w:pPr>
      <w:r>
        <w:rPr>
          <w:caps w:val="false"/>
          <w:smallCaps w:val="false"/>
        </w:rPr>
        <w:t> </w:t>
      </w:r>
    </w:p>
    <w:p>
      <w:pPr>
        <w:pStyle w:val="TextBody"/>
        <w:bidi w:val="0"/>
        <w:spacing w:before="120" w:after="120"/>
        <w:ind w:left="120" w:right="120" w:hanging="0"/>
        <w:jc w:val="both"/>
        <w:rPr>
          <w:caps w:val="false"/>
          <w:smallCaps w:val="false"/>
        </w:rPr>
      </w:pPr>
      <w:r>
        <w:rPr>
          <w:caps w:val="false"/>
          <w:smallCaps w:val="false"/>
        </w:rPr>
        <w:t> </w:t>
      </w:r>
    </w:p>
    <w:p>
      <w:pPr>
        <w:pStyle w:val="TextBody"/>
        <w:bidi w:val="0"/>
        <w:spacing w:before="120" w:after="120"/>
        <w:ind w:left="120" w:right="120" w:hanging="0"/>
        <w:jc w:val="both"/>
        <w:rPr>
          <w:caps w:val="false"/>
          <w:smallCaps w:val="false"/>
        </w:rPr>
      </w:pPr>
      <w:r>
        <w:rPr>
          <w:caps w:val="false"/>
          <w:smallCaps w:val="false"/>
        </w:rPr>
        <w:t> </w:t>
      </w:r>
    </w:p>
    <w:tbl>
      <w:tblPr>
        <w:tblW w:w="590" w:type="dxa"/>
        <w:jc w:val="left"/>
        <w:tblInd w:w="0" w:type="dxa"/>
        <w:tblLayout w:type="fixed"/>
        <w:tblCellMar>
          <w:top w:w="0" w:type="dxa"/>
          <w:left w:w="0" w:type="dxa"/>
          <w:bottom w:w="0" w:type="dxa"/>
          <w:right w:w="0" w:type="dxa"/>
        </w:tblCellMar>
      </w:tblPr>
      <w:tblGrid>
        <w:gridCol w:w="105"/>
        <w:gridCol w:w="350"/>
        <w:gridCol w:w="135"/>
      </w:tblGrid>
      <w:tr>
        <w:trPr/>
        <w:tc>
          <w:tcPr>
            <w:tcW w:w="10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 </w:t>
            </w:r>
            <w:r>
              <w:rPr/>
              <w:t>38</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240" w:after="240"/>
        <w:ind w:left="240" w:right="240" w:hanging="0"/>
        <w:jc w:val="both"/>
        <w:rPr>
          <w:caps w:val="false"/>
          <w:smallCaps w:val="false"/>
        </w:rPr>
      </w:pPr>
      <w:r>
        <w:rPr>
          <w:caps w:val="false"/>
          <w:smallCaps w:val="false"/>
        </w:rPr>
        <w:drawing>
          <wp:inline distT="0" distB="0" distL="0" distR="0">
            <wp:extent cx="4572000" cy="30289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4572000" cy="3028950"/>
                    </a:xfrm>
                    <a:prstGeom prst="rect">
                      <a:avLst/>
                    </a:prstGeom>
                  </pic:spPr>
                </pic:pic>
              </a:graphicData>
            </a:graphic>
          </wp:inline>
        </w:drawing>
      </w:r>
    </w:p>
    <w:p>
      <w:pPr>
        <w:pStyle w:val="TextBody"/>
        <w:bidi w:val="0"/>
        <w:spacing w:before="0" w:after="0"/>
        <w:ind w:left="0" w:right="0" w:hanging="0"/>
        <w:jc w:val="both"/>
        <w:rPr>
          <w:rFonts w:ascii="Times New Roman;Times;Serif" w:hAnsi="Times New Roman;Times;Serif"/>
          <w:b w:val="false"/>
          <w:i w:val="false"/>
          <w:caps w:val="false"/>
          <w:smallCaps w:val="false"/>
          <w:color w:val="FFFFFF"/>
          <w:sz w:val="2"/>
        </w:rPr>
      </w:pPr>
      <w:r>
        <w:rPr>
          <w:rFonts w:ascii="Times New Roman;Times;Serif" w:hAnsi="Times New Roman;Times;Serif"/>
          <w:b w:val="false"/>
          <w:i w:val="false"/>
          <w:caps w:val="false"/>
          <w:smallCaps w:val="false"/>
          <w:color w:val="FFFFFF"/>
          <w:sz w:val="2"/>
        </w:rPr>
        <w:t>Pay Versus Performance: Total Shareholder Return $127 $160 $216 $92 $135 $183 PEO CAP Average Non-PEO NEOs CAP Microvast TSR Peer Group TSR $0.6M $1.4M $1.3M $1.9M $2.2M $1.2M 2023 2024 2025</w:t>
      </w:r>
    </w:p>
    <w:p>
      <w:pPr>
        <w:pStyle w:val="TextBody"/>
        <w:bidi w:val="0"/>
        <w:spacing w:before="240" w:after="240"/>
        <w:ind w:left="240" w:right="24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Net Income</w:t>
      </w:r>
      <w:r>
        <w:rPr>
          <w:rFonts w:ascii="Times New Roman;Times;Serif" w:hAnsi="Times New Roman;Times;Serif"/>
          <w:b w:val="false"/>
          <w:i w:val="false"/>
          <w:caps w:val="false"/>
          <w:smallCaps w:val="false"/>
          <w:sz w:val="20"/>
        </w:rPr>
        <w:t>: The graph below reflects the relationship between the CAP to the PEO and Non-PEO NEOs and the Company’s GAAP Net Income for the applicable reporting year.</w:t>
      </w:r>
    </w:p>
    <w:p>
      <w:pPr>
        <w:pStyle w:val="TextBody"/>
        <w:bidi w:val="0"/>
        <w:spacing w:before="240" w:after="240"/>
        <w:ind w:left="240" w:right="240" w:hanging="0"/>
        <w:jc w:val="both"/>
        <w:rPr>
          <w:caps w:val="false"/>
          <w:smallCaps w:val="false"/>
        </w:rPr>
      </w:pPr>
      <w:r>
        <w:rPr>
          <w:caps w:val="false"/>
          <w:smallCaps w:val="false"/>
        </w:rPr>
        <w:drawing>
          <wp:inline distT="0" distB="0" distL="0" distR="0">
            <wp:extent cx="4572000" cy="30543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4572000" cy="3054350"/>
                    </a:xfrm>
                    <a:prstGeom prst="rect">
                      <a:avLst/>
                    </a:prstGeom>
                  </pic:spPr>
                </pic:pic>
              </a:graphicData>
            </a:graphic>
          </wp:inline>
        </w:drawing>
      </w:r>
    </w:p>
    <w:p>
      <w:pPr>
        <w:pStyle w:val="TextBody"/>
        <w:bidi w:val="0"/>
        <w:spacing w:before="0" w:after="0"/>
        <w:ind w:left="0" w:right="0" w:hanging="0"/>
        <w:jc w:val="both"/>
        <w:rPr>
          <w:rFonts w:ascii="Times New Roman;Times;Serif" w:hAnsi="Times New Roman;Times;Serif"/>
          <w:b w:val="false"/>
          <w:i w:val="false"/>
          <w:caps w:val="false"/>
          <w:smallCaps w:val="false"/>
          <w:color w:val="FFFFFF"/>
          <w:sz w:val="2"/>
        </w:rPr>
      </w:pPr>
      <w:r>
        <w:rPr>
          <w:rFonts w:ascii="Times New Roman;Times;Serif" w:hAnsi="Times New Roman;Times;Serif"/>
          <w:b w:val="false"/>
          <w:i w:val="false"/>
          <w:caps w:val="false"/>
          <w:smallCaps w:val="false"/>
          <w:color w:val="FFFFFF"/>
          <w:sz w:val="2"/>
        </w:rPr>
        <w:t>Pay Versus Performance: Net Income PEO CAP Average Non-PEO NEOs CAP Net Income $0.6M $1.4M $1.3M $1.9M $2.2M $1.2M 2023 2024 2025 ($106M) ($195M) ($29M)</w:t>
      </w:r>
    </w:p>
    <w:p>
      <w:pPr>
        <w:pStyle w:val="TextBody"/>
        <w:bidi w:val="0"/>
        <w:spacing w:before="240" w:after="240"/>
        <w:ind w:left="240" w:right="24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Revenue</w:t>
      </w:r>
      <w:r>
        <w:rPr>
          <w:rFonts w:ascii="Times New Roman;Times;Serif" w:hAnsi="Times New Roman;Times;Serif"/>
          <w:b w:val="false"/>
          <w:i w:val="false"/>
          <w:caps w:val="false"/>
          <w:smallCaps w:val="false"/>
          <w:sz w:val="20"/>
        </w:rPr>
        <w:t>: The graph below reflects the relationship between the CAP to the PEO and Non-PEO NEOs and Revenue for the applicable reporting year.</w:t>
      </w:r>
    </w:p>
    <w:tbl>
      <w:tblPr>
        <w:tblW w:w="590" w:type="dxa"/>
        <w:jc w:val="left"/>
        <w:tblInd w:w="0" w:type="dxa"/>
        <w:tblLayout w:type="fixed"/>
        <w:tblCellMar>
          <w:top w:w="0" w:type="dxa"/>
          <w:left w:w="0" w:type="dxa"/>
          <w:bottom w:w="0" w:type="dxa"/>
          <w:right w:w="0" w:type="dxa"/>
        </w:tblCellMar>
      </w:tblPr>
      <w:tblGrid>
        <w:gridCol w:w="105"/>
        <w:gridCol w:w="350"/>
        <w:gridCol w:w="135"/>
      </w:tblGrid>
      <w:tr>
        <w:trPr/>
        <w:tc>
          <w:tcPr>
            <w:tcW w:w="10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 </w:t>
            </w:r>
            <w:r>
              <w:rPr/>
              <w:t>39</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240" w:after="240"/>
        <w:ind w:left="240" w:right="240" w:hanging="0"/>
        <w:jc w:val="both"/>
        <w:rPr>
          <w:caps w:val="false"/>
          <w:smallCaps w:val="false"/>
        </w:rPr>
      </w:pPr>
      <w:r>
        <w:rPr>
          <w:caps w:val="false"/>
          <w:smallCaps w:val="false"/>
        </w:rPr>
        <w:drawing>
          <wp:inline distT="0" distB="0" distL="0" distR="0">
            <wp:extent cx="4572000" cy="29146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4572000" cy="2914650"/>
                    </a:xfrm>
                    <a:prstGeom prst="rect">
                      <a:avLst/>
                    </a:prstGeom>
                  </pic:spPr>
                </pic:pic>
              </a:graphicData>
            </a:graphic>
          </wp:inline>
        </w:drawing>
      </w:r>
    </w:p>
    <w:p>
      <w:pPr>
        <w:pStyle w:val="TextBody"/>
        <w:bidi w:val="0"/>
        <w:spacing w:before="0" w:after="0"/>
        <w:ind w:left="0" w:right="0" w:hanging="0"/>
        <w:jc w:val="both"/>
        <w:rPr>
          <w:rFonts w:ascii="Times New Roman;Times;Serif" w:hAnsi="Times New Roman;Times;Serif"/>
          <w:b w:val="false"/>
          <w:i w:val="false"/>
          <w:caps w:val="false"/>
          <w:smallCaps w:val="false"/>
          <w:color w:val="FFFFFF"/>
          <w:sz w:val="2"/>
        </w:rPr>
      </w:pPr>
      <w:r>
        <w:rPr>
          <w:rFonts w:ascii="Times New Roman;Times;Serif" w:hAnsi="Times New Roman;Times;Serif"/>
          <w:b w:val="false"/>
          <w:i w:val="false"/>
          <w:caps w:val="false"/>
          <w:smallCaps w:val="false"/>
          <w:color w:val="FFFFFF"/>
          <w:sz w:val="2"/>
        </w:rPr>
        <w:t>Pay Versus Performance: Revenue PEO CAP Average Non-PEO NEOs CAP Revenue $307 $380 $428 $0.6M $1.4M $1.3M $1.9M $2.2M $1.2M 2023 2024 2025</w:t>
      </w:r>
    </w:p>
    <w:p>
      <w:pPr>
        <w:pStyle w:val="TextBody"/>
        <w:bidi w:val="0"/>
        <w:jc w:val="left"/>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List of Most Important Financial Performance Measures for Fiscal Year 2025</w:t>
      </w:r>
    </w:p>
    <w:p>
      <w:pPr>
        <w:pStyle w:val="TextBody"/>
        <w:bidi w:val="0"/>
        <w:spacing w:before="240" w:after="240"/>
        <w:ind w:left="240" w:right="24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described in greater detail in “—Compensation Discussion and Analysis,” the Company’s executive compensation program reflects a commitment to pay-for-performance. Listed below are the financial performance measures which in our assessment represent the most important performance measures we used to link compensation actually paid to our NEOs, for Fiscal 2025, to Company performance.</w:t>
      </w:r>
    </w:p>
    <w:tbl>
      <w:tblPr>
        <w:tblW w:w="7830" w:type="dxa"/>
        <w:jc w:val="left"/>
        <w:tblInd w:w="0" w:type="dxa"/>
        <w:tblLayout w:type="fixed"/>
        <w:tblCellMar>
          <w:top w:w="0" w:type="dxa"/>
          <w:left w:w="0" w:type="dxa"/>
          <w:bottom w:w="0" w:type="dxa"/>
          <w:right w:w="0" w:type="dxa"/>
        </w:tblCellMar>
      </w:tblPr>
      <w:tblGrid>
        <w:gridCol w:w="2465"/>
        <w:gridCol w:w="90"/>
        <w:gridCol w:w="2690"/>
        <w:gridCol w:w="90"/>
        <w:gridCol w:w="2495"/>
      </w:tblGrid>
      <w:tr>
        <w:trPr/>
        <w:tc>
          <w:tcPr>
            <w:tcW w:w="2465" w:type="dxa"/>
            <w:tcBorders/>
            <w:vAlign w:val="center"/>
          </w:tcPr>
          <w:p>
            <w:pPr>
              <w:pStyle w:val="TableContents"/>
              <w:bidi w:val="0"/>
              <w:spacing w:lineRule="atLeast" w:line="142" w:before="0" w:after="283"/>
              <w:jc w:val="left"/>
              <w:rPr/>
            </w:pPr>
            <w:r>
              <w:rPr/>
              <w:t> </w:t>
            </w:r>
          </w:p>
        </w:tc>
        <w:tc>
          <w:tcPr>
            <w:tcW w:w="90" w:type="dxa"/>
            <w:tcBorders>
              <w:top w:val="single" w:sz="8" w:space="0" w:color="000000"/>
              <w:left w:val="single" w:sz="8" w:space="0" w:color="000000"/>
              <w:bottom w:val="single" w:sz="8" w:space="0" w:color="000000"/>
            </w:tcBorders>
            <w:tcMar>
              <w:top w:w="28" w:type="dxa"/>
              <w:left w:w="28" w:type="dxa"/>
              <w:bottom w:w="28" w:type="dxa"/>
            </w:tcMar>
            <w:vAlign w:val="center"/>
          </w:tcPr>
          <w:p>
            <w:pPr>
              <w:pStyle w:val="TableContents"/>
              <w:bidi w:val="0"/>
              <w:spacing w:lineRule="atLeast" w:line="142" w:before="0" w:after="283"/>
              <w:jc w:val="left"/>
              <w:rPr/>
            </w:pPr>
            <w:r>
              <w:rPr/>
              <w:t> </w:t>
            </w:r>
          </w:p>
        </w:tc>
        <w:tc>
          <w:tcPr>
            <w:tcW w:w="2690" w:type="dxa"/>
            <w:tcBorders>
              <w:top w:val="single" w:sz="8" w:space="0" w:color="000000"/>
              <w:bottom w:val="single" w:sz="8" w:space="0" w:color="000000"/>
              <w:right w:val="single" w:sz="8" w:space="0" w:color="000000"/>
            </w:tcBorders>
            <w:tcMar>
              <w:top w:w="28" w:type="dxa"/>
              <w:bottom w:w="80" w:type="dxa"/>
              <w:right w:w="28" w:type="dxa"/>
            </w:tcMar>
            <w:vAlign w:val="center"/>
          </w:tcPr>
          <w:p>
            <w:pPr>
              <w:pStyle w:val="TableContents"/>
              <w:bidi w:val="0"/>
              <w:spacing w:before="0" w:after="283"/>
              <w:jc w:val="center"/>
              <w:rPr>
                <w:sz w:val="20"/>
              </w:rPr>
            </w:pPr>
            <w:r>
              <w:rPr>
                <w:sz w:val="20"/>
              </w:rPr>
              <w:t>Accounts Receivable Collection</w:t>
            </w:r>
          </w:p>
        </w:tc>
        <w:tc>
          <w:tcPr>
            <w:tcW w:w="90" w:type="dxa"/>
            <w:tcBorders/>
            <w:vAlign w:val="center"/>
          </w:tcPr>
          <w:p>
            <w:pPr>
              <w:pStyle w:val="TableContents"/>
              <w:bidi w:val="0"/>
              <w:spacing w:lineRule="atLeast" w:line="142" w:before="0" w:after="283"/>
              <w:jc w:val="left"/>
              <w:rPr/>
            </w:pPr>
            <w:r>
              <w:rPr/>
              <w:t> </w:t>
            </w:r>
          </w:p>
        </w:tc>
        <w:tc>
          <w:tcPr>
            <w:tcW w:w="2495" w:type="dxa"/>
            <w:tcBorders/>
            <w:vAlign w:val="center"/>
          </w:tcPr>
          <w:p>
            <w:pPr>
              <w:pStyle w:val="TableContents"/>
              <w:bidi w:val="0"/>
              <w:spacing w:lineRule="atLeast" w:line="142" w:before="0" w:after="283"/>
              <w:jc w:val="left"/>
              <w:rPr/>
            </w:pPr>
            <w:r>
              <w:rPr/>
              <w:t> </w:t>
            </w:r>
          </w:p>
        </w:tc>
      </w:tr>
      <w:tr>
        <w:trPr/>
        <w:tc>
          <w:tcPr>
            <w:tcW w:w="2465" w:type="dxa"/>
            <w:tcBorders/>
            <w:vAlign w:val="center"/>
          </w:tcPr>
          <w:p>
            <w:pPr>
              <w:pStyle w:val="TableContents"/>
              <w:bidi w:val="0"/>
              <w:spacing w:lineRule="atLeast" w:line="142" w:before="0" w:after="283"/>
              <w:jc w:val="left"/>
              <w:rPr/>
            </w:pPr>
            <w:r>
              <w:rPr/>
              <w:t> </w:t>
            </w:r>
          </w:p>
        </w:tc>
        <w:tc>
          <w:tcPr>
            <w:tcW w:w="90" w:type="dxa"/>
            <w:tcBorders>
              <w:left w:val="single" w:sz="8" w:space="0" w:color="000000"/>
              <w:bottom w:val="single" w:sz="8" w:space="0" w:color="000000"/>
            </w:tcBorders>
            <w:tcMar>
              <w:left w:w="28" w:type="dxa"/>
              <w:bottom w:w="28" w:type="dxa"/>
            </w:tcMar>
            <w:vAlign w:val="center"/>
          </w:tcPr>
          <w:p>
            <w:pPr>
              <w:pStyle w:val="TableContents"/>
              <w:bidi w:val="0"/>
              <w:spacing w:lineRule="atLeast" w:line="142" w:before="0" w:after="283"/>
              <w:jc w:val="left"/>
              <w:rPr/>
            </w:pPr>
            <w:r>
              <w:rPr/>
              <w:t> </w:t>
            </w:r>
          </w:p>
        </w:tc>
        <w:tc>
          <w:tcPr>
            <w:tcW w:w="2690" w:type="dxa"/>
            <w:tcBorders>
              <w:bottom w:val="single" w:sz="8" w:space="0" w:color="000000"/>
              <w:right w:val="single" w:sz="8" w:space="0" w:color="000000"/>
            </w:tcBorders>
            <w:tcMar>
              <w:bottom w:w="80" w:type="dxa"/>
              <w:right w:w="28" w:type="dxa"/>
            </w:tcMar>
            <w:vAlign w:val="center"/>
          </w:tcPr>
          <w:p>
            <w:pPr>
              <w:pStyle w:val="TableContents"/>
              <w:bidi w:val="0"/>
              <w:spacing w:before="0" w:after="283"/>
              <w:jc w:val="center"/>
              <w:rPr>
                <w:sz w:val="20"/>
              </w:rPr>
            </w:pPr>
            <w:r>
              <w:rPr>
                <w:sz w:val="20"/>
              </w:rPr>
              <w:t>Operating Profit Margin</w:t>
            </w:r>
          </w:p>
        </w:tc>
        <w:tc>
          <w:tcPr>
            <w:tcW w:w="90" w:type="dxa"/>
            <w:tcBorders/>
            <w:vAlign w:val="center"/>
          </w:tcPr>
          <w:p>
            <w:pPr>
              <w:pStyle w:val="TableContents"/>
              <w:bidi w:val="0"/>
              <w:spacing w:lineRule="atLeast" w:line="142" w:before="0" w:after="283"/>
              <w:jc w:val="left"/>
              <w:rPr/>
            </w:pPr>
            <w:r>
              <w:rPr/>
              <w:t> </w:t>
            </w:r>
          </w:p>
        </w:tc>
        <w:tc>
          <w:tcPr>
            <w:tcW w:w="2495" w:type="dxa"/>
            <w:tcBorders/>
            <w:vAlign w:val="center"/>
          </w:tcPr>
          <w:p>
            <w:pPr>
              <w:pStyle w:val="TableContents"/>
              <w:bidi w:val="0"/>
              <w:spacing w:lineRule="atLeast" w:line="142" w:before="0" w:after="283"/>
              <w:jc w:val="left"/>
              <w:rPr/>
            </w:pPr>
            <w:r>
              <w:rPr/>
              <w:t> </w:t>
            </w:r>
          </w:p>
        </w:tc>
      </w:tr>
      <w:tr>
        <w:trPr/>
        <w:tc>
          <w:tcPr>
            <w:tcW w:w="2465" w:type="dxa"/>
            <w:tcBorders/>
            <w:vAlign w:val="center"/>
          </w:tcPr>
          <w:p>
            <w:pPr>
              <w:pStyle w:val="TableContents"/>
              <w:bidi w:val="0"/>
              <w:spacing w:before="0" w:after="283"/>
              <w:jc w:val="center"/>
              <w:rPr/>
            </w:pPr>
            <w:r>
              <w:rPr/>
              <w:t>          </w:t>
            </w:r>
          </w:p>
        </w:tc>
        <w:tc>
          <w:tcPr>
            <w:tcW w:w="90" w:type="dxa"/>
            <w:tcBorders>
              <w:left w:val="single" w:sz="8" w:space="0" w:color="000000"/>
              <w:bottom w:val="single" w:sz="8" w:space="0" w:color="000000"/>
            </w:tcBorders>
            <w:tcMar>
              <w:left w:w="28" w:type="dxa"/>
              <w:bottom w:w="28" w:type="dxa"/>
            </w:tcMar>
            <w:vAlign w:val="center"/>
          </w:tcPr>
          <w:p>
            <w:pPr>
              <w:pStyle w:val="TableContents"/>
              <w:bidi w:val="0"/>
              <w:spacing w:lineRule="atLeast" w:line="142" w:before="0" w:after="283"/>
              <w:jc w:val="left"/>
              <w:rPr/>
            </w:pPr>
            <w:r>
              <w:rPr/>
              <w:t> </w:t>
            </w:r>
          </w:p>
        </w:tc>
        <w:tc>
          <w:tcPr>
            <w:tcW w:w="2690" w:type="dxa"/>
            <w:tcBorders>
              <w:bottom w:val="single" w:sz="8" w:space="0" w:color="000000"/>
              <w:right w:val="single" w:sz="8" w:space="0" w:color="000000"/>
            </w:tcBorders>
            <w:tcMar>
              <w:bottom w:w="80" w:type="dxa"/>
              <w:right w:w="28" w:type="dxa"/>
            </w:tcMar>
            <w:vAlign w:val="center"/>
          </w:tcPr>
          <w:p>
            <w:pPr>
              <w:pStyle w:val="TableContents"/>
              <w:bidi w:val="0"/>
              <w:spacing w:before="0" w:after="283"/>
              <w:jc w:val="center"/>
              <w:rPr>
                <w:sz w:val="20"/>
              </w:rPr>
            </w:pPr>
            <w:r>
              <w:rPr>
                <w:sz w:val="20"/>
              </w:rPr>
              <w:t>Revenue</w:t>
            </w:r>
          </w:p>
        </w:tc>
        <w:tc>
          <w:tcPr>
            <w:tcW w:w="90" w:type="dxa"/>
            <w:tcBorders/>
            <w:vAlign w:val="center"/>
          </w:tcPr>
          <w:p>
            <w:pPr>
              <w:pStyle w:val="TableContents"/>
              <w:bidi w:val="0"/>
              <w:spacing w:lineRule="atLeast" w:line="142" w:before="0" w:after="283"/>
              <w:jc w:val="left"/>
              <w:rPr/>
            </w:pPr>
            <w:r>
              <w:rPr/>
              <w:t> </w:t>
            </w:r>
          </w:p>
        </w:tc>
        <w:tc>
          <w:tcPr>
            <w:tcW w:w="2495" w:type="dxa"/>
            <w:tcBorders/>
            <w:vAlign w:val="center"/>
          </w:tcPr>
          <w:p>
            <w:pPr>
              <w:pStyle w:val="TableContents"/>
              <w:bidi w:val="0"/>
              <w:spacing w:before="0" w:after="283"/>
              <w:jc w:val="center"/>
              <w:rPr/>
            </w:pPr>
            <w:r>
              <w:rPr/>
              <w:t>          </w:t>
            </w:r>
          </w:p>
        </w:tc>
      </w:tr>
    </w:tbl>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tbl>
      <w:tblPr>
        <w:tblW w:w="590" w:type="dxa"/>
        <w:jc w:val="left"/>
        <w:tblInd w:w="0" w:type="dxa"/>
        <w:tblLayout w:type="fixed"/>
        <w:tblCellMar>
          <w:top w:w="0" w:type="dxa"/>
          <w:left w:w="0" w:type="dxa"/>
          <w:bottom w:w="0" w:type="dxa"/>
          <w:right w:w="0" w:type="dxa"/>
        </w:tblCellMar>
      </w:tblPr>
      <w:tblGrid>
        <w:gridCol w:w="105"/>
        <w:gridCol w:w="350"/>
        <w:gridCol w:w="135"/>
      </w:tblGrid>
      <w:tr>
        <w:trPr/>
        <w:tc>
          <w:tcPr>
            <w:tcW w:w="10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 </w:t>
            </w:r>
            <w:r>
              <w:rPr/>
              <w:t>40</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left"/>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EQUITY COMPENSATION PLANS</w:t>
      </w:r>
    </w:p>
    <w:p>
      <w:pPr>
        <w:pStyle w:val="TextBody"/>
        <w:bidi w:val="0"/>
        <w:spacing w:before="240" w:after="240"/>
        <w:ind w:left="240" w:right="24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information as of December 31, 2025 with respect to the shares of common stock that may be issued under our equity compensation plans.</w:t>
      </w:r>
    </w:p>
    <w:tbl>
      <w:tblPr>
        <w:tblW w:w="10205" w:type="dxa"/>
        <w:jc w:val="left"/>
        <w:tblInd w:w="0" w:type="dxa"/>
        <w:tblLayout w:type="fixed"/>
        <w:tblCellMar>
          <w:top w:w="0" w:type="dxa"/>
          <w:left w:w="0" w:type="dxa"/>
          <w:bottom w:w="0" w:type="dxa"/>
          <w:right w:w="0" w:type="dxa"/>
        </w:tblCellMar>
      </w:tblPr>
      <w:tblGrid>
        <w:gridCol w:w="1830"/>
        <w:gridCol w:w="90"/>
        <w:gridCol w:w="2359"/>
        <w:gridCol w:w="90"/>
        <w:gridCol w:w="2427"/>
        <w:gridCol w:w="90"/>
        <w:gridCol w:w="3319"/>
      </w:tblGrid>
      <w:tr>
        <w:trPr/>
        <w:tc>
          <w:tcPr>
            <w:tcW w:w="1830" w:type="dxa"/>
            <w:tcBorders/>
            <w:vAlign w:val="center"/>
          </w:tcPr>
          <w:p>
            <w:pPr>
              <w:pStyle w:val="TableContents"/>
              <w:bidi w:val="0"/>
              <w:spacing w:before="0" w:after="283"/>
              <w:jc w:val="left"/>
              <w:rPr>
                <w:b/>
                <w:sz w:val="16"/>
              </w:rPr>
            </w:pPr>
            <w:r>
              <w:rPr>
                <w:b/>
                <w:sz w:val="16"/>
              </w:rPr>
              <w:t>Plan Category</w:t>
            </w:r>
          </w:p>
        </w:tc>
        <w:tc>
          <w:tcPr>
            <w:tcW w:w="90" w:type="dxa"/>
            <w:tcBorders/>
            <w:vAlign w:val="center"/>
          </w:tcPr>
          <w:p>
            <w:pPr>
              <w:pStyle w:val="TableContents"/>
              <w:bidi w:val="0"/>
              <w:spacing w:before="0" w:after="283"/>
              <w:jc w:val="left"/>
              <w:rPr/>
            </w:pPr>
            <w:r>
              <w:rPr/>
              <w:t> </w:t>
            </w:r>
          </w:p>
        </w:tc>
        <w:tc>
          <w:tcPr>
            <w:tcW w:w="2359" w:type="dxa"/>
            <w:tcBorders>
              <w:bottom w:val="single" w:sz="12" w:space="0" w:color="000000"/>
            </w:tcBorders>
            <w:tcMar>
              <w:bottom w:w="28" w:type="dxa"/>
            </w:tcMar>
            <w:vAlign w:val="center"/>
          </w:tcPr>
          <w:p>
            <w:pPr>
              <w:pStyle w:val="TableContents"/>
              <w:bidi w:val="0"/>
              <w:spacing w:before="0" w:after="283"/>
              <w:jc w:val="center"/>
              <w:rPr>
                <w:b/>
                <w:sz w:val="16"/>
              </w:rPr>
            </w:pPr>
            <w:r>
              <w:rPr>
                <w:b/>
                <w:sz w:val="16"/>
              </w:rPr>
              <w:t>Number of securities to be issued upon exercise of outstanding options, warrants and rights</w:t>
            </w:r>
            <w:r>
              <w:rPr>
                <w:b/>
                <w:position w:val="5"/>
                <w:sz w:val="13"/>
                <w:sz w:val="16"/>
              </w:rPr>
              <w:t>(a)</w:t>
            </w:r>
          </w:p>
        </w:tc>
        <w:tc>
          <w:tcPr>
            <w:tcW w:w="90" w:type="dxa"/>
            <w:tcBorders/>
            <w:vAlign w:val="center"/>
          </w:tcPr>
          <w:p>
            <w:pPr>
              <w:pStyle w:val="TableContents"/>
              <w:bidi w:val="0"/>
              <w:spacing w:before="0" w:after="283"/>
              <w:jc w:val="center"/>
              <w:rPr/>
            </w:pPr>
            <w:r>
              <w:rPr/>
              <w:t> </w:t>
            </w:r>
          </w:p>
        </w:tc>
        <w:tc>
          <w:tcPr>
            <w:tcW w:w="2427" w:type="dxa"/>
            <w:tcBorders>
              <w:bottom w:val="single" w:sz="12" w:space="0" w:color="000000"/>
            </w:tcBorders>
            <w:tcMar>
              <w:bottom w:w="28" w:type="dxa"/>
            </w:tcMar>
            <w:vAlign w:val="center"/>
          </w:tcPr>
          <w:p>
            <w:pPr>
              <w:pStyle w:val="TableContents"/>
              <w:bidi w:val="0"/>
              <w:spacing w:before="0" w:after="283"/>
              <w:jc w:val="center"/>
              <w:rPr>
                <w:b/>
                <w:sz w:val="16"/>
              </w:rPr>
            </w:pPr>
            <w:r>
              <w:rPr>
                <w:b/>
                <w:sz w:val="16"/>
              </w:rPr>
              <w:t>Weighted-average exercise price of outstanding options, warrants and rights</w:t>
            </w:r>
          </w:p>
        </w:tc>
        <w:tc>
          <w:tcPr>
            <w:tcW w:w="90" w:type="dxa"/>
            <w:tcBorders/>
            <w:vAlign w:val="center"/>
          </w:tcPr>
          <w:p>
            <w:pPr>
              <w:pStyle w:val="TableContents"/>
              <w:bidi w:val="0"/>
              <w:spacing w:before="0" w:after="283"/>
              <w:jc w:val="center"/>
              <w:rPr/>
            </w:pPr>
            <w:r>
              <w:rPr/>
              <w:t> </w:t>
            </w:r>
          </w:p>
        </w:tc>
        <w:tc>
          <w:tcPr>
            <w:tcW w:w="3319" w:type="dxa"/>
            <w:tcBorders>
              <w:bottom w:val="single" w:sz="12" w:space="0" w:color="000000"/>
            </w:tcBorders>
            <w:tcMar>
              <w:bottom w:w="28" w:type="dxa"/>
            </w:tcMar>
            <w:vAlign w:val="center"/>
          </w:tcPr>
          <w:p>
            <w:pPr>
              <w:pStyle w:val="TableContents"/>
              <w:bidi w:val="0"/>
              <w:spacing w:before="0" w:after="283"/>
              <w:jc w:val="center"/>
              <w:rPr>
                <w:b/>
                <w:sz w:val="16"/>
              </w:rPr>
            </w:pPr>
            <w:r>
              <w:rPr>
                <w:b/>
                <w:sz w:val="16"/>
              </w:rPr>
              <w:t>Number of securities remaining available for future issuance under equity compensation plans (excluding securities reflected in column (a))</w:t>
            </w:r>
          </w:p>
        </w:tc>
      </w:tr>
      <w:tr>
        <w:trPr/>
        <w:tc>
          <w:tcPr>
            <w:tcW w:w="1830" w:type="dxa"/>
            <w:tcBorders/>
            <w:shd w:fill="CCEEFF" w:val="clear"/>
            <w:vAlign w:val="center"/>
          </w:tcPr>
          <w:p>
            <w:pPr>
              <w:pStyle w:val="TableContents"/>
              <w:bidi w:val="0"/>
              <w:spacing w:before="0" w:after="283"/>
              <w:jc w:val="left"/>
              <w:rPr>
                <w:sz w:val="16"/>
              </w:rPr>
            </w:pPr>
            <w:r>
              <w:rPr>
                <w:sz w:val="16"/>
              </w:rPr>
              <w:t>Equity compensation plans approved by security holders</w:t>
            </w:r>
          </w:p>
        </w:tc>
        <w:tc>
          <w:tcPr>
            <w:tcW w:w="90" w:type="dxa"/>
            <w:tcBorders/>
            <w:shd w:fill="CCEEFF" w:val="clear"/>
            <w:vAlign w:val="center"/>
          </w:tcPr>
          <w:p>
            <w:pPr>
              <w:pStyle w:val="TableContents"/>
              <w:bidi w:val="0"/>
              <w:spacing w:before="0" w:after="283"/>
              <w:jc w:val="left"/>
              <w:rPr/>
            </w:pPr>
            <w:r>
              <w:rPr/>
              <w:t> </w:t>
            </w:r>
          </w:p>
        </w:tc>
        <w:tc>
          <w:tcPr>
            <w:tcW w:w="2359" w:type="dxa"/>
            <w:tcBorders/>
            <w:shd w:fill="CCEEFF" w:val="clear"/>
            <w:vAlign w:val="center"/>
          </w:tcPr>
          <w:p>
            <w:pPr>
              <w:pStyle w:val="TableContents"/>
              <w:bidi w:val="0"/>
              <w:spacing w:before="0" w:after="283"/>
              <w:jc w:val="right"/>
              <w:rPr>
                <w:sz w:val="16"/>
              </w:rPr>
            </w:pPr>
            <w:r>
              <w:rPr>
                <w:sz w:val="16"/>
              </w:rPr>
              <w:t>56,891,961</w:t>
            </w:r>
            <w:r>
              <w:rPr>
                <w:position w:val="5"/>
                <w:sz w:val="13"/>
                <w:sz w:val="16"/>
              </w:rPr>
              <w:t>(1)</w:t>
            </w:r>
          </w:p>
        </w:tc>
        <w:tc>
          <w:tcPr>
            <w:tcW w:w="90" w:type="dxa"/>
            <w:tcBorders/>
            <w:shd w:fill="CCEEFF" w:val="clear"/>
            <w:vAlign w:val="center"/>
          </w:tcPr>
          <w:p>
            <w:pPr>
              <w:pStyle w:val="TableContents"/>
              <w:bidi w:val="0"/>
              <w:spacing w:before="0" w:after="283"/>
              <w:jc w:val="right"/>
              <w:rPr/>
            </w:pPr>
            <w:r>
              <w:rPr/>
              <w:t> </w:t>
            </w:r>
          </w:p>
        </w:tc>
        <w:tc>
          <w:tcPr>
            <w:tcW w:w="2427" w:type="dxa"/>
            <w:tcBorders/>
            <w:shd w:fill="CCEEFF" w:val="clear"/>
            <w:vAlign w:val="center"/>
          </w:tcPr>
          <w:p>
            <w:pPr>
              <w:pStyle w:val="TableContents"/>
              <w:bidi w:val="0"/>
              <w:spacing w:before="0" w:after="283"/>
              <w:jc w:val="right"/>
              <w:rPr>
                <w:sz w:val="16"/>
              </w:rPr>
            </w:pPr>
            <w:r>
              <w:rPr>
                <w:sz w:val="16"/>
              </w:rPr>
              <w:t>$5.72</w:t>
            </w:r>
          </w:p>
        </w:tc>
        <w:tc>
          <w:tcPr>
            <w:tcW w:w="90" w:type="dxa"/>
            <w:tcBorders/>
            <w:shd w:fill="CCEEFF" w:val="clear"/>
            <w:vAlign w:val="center"/>
          </w:tcPr>
          <w:p>
            <w:pPr>
              <w:pStyle w:val="TableContents"/>
              <w:bidi w:val="0"/>
              <w:spacing w:before="0" w:after="283"/>
              <w:jc w:val="right"/>
              <w:rPr/>
            </w:pPr>
            <w:r>
              <w:rPr/>
              <w:t> </w:t>
            </w:r>
          </w:p>
        </w:tc>
        <w:tc>
          <w:tcPr>
            <w:tcW w:w="3319" w:type="dxa"/>
            <w:tcBorders/>
            <w:shd w:fill="CCEEFF" w:val="clear"/>
            <w:vAlign w:val="center"/>
          </w:tcPr>
          <w:p>
            <w:pPr>
              <w:pStyle w:val="TableContents"/>
              <w:bidi w:val="0"/>
              <w:spacing w:before="0" w:after="283"/>
              <w:jc w:val="right"/>
              <w:rPr>
                <w:sz w:val="16"/>
              </w:rPr>
            </w:pPr>
            <w:r>
              <w:rPr>
                <w:sz w:val="16"/>
              </w:rPr>
              <w:t>20,064,793</w:t>
            </w:r>
            <w:r>
              <w:rPr>
                <w:position w:val="5"/>
                <w:sz w:val="13"/>
                <w:sz w:val="16"/>
              </w:rPr>
              <w:t>(2)</w:t>
            </w:r>
          </w:p>
        </w:tc>
      </w:tr>
      <w:tr>
        <w:trPr/>
        <w:tc>
          <w:tcPr>
            <w:tcW w:w="1830" w:type="dxa"/>
            <w:tcBorders/>
            <w:shd w:fill="FFFFFF" w:val="clear"/>
            <w:vAlign w:val="center"/>
          </w:tcPr>
          <w:p>
            <w:pPr>
              <w:pStyle w:val="TableContents"/>
              <w:bidi w:val="0"/>
              <w:spacing w:before="0" w:after="283"/>
              <w:jc w:val="left"/>
              <w:rPr>
                <w:sz w:val="16"/>
              </w:rPr>
            </w:pPr>
            <w:r>
              <w:rPr>
                <w:sz w:val="16"/>
              </w:rPr>
              <w:t>Equity compensation plans not approved by security holders</w:t>
            </w:r>
          </w:p>
        </w:tc>
        <w:tc>
          <w:tcPr>
            <w:tcW w:w="90" w:type="dxa"/>
            <w:tcBorders/>
            <w:shd w:fill="FFFFFF" w:val="clear"/>
            <w:vAlign w:val="center"/>
          </w:tcPr>
          <w:p>
            <w:pPr>
              <w:pStyle w:val="TableContents"/>
              <w:bidi w:val="0"/>
              <w:spacing w:before="0" w:after="283"/>
              <w:jc w:val="left"/>
              <w:rPr/>
            </w:pPr>
            <w:r>
              <w:rPr/>
              <w:t> </w:t>
            </w:r>
          </w:p>
        </w:tc>
        <w:tc>
          <w:tcPr>
            <w:tcW w:w="235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right"/>
              <w:rPr/>
            </w:pPr>
            <w:r>
              <w:rPr/>
              <w:t> </w:t>
            </w:r>
          </w:p>
        </w:tc>
        <w:tc>
          <w:tcPr>
            <w:tcW w:w="2427"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right"/>
              <w:rPr/>
            </w:pPr>
            <w:r>
              <w:rPr/>
              <w:t> </w:t>
            </w:r>
          </w:p>
        </w:tc>
        <w:tc>
          <w:tcPr>
            <w:tcW w:w="331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r>
      <w:tr>
        <w:trPr/>
        <w:tc>
          <w:tcPr>
            <w:tcW w:w="1830" w:type="dxa"/>
            <w:tcBorders/>
            <w:shd w:fill="CCEEFF" w:val="clear"/>
            <w:vAlign w:val="center"/>
          </w:tcPr>
          <w:p>
            <w:pPr>
              <w:pStyle w:val="TableContents"/>
              <w:bidi w:val="0"/>
              <w:spacing w:before="0" w:after="283"/>
              <w:jc w:val="left"/>
              <w:rPr>
                <w:b/>
                <w:sz w:val="16"/>
              </w:rPr>
            </w:pPr>
            <w:r>
              <w:rPr>
                <w:b/>
                <w:sz w:val="16"/>
              </w:rPr>
              <w:t>Total</w:t>
            </w:r>
          </w:p>
        </w:tc>
        <w:tc>
          <w:tcPr>
            <w:tcW w:w="90" w:type="dxa"/>
            <w:tcBorders/>
            <w:shd w:fill="CCEEFF" w:val="clear"/>
            <w:vAlign w:val="center"/>
          </w:tcPr>
          <w:p>
            <w:pPr>
              <w:pStyle w:val="TableContents"/>
              <w:bidi w:val="0"/>
              <w:spacing w:before="0" w:after="283"/>
              <w:jc w:val="left"/>
              <w:rPr/>
            </w:pPr>
            <w:r>
              <w:rPr/>
              <w:t> </w:t>
            </w:r>
          </w:p>
        </w:tc>
        <w:tc>
          <w:tcPr>
            <w:tcW w:w="2359" w:type="dxa"/>
            <w:tcBorders>
              <w:bottom w:val="double" w:sz="4" w:space="0" w:color="000000"/>
            </w:tcBorders>
            <w:shd w:fill="CCEEFF" w:val="clear"/>
            <w:tcMar>
              <w:bottom w:w="28" w:type="dxa"/>
            </w:tcMar>
            <w:vAlign w:val="center"/>
          </w:tcPr>
          <w:p>
            <w:pPr>
              <w:pStyle w:val="TableContents"/>
              <w:bidi w:val="0"/>
              <w:spacing w:before="0" w:after="283"/>
              <w:jc w:val="right"/>
              <w:rPr>
                <w:sz w:val="16"/>
              </w:rPr>
            </w:pPr>
            <w:r>
              <w:rPr>
                <w:sz w:val="16"/>
              </w:rPr>
              <w:t>56,891,961</w:t>
            </w:r>
          </w:p>
        </w:tc>
        <w:tc>
          <w:tcPr>
            <w:tcW w:w="90" w:type="dxa"/>
            <w:tcBorders/>
            <w:shd w:fill="CCEEFF" w:val="clear"/>
            <w:vAlign w:val="center"/>
          </w:tcPr>
          <w:p>
            <w:pPr>
              <w:pStyle w:val="TableContents"/>
              <w:bidi w:val="0"/>
              <w:spacing w:before="0" w:after="283"/>
              <w:jc w:val="right"/>
              <w:rPr/>
            </w:pPr>
            <w:r>
              <w:rPr/>
              <w:t> </w:t>
            </w:r>
          </w:p>
        </w:tc>
        <w:tc>
          <w:tcPr>
            <w:tcW w:w="2427" w:type="dxa"/>
            <w:tcBorders>
              <w:bottom w:val="double" w:sz="4" w:space="0" w:color="000000"/>
            </w:tcBorders>
            <w:shd w:fill="CCEEFF" w:val="clear"/>
            <w:tcMar>
              <w:bottom w:w="28" w:type="dxa"/>
            </w:tcM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right"/>
              <w:rPr/>
            </w:pPr>
            <w:r>
              <w:rPr/>
              <w:t> </w:t>
            </w:r>
          </w:p>
        </w:tc>
        <w:tc>
          <w:tcPr>
            <w:tcW w:w="3319" w:type="dxa"/>
            <w:tcBorders>
              <w:bottom w:val="double" w:sz="4" w:space="0" w:color="000000"/>
            </w:tcBorders>
            <w:shd w:fill="CCEEFF" w:val="clear"/>
            <w:tcMar>
              <w:bottom w:w="28" w:type="dxa"/>
            </w:tcMar>
            <w:vAlign w:val="center"/>
          </w:tcPr>
          <w:p>
            <w:pPr>
              <w:pStyle w:val="TableContents"/>
              <w:bidi w:val="0"/>
              <w:spacing w:before="0" w:after="283"/>
              <w:jc w:val="right"/>
              <w:rPr>
                <w:sz w:val="16"/>
              </w:rPr>
            </w:pPr>
            <w:r>
              <w:rPr>
                <w:sz w:val="16"/>
              </w:rPr>
              <w:t>20,064,793</w:t>
            </w:r>
          </w:p>
        </w:tc>
      </w:tr>
    </w:tbl>
    <w:tbl>
      <w:tblPr>
        <w:tblW w:w="5000" w:type="pct"/>
        <w:jc w:val="left"/>
        <w:tblInd w:w="0" w:type="dxa"/>
        <w:tblLayout w:type="fixed"/>
        <w:tblCellMar>
          <w:top w:w="0" w:type="dxa"/>
          <w:left w:w="0" w:type="dxa"/>
          <w:bottom w:w="0" w:type="dxa"/>
          <w:right w:w="0" w:type="dxa"/>
        </w:tblCellMar>
      </w:tblPr>
      <w:tblGrid>
        <w:gridCol w:w="67"/>
        <w:gridCol w:w="213"/>
        <w:gridCol w:w="9925"/>
      </w:tblGrid>
      <w:tr>
        <w:trPr/>
        <w:tc>
          <w:tcPr>
            <w:tcW w:w="6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16"/>
              </w:rPr>
            </w:pPr>
            <w:r>
              <w:rPr>
                <w:sz w:val="16"/>
              </w:rPr>
              <w:t>(1)</w:t>
            </w:r>
          </w:p>
        </w:tc>
        <w:tc>
          <w:tcPr>
            <w:tcW w:w="9925" w:type="dxa"/>
            <w:tcBorders/>
            <w:vAlign w:val="center"/>
          </w:tcPr>
          <w:p>
            <w:pPr>
              <w:pStyle w:val="TableContents"/>
              <w:bidi w:val="0"/>
              <w:spacing w:before="0" w:after="283"/>
              <w:jc w:val="both"/>
              <w:rPr>
                <w:sz w:val="16"/>
              </w:rPr>
            </w:pPr>
            <w:r>
              <w:rPr>
                <w:sz w:val="16"/>
              </w:rPr>
              <w:t>Includes (i) 56,675,326 stock options and RSUs granted under the Microvast, Inc. Stock Incentive Plan (the “Stock Incentive Plan”) that were converted into options to purchase 33,647,927 shares of our common stock and RSUs with respect to 23,027,399 shares of our common stock in connection with the closing of the transactions contemplated by the Agreement and Plan of Merger, dated February 1, 2021, by and between the Company, Tuscan Holdings Corp., and TSCN Merger Sub Inc. No further awards may be granted under the Stock Incentive Plan.</w:t>
            </w:r>
          </w:p>
        </w:tc>
      </w:tr>
    </w:tbl>
    <w:tbl>
      <w:tblPr>
        <w:tblW w:w="5000" w:type="pct"/>
        <w:jc w:val="left"/>
        <w:tblInd w:w="0" w:type="dxa"/>
        <w:tblLayout w:type="fixed"/>
        <w:tblCellMar>
          <w:top w:w="0" w:type="dxa"/>
          <w:left w:w="0" w:type="dxa"/>
          <w:bottom w:w="0" w:type="dxa"/>
          <w:right w:w="0" w:type="dxa"/>
        </w:tblCellMar>
      </w:tblPr>
      <w:tblGrid>
        <w:gridCol w:w="135"/>
        <w:gridCol w:w="518"/>
        <w:gridCol w:w="9552"/>
      </w:tblGrid>
      <w:tr>
        <w:trPr/>
        <w:tc>
          <w:tcPr>
            <w:tcW w:w="135"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16"/>
              </w:rPr>
            </w:pPr>
            <w:r>
              <w:rPr>
                <w:sz w:val="16"/>
              </w:rPr>
              <w:t>(2)</w:t>
            </w:r>
          </w:p>
        </w:tc>
        <w:tc>
          <w:tcPr>
            <w:tcW w:w="9552" w:type="dxa"/>
            <w:tcBorders/>
            <w:vAlign w:val="center"/>
          </w:tcPr>
          <w:p>
            <w:pPr>
              <w:pStyle w:val="TableContents"/>
              <w:bidi w:val="0"/>
              <w:spacing w:before="0" w:after="283"/>
              <w:jc w:val="both"/>
              <w:rPr>
                <w:sz w:val="16"/>
              </w:rPr>
            </w:pPr>
            <w:r>
              <w:rPr>
                <w:sz w:val="16"/>
              </w:rPr>
              <w:t>Represents shares available for future issuance under the 2021 Plan.</w:t>
            </w:r>
          </w:p>
        </w:tc>
      </w:tr>
    </w:tbl>
    <w:p>
      <w:pPr>
        <w:pStyle w:val="TextBody"/>
        <w:bidi w:val="0"/>
        <w:spacing w:before="120" w:after="120"/>
        <w:ind w:left="120" w:right="120" w:hanging="0"/>
        <w:jc w:val="both"/>
        <w:rPr>
          <w:caps w:val="false"/>
          <w:smallCaps w:val="false"/>
        </w:rPr>
      </w:pPr>
      <w:r>
        <w:rPr>
          <w:caps w:val="false"/>
          <w:smallCaps w:val="false"/>
        </w:rPr>
        <w:t> </w:t>
      </w:r>
    </w:p>
    <w:p>
      <w:pPr>
        <w:pStyle w:val="TextBody"/>
        <w:bidi w:val="0"/>
        <w:spacing w:before="120" w:after="120"/>
        <w:ind w:left="120" w:right="120" w:hanging="0"/>
        <w:jc w:val="both"/>
        <w:rPr>
          <w:caps w:val="false"/>
          <w:smallCaps w:val="false"/>
        </w:rPr>
      </w:pPr>
      <w:r>
        <w:rPr>
          <w:caps w:val="false"/>
          <w:smallCaps w:val="false"/>
        </w:rPr>
        <w:t> </w:t>
      </w:r>
    </w:p>
    <w:p>
      <w:pPr>
        <w:pStyle w:val="TextBody"/>
        <w:bidi w:val="0"/>
        <w:spacing w:before="120" w:after="120"/>
        <w:ind w:left="120" w:right="120" w:hanging="0"/>
        <w:jc w:val="both"/>
        <w:rPr>
          <w:caps w:val="false"/>
          <w:smallCaps w:val="false"/>
        </w:rPr>
      </w:pPr>
      <w:r>
        <w:rPr>
          <w:caps w:val="false"/>
          <w:smallCaps w:val="false"/>
        </w:rPr>
        <w:t> </w:t>
      </w:r>
    </w:p>
    <w:p>
      <w:pPr>
        <w:pStyle w:val="TextBody"/>
        <w:bidi w:val="0"/>
        <w:spacing w:before="120" w:after="120"/>
        <w:ind w:left="120" w:right="120" w:hanging="0"/>
        <w:jc w:val="both"/>
        <w:rPr>
          <w:caps w:val="false"/>
          <w:smallCaps w:val="false"/>
        </w:rPr>
      </w:pPr>
      <w:r>
        <w:rPr>
          <w:caps w:val="false"/>
          <w:smallCaps w:val="false"/>
        </w:rPr>
        <w:t> </w:t>
      </w:r>
    </w:p>
    <w:p>
      <w:pPr>
        <w:pStyle w:val="TextBody"/>
        <w:bidi w:val="0"/>
        <w:spacing w:before="120" w:after="120"/>
        <w:ind w:left="120" w:right="120" w:hanging="0"/>
        <w:jc w:val="both"/>
        <w:rPr>
          <w:caps w:val="false"/>
          <w:smallCaps w:val="false"/>
        </w:rPr>
      </w:pPr>
      <w:r>
        <w:rPr>
          <w:caps w:val="false"/>
          <w:smallCaps w:val="false"/>
        </w:rPr>
        <w:t> </w:t>
      </w:r>
    </w:p>
    <w:p>
      <w:pPr>
        <w:pStyle w:val="TextBody"/>
        <w:bidi w:val="0"/>
        <w:spacing w:before="120" w:after="120"/>
        <w:ind w:left="120" w:right="120" w:hanging="0"/>
        <w:jc w:val="both"/>
        <w:rPr>
          <w:caps w:val="false"/>
          <w:smallCaps w:val="false"/>
        </w:rPr>
      </w:pPr>
      <w:r>
        <w:rPr>
          <w:caps w:val="false"/>
          <w:smallCaps w:val="false"/>
        </w:rPr>
        <w:t> </w:t>
      </w:r>
    </w:p>
    <w:p>
      <w:pPr>
        <w:pStyle w:val="TextBody"/>
        <w:bidi w:val="0"/>
        <w:spacing w:before="120" w:after="120"/>
        <w:ind w:left="120" w:right="120" w:hanging="0"/>
        <w:jc w:val="both"/>
        <w:rPr>
          <w:caps w:val="false"/>
          <w:smallCaps w:val="false"/>
        </w:rPr>
      </w:pPr>
      <w:r>
        <w:rPr>
          <w:caps w:val="false"/>
          <w:smallCaps w:val="false"/>
        </w:rPr>
        <w:t> </w:t>
      </w:r>
    </w:p>
    <w:p>
      <w:pPr>
        <w:pStyle w:val="TextBody"/>
        <w:bidi w:val="0"/>
        <w:spacing w:before="120" w:after="120"/>
        <w:ind w:left="120" w:right="120" w:hanging="0"/>
        <w:jc w:val="both"/>
        <w:rPr>
          <w:caps w:val="false"/>
          <w:smallCaps w:val="false"/>
        </w:rPr>
      </w:pPr>
      <w:r>
        <w:rPr>
          <w:caps w:val="false"/>
          <w:smallCaps w:val="false"/>
        </w:rPr>
        <w:t> </w:t>
      </w:r>
    </w:p>
    <w:p>
      <w:pPr>
        <w:pStyle w:val="TextBody"/>
        <w:bidi w:val="0"/>
        <w:spacing w:before="120" w:after="120"/>
        <w:ind w:left="120" w:right="120" w:hanging="0"/>
        <w:jc w:val="both"/>
        <w:rPr>
          <w:caps w:val="false"/>
          <w:smallCaps w:val="false"/>
        </w:rPr>
      </w:pPr>
      <w:r>
        <w:rPr>
          <w:caps w:val="false"/>
          <w:smallCaps w:val="false"/>
        </w:rPr>
        <w:t> </w:t>
      </w:r>
    </w:p>
    <w:p>
      <w:pPr>
        <w:pStyle w:val="TextBody"/>
        <w:bidi w:val="0"/>
        <w:spacing w:before="120" w:after="120"/>
        <w:ind w:left="120" w:right="120" w:hanging="0"/>
        <w:jc w:val="both"/>
        <w:rPr>
          <w:caps w:val="false"/>
          <w:smallCaps w:val="false"/>
        </w:rPr>
      </w:pPr>
      <w:r>
        <w:rPr>
          <w:caps w:val="false"/>
          <w:smallCaps w:val="false"/>
        </w:rPr>
        <w:t> </w:t>
      </w:r>
    </w:p>
    <w:tbl>
      <w:tblPr>
        <w:tblW w:w="590" w:type="dxa"/>
        <w:jc w:val="left"/>
        <w:tblInd w:w="0" w:type="dxa"/>
        <w:tblLayout w:type="fixed"/>
        <w:tblCellMar>
          <w:top w:w="0" w:type="dxa"/>
          <w:left w:w="0" w:type="dxa"/>
          <w:bottom w:w="0" w:type="dxa"/>
          <w:right w:w="0" w:type="dxa"/>
        </w:tblCellMar>
      </w:tblPr>
      <w:tblGrid>
        <w:gridCol w:w="105"/>
        <w:gridCol w:w="350"/>
        <w:gridCol w:w="135"/>
      </w:tblGrid>
      <w:tr>
        <w:trPr/>
        <w:tc>
          <w:tcPr>
            <w:tcW w:w="10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 </w:t>
            </w:r>
            <w:r>
              <w:rPr/>
              <w:t>41</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left"/>
        <w:rPr>
          <w:rFonts w:ascii="Times New Roman;Times;Serif" w:hAnsi="Times New Roman;Times;Serif"/>
          <w:b/>
          <w:i w:val="false"/>
          <w:caps w:val="false"/>
          <w:smallCaps w:val="false"/>
          <w:sz w:val="32"/>
        </w:rPr>
      </w:pPr>
      <w:bookmarkStart w:id="11" w:name="director"/>
      <w:bookmarkEnd w:id="11"/>
      <w:r>
        <w:rPr>
          <w:rFonts w:ascii="Times New Roman;Times;Serif" w:hAnsi="Times New Roman;Times;Serif"/>
          <w:b/>
          <w:i w:val="false"/>
          <w:caps w:val="false"/>
          <w:smallCaps w:val="false"/>
          <w:sz w:val="32"/>
        </w:rPr>
        <w:t>DIRECTOR COMPENSATION</w:t>
      </w:r>
    </w:p>
    <w:p>
      <w:pPr>
        <w:pStyle w:val="TextBody"/>
        <w:bidi w:val="0"/>
        <w:spacing w:before="240" w:after="240"/>
        <w:ind w:left="240" w:right="24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sets forth information regarding non-employee director compensation for Fiscal 2025.</w:t>
      </w:r>
    </w:p>
    <w:tbl>
      <w:tblPr>
        <w:tblW w:w="6705" w:type="dxa"/>
        <w:jc w:val="left"/>
        <w:tblInd w:w="0" w:type="dxa"/>
        <w:tblLayout w:type="fixed"/>
        <w:tblCellMar>
          <w:top w:w="0" w:type="dxa"/>
          <w:left w:w="0" w:type="dxa"/>
          <w:bottom w:w="28" w:type="dxa"/>
          <w:right w:w="0" w:type="dxa"/>
        </w:tblCellMar>
      </w:tblPr>
      <w:tblGrid>
        <w:gridCol w:w="1130"/>
        <w:gridCol w:w="2720"/>
        <w:gridCol w:w="275"/>
        <w:gridCol w:w="1475"/>
        <w:gridCol w:w="275"/>
        <w:gridCol w:w="830"/>
      </w:tblGrid>
      <w:tr>
        <w:trPr/>
        <w:tc>
          <w:tcPr>
            <w:tcW w:w="1130" w:type="dxa"/>
            <w:tcBorders>
              <w:bottom w:val="single" w:sz="8" w:space="0" w:color="000000"/>
            </w:tcBorders>
            <w:vAlign w:val="center"/>
          </w:tcPr>
          <w:p>
            <w:pPr>
              <w:pStyle w:val="TableContents"/>
              <w:bidi w:val="0"/>
              <w:spacing w:before="0" w:after="283"/>
              <w:jc w:val="center"/>
              <w:rPr>
                <w:b/>
                <w:sz w:val="20"/>
              </w:rPr>
            </w:pPr>
            <w:r>
              <w:rPr>
                <w:b/>
                <w:sz w:val="20"/>
              </w:rPr>
              <w:t>Name</w:t>
            </w:r>
          </w:p>
        </w:tc>
        <w:tc>
          <w:tcPr>
            <w:tcW w:w="2720" w:type="dxa"/>
            <w:tcBorders>
              <w:bottom w:val="single" w:sz="8" w:space="0" w:color="000000"/>
            </w:tcBorders>
            <w:vAlign w:val="center"/>
          </w:tcPr>
          <w:p>
            <w:pPr>
              <w:pStyle w:val="TableContents"/>
              <w:bidi w:val="0"/>
              <w:spacing w:before="0" w:after="283"/>
              <w:jc w:val="center"/>
              <w:rPr>
                <w:b/>
                <w:sz w:val="20"/>
              </w:rPr>
            </w:pPr>
            <w:r>
              <w:rPr>
                <w:b/>
                <w:sz w:val="20"/>
              </w:rPr>
              <w:t>Fees Earned or Paid in Cash ($)</w:t>
            </w:r>
          </w:p>
        </w:tc>
        <w:tc>
          <w:tcPr>
            <w:tcW w:w="275" w:type="dxa"/>
            <w:tcBorders>
              <w:bottom w:val="single" w:sz="8" w:space="0" w:color="000000"/>
            </w:tcBorders>
            <w:vAlign w:val="center"/>
          </w:tcPr>
          <w:p>
            <w:pPr>
              <w:pStyle w:val="TableContents"/>
              <w:bidi w:val="0"/>
              <w:spacing w:before="0" w:after="283"/>
              <w:jc w:val="left"/>
              <w:rPr/>
            </w:pPr>
            <w:r>
              <w:rPr/>
              <w:t> </w:t>
            </w:r>
          </w:p>
        </w:tc>
        <w:tc>
          <w:tcPr>
            <w:tcW w:w="1475" w:type="dxa"/>
            <w:tcBorders>
              <w:bottom w:val="single" w:sz="8" w:space="0" w:color="000000"/>
            </w:tcBorders>
            <w:vAlign w:val="center"/>
          </w:tcPr>
          <w:p>
            <w:pPr>
              <w:pStyle w:val="TableContents"/>
              <w:bidi w:val="0"/>
              <w:spacing w:before="0" w:after="283"/>
              <w:jc w:val="center"/>
              <w:rPr>
                <w:b/>
                <w:sz w:val="20"/>
              </w:rPr>
            </w:pPr>
            <w:r>
              <w:rPr>
                <w:b/>
                <w:sz w:val="20"/>
              </w:rPr>
              <w:t>Stock Awards ($)</w:t>
            </w:r>
          </w:p>
        </w:tc>
        <w:tc>
          <w:tcPr>
            <w:tcW w:w="275" w:type="dxa"/>
            <w:tcBorders>
              <w:bottom w:val="single" w:sz="8" w:space="0" w:color="000000"/>
            </w:tcBorders>
            <w:vAlign w:val="center"/>
          </w:tcPr>
          <w:p>
            <w:pPr>
              <w:pStyle w:val="TableContents"/>
              <w:bidi w:val="0"/>
              <w:spacing w:before="0" w:after="283"/>
              <w:jc w:val="left"/>
              <w:rPr/>
            </w:pPr>
            <w:r>
              <w:rPr/>
              <w:t> </w:t>
            </w:r>
          </w:p>
        </w:tc>
        <w:tc>
          <w:tcPr>
            <w:tcW w:w="830" w:type="dxa"/>
            <w:tcBorders>
              <w:bottom w:val="single" w:sz="8" w:space="0" w:color="000000"/>
            </w:tcBorders>
            <w:vAlign w:val="center"/>
          </w:tcPr>
          <w:p>
            <w:pPr>
              <w:pStyle w:val="TableContents"/>
              <w:bidi w:val="0"/>
              <w:spacing w:before="0" w:after="283"/>
              <w:jc w:val="center"/>
              <w:rPr>
                <w:b/>
                <w:sz w:val="20"/>
              </w:rPr>
            </w:pPr>
            <w:r>
              <w:rPr>
                <w:b/>
                <w:sz w:val="20"/>
              </w:rPr>
              <w:t>Total ($)</w:t>
            </w:r>
          </w:p>
        </w:tc>
      </w:tr>
      <w:tr>
        <w:trPr/>
        <w:tc>
          <w:tcPr>
            <w:tcW w:w="1130" w:type="dxa"/>
            <w:tcBorders/>
            <w:shd w:fill="CCEEFF" w:val="clear"/>
            <w:tcMar>
              <w:bottom w:w="0" w:type="dxa"/>
            </w:tcMar>
            <w:vAlign w:val="center"/>
          </w:tcPr>
          <w:p>
            <w:pPr>
              <w:pStyle w:val="TableContents"/>
              <w:bidi w:val="0"/>
              <w:spacing w:before="0" w:after="283"/>
              <w:jc w:val="left"/>
              <w:rPr>
                <w:sz w:val="20"/>
              </w:rPr>
            </w:pPr>
            <w:r>
              <w:rPr>
                <w:sz w:val="20"/>
              </w:rPr>
              <w:t>Arthur Wong</w:t>
            </w:r>
          </w:p>
        </w:tc>
        <w:tc>
          <w:tcPr>
            <w:tcW w:w="2720" w:type="dxa"/>
            <w:tcBorders/>
            <w:shd w:fill="CCEEFF" w:val="clear"/>
            <w:tcMar>
              <w:bottom w:w="0" w:type="dxa"/>
            </w:tcMar>
            <w:vAlign w:val="center"/>
          </w:tcPr>
          <w:p>
            <w:pPr>
              <w:pStyle w:val="TableContents"/>
              <w:bidi w:val="0"/>
              <w:spacing w:before="0" w:after="283"/>
              <w:jc w:val="right"/>
              <w:rPr>
                <w:sz w:val="20"/>
              </w:rPr>
            </w:pPr>
            <w:r>
              <w:rPr>
                <w:sz w:val="20"/>
              </w:rPr>
              <w:t>107,500</w:t>
            </w:r>
          </w:p>
        </w:tc>
        <w:tc>
          <w:tcPr>
            <w:tcW w:w="275" w:type="dxa"/>
            <w:tcBorders/>
            <w:shd w:fill="CCEEFF" w:val="clear"/>
            <w:tcMar>
              <w:bottom w:w="0" w:type="dxa"/>
            </w:tcMar>
            <w:vAlign w:val="center"/>
          </w:tcPr>
          <w:p>
            <w:pPr>
              <w:pStyle w:val="TableContents"/>
              <w:bidi w:val="0"/>
              <w:spacing w:before="0" w:after="283"/>
              <w:jc w:val="left"/>
              <w:rPr>
                <w:position w:val="8"/>
                <w:sz w:val="19"/>
              </w:rPr>
            </w:pPr>
            <w:r>
              <w:rPr>
                <w:position w:val="8"/>
                <w:sz w:val="19"/>
              </w:rPr>
              <w:t>(1)</w:t>
            </w:r>
          </w:p>
        </w:tc>
        <w:tc>
          <w:tcPr>
            <w:tcW w:w="1475" w:type="dxa"/>
            <w:tcBorders/>
            <w:shd w:fill="CCEEFF" w:val="clear"/>
            <w:tcMar>
              <w:bottom w:w="0" w:type="dxa"/>
            </w:tcMar>
            <w:vAlign w:val="center"/>
          </w:tcPr>
          <w:p>
            <w:pPr>
              <w:pStyle w:val="TableContents"/>
              <w:bidi w:val="0"/>
              <w:spacing w:before="0" w:after="283"/>
              <w:jc w:val="right"/>
              <w:rPr>
                <w:sz w:val="20"/>
              </w:rPr>
            </w:pPr>
            <w:r>
              <w:rPr>
                <w:sz w:val="20"/>
              </w:rPr>
              <w:t>106,073</w:t>
            </w:r>
          </w:p>
        </w:tc>
        <w:tc>
          <w:tcPr>
            <w:tcW w:w="275" w:type="dxa"/>
            <w:tcBorders/>
            <w:shd w:fill="CCEEFF" w:val="clear"/>
            <w:tcMar>
              <w:bottom w:w="0" w:type="dxa"/>
            </w:tcMar>
            <w:vAlign w:val="center"/>
          </w:tcPr>
          <w:p>
            <w:pPr>
              <w:pStyle w:val="TableContents"/>
              <w:bidi w:val="0"/>
              <w:spacing w:before="0" w:after="283"/>
              <w:jc w:val="left"/>
              <w:rPr>
                <w:position w:val="8"/>
                <w:sz w:val="19"/>
              </w:rPr>
            </w:pPr>
            <w:r>
              <w:rPr>
                <w:position w:val="8"/>
                <w:sz w:val="19"/>
              </w:rPr>
              <w:t>(2)</w:t>
            </w:r>
          </w:p>
        </w:tc>
        <w:tc>
          <w:tcPr>
            <w:tcW w:w="830" w:type="dxa"/>
            <w:tcBorders/>
            <w:shd w:fill="CCEEFF" w:val="clear"/>
            <w:tcMar>
              <w:bottom w:w="0" w:type="dxa"/>
            </w:tcMar>
            <w:vAlign w:val="center"/>
          </w:tcPr>
          <w:p>
            <w:pPr>
              <w:pStyle w:val="TableContents"/>
              <w:bidi w:val="0"/>
              <w:spacing w:before="0" w:after="283"/>
              <w:jc w:val="right"/>
              <w:rPr>
                <w:sz w:val="20"/>
              </w:rPr>
            </w:pPr>
            <w:r>
              <w:rPr>
                <w:sz w:val="20"/>
              </w:rPr>
              <w:t>213,573</w:t>
            </w:r>
          </w:p>
        </w:tc>
      </w:tr>
      <w:tr>
        <w:trPr/>
        <w:tc>
          <w:tcPr>
            <w:tcW w:w="1130" w:type="dxa"/>
            <w:tcBorders/>
            <w:shd w:fill="FFFFFF" w:val="clear"/>
            <w:tcMar>
              <w:bottom w:w="0" w:type="dxa"/>
            </w:tcMar>
            <w:vAlign w:val="center"/>
          </w:tcPr>
          <w:p>
            <w:pPr>
              <w:pStyle w:val="TableContents"/>
              <w:bidi w:val="0"/>
              <w:spacing w:before="0" w:after="283"/>
              <w:jc w:val="left"/>
              <w:rPr>
                <w:sz w:val="20"/>
              </w:rPr>
            </w:pPr>
            <w:r>
              <w:rPr>
                <w:sz w:val="20"/>
              </w:rPr>
              <w:t>Ying Wei</w:t>
            </w:r>
          </w:p>
        </w:tc>
        <w:tc>
          <w:tcPr>
            <w:tcW w:w="2720" w:type="dxa"/>
            <w:tcBorders/>
            <w:shd w:fill="FFFFFF" w:val="clear"/>
            <w:tcMar>
              <w:bottom w:w="0" w:type="dxa"/>
            </w:tcMar>
            <w:vAlign w:val="center"/>
          </w:tcPr>
          <w:p>
            <w:pPr>
              <w:pStyle w:val="TableContents"/>
              <w:bidi w:val="0"/>
              <w:spacing w:before="0" w:after="283"/>
              <w:jc w:val="right"/>
              <w:rPr>
                <w:sz w:val="20"/>
              </w:rPr>
            </w:pPr>
            <w:r>
              <w:rPr>
                <w:sz w:val="20"/>
              </w:rPr>
              <w:t>84,709</w:t>
            </w:r>
          </w:p>
        </w:tc>
        <w:tc>
          <w:tcPr>
            <w:tcW w:w="275" w:type="dxa"/>
            <w:tcBorders/>
            <w:shd w:fill="FFFFFF" w:val="clear"/>
            <w:tcMar>
              <w:bottom w:w="0" w:type="dxa"/>
            </w:tcMar>
            <w:vAlign w:val="center"/>
          </w:tcPr>
          <w:p>
            <w:pPr>
              <w:pStyle w:val="TableContents"/>
              <w:bidi w:val="0"/>
              <w:spacing w:before="0" w:after="283"/>
              <w:jc w:val="left"/>
              <w:rPr>
                <w:position w:val="8"/>
                <w:sz w:val="19"/>
              </w:rPr>
            </w:pPr>
            <w:r>
              <w:rPr>
                <w:position w:val="8"/>
                <w:sz w:val="19"/>
              </w:rPr>
              <w:t>(3)</w:t>
            </w:r>
          </w:p>
        </w:tc>
        <w:tc>
          <w:tcPr>
            <w:tcW w:w="1475" w:type="dxa"/>
            <w:tcBorders/>
            <w:shd w:fill="FFFFFF" w:val="clear"/>
            <w:tcMar>
              <w:bottom w:w="0" w:type="dxa"/>
            </w:tcMar>
            <w:vAlign w:val="center"/>
          </w:tcPr>
          <w:p>
            <w:pPr>
              <w:pStyle w:val="TableContents"/>
              <w:bidi w:val="0"/>
              <w:spacing w:before="0" w:after="283"/>
              <w:jc w:val="right"/>
              <w:rPr>
                <w:sz w:val="20"/>
              </w:rPr>
            </w:pPr>
            <w:r>
              <w:rPr>
                <w:sz w:val="20"/>
              </w:rPr>
              <w:t>106,073</w:t>
            </w:r>
          </w:p>
        </w:tc>
        <w:tc>
          <w:tcPr>
            <w:tcW w:w="275" w:type="dxa"/>
            <w:tcBorders/>
            <w:shd w:fill="FFFFFF" w:val="clear"/>
            <w:tcMar>
              <w:bottom w:w="0" w:type="dxa"/>
            </w:tcMar>
            <w:vAlign w:val="center"/>
          </w:tcPr>
          <w:p>
            <w:pPr>
              <w:pStyle w:val="TableContents"/>
              <w:bidi w:val="0"/>
              <w:spacing w:before="0" w:after="283"/>
              <w:jc w:val="left"/>
              <w:rPr>
                <w:position w:val="8"/>
                <w:sz w:val="19"/>
              </w:rPr>
            </w:pPr>
            <w:r>
              <w:rPr>
                <w:position w:val="8"/>
                <w:sz w:val="19"/>
              </w:rPr>
              <w:t>(2)</w:t>
            </w:r>
          </w:p>
        </w:tc>
        <w:tc>
          <w:tcPr>
            <w:tcW w:w="830" w:type="dxa"/>
            <w:tcBorders/>
            <w:shd w:fill="FFFFFF" w:val="clear"/>
            <w:tcMar>
              <w:bottom w:w="0" w:type="dxa"/>
            </w:tcMar>
            <w:vAlign w:val="center"/>
          </w:tcPr>
          <w:p>
            <w:pPr>
              <w:pStyle w:val="TableContents"/>
              <w:bidi w:val="0"/>
              <w:spacing w:before="0" w:after="283"/>
              <w:jc w:val="right"/>
              <w:rPr>
                <w:sz w:val="20"/>
              </w:rPr>
            </w:pPr>
            <w:r>
              <w:rPr>
                <w:sz w:val="20"/>
              </w:rPr>
              <w:t>190,782</w:t>
            </w:r>
          </w:p>
        </w:tc>
      </w:tr>
      <w:tr>
        <w:trPr/>
        <w:tc>
          <w:tcPr>
            <w:tcW w:w="1130" w:type="dxa"/>
            <w:tcBorders/>
            <w:shd w:fill="CCEEFF" w:val="clear"/>
            <w:tcMar>
              <w:bottom w:w="0" w:type="dxa"/>
            </w:tcMar>
            <w:vAlign w:val="center"/>
          </w:tcPr>
          <w:p>
            <w:pPr>
              <w:pStyle w:val="TableContents"/>
              <w:bidi w:val="0"/>
              <w:spacing w:before="0" w:after="283"/>
              <w:jc w:val="left"/>
              <w:rPr>
                <w:sz w:val="20"/>
              </w:rPr>
            </w:pPr>
            <w:r>
              <w:rPr>
                <w:sz w:val="20"/>
              </w:rPr>
              <w:t>Yixin Pan</w:t>
            </w:r>
          </w:p>
        </w:tc>
        <w:tc>
          <w:tcPr>
            <w:tcW w:w="2720" w:type="dxa"/>
            <w:tcBorders/>
            <w:shd w:fill="CCEEFF" w:val="clear"/>
            <w:tcMar>
              <w:bottom w:w="0" w:type="dxa"/>
            </w:tcMar>
            <w:vAlign w:val="center"/>
          </w:tcPr>
          <w:p>
            <w:pPr>
              <w:pStyle w:val="TableContents"/>
              <w:bidi w:val="0"/>
              <w:spacing w:before="0" w:after="283"/>
              <w:jc w:val="right"/>
              <w:rPr>
                <w:sz w:val="20"/>
              </w:rPr>
            </w:pPr>
            <w:r>
              <w:rPr>
                <w:sz w:val="20"/>
              </w:rPr>
              <w:t>117,500</w:t>
            </w:r>
          </w:p>
        </w:tc>
        <w:tc>
          <w:tcPr>
            <w:tcW w:w="275" w:type="dxa"/>
            <w:tcBorders/>
            <w:shd w:fill="CCEEFF" w:val="clear"/>
            <w:tcMar>
              <w:bottom w:w="0" w:type="dxa"/>
            </w:tcMar>
            <w:vAlign w:val="center"/>
          </w:tcPr>
          <w:p>
            <w:pPr>
              <w:pStyle w:val="TableContents"/>
              <w:bidi w:val="0"/>
              <w:spacing w:before="0" w:after="283"/>
              <w:jc w:val="left"/>
              <w:rPr>
                <w:position w:val="8"/>
                <w:sz w:val="19"/>
              </w:rPr>
            </w:pPr>
            <w:r>
              <w:rPr>
                <w:position w:val="8"/>
                <w:sz w:val="19"/>
              </w:rPr>
              <w:t>(4)</w:t>
            </w:r>
          </w:p>
        </w:tc>
        <w:tc>
          <w:tcPr>
            <w:tcW w:w="1475" w:type="dxa"/>
            <w:tcBorders/>
            <w:shd w:fill="CCEEFF" w:val="clear"/>
            <w:tcMar>
              <w:bottom w:w="0" w:type="dxa"/>
            </w:tcMar>
            <w:vAlign w:val="center"/>
          </w:tcPr>
          <w:p>
            <w:pPr>
              <w:pStyle w:val="TableContents"/>
              <w:bidi w:val="0"/>
              <w:spacing w:before="0" w:after="283"/>
              <w:jc w:val="right"/>
              <w:rPr>
                <w:sz w:val="20"/>
              </w:rPr>
            </w:pPr>
            <w:r>
              <w:rPr>
                <w:sz w:val="20"/>
              </w:rPr>
              <w:t>106,073</w:t>
            </w:r>
          </w:p>
        </w:tc>
        <w:tc>
          <w:tcPr>
            <w:tcW w:w="275" w:type="dxa"/>
            <w:tcBorders/>
            <w:shd w:fill="CCEEFF" w:val="clear"/>
            <w:tcMar>
              <w:bottom w:w="0" w:type="dxa"/>
            </w:tcMar>
            <w:vAlign w:val="center"/>
          </w:tcPr>
          <w:p>
            <w:pPr>
              <w:pStyle w:val="TableContents"/>
              <w:bidi w:val="0"/>
              <w:spacing w:before="0" w:after="283"/>
              <w:jc w:val="left"/>
              <w:rPr>
                <w:position w:val="8"/>
                <w:sz w:val="19"/>
              </w:rPr>
            </w:pPr>
            <w:r>
              <w:rPr>
                <w:position w:val="8"/>
                <w:sz w:val="19"/>
              </w:rPr>
              <w:t>(2)</w:t>
            </w:r>
          </w:p>
        </w:tc>
        <w:tc>
          <w:tcPr>
            <w:tcW w:w="830" w:type="dxa"/>
            <w:tcBorders/>
            <w:shd w:fill="CCEEFF" w:val="clear"/>
            <w:tcMar>
              <w:bottom w:w="0" w:type="dxa"/>
            </w:tcMar>
            <w:vAlign w:val="center"/>
          </w:tcPr>
          <w:p>
            <w:pPr>
              <w:pStyle w:val="TableContents"/>
              <w:bidi w:val="0"/>
              <w:spacing w:before="0" w:after="283"/>
              <w:jc w:val="right"/>
              <w:rPr>
                <w:sz w:val="20"/>
              </w:rPr>
            </w:pPr>
            <w:r>
              <w:rPr>
                <w:sz w:val="20"/>
              </w:rPr>
              <w:t>223,573</w:t>
            </w:r>
          </w:p>
        </w:tc>
      </w:tr>
    </w:tbl>
    <w:tbl>
      <w:tblPr>
        <w:tblW w:w="5000" w:type="pct"/>
        <w:jc w:val="left"/>
        <w:tblInd w:w="0" w:type="dxa"/>
        <w:tblLayout w:type="fixed"/>
        <w:tblCellMar>
          <w:top w:w="0" w:type="dxa"/>
          <w:left w:w="0" w:type="dxa"/>
          <w:bottom w:w="0" w:type="dxa"/>
          <w:right w:w="0" w:type="dxa"/>
        </w:tblCellMar>
      </w:tblPr>
      <w:tblGrid>
        <w:gridCol w:w="67"/>
        <w:gridCol w:w="233"/>
        <w:gridCol w:w="9905"/>
      </w:tblGrid>
      <w:tr>
        <w:trPr/>
        <w:tc>
          <w:tcPr>
            <w:tcW w:w="67"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16"/>
              </w:rPr>
            </w:pPr>
            <w:r>
              <w:rPr>
                <w:sz w:val="16"/>
              </w:rPr>
              <w:t>(1)</w:t>
            </w:r>
          </w:p>
        </w:tc>
        <w:tc>
          <w:tcPr>
            <w:tcW w:w="9905" w:type="dxa"/>
            <w:tcBorders/>
            <w:vAlign w:val="center"/>
          </w:tcPr>
          <w:p>
            <w:pPr>
              <w:pStyle w:val="TableContents"/>
              <w:bidi w:val="0"/>
              <w:spacing w:before="0" w:after="283"/>
              <w:jc w:val="left"/>
              <w:rPr>
                <w:sz w:val="16"/>
              </w:rPr>
            </w:pPr>
            <w:r>
              <w:rPr>
                <w:sz w:val="16"/>
              </w:rPr>
              <w:t>Consists of (i) $85,000 paid as annual retainer fees, and (ii) $22,500 paid for his service as Chairman of the Audit Committee, all of which were earned and paid pursuant to the Company’s Director Compensation Policy as described below.</w:t>
            </w:r>
          </w:p>
        </w:tc>
      </w:tr>
    </w:tbl>
    <w:tbl>
      <w:tblPr>
        <w:tblW w:w="5000" w:type="pct"/>
        <w:jc w:val="left"/>
        <w:tblInd w:w="0" w:type="dxa"/>
        <w:tblLayout w:type="fixed"/>
        <w:tblCellMar>
          <w:top w:w="0" w:type="dxa"/>
          <w:left w:w="0" w:type="dxa"/>
          <w:bottom w:w="0" w:type="dxa"/>
          <w:right w:w="0" w:type="dxa"/>
        </w:tblCellMar>
      </w:tblPr>
      <w:tblGrid>
        <w:gridCol w:w="67"/>
        <w:gridCol w:w="227"/>
        <w:gridCol w:w="9911"/>
      </w:tblGrid>
      <w:tr>
        <w:trPr/>
        <w:tc>
          <w:tcPr>
            <w:tcW w:w="6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16"/>
              </w:rPr>
            </w:pPr>
            <w:r>
              <w:rPr>
                <w:sz w:val="16"/>
              </w:rPr>
              <w:t>(2)</w:t>
            </w:r>
          </w:p>
        </w:tc>
        <w:tc>
          <w:tcPr>
            <w:tcW w:w="9911" w:type="dxa"/>
            <w:tcBorders/>
            <w:vAlign w:val="center"/>
          </w:tcPr>
          <w:p>
            <w:pPr>
              <w:pStyle w:val="TableContents"/>
              <w:bidi w:val="0"/>
              <w:spacing w:before="0" w:after="283"/>
              <w:jc w:val="left"/>
              <w:rPr>
                <w:sz w:val="16"/>
              </w:rPr>
            </w:pPr>
            <w:r>
              <w:rPr>
                <w:sz w:val="16"/>
              </w:rPr>
              <w:t>Reflects the grant date fair value, based on the closing price of common stock on the date of grant of (i) $1.99 per unit, of 47,738 RSUs granted on January 23, 2025, and (ii) $4.19 per unit, of 2,643 RSUs granted on June 10, 2025, all of which vested in a single installment on December 31, 2025.</w:t>
            </w:r>
          </w:p>
        </w:tc>
      </w:tr>
    </w:tbl>
    <w:tbl>
      <w:tblPr>
        <w:tblW w:w="5000" w:type="pct"/>
        <w:jc w:val="left"/>
        <w:tblInd w:w="0" w:type="dxa"/>
        <w:tblLayout w:type="fixed"/>
        <w:tblCellMar>
          <w:top w:w="0" w:type="dxa"/>
          <w:left w:w="0" w:type="dxa"/>
          <w:bottom w:w="0" w:type="dxa"/>
          <w:right w:w="0" w:type="dxa"/>
        </w:tblCellMar>
      </w:tblPr>
      <w:tblGrid>
        <w:gridCol w:w="67"/>
        <w:gridCol w:w="220"/>
        <w:gridCol w:w="9918"/>
      </w:tblGrid>
      <w:tr>
        <w:trPr/>
        <w:tc>
          <w:tcPr>
            <w:tcW w:w="67"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16"/>
              </w:rPr>
            </w:pPr>
            <w:r>
              <w:rPr>
                <w:sz w:val="16"/>
              </w:rPr>
              <w:t>(3)</w:t>
            </w:r>
          </w:p>
        </w:tc>
        <w:tc>
          <w:tcPr>
            <w:tcW w:w="9918" w:type="dxa"/>
            <w:tcBorders/>
            <w:vAlign w:val="center"/>
          </w:tcPr>
          <w:p>
            <w:pPr>
              <w:pStyle w:val="TableContents"/>
              <w:bidi w:val="0"/>
              <w:spacing w:before="0" w:after="283"/>
              <w:jc w:val="left"/>
              <w:rPr>
                <w:sz w:val="16"/>
              </w:rPr>
            </w:pPr>
            <w:r>
              <w:rPr>
                <w:sz w:val="16"/>
              </w:rPr>
              <w:t>Reflects the grant date fair value, based on the closing price of common stock on the date of grant of (i) $2.07 per unit, of 38,647 elective RSUs granted on January 1, 2025, and (ii) $3.56 per unit, of 1,323 elective RSUs granted on July 23, 2025. The elective RSUs vested on a quarterly basis in near equal installments and the RSUs vested in a single installment on December 31, 2025.</w:t>
            </w:r>
          </w:p>
        </w:tc>
      </w:tr>
    </w:tbl>
    <w:tbl>
      <w:tblPr>
        <w:tblW w:w="5000" w:type="pct"/>
        <w:jc w:val="left"/>
        <w:tblInd w:w="0" w:type="dxa"/>
        <w:tblLayout w:type="fixed"/>
        <w:tblCellMar>
          <w:top w:w="0" w:type="dxa"/>
          <w:left w:w="0" w:type="dxa"/>
          <w:bottom w:w="0" w:type="dxa"/>
          <w:right w:w="0" w:type="dxa"/>
        </w:tblCellMar>
      </w:tblPr>
      <w:tblGrid>
        <w:gridCol w:w="67"/>
        <w:gridCol w:w="225"/>
        <w:gridCol w:w="9913"/>
      </w:tblGrid>
      <w:tr>
        <w:trPr/>
        <w:tc>
          <w:tcPr>
            <w:tcW w:w="67"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16"/>
              </w:rPr>
            </w:pPr>
            <w:r>
              <w:rPr>
                <w:sz w:val="16"/>
              </w:rPr>
              <w:t>(4)</w:t>
            </w:r>
          </w:p>
        </w:tc>
        <w:tc>
          <w:tcPr>
            <w:tcW w:w="9913" w:type="dxa"/>
            <w:tcBorders/>
            <w:vAlign w:val="center"/>
          </w:tcPr>
          <w:p>
            <w:pPr>
              <w:pStyle w:val="TableContents"/>
              <w:bidi w:val="0"/>
              <w:spacing w:before="0" w:after="283"/>
              <w:jc w:val="left"/>
              <w:rPr>
                <w:sz w:val="16"/>
              </w:rPr>
            </w:pPr>
            <w:r>
              <w:rPr>
                <w:sz w:val="16"/>
              </w:rPr>
              <w:t>Consists of (i) $85,000 paid as annual retainer fees, (ii) $17,500 paid for her service as Chair of the Compensation Committee, and (iii) $15,000 paid for her service as Chair of the N&amp;GC Committee, all of which were earned and paid pursuant to the Company’s director compensation policy as described below.</w:t>
            </w:r>
          </w:p>
        </w:tc>
      </w:tr>
    </w:tbl>
    <w:p>
      <w:pPr>
        <w:pStyle w:val="TextBody"/>
        <w:bidi w:val="0"/>
        <w:spacing w:before="120" w:after="120"/>
        <w:ind w:left="120" w:right="1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year ended December 31, 2025, our non-employee directors were compensated for services in accordance with our amended and restated non-employee director compensation policy that was adopted by our Board on June 5, 2025 (the “2025 Director Compensation Policy”). The material terms of the 2025 Director Compensation Policy are described below.</w:t>
      </w:r>
    </w:p>
    <w:p>
      <w:pPr>
        <w:pStyle w:val="TextBody"/>
        <w:bidi w:val="0"/>
        <w:spacing w:before="120" w:after="120"/>
        <w:ind w:left="120" w:right="1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their service to the Company during 2025, each of our non-employee directors received an annual award of RSUs under the Director Compensation Policy, which vested on December 31, 2025, and was subject to the director’s continued service through such date. In addition, our non-employee directors may elect to receive all or a portion of their annual cash retainer and/or committee chair retainer in the form of RSUs (the “Elective RSUs”). The grant date of the Elective RSUs is the date the non-employee director makes the election to receive equity in lieu of his or her cash retainer and the value of the RSUs is equal to the amount of the non-employee director’s annual cash retainer that is foregone. The Elective RSUs vest in quarterly installments on the last day of each fiscal quarter. The number of Elective RSUs each non-employee director received in </w:t>
      </w:r>
      <w:r>
        <w:rPr>
          <w:rFonts w:ascii="Times New Roman;Times;Serif" w:hAnsi="Times New Roman;Times;Serif"/>
          <w:b w:val="false"/>
          <w:i w:val="false"/>
          <w:caps w:val="false"/>
          <w:smallCaps w:val="false"/>
          <w:sz w:val="20"/>
          <w:shd w:fill="FFFFFF" w:val="clear"/>
        </w:rPr>
        <w:t xml:space="preserve">Fiscal </w:t>
      </w:r>
      <w:r>
        <w:rPr>
          <w:rFonts w:ascii="Times New Roman;Times;Serif" w:hAnsi="Times New Roman;Times;Serif"/>
          <w:b w:val="false"/>
          <w:i w:val="false"/>
          <w:caps w:val="false"/>
          <w:smallCaps w:val="false"/>
          <w:sz w:val="20"/>
        </w:rPr>
        <w:t>2025 are set forth in footnote 3 to the “Director Compensation” table above. Our non-employee directors must make elections to receive equity in lieu of his or her cash retainer prior to the start of the calendar year, which elective RSUs will vest in equal installments on the last day of each fiscal quarter during the calendar year.</w:t>
      </w:r>
    </w:p>
    <w:p>
      <w:pPr>
        <w:pStyle w:val="TextBody"/>
        <w:bidi w:val="0"/>
        <w:jc w:val="both"/>
        <w:rPr>
          <w:caps w:val="false"/>
          <w:smallCaps w:val="false"/>
        </w:rPr>
      </w:pPr>
      <w:r>
        <w:rPr>
          <w:caps w:val="false"/>
          <w:smallCaps w:val="false"/>
        </w:rPr>
        <w:t> </w:t>
      </w:r>
    </w:p>
    <w:tbl>
      <w:tblPr>
        <w:tblW w:w="8640" w:type="dxa"/>
        <w:jc w:val="left"/>
        <w:tblInd w:w="0" w:type="dxa"/>
        <w:tblLayout w:type="fixed"/>
        <w:tblCellMar>
          <w:top w:w="0" w:type="dxa"/>
          <w:left w:w="0" w:type="dxa"/>
          <w:bottom w:w="0" w:type="dxa"/>
          <w:right w:w="0" w:type="dxa"/>
        </w:tblCellMar>
      </w:tblPr>
      <w:tblGrid>
        <w:gridCol w:w="3575"/>
        <w:gridCol w:w="3080"/>
        <w:gridCol w:w="1850"/>
        <w:gridCol w:w="135"/>
      </w:tblGrid>
      <w:tr>
        <w:trPr/>
        <w:tc>
          <w:tcPr>
            <w:tcW w:w="3575" w:type="dxa"/>
            <w:tcBorders/>
            <w:vAlign w:val="center"/>
          </w:tcPr>
          <w:p>
            <w:pPr>
              <w:pStyle w:val="TableContents"/>
              <w:bidi w:val="0"/>
              <w:spacing w:before="0" w:after="283"/>
              <w:jc w:val="left"/>
              <w:rPr/>
            </w:pPr>
            <w:r>
              <w:rPr/>
              <w:t> </w:t>
            </w:r>
          </w:p>
        </w:tc>
        <w:tc>
          <w:tcPr>
            <w:tcW w:w="3080" w:type="dxa"/>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 Director Compensation Policy</w:t>
            </w:r>
          </w:p>
        </w:tc>
        <w:tc>
          <w:tcPr>
            <w:tcW w:w="1850" w:type="dxa"/>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 Director</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 Policy</w:t>
            </w:r>
          </w:p>
        </w:tc>
        <w:tc>
          <w:tcPr>
            <w:tcW w:w="135" w:type="dxa"/>
            <w:tcBorders/>
            <w:vAlign w:val="center"/>
          </w:tcPr>
          <w:p>
            <w:pPr>
              <w:pStyle w:val="TableContents"/>
              <w:bidi w:val="0"/>
              <w:spacing w:before="0" w:after="283"/>
              <w:jc w:val="left"/>
              <w:rPr/>
            </w:pPr>
            <w:r>
              <w:rPr/>
              <w:t> </w:t>
            </w:r>
          </w:p>
        </w:tc>
      </w:tr>
      <w:tr>
        <w:trPr/>
        <w:tc>
          <w:tcPr>
            <w:tcW w:w="3575" w:type="dxa"/>
            <w:tcBorders/>
            <w:shd w:fill="CCEEFF" w:val="clear"/>
            <w:vAlign w:val="center"/>
          </w:tcPr>
          <w:p>
            <w:pPr>
              <w:pStyle w:val="TableContents"/>
              <w:bidi w:val="0"/>
              <w:spacing w:before="0" w:after="283"/>
              <w:jc w:val="left"/>
              <w:rPr>
                <w:b/>
                <w:sz w:val="20"/>
              </w:rPr>
            </w:pPr>
            <w:r>
              <w:rPr>
                <w:b/>
                <w:sz w:val="20"/>
              </w:rPr>
              <w:t>Board Member Retainer</w:t>
            </w:r>
          </w:p>
        </w:tc>
        <w:tc>
          <w:tcPr>
            <w:tcW w:w="3080" w:type="dxa"/>
            <w:tcBorders/>
            <w:shd w:fill="CCEEFF" w:val="clear"/>
            <w:vAlign w:val="center"/>
          </w:tcPr>
          <w:p>
            <w:pPr>
              <w:pStyle w:val="TableContents"/>
              <w:bidi w:val="0"/>
              <w:spacing w:before="0" w:after="283"/>
              <w:jc w:val="center"/>
              <w:rPr>
                <w:sz w:val="20"/>
              </w:rPr>
            </w:pPr>
            <w:r>
              <w:rPr>
                <w:sz w:val="20"/>
              </w:rPr>
              <w:t>$85,000</w:t>
            </w:r>
          </w:p>
        </w:tc>
        <w:tc>
          <w:tcPr>
            <w:tcW w:w="1850" w:type="dxa"/>
            <w:tcBorders/>
            <w:shd w:fill="CCEEFF" w:val="clear"/>
            <w:vAlign w:val="center"/>
          </w:tcPr>
          <w:p>
            <w:pPr>
              <w:pStyle w:val="TableContents"/>
              <w:bidi w:val="0"/>
              <w:spacing w:before="0" w:after="283"/>
              <w:jc w:val="center"/>
              <w:rPr>
                <w:sz w:val="20"/>
              </w:rPr>
            </w:pPr>
            <w:r>
              <w:rPr>
                <w:sz w:val="20"/>
              </w:rPr>
              <w:t>$80,000</w:t>
            </w:r>
          </w:p>
        </w:tc>
        <w:tc>
          <w:tcPr>
            <w:tcW w:w="135" w:type="dxa"/>
            <w:tcBorders/>
            <w:shd w:fill="CCEEFF" w:val="clear"/>
            <w:vAlign w:val="center"/>
          </w:tcPr>
          <w:p>
            <w:pPr>
              <w:pStyle w:val="TableContents"/>
              <w:bidi w:val="0"/>
              <w:spacing w:before="0" w:after="283"/>
              <w:jc w:val="left"/>
              <w:rPr/>
            </w:pPr>
            <w:r>
              <w:rPr/>
              <w:t> </w:t>
            </w:r>
          </w:p>
        </w:tc>
      </w:tr>
      <w:tr>
        <w:trPr/>
        <w:tc>
          <w:tcPr>
            <w:tcW w:w="3575" w:type="dxa"/>
            <w:tcBorders/>
            <w:vAlign w:val="center"/>
          </w:tcPr>
          <w:p>
            <w:pPr>
              <w:pStyle w:val="TableContents"/>
              <w:bidi w:val="0"/>
              <w:spacing w:before="0" w:after="283"/>
              <w:jc w:val="left"/>
              <w:rPr>
                <w:b/>
                <w:sz w:val="20"/>
              </w:rPr>
            </w:pPr>
            <w:r>
              <w:rPr>
                <w:b/>
                <w:sz w:val="20"/>
              </w:rPr>
              <w:t>Lead Independent Director Retainer</w:t>
            </w:r>
          </w:p>
        </w:tc>
        <w:tc>
          <w:tcPr>
            <w:tcW w:w="3080" w:type="dxa"/>
            <w:tcBorders/>
            <w:vAlign w:val="center"/>
          </w:tcPr>
          <w:p>
            <w:pPr>
              <w:pStyle w:val="TableContents"/>
              <w:bidi w:val="0"/>
              <w:spacing w:before="0" w:after="283"/>
              <w:jc w:val="center"/>
              <w:rPr>
                <w:sz w:val="20"/>
              </w:rPr>
            </w:pPr>
            <w:r>
              <w:rPr>
                <w:sz w:val="20"/>
              </w:rPr>
              <w:t>$25,000</w:t>
            </w:r>
          </w:p>
        </w:tc>
        <w:tc>
          <w:tcPr>
            <w:tcW w:w="1850" w:type="dxa"/>
            <w:tcBorders/>
            <w:vAlign w:val="center"/>
          </w:tcPr>
          <w:p>
            <w:pPr>
              <w:pStyle w:val="TableContents"/>
              <w:bidi w:val="0"/>
              <w:spacing w:before="0" w:after="283"/>
              <w:jc w:val="center"/>
              <w:rPr>
                <w:sz w:val="20"/>
              </w:rPr>
            </w:pPr>
            <w:r>
              <w:rPr>
                <w:sz w:val="20"/>
              </w:rPr>
              <w:t>$25,000</w:t>
            </w:r>
          </w:p>
        </w:tc>
        <w:tc>
          <w:tcPr>
            <w:tcW w:w="135" w:type="dxa"/>
            <w:tcBorders/>
            <w:vAlign w:val="center"/>
          </w:tcPr>
          <w:p>
            <w:pPr>
              <w:pStyle w:val="TableContents"/>
              <w:bidi w:val="0"/>
              <w:spacing w:before="0" w:after="283"/>
              <w:jc w:val="left"/>
              <w:rPr/>
            </w:pPr>
            <w:r>
              <w:rPr/>
              <w:t> </w:t>
            </w:r>
          </w:p>
        </w:tc>
      </w:tr>
      <w:tr>
        <w:trPr/>
        <w:tc>
          <w:tcPr>
            <w:tcW w:w="3575" w:type="dxa"/>
            <w:tcBorders/>
            <w:shd w:fill="CCEEFF" w:val="clear"/>
            <w:vAlign w:val="center"/>
          </w:tcPr>
          <w:p>
            <w:pPr>
              <w:pStyle w:val="TableContents"/>
              <w:bidi w:val="0"/>
              <w:spacing w:before="0" w:after="283"/>
              <w:jc w:val="left"/>
              <w:rPr>
                <w:b/>
                <w:sz w:val="20"/>
              </w:rPr>
            </w:pPr>
            <w:r>
              <w:rPr>
                <w:b/>
                <w:sz w:val="20"/>
              </w:rPr>
              <w:t>Audit Committee Chair Retainer</w:t>
            </w:r>
          </w:p>
        </w:tc>
        <w:tc>
          <w:tcPr>
            <w:tcW w:w="3080" w:type="dxa"/>
            <w:tcBorders/>
            <w:shd w:fill="CCEEFF" w:val="clear"/>
            <w:vAlign w:val="center"/>
          </w:tcPr>
          <w:p>
            <w:pPr>
              <w:pStyle w:val="TableContents"/>
              <w:bidi w:val="0"/>
              <w:spacing w:before="0" w:after="283"/>
              <w:jc w:val="center"/>
              <w:rPr>
                <w:sz w:val="20"/>
              </w:rPr>
            </w:pPr>
            <w:r>
              <w:rPr>
                <w:sz w:val="20"/>
              </w:rPr>
              <w:t>$22,500</w:t>
            </w:r>
          </w:p>
        </w:tc>
        <w:tc>
          <w:tcPr>
            <w:tcW w:w="1850" w:type="dxa"/>
            <w:tcBorders/>
            <w:shd w:fill="CCEEFF" w:val="clear"/>
            <w:vAlign w:val="center"/>
          </w:tcPr>
          <w:p>
            <w:pPr>
              <w:pStyle w:val="TableContents"/>
              <w:bidi w:val="0"/>
              <w:spacing w:before="0" w:after="283"/>
              <w:jc w:val="center"/>
              <w:rPr>
                <w:sz w:val="20"/>
              </w:rPr>
            </w:pPr>
            <w:r>
              <w:rPr>
                <w:sz w:val="20"/>
              </w:rPr>
              <w:t>$20,000</w:t>
            </w:r>
          </w:p>
        </w:tc>
        <w:tc>
          <w:tcPr>
            <w:tcW w:w="135" w:type="dxa"/>
            <w:tcBorders/>
            <w:shd w:fill="CCEEFF" w:val="clear"/>
            <w:vAlign w:val="center"/>
          </w:tcPr>
          <w:p>
            <w:pPr>
              <w:pStyle w:val="TableContents"/>
              <w:bidi w:val="0"/>
              <w:spacing w:before="0" w:after="283"/>
              <w:jc w:val="left"/>
              <w:rPr/>
            </w:pPr>
            <w:r>
              <w:rPr/>
              <w:t> </w:t>
            </w:r>
          </w:p>
        </w:tc>
      </w:tr>
      <w:tr>
        <w:trPr/>
        <w:tc>
          <w:tcPr>
            <w:tcW w:w="3575" w:type="dxa"/>
            <w:tcBorders/>
            <w:vAlign w:val="center"/>
          </w:tcPr>
          <w:p>
            <w:pPr>
              <w:pStyle w:val="TableContents"/>
              <w:bidi w:val="0"/>
              <w:spacing w:before="0" w:after="283"/>
              <w:jc w:val="left"/>
              <w:rPr>
                <w:b/>
                <w:sz w:val="20"/>
              </w:rPr>
            </w:pPr>
            <w:r>
              <w:rPr>
                <w:b/>
                <w:sz w:val="20"/>
              </w:rPr>
              <w:t>Compensation Committee Chair Retainer</w:t>
            </w:r>
          </w:p>
        </w:tc>
        <w:tc>
          <w:tcPr>
            <w:tcW w:w="3080" w:type="dxa"/>
            <w:tcBorders/>
            <w:vAlign w:val="center"/>
          </w:tcPr>
          <w:p>
            <w:pPr>
              <w:pStyle w:val="TableContents"/>
              <w:bidi w:val="0"/>
              <w:spacing w:before="0" w:after="283"/>
              <w:jc w:val="center"/>
              <w:rPr>
                <w:sz w:val="20"/>
              </w:rPr>
            </w:pPr>
            <w:r>
              <w:rPr>
                <w:sz w:val="20"/>
              </w:rPr>
              <w:t>$17,500</w:t>
            </w:r>
          </w:p>
        </w:tc>
        <w:tc>
          <w:tcPr>
            <w:tcW w:w="1850" w:type="dxa"/>
            <w:tcBorders/>
            <w:vAlign w:val="center"/>
          </w:tcPr>
          <w:p>
            <w:pPr>
              <w:pStyle w:val="TableContents"/>
              <w:bidi w:val="0"/>
              <w:spacing w:before="0" w:after="283"/>
              <w:jc w:val="center"/>
              <w:rPr>
                <w:sz w:val="20"/>
              </w:rPr>
            </w:pPr>
            <w:r>
              <w:rPr>
                <w:sz w:val="20"/>
              </w:rPr>
              <w:t>$15,000</w:t>
            </w:r>
          </w:p>
        </w:tc>
        <w:tc>
          <w:tcPr>
            <w:tcW w:w="135" w:type="dxa"/>
            <w:tcBorders/>
            <w:vAlign w:val="center"/>
          </w:tcPr>
          <w:p>
            <w:pPr>
              <w:pStyle w:val="TableContents"/>
              <w:bidi w:val="0"/>
              <w:spacing w:before="0" w:after="283"/>
              <w:jc w:val="left"/>
              <w:rPr/>
            </w:pPr>
            <w:r>
              <w:rPr/>
              <w:t> </w:t>
            </w:r>
          </w:p>
        </w:tc>
      </w:tr>
      <w:tr>
        <w:trPr/>
        <w:tc>
          <w:tcPr>
            <w:tcW w:w="3575" w:type="dxa"/>
            <w:tcBorders/>
            <w:shd w:fill="CCEEFF" w:val="clear"/>
            <w:vAlign w:val="center"/>
          </w:tcPr>
          <w:p>
            <w:pPr>
              <w:pStyle w:val="TableContents"/>
              <w:bidi w:val="0"/>
              <w:spacing w:before="0" w:after="283"/>
              <w:jc w:val="left"/>
              <w:rPr>
                <w:b/>
                <w:sz w:val="20"/>
              </w:rPr>
            </w:pPr>
            <w:r>
              <w:rPr>
                <w:b/>
                <w:sz w:val="20"/>
              </w:rPr>
              <w:t>N&amp;GC Committee Chair Retainer</w:t>
            </w:r>
          </w:p>
        </w:tc>
        <w:tc>
          <w:tcPr>
            <w:tcW w:w="3080" w:type="dxa"/>
            <w:tcBorders/>
            <w:shd w:fill="CCEEFF" w:val="clear"/>
            <w:vAlign w:val="center"/>
          </w:tcPr>
          <w:p>
            <w:pPr>
              <w:pStyle w:val="TableContents"/>
              <w:bidi w:val="0"/>
              <w:spacing w:before="0" w:after="283"/>
              <w:jc w:val="center"/>
              <w:rPr>
                <w:sz w:val="20"/>
              </w:rPr>
            </w:pPr>
            <w:r>
              <w:rPr>
                <w:sz w:val="20"/>
              </w:rPr>
              <w:t>$15,000</w:t>
            </w:r>
          </w:p>
        </w:tc>
        <w:tc>
          <w:tcPr>
            <w:tcW w:w="1850" w:type="dxa"/>
            <w:tcBorders/>
            <w:shd w:fill="CCEEFF" w:val="clear"/>
            <w:vAlign w:val="center"/>
          </w:tcPr>
          <w:p>
            <w:pPr>
              <w:pStyle w:val="TableContents"/>
              <w:bidi w:val="0"/>
              <w:spacing w:before="0" w:after="283"/>
              <w:jc w:val="center"/>
              <w:rPr>
                <w:sz w:val="20"/>
              </w:rPr>
            </w:pPr>
            <w:r>
              <w:rPr>
                <w:sz w:val="20"/>
              </w:rPr>
              <w:t>$10,000</w:t>
            </w:r>
          </w:p>
        </w:tc>
        <w:tc>
          <w:tcPr>
            <w:tcW w:w="135" w:type="dxa"/>
            <w:tcBorders/>
            <w:shd w:fill="CCEEFF" w:val="clear"/>
            <w:vAlign w:val="center"/>
          </w:tcPr>
          <w:p>
            <w:pPr>
              <w:pStyle w:val="TableContents"/>
              <w:bidi w:val="0"/>
              <w:spacing w:before="0" w:after="283"/>
              <w:jc w:val="left"/>
              <w:rPr/>
            </w:pPr>
            <w:r>
              <w:rPr/>
              <w:t> </w:t>
            </w:r>
          </w:p>
        </w:tc>
      </w:tr>
      <w:tr>
        <w:trPr/>
        <w:tc>
          <w:tcPr>
            <w:tcW w:w="3575" w:type="dxa"/>
            <w:tcBorders/>
            <w:vAlign w:val="center"/>
          </w:tcPr>
          <w:p>
            <w:pPr>
              <w:pStyle w:val="TableContents"/>
              <w:bidi w:val="0"/>
              <w:spacing w:before="0" w:after="283"/>
              <w:jc w:val="left"/>
              <w:rPr>
                <w:b/>
                <w:sz w:val="20"/>
              </w:rPr>
            </w:pPr>
            <w:r>
              <w:rPr>
                <w:b/>
                <w:sz w:val="20"/>
              </w:rPr>
              <w:t>Annual Restricted Stock Units (GDFV)</w:t>
            </w:r>
          </w:p>
        </w:tc>
        <w:tc>
          <w:tcPr>
            <w:tcW w:w="3080" w:type="dxa"/>
            <w:tcBorders/>
            <w:vAlign w:val="center"/>
          </w:tcPr>
          <w:p>
            <w:pPr>
              <w:pStyle w:val="TableContents"/>
              <w:bidi w:val="0"/>
              <w:spacing w:before="0" w:after="283"/>
              <w:jc w:val="center"/>
              <w:rPr>
                <w:sz w:val="20"/>
              </w:rPr>
            </w:pPr>
            <w:r>
              <w:rPr>
                <w:sz w:val="20"/>
              </w:rPr>
              <w:t>$105,000</w:t>
            </w:r>
          </w:p>
        </w:tc>
        <w:tc>
          <w:tcPr>
            <w:tcW w:w="1850" w:type="dxa"/>
            <w:tcBorders/>
            <w:vAlign w:val="center"/>
          </w:tcPr>
          <w:p>
            <w:pPr>
              <w:pStyle w:val="TableContents"/>
              <w:bidi w:val="0"/>
              <w:spacing w:before="0" w:after="283"/>
              <w:jc w:val="center"/>
              <w:rPr>
                <w:sz w:val="20"/>
              </w:rPr>
            </w:pPr>
            <w:r>
              <w:rPr>
                <w:sz w:val="20"/>
              </w:rPr>
              <w:t>$95,000</w:t>
            </w:r>
          </w:p>
        </w:tc>
        <w:tc>
          <w:tcPr>
            <w:tcW w:w="135" w:type="dxa"/>
            <w:tcBorders/>
            <w:vAlign w:val="center"/>
          </w:tcPr>
          <w:p>
            <w:pPr>
              <w:pStyle w:val="TableContents"/>
              <w:bidi w:val="0"/>
              <w:spacing w:before="0" w:after="283"/>
              <w:jc w:val="center"/>
              <w:rPr/>
            </w:pPr>
            <w:r>
              <w:rPr/>
              <w:t> </w:t>
            </w:r>
          </w:p>
        </w:tc>
      </w:tr>
    </w:tbl>
    <w:p>
      <w:pPr>
        <w:pStyle w:val="TextBody"/>
        <w:bidi w:val="0"/>
        <w:spacing w:lineRule="auto" w:line="276"/>
        <w:jc w:val="left"/>
        <w:rPr>
          <w:caps w:val="false"/>
          <w:smallCaps w:val="false"/>
        </w:rPr>
      </w:pPr>
      <w:r>
        <w:rPr>
          <w:caps w:val="false"/>
          <w:smallCaps w:val="false"/>
        </w:rPr>
        <w:t> </w:t>
      </w:r>
    </w:p>
    <w:p>
      <w:pPr>
        <w:pStyle w:val="TextBody"/>
        <w:bidi w:val="0"/>
        <w:spacing w:lineRule="auto" w:line="276"/>
        <w:jc w:val="left"/>
        <w:rPr>
          <w:caps w:val="false"/>
          <w:smallCaps w:val="false"/>
        </w:rPr>
      </w:pPr>
      <w:r>
        <w:rPr>
          <w:caps w:val="false"/>
          <w:smallCaps w:val="false"/>
        </w:rPr>
        <w:t> </w:t>
      </w:r>
    </w:p>
    <w:p>
      <w:pPr>
        <w:pStyle w:val="TextBody"/>
        <w:bidi w:val="0"/>
        <w:spacing w:lineRule="auto" w:line="276"/>
        <w:jc w:val="left"/>
        <w:rPr>
          <w:caps w:val="false"/>
          <w:smallCaps w:val="false"/>
        </w:rPr>
      </w:pPr>
      <w:r>
        <w:rPr>
          <w:caps w:val="false"/>
          <w:smallCaps w:val="false"/>
        </w:rPr>
        <w:t> </w:t>
      </w:r>
    </w:p>
    <w:p>
      <w:pPr>
        <w:pStyle w:val="TextBody"/>
        <w:bidi w:val="0"/>
        <w:spacing w:lineRule="auto" w:line="276"/>
        <w:jc w:val="left"/>
        <w:rPr>
          <w:caps w:val="false"/>
          <w:smallCaps w:val="false"/>
        </w:rPr>
      </w:pPr>
      <w:r>
        <w:rPr>
          <w:caps w:val="false"/>
          <w:smallCaps w:val="false"/>
        </w:rPr>
        <w:t> </w:t>
      </w:r>
    </w:p>
    <w:p>
      <w:pPr>
        <w:pStyle w:val="TextBody"/>
        <w:bidi w:val="0"/>
        <w:spacing w:lineRule="auto" w:line="276"/>
        <w:jc w:val="left"/>
        <w:rPr>
          <w:caps w:val="false"/>
          <w:smallCaps w:val="false"/>
        </w:rPr>
      </w:pPr>
      <w:r>
        <w:rPr>
          <w:caps w:val="false"/>
          <w:smallCaps w:val="false"/>
        </w:rPr>
        <w:t> </w:t>
      </w:r>
    </w:p>
    <w:p>
      <w:pPr>
        <w:pStyle w:val="TextBody"/>
        <w:bidi w:val="0"/>
        <w:spacing w:lineRule="auto" w:line="276"/>
        <w:jc w:val="left"/>
        <w:rPr>
          <w:caps w:val="false"/>
          <w:smallCaps w:val="false"/>
        </w:rPr>
      </w:pPr>
      <w:r>
        <w:rPr>
          <w:caps w:val="false"/>
          <w:smallCaps w:val="false"/>
        </w:rPr>
        <w:t> </w:t>
      </w:r>
    </w:p>
    <w:tbl>
      <w:tblPr>
        <w:tblW w:w="590" w:type="dxa"/>
        <w:jc w:val="left"/>
        <w:tblInd w:w="0" w:type="dxa"/>
        <w:tblLayout w:type="fixed"/>
        <w:tblCellMar>
          <w:top w:w="0" w:type="dxa"/>
          <w:left w:w="0" w:type="dxa"/>
          <w:bottom w:w="0" w:type="dxa"/>
          <w:right w:w="0" w:type="dxa"/>
        </w:tblCellMar>
      </w:tblPr>
      <w:tblGrid>
        <w:gridCol w:w="105"/>
        <w:gridCol w:w="350"/>
        <w:gridCol w:w="135"/>
      </w:tblGrid>
      <w:tr>
        <w:trPr/>
        <w:tc>
          <w:tcPr>
            <w:tcW w:w="10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 </w:t>
            </w:r>
            <w:r>
              <w:rPr/>
              <w:t>42</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lineRule="auto" w:line="276"/>
        <w:jc w:val="left"/>
        <w:rPr>
          <w:rFonts w:ascii="Times New Roman;Times;Serif" w:hAnsi="Times New Roman;Times;Serif"/>
          <w:b/>
          <w:i w:val="false"/>
          <w:caps w:val="false"/>
          <w:smallCaps w:val="false"/>
          <w:sz w:val="32"/>
        </w:rPr>
      </w:pPr>
      <w:bookmarkStart w:id="12" w:name="certainRelationships"/>
      <w:bookmarkEnd w:id="12"/>
      <w:r>
        <w:rPr>
          <w:rFonts w:ascii="Times New Roman;Times;Serif" w:hAnsi="Times New Roman;Times;Serif"/>
          <w:b/>
          <w:i w:val="false"/>
          <w:caps w:val="false"/>
          <w:smallCaps w:val="false"/>
          <w:sz w:val="32"/>
        </w:rPr>
        <w:t>CERTAIN RELATIONSHIPS AND RELATED PARTY TRANSACTIONS</w:t>
      </w:r>
    </w:p>
    <w:p>
      <w:pPr>
        <w:pStyle w:val="TextBody"/>
        <w:bidi w:val="0"/>
        <w:spacing w:lineRule="auto" w:line="276"/>
        <w:jc w:val="left"/>
        <w:rPr>
          <w:caps w:val="false"/>
          <w:smallCaps w:val="false"/>
        </w:rPr>
      </w:pPr>
      <w:r>
        <w:rPr>
          <w:caps w:val="false"/>
          <w:smallCaps w:val="false"/>
        </w:rPr>
        <w:t> </w:t>
      </w:r>
    </w:p>
    <w:p>
      <w:pPr>
        <w:pStyle w:val="TextBody"/>
        <w:bidi w:val="0"/>
        <w:spacing w:lineRule="auto" w:line="276"/>
        <w:jc w:val="left"/>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Related Party Transactions</w:t>
      </w:r>
    </w:p>
    <w:p>
      <w:pPr>
        <w:pStyle w:val="TextBody"/>
        <w:bidi w:val="0"/>
        <w:spacing w:lineRule="auto" w:line="276"/>
        <w:jc w:val="left"/>
        <w:rPr>
          <w:caps w:val="false"/>
          <w:smallCaps w:val="false"/>
        </w:rPr>
      </w:pPr>
      <w:r>
        <w:rPr>
          <w:caps w:val="false"/>
          <w:smallCaps w:val="false"/>
        </w:rPr>
        <w:t> </w:t>
      </w:r>
    </w:p>
    <w:p>
      <w:pPr>
        <w:pStyle w:val="TextBody"/>
        <w:bidi w:val="0"/>
        <w:spacing w:lineRule="auto" w:line="276"/>
        <w:jc w:val="both"/>
        <w:rPr>
          <w:rFonts w:ascii="Times New Roman;Times;Serif" w:hAnsi="Times New Roman;Times;Serif"/>
          <w:b w:val="false"/>
          <w:i/>
          <w:caps w:val="false"/>
          <w:smallCaps w:val="false"/>
          <w:sz w:val="20"/>
          <w:shd w:fill="FFFFFF" w:val="clear"/>
        </w:rPr>
      </w:pPr>
      <w:r>
        <w:rPr>
          <w:rFonts w:ascii="Times New Roman;Times;Serif" w:hAnsi="Times New Roman;Times;Serif"/>
          <w:b w:val="false"/>
          <w:i/>
          <w:caps w:val="false"/>
          <w:smallCaps w:val="false"/>
          <w:sz w:val="20"/>
          <w:shd w:fill="FFFFFF" w:val="clear"/>
        </w:rPr>
        <w:t>The following includes a summary of transactions since January 1, 2025 to which we have been a party, in which the amount involved in the transaction exceeded $120,000, and in which any of our directors, executive officers or, to our knowledge, beneficial owners of more than 5% of our securities or any member of the immediate family of any of the foregoing persons had or will have a direct or indirect material interest, other than equity and other compensation, termination, change of control and other arrangements, which are described under the section entitled “Executive Compensation”.</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caps w:val="false"/>
          <w:smallCaps w:val="false"/>
          <w:sz w:val="20"/>
          <w:shd w:fill="FFFFFF" w:val="clear"/>
        </w:rPr>
      </w:pPr>
      <w:r>
        <w:rPr>
          <w:rFonts w:ascii="Times New Roman;Times;Serif" w:hAnsi="Times New Roman;Times;Serif"/>
          <w:b/>
          <w:i/>
          <w:caps w:val="false"/>
          <w:smallCaps w:val="false"/>
          <w:sz w:val="20"/>
          <w:shd w:fill="FFFFFF" w:val="clear"/>
        </w:rPr>
        <w:t>Stockholders Agreement</w:t>
      </w:r>
    </w:p>
    <w:p>
      <w:pPr>
        <w:pStyle w:val="TextBody"/>
        <w:bidi w:val="0"/>
        <w:ind w:left="0" w:right="0" w:firstLine="720"/>
        <w:jc w:val="left"/>
        <w:rPr>
          <w:caps w:val="false"/>
          <w:smallCaps w:val="false"/>
        </w:rPr>
      </w:pPr>
      <w:r>
        <w:rPr>
          <w:caps w:val="false"/>
          <w:smallCaps w:val="false"/>
        </w:rPr>
        <w:t> </w:t>
      </w:r>
    </w:p>
    <w:p>
      <w:pPr>
        <w:pStyle w:val="TextBody"/>
        <w:bidi w:val="0"/>
        <w:spacing w:lineRule="auto" w:line="26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 xml:space="preserve">In connection with </w:t>
      </w:r>
      <w:r>
        <w:rPr>
          <w:rFonts w:ascii="Times New Roman;Times;Serif" w:hAnsi="Times New Roman;Times;Serif"/>
          <w:b w:val="false"/>
          <w:i w:val="false"/>
          <w:caps w:val="false"/>
          <w:smallCaps w:val="false"/>
          <w:sz w:val="20"/>
        </w:rPr>
        <w:t>the transactions contemplated by the Agreement and Plan of Merger, dated February 1, 2021</w:t>
      </w:r>
      <w:r>
        <w:rPr>
          <w:rFonts w:ascii="Times New Roman;Times;Serif" w:hAnsi="Times New Roman;Times;Serif"/>
          <w:b w:val="false"/>
          <w:i w:val="false"/>
          <w:caps w:val="false"/>
          <w:smallCaps w:val="false"/>
          <w:sz w:val="20"/>
          <w:shd w:fill="FFFFFF" w:val="clear"/>
        </w:rPr>
        <w:t xml:space="preserve">, the Company, Mr. Yang Wu and Tuscan Holdings Acquisition LLC entered into an agreement (the “Stockholders Agreement”) which provides that Mr. Wu will have the right, but not the obligation, to nominate for election to the Board at every meeting of the stockholders of the Company at which directors are elected a number of individuals (rounded up to the nearest whole number) equal to (a) the total number of directors, multiplied by (b) the quotient obtained by dividing the shares of common stock beneficially owned by Mr. Wu by the total number of outstanding shares of common stock (each, a “Wu Director”) less the number </w:t>
      </w:r>
      <w:r>
        <w:rPr>
          <w:rFonts w:ascii="Times New Roman;Times;Serif" w:hAnsi="Times New Roman;Times;Serif"/>
          <w:b w:val="false"/>
          <w:i w:val="false"/>
          <w:caps w:val="false"/>
          <w:smallCaps w:val="false"/>
          <w:sz w:val="20"/>
        </w:rPr>
        <w:t xml:space="preserve">of </w:t>
      </w:r>
      <w:r>
        <w:rPr>
          <w:rFonts w:ascii="Times New Roman;Times;Serif" w:hAnsi="Times New Roman;Times;Serif"/>
          <w:b w:val="false"/>
          <w:i w:val="false"/>
          <w:caps w:val="false"/>
          <w:smallCaps w:val="false"/>
          <w:sz w:val="20"/>
          <w:shd w:fill="FFFFFF" w:val="clear"/>
        </w:rPr>
        <w:t>Wu Directors then serving on the Board and whose terms in office are not expiring at such meeting. The Stockholders Agreement provides that any increase or decrease in the number of directors will require the affirmative vote of the Wu Directors.</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caps w:val="false"/>
          <w:smallCaps w:val="false"/>
          <w:sz w:val="20"/>
          <w:shd w:fill="FFFFFF" w:val="clear"/>
        </w:rPr>
      </w:pPr>
      <w:r>
        <w:rPr>
          <w:rFonts w:ascii="Times New Roman;Times;Serif" w:hAnsi="Times New Roman;Times;Serif"/>
          <w:b/>
          <w:i/>
          <w:caps w:val="false"/>
          <w:smallCaps w:val="false"/>
          <w:sz w:val="20"/>
          <w:shd w:fill="FFFFFF" w:val="clear"/>
        </w:rPr>
        <w:t>Indemnity Agreements</w:t>
      </w:r>
    </w:p>
    <w:p>
      <w:pPr>
        <w:pStyle w:val="TextBody"/>
        <w:bidi w:val="0"/>
        <w:ind w:left="0" w:right="0" w:firstLine="720"/>
        <w:jc w:val="left"/>
        <w:rPr>
          <w:caps w:val="false"/>
          <w:smallCaps w:val="false"/>
        </w:rPr>
      </w:pPr>
      <w:r>
        <w:rPr>
          <w:caps w:val="false"/>
          <w:smallCaps w:val="false"/>
        </w:rPr>
        <w:t> </w:t>
      </w:r>
    </w:p>
    <w:p>
      <w:pPr>
        <w:pStyle w:val="TextBody"/>
        <w:bidi w:val="0"/>
        <w:spacing w:lineRule="auto" w:line="276"/>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Company has entered into indemnity agreements with certain of its executive officers and directors. These agreements provide, among other things, that the Company will indemnify the executive officer or director, under the circumstances and to the extent provided for in the agreement, for expenses, damages, judgments, fines and settlements he or she may be required to pay in actions or proceedings which he or she is or may be made a party by reason of his or her position as a director, officer or other agent of the Company, and otherwise to the fullest extent permitted under Delaware law and the Company’s bylaws.</w:t>
      </w:r>
    </w:p>
    <w:p>
      <w:pPr>
        <w:pStyle w:val="TextBody"/>
        <w:bidi w:val="0"/>
        <w:spacing w:lineRule="auto" w:line="276"/>
        <w:jc w:val="both"/>
        <w:rPr>
          <w:caps w:val="false"/>
          <w:smallCaps w:val="false"/>
        </w:rPr>
      </w:pPr>
      <w:r>
        <w:rPr>
          <w:caps w:val="false"/>
          <w:smallCaps w:val="false"/>
        </w:rPr>
        <w:t> </w:t>
      </w:r>
    </w:p>
    <w:p>
      <w:pPr>
        <w:pStyle w:val="TextBody"/>
        <w:bidi w:val="0"/>
        <w:spacing w:lineRule="auto" w:line="276"/>
        <w:jc w:val="both"/>
        <w:rPr>
          <w:rFonts w:ascii="Times New Roman;Times;Serif" w:hAnsi="Times New Roman;Times;Serif"/>
          <w:b/>
          <w:i/>
          <w:caps w:val="false"/>
          <w:smallCaps w:val="false"/>
          <w:sz w:val="20"/>
          <w:shd w:fill="FFFFFF" w:val="clear"/>
        </w:rPr>
      </w:pPr>
      <w:r>
        <w:rPr>
          <w:rFonts w:ascii="Times New Roman;Times;Serif" w:hAnsi="Times New Roman;Times;Serif"/>
          <w:b/>
          <w:i/>
          <w:caps w:val="false"/>
          <w:smallCaps w:val="false"/>
          <w:sz w:val="20"/>
          <w:shd w:fill="FFFFFF" w:val="clear"/>
        </w:rPr>
        <w:t>Convertible Loan Agreement</w:t>
      </w:r>
    </w:p>
    <w:p>
      <w:pPr>
        <w:pStyle w:val="TextBody"/>
        <w:bidi w:val="0"/>
        <w:spacing w:lineRule="auto" w:line="276"/>
        <w:jc w:val="both"/>
        <w:rPr>
          <w:caps w:val="false"/>
          <w:smallCaps w:val="false"/>
        </w:rPr>
      </w:pPr>
      <w:r>
        <w:rPr>
          <w:caps w:val="false"/>
          <w:smallCaps w:val="false"/>
        </w:rPr>
        <w:t> </w:t>
      </w:r>
    </w:p>
    <w:p>
      <w:pPr>
        <w:pStyle w:val="TextBody"/>
        <w:bidi w:val="0"/>
        <w:spacing w:lineRule="auto" w:line="276"/>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On May 28, 2024, the Company entered into a Loan and Security Agreement (the “Loan Agreement”) with Mr. Yang Wu, the Company’s Chief Executive Officer and Chairman, pursuant to which Mr. Wu provided an initial term loan of $12,000,000 and a delayed draw term loan of $13,000,000 at an initial interest rate equal to the Secured Overnight Financing Rate plus an applicable margin of 9.75% per annum. Of this margin, 3.75% was to be paid in kind, with the remainder payable in cash. In connection with the Loan Agreement, on May 28, 2024, the Company issued to Mr. Wu a warrant (the “Warrant”) exercisable, in whole or in part (in increments of 100,000 shares), for 5,500,000 shares of our Common Stock (as may be adjusted in accordance with the terms of the Warrant) at an initial exercise price of $2.00 per share (as may be adjusted in accordance with the terms of the Warrant). The Warrant expires on May 28, 2029.</w:t>
      </w:r>
    </w:p>
    <w:p>
      <w:pPr>
        <w:pStyle w:val="TextBody"/>
        <w:bidi w:val="0"/>
        <w:spacing w:lineRule="auto" w:line="276"/>
        <w:jc w:val="both"/>
        <w:rPr>
          <w:caps w:val="false"/>
          <w:smallCaps w:val="false"/>
        </w:rPr>
      </w:pPr>
      <w:r>
        <w:rPr>
          <w:caps w:val="false"/>
          <w:smallCaps w:val="false"/>
        </w:rPr>
        <w:t> </w:t>
      </w:r>
    </w:p>
    <w:p>
      <w:pPr>
        <w:pStyle w:val="TextBody"/>
        <w:bidi w:val="0"/>
        <w:spacing w:lineRule="auto" w:line="276"/>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Loan Agreement’s original maturity date of November 28, 2025 was extended to May 28, 2026 by the First Amendment to Loan and Security Agreement, which was entered into by and among the Company, Mr. Wu and the other parties thereto on March 17, 2025. The Loan Agreement, among other things, also provided Mr. Wu and any permitted successors and assigns of Mr. Wu with the right to convert the outstanding principal balance of the Loan, in whole or in part in increments of $100,000, into shares of our Common Stock. On May 28, 2026, Mr. Wu converted the outstanding convertible loan into 50,000,000 shares of our Common Stock.</w:t>
      </w:r>
    </w:p>
    <w:p>
      <w:pPr>
        <w:pStyle w:val="TextBody"/>
        <w:bidi w:val="0"/>
        <w:spacing w:lineRule="auto" w:line="276"/>
        <w:jc w:val="both"/>
        <w:rPr>
          <w:caps w:val="false"/>
          <w:smallCaps w:val="false"/>
          <w:shd w:fill="FFFFFF" w:val="clear"/>
        </w:rPr>
      </w:pPr>
      <w:r>
        <w:rPr>
          <w:caps w:val="false"/>
          <w:smallCaps w:val="false"/>
          <w:shd w:fill="FFFFFF" w:val="clear"/>
        </w:rPr>
        <w:t> </w:t>
      </w:r>
    </w:p>
    <w:p>
      <w:pPr>
        <w:pStyle w:val="TextBody"/>
        <w:bidi w:val="0"/>
        <w:spacing w:lineRule="auto" w:line="276"/>
        <w:jc w:val="both"/>
        <w:rPr>
          <w:caps w:val="false"/>
          <w:smallCaps w:val="false"/>
          <w:shd w:fill="FFFFFF" w:val="clear"/>
        </w:rPr>
      </w:pPr>
      <w:r>
        <w:rPr>
          <w:caps w:val="false"/>
          <w:smallCaps w:val="false"/>
          <w:shd w:fill="FFFFFF" w:val="clear"/>
        </w:rPr>
        <w:t> </w:t>
      </w:r>
    </w:p>
    <w:tbl>
      <w:tblPr>
        <w:tblW w:w="590" w:type="dxa"/>
        <w:jc w:val="left"/>
        <w:tblInd w:w="0" w:type="dxa"/>
        <w:tblLayout w:type="fixed"/>
        <w:tblCellMar>
          <w:top w:w="0" w:type="dxa"/>
          <w:left w:w="0" w:type="dxa"/>
          <w:bottom w:w="0" w:type="dxa"/>
          <w:right w:w="0" w:type="dxa"/>
        </w:tblCellMar>
      </w:tblPr>
      <w:tblGrid>
        <w:gridCol w:w="105"/>
        <w:gridCol w:w="350"/>
        <w:gridCol w:w="135"/>
      </w:tblGrid>
      <w:tr>
        <w:trPr/>
        <w:tc>
          <w:tcPr>
            <w:tcW w:w="10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 </w:t>
            </w:r>
            <w:r>
              <w:rPr/>
              <w:t>43</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lineRule="auto" w:line="333"/>
        <w:jc w:val="left"/>
        <w:rPr>
          <w:rFonts w:ascii="Times New Roman;Times;Serif" w:hAnsi="Times New Roman;Times;Serif"/>
          <w:b/>
          <w:i w:val="false"/>
          <w:caps w:val="false"/>
          <w:smallCaps w:val="false"/>
          <w:sz w:val="32"/>
        </w:rPr>
      </w:pPr>
      <w:bookmarkStart w:id="13" w:name="security"/>
      <w:bookmarkEnd w:id="13"/>
      <w:r>
        <w:rPr>
          <w:rFonts w:ascii="Times New Roman;Times;Serif" w:hAnsi="Times New Roman;Times;Serif"/>
          <w:b/>
          <w:i w:val="false"/>
          <w:caps w:val="false"/>
          <w:smallCaps w:val="false"/>
          <w:sz w:val="32"/>
        </w:rPr>
        <w:t>SECURITY OWNERSHIP OF CERTAIN BENEFICIAL OWNERS AND MANAGEMENT AND RELATED STOCKHOLDER MATTERS</w:t>
      </w:r>
    </w:p>
    <w:p>
      <w:pPr>
        <w:pStyle w:val="TextBody"/>
        <w:bidi w:val="0"/>
        <w:spacing w:lineRule="auto" w:line="316"/>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following table sets forth information regarding the beneficial ownership of our common stock as of the Record Date, by:</w:t>
      </w:r>
    </w:p>
    <w:p>
      <w:pPr>
        <w:pStyle w:val="TextBody"/>
        <w:bidi w:val="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3"/>
        <w:gridCol w:w="151"/>
        <w:gridCol w:w="9981"/>
      </w:tblGrid>
      <w:tr>
        <w:trPr/>
        <w:tc>
          <w:tcPr>
            <w:tcW w:w="7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pPr>
            <w:r>
              <w:rPr/>
              <w:t>•</w:t>
            </w:r>
          </w:p>
        </w:tc>
        <w:tc>
          <w:tcPr>
            <w:tcW w:w="9981" w:type="dxa"/>
            <w:tcBorders/>
            <w:vAlign w:val="center"/>
          </w:tcPr>
          <w:p>
            <w:pPr>
              <w:pStyle w:val="TableContents"/>
              <w:bidi w:val="0"/>
              <w:spacing w:before="0" w:after="283"/>
              <w:jc w:val="both"/>
              <w:rPr>
                <w:sz w:val="20"/>
                <w:shd w:fill="FFFFFF" w:val="clear"/>
              </w:rPr>
            </w:pPr>
            <w:r>
              <w:rPr>
                <w:sz w:val="20"/>
                <w:shd w:fill="FFFFFF" w:val="clear"/>
              </w:rPr>
              <w:t>each person known by us to be the beneficial owner of more than 5% of our outstanding shares of common stock;</w:t>
            </w:r>
          </w:p>
        </w:tc>
      </w:tr>
    </w:tbl>
    <w:tbl>
      <w:tblPr>
        <w:tblW w:w="5000" w:type="pct"/>
        <w:jc w:val="left"/>
        <w:tblInd w:w="0" w:type="dxa"/>
        <w:tblLayout w:type="fixed"/>
        <w:tblCellMar>
          <w:top w:w="0" w:type="dxa"/>
          <w:left w:w="0" w:type="dxa"/>
          <w:bottom w:w="0" w:type="dxa"/>
          <w:right w:w="0" w:type="dxa"/>
        </w:tblCellMar>
      </w:tblPr>
      <w:tblGrid>
        <w:gridCol w:w="178"/>
        <w:gridCol w:w="367"/>
        <w:gridCol w:w="9660"/>
      </w:tblGrid>
      <w:tr>
        <w:trPr/>
        <w:tc>
          <w:tcPr>
            <w:tcW w:w="178"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pPr>
            <w:r>
              <w:rPr/>
              <w:t>•</w:t>
            </w:r>
          </w:p>
        </w:tc>
        <w:tc>
          <w:tcPr>
            <w:tcW w:w="9660" w:type="dxa"/>
            <w:tcBorders/>
            <w:vAlign w:val="center"/>
          </w:tcPr>
          <w:p>
            <w:pPr>
              <w:pStyle w:val="TableContents"/>
              <w:bidi w:val="0"/>
              <w:spacing w:before="0" w:after="283"/>
              <w:jc w:val="both"/>
              <w:rPr>
                <w:sz w:val="20"/>
                <w:shd w:fill="FFFFFF" w:val="clear"/>
              </w:rPr>
            </w:pPr>
            <w:r>
              <w:rPr>
                <w:sz w:val="20"/>
                <w:shd w:fill="FFFFFF" w:val="clear"/>
              </w:rPr>
              <w:t>each NEO and director of the Company; and</w:t>
            </w:r>
          </w:p>
        </w:tc>
      </w:tr>
    </w:tbl>
    <w:tbl>
      <w:tblPr>
        <w:tblW w:w="5000" w:type="pct"/>
        <w:jc w:val="left"/>
        <w:tblInd w:w="0" w:type="dxa"/>
        <w:tblLayout w:type="fixed"/>
        <w:tblCellMar>
          <w:top w:w="0" w:type="dxa"/>
          <w:left w:w="0" w:type="dxa"/>
          <w:bottom w:w="0" w:type="dxa"/>
          <w:right w:w="0" w:type="dxa"/>
        </w:tblCellMar>
      </w:tblPr>
      <w:tblGrid>
        <w:gridCol w:w="153"/>
        <w:gridCol w:w="315"/>
        <w:gridCol w:w="9737"/>
      </w:tblGrid>
      <w:tr>
        <w:trPr/>
        <w:tc>
          <w:tcPr>
            <w:tcW w:w="153"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pPr>
            <w:r>
              <w:rPr/>
              <w:t>•</w:t>
            </w:r>
          </w:p>
        </w:tc>
        <w:tc>
          <w:tcPr>
            <w:tcW w:w="9737" w:type="dxa"/>
            <w:tcBorders/>
            <w:vAlign w:val="center"/>
          </w:tcPr>
          <w:p>
            <w:pPr>
              <w:pStyle w:val="TableContents"/>
              <w:bidi w:val="0"/>
              <w:spacing w:before="0" w:after="283"/>
              <w:jc w:val="both"/>
              <w:rPr>
                <w:sz w:val="20"/>
                <w:shd w:fill="FFFFFF" w:val="clear"/>
              </w:rPr>
            </w:pPr>
            <w:r>
              <w:rPr>
                <w:sz w:val="20"/>
                <w:shd w:fill="FFFFFF" w:val="clear"/>
              </w:rPr>
              <w:t>all of our executive officers and directors as a group.</w:t>
            </w:r>
          </w:p>
        </w:tc>
      </w:tr>
    </w:tbl>
    <w:p>
      <w:pPr>
        <w:pStyle w:val="TextBody"/>
        <w:bidi w:val="0"/>
        <w:jc w:val="both"/>
        <w:rPr>
          <w:caps w:val="false"/>
          <w:smallCaps w:val="false"/>
        </w:rPr>
      </w:pPr>
      <w:r>
        <w:rPr>
          <w:caps w:val="false"/>
          <w:smallCaps w:val="false"/>
        </w:rPr>
        <w:t> </w:t>
      </w:r>
    </w:p>
    <w:p>
      <w:pPr>
        <w:pStyle w:val="TextBody"/>
        <w:bidi w:val="0"/>
        <w:spacing w:before="0" w:after="24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Beneficial ownership is determined according to the rules of the SEC, which generally provide that a person has beneficial ownership of a security if he, she or it possesses sole or shared voting or investment power over that security, including RSUs that will settle and stock options and warrants that are currently exercisable or will be exercisable within 60 days.</w:t>
      </w:r>
    </w:p>
    <w:tbl>
      <w:tblPr>
        <w:tblW w:w="8870" w:type="dxa"/>
        <w:jc w:val="left"/>
        <w:tblInd w:w="0" w:type="dxa"/>
        <w:tblLayout w:type="fixed"/>
        <w:tblCellMar>
          <w:top w:w="0" w:type="dxa"/>
          <w:left w:w="0" w:type="dxa"/>
          <w:bottom w:w="28" w:type="dxa"/>
          <w:right w:w="0" w:type="dxa"/>
        </w:tblCellMar>
      </w:tblPr>
      <w:tblGrid>
        <w:gridCol w:w="5255"/>
        <w:gridCol w:w="90"/>
        <w:gridCol w:w="1565"/>
        <w:gridCol w:w="90"/>
        <w:gridCol w:w="1870"/>
      </w:tblGrid>
      <w:tr>
        <w:trPr/>
        <w:tc>
          <w:tcPr>
            <w:tcW w:w="5255" w:type="dxa"/>
            <w:tcBorders>
              <w:bottom w:val="single" w:sz="8" w:space="0" w:color="000000"/>
            </w:tcBorders>
            <w:vAlign w:val="center"/>
          </w:tcPr>
          <w:p>
            <w:pPr>
              <w:pStyle w:val="TableContents"/>
              <w:bidi w:val="0"/>
              <w:spacing w:lineRule="auto" w:line="276" w:before="0" w:after="283"/>
              <w:jc w:val="left"/>
              <w:rPr>
                <w:sz w:val="20"/>
              </w:rPr>
            </w:pPr>
            <w:r>
              <w:rPr>
                <w:b/>
                <w:sz w:val="20"/>
              </w:rPr>
              <w:t>Names and Addresses of Beneficial Owners</w:t>
            </w:r>
            <w:r>
              <w:rPr>
                <w:position w:val="7"/>
                <w:sz w:val="16"/>
                <w:sz w:val="20"/>
              </w:rPr>
              <w:t>(1)</w:t>
            </w:r>
          </w:p>
        </w:tc>
        <w:tc>
          <w:tcPr>
            <w:tcW w:w="90" w:type="dxa"/>
            <w:tcBorders/>
            <w:tcMar>
              <w:bottom w:w="0" w:type="dxa"/>
            </w:tcMar>
            <w:vAlign w:val="center"/>
          </w:tcPr>
          <w:p>
            <w:pPr>
              <w:pStyle w:val="TableContents"/>
              <w:bidi w:val="0"/>
              <w:spacing w:before="0" w:after="283"/>
              <w:jc w:val="left"/>
              <w:rPr/>
            </w:pPr>
            <w:r>
              <w:rPr/>
              <w:t> </w:t>
            </w:r>
          </w:p>
        </w:tc>
        <w:tc>
          <w:tcPr>
            <w:tcW w:w="1565" w:type="dxa"/>
            <w:tcBorders>
              <w:bottom w:val="single" w:sz="8" w:space="0" w:color="000000"/>
            </w:tcBorders>
            <w:vAlign w:val="center"/>
          </w:tcPr>
          <w:p>
            <w:pPr>
              <w:pStyle w:val="TableContents"/>
              <w:bidi w:val="0"/>
              <w:spacing w:lineRule="auto" w:line="276" w:before="0" w:after="283"/>
              <w:jc w:val="center"/>
              <w:rPr>
                <w:b/>
                <w:sz w:val="20"/>
              </w:rPr>
            </w:pPr>
            <w:r>
              <w:rPr>
                <w:b/>
                <w:sz w:val="20"/>
              </w:rPr>
              <w:t>Number of Shares</w:t>
            </w:r>
          </w:p>
        </w:tc>
        <w:tc>
          <w:tcPr>
            <w:tcW w:w="90" w:type="dxa"/>
            <w:tcBorders/>
            <w:tcMar>
              <w:bottom w:w="0" w:type="dxa"/>
            </w:tcMar>
            <w:vAlign w:val="center"/>
          </w:tcPr>
          <w:p>
            <w:pPr>
              <w:pStyle w:val="TableContents"/>
              <w:bidi w:val="0"/>
              <w:spacing w:before="0" w:after="283"/>
              <w:jc w:val="left"/>
              <w:rPr/>
            </w:pPr>
            <w:r>
              <w:rPr/>
              <w:t> </w:t>
            </w:r>
          </w:p>
        </w:tc>
        <w:tc>
          <w:tcPr>
            <w:tcW w:w="1870" w:type="dxa"/>
            <w:tcBorders>
              <w:bottom w:val="single" w:sz="8" w:space="0" w:color="000000"/>
            </w:tcBorders>
            <w:vAlign w:val="center"/>
          </w:tcPr>
          <w:p>
            <w:pPr>
              <w:pStyle w:val="TableContents"/>
              <w:bidi w:val="0"/>
              <w:spacing w:lineRule="auto" w:line="276" w:before="65" w:after="65"/>
              <w:ind w:left="65" w:right="65"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Percent Beneficially</w:t>
            </w:r>
          </w:p>
          <w:p>
            <w:pPr>
              <w:pStyle w:val="TableContents"/>
              <w:bidi w:val="0"/>
              <w:spacing w:lineRule="auto" w:line="276" w:before="0" w:after="2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Owned</w:t>
            </w:r>
            <w:r>
              <w:rPr>
                <w:rFonts w:ascii="Times New Roman;Times;Serif" w:hAnsi="Times New Roman;Times;Serif"/>
                <w:b w:val="false"/>
                <w:i w:val="false"/>
                <w:caps w:val="false"/>
                <w:smallCaps w:val="false"/>
                <w:position w:val="7"/>
                <w:sz w:val="16"/>
                <w:sz w:val="20"/>
              </w:rPr>
              <w:t>(2)</w:t>
            </w:r>
          </w:p>
        </w:tc>
      </w:tr>
      <w:tr>
        <w:trPr/>
        <w:tc>
          <w:tcPr>
            <w:tcW w:w="5255" w:type="dxa"/>
            <w:tcBorders>
              <w:bottom w:val="single" w:sz="8" w:space="0" w:color="000000"/>
            </w:tcBorders>
            <w:shd w:fill="CCEEFF" w:val="clear"/>
            <w:vAlign w:val="center"/>
          </w:tcPr>
          <w:p>
            <w:pPr>
              <w:pStyle w:val="TableContents"/>
              <w:bidi w:val="0"/>
              <w:spacing w:lineRule="auto" w:line="273" w:before="0" w:after="283"/>
              <w:jc w:val="left"/>
              <w:rPr>
                <w:sz w:val="20"/>
              </w:rPr>
            </w:pPr>
            <w:r>
              <w:rPr>
                <w:sz w:val="20"/>
              </w:rPr>
              <w:t>Directors and Executive Officers: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65" w:type="dxa"/>
            <w:tcBorders>
              <w:bottom w:val="single" w:sz="8" w:space="0" w:color="000000"/>
            </w:tcBorders>
            <w:shd w:fill="CCEEFF" w:val="clear"/>
            <w:vAlign w:val="center"/>
          </w:tcPr>
          <w:p>
            <w:pPr>
              <w:pStyle w:val="TableContents"/>
              <w:bidi w:val="0"/>
              <w:spacing w:before="0" w:after="283"/>
              <w:jc w:val="right"/>
              <w:rPr/>
            </w:pPr>
            <w:r>
              <w:rPr/>
              <w:t> </w:t>
            </w:r>
          </w:p>
        </w:tc>
        <w:tc>
          <w:tcPr>
            <w:tcW w:w="90" w:type="dxa"/>
            <w:tcBorders/>
            <w:shd w:fill="CCEEFF" w:val="clear"/>
            <w:tcMar>
              <w:bottom w:w="0" w:type="dxa"/>
            </w:tcMar>
            <w:vAlign w:val="center"/>
          </w:tcPr>
          <w:p>
            <w:pPr>
              <w:pStyle w:val="TableContents"/>
              <w:bidi w:val="0"/>
              <w:spacing w:before="0" w:after="283"/>
              <w:jc w:val="right"/>
              <w:rPr/>
            </w:pPr>
            <w:r>
              <w:rPr/>
              <w:t> </w:t>
            </w:r>
          </w:p>
        </w:tc>
        <w:tc>
          <w:tcPr>
            <w:tcW w:w="1870" w:type="dxa"/>
            <w:tcBorders>
              <w:bottom w:val="single" w:sz="8" w:space="0" w:color="000000"/>
            </w:tcBorders>
            <w:shd w:fill="CCEEFF" w:val="clear"/>
            <w:vAlign w:val="center"/>
          </w:tcPr>
          <w:p>
            <w:pPr>
              <w:pStyle w:val="TableContents"/>
              <w:bidi w:val="0"/>
              <w:spacing w:before="0" w:after="283"/>
              <w:jc w:val="right"/>
              <w:rPr/>
            </w:pPr>
            <w:r>
              <w:rPr/>
              <w:t> </w:t>
            </w:r>
          </w:p>
        </w:tc>
      </w:tr>
      <w:tr>
        <w:trPr/>
        <w:tc>
          <w:tcPr>
            <w:tcW w:w="5255" w:type="dxa"/>
            <w:tcBorders/>
            <w:shd w:fill="FFFFFF" w:val="clear"/>
            <w:tcMar>
              <w:bottom w:w="0" w:type="dxa"/>
            </w:tcMar>
            <w:vAlign w:val="center"/>
          </w:tcPr>
          <w:p>
            <w:pPr>
              <w:pStyle w:val="TableContents"/>
              <w:bidi w:val="0"/>
              <w:spacing w:lineRule="auto" w:line="273" w:before="0" w:after="283"/>
              <w:jc w:val="left"/>
              <w:rPr>
                <w:sz w:val="20"/>
              </w:rPr>
            </w:pPr>
            <w:r>
              <w:rPr>
                <w:sz w:val="20"/>
              </w:rPr>
              <w:t>Yang Wu</w:t>
            </w:r>
            <w:r>
              <w:rPr>
                <w:position w:val="7"/>
                <w:sz w:val="16"/>
                <w:sz w:val="20"/>
              </w:rPr>
              <w:t>(3)</w:t>
            </w:r>
          </w:p>
        </w:tc>
        <w:tc>
          <w:tcPr>
            <w:tcW w:w="90" w:type="dxa"/>
            <w:tcBorders/>
            <w:shd w:fill="FFFFFF" w:val="clear"/>
            <w:tcMar>
              <w:bottom w:w="0" w:type="dxa"/>
            </w:tcMar>
            <w:vAlign w:val="center"/>
          </w:tcPr>
          <w:p>
            <w:pPr>
              <w:pStyle w:val="TableContents"/>
              <w:bidi w:val="0"/>
              <w:spacing w:lineRule="auto" w:line="288" w:before="0" w:after="283"/>
              <w:jc w:val="left"/>
              <w:rPr/>
            </w:pPr>
            <w:r>
              <w:rPr/>
              <w:t> </w:t>
            </w:r>
          </w:p>
        </w:tc>
        <w:tc>
          <w:tcPr>
            <w:tcW w:w="1565" w:type="dxa"/>
            <w:tcBorders/>
            <w:shd w:fill="FFFFFF" w:val="clear"/>
            <w:tcMar>
              <w:bottom w:w="0" w:type="dxa"/>
            </w:tcMar>
            <w:vAlign w:val="center"/>
          </w:tcPr>
          <w:p>
            <w:pPr>
              <w:pStyle w:val="TableContents"/>
              <w:bidi w:val="0"/>
              <w:spacing w:lineRule="auto" w:line="288" w:before="0" w:after="283"/>
              <w:jc w:val="right"/>
              <w:rPr/>
            </w:pPr>
            <w:r>
              <w:rPr/>
              <w:t> </w:t>
            </w:r>
            <w:r>
              <w:rPr>
                <w:sz w:val="20"/>
              </w:rPr>
              <w:t xml:space="preserve">140,084,820 </w:t>
            </w:r>
          </w:p>
        </w:tc>
        <w:tc>
          <w:tcPr>
            <w:tcW w:w="90" w:type="dxa"/>
            <w:tcBorders/>
            <w:shd w:fill="FFFFFF" w:val="clear"/>
            <w:tcMar>
              <w:bottom w:w="0" w:type="dxa"/>
            </w:tcMar>
            <w:vAlign w:val="center"/>
          </w:tcPr>
          <w:p>
            <w:pPr>
              <w:pStyle w:val="TableContents"/>
              <w:bidi w:val="0"/>
              <w:spacing w:lineRule="auto" w:line="288" w:before="0" w:after="283"/>
              <w:jc w:val="right"/>
              <w:rPr/>
            </w:pPr>
            <w:r>
              <w:rPr/>
              <w:t> </w:t>
            </w:r>
          </w:p>
        </w:tc>
        <w:tc>
          <w:tcPr>
            <w:tcW w:w="1870" w:type="dxa"/>
            <w:tcBorders/>
            <w:shd w:fill="FFFFFF" w:val="clear"/>
            <w:tcMar>
              <w:bottom w:w="0" w:type="dxa"/>
            </w:tcMar>
            <w:vAlign w:val="center"/>
          </w:tcPr>
          <w:p>
            <w:pPr>
              <w:pStyle w:val="TableContents"/>
              <w:bidi w:val="0"/>
              <w:spacing w:lineRule="auto" w:line="288" w:before="0" w:after="283"/>
              <w:jc w:val="right"/>
              <w:rPr>
                <w:sz w:val="20"/>
              </w:rPr>
            </w:pPr>
            <w:r>
              <w:rPr>
                <w:sz w:val="20"/>
              </w:rPr>
              <w:t>35.8%</w:t>
            </w:r>
          </w:p>
        </w:tc>
      </w:tr>
      <w:tr>
        <w:trPr/>
        <w:tc>
          <w:tcPr>
            <w:tcW w:w="5255" w:type="dxa"/>
            <w:tcBorders/>
            <w:shd w:fill="CCEEFF" w:val="clear"/>
            <w:tcMar>
              <w:bottom w:w="0" w:type="dxa"/>
            </w:tcMar>
            <w:vAlign w:val="center"/>
          </w:tcPr>
          <w:p>
            <w:pPr>
              <w:pStyle w:val="TableContents"/>
              <w:bidi w:val="0"/>
              <w:spacing w:lineRule="auto" w:line="276" w:before="0" w:after="283"/>
              <w:jc w:val="left"/>
              <w:rPr>
                <w:sz w:val="20"/>
              </w:rPr>
            </w:pPr>
            <w:r>
              <w:rPr>
                <w:sz w:val="20"/>
              </w:rPr>
              <w:t>Wei Ying</w:t>
            </w:r>
          </w:p>
        </w:tc>
        <w:tc>
          <w:tcPr>
            <w:tcW w:w="90" w:type="dxa"/>
            <w:tcBorders/>
            <w:shd w:fill="CCEEFF" w:val="clear"/>
            <w:tcMar>
              <w:bottom w:w="0" w:type="dxa"/>
            </w:tcMar>
            <w:vAlign w:val="center"/>
          </w:tcPr>
          <w:p>
            <w:pPr>
              <w:pStyle w:val="TableContents"/>
              <w:bidi w:val="0"/>
              <w:spacing w:lineRule="auto" w:line="288" w:before="0" w:after="283"/>
              <w:jc w:val="left"/>
              <w:rPr/>
            </w:pPr>
            <w:r>
              <w:rPr/>
              <w:t> </w:t>
            </w:r>
          </w:p>
        </w:tc>
        <w:tc>
          <w:tcPr>
            <w:tcW w:w="1565" w:type="dxa"/>
            <w:tcBorders/>
            <w:shd w:fill="CCEEFF" w:val="clear"/>
            <w:tcMar>
              <w:bottom w:w="0" w:type="dxa"/>
            </w:tcMar>
            <w:vAlign w:val="center"/>
          </w:tcPr>
          <w:p>
            <w:pPr>
              <w:pStyle w:val="TableContents"/>
              <w:bidi w:val="0"/>
              <w:spacing w:lineRule="auto" w:line="273" w:before="0" w:after="283"/>
              <w:jc w:val="right"/>
              <w:rPr>
                <w:sz w:val="20"/>
              </w:rPr>
            </w:pPr>
            <w:r>
              <w:rPr>
                <w:sz w:val="20"/>
              </w:rPr>
              <w:t>323,699</w:t>
            </w:r>
          </w:p>
        </w:tc>
        <w:tc>
          <w:tcPr>
            <w:tcW w:w="90" w:type="dxa"/>
            <w:tcBorders/>
            <w:shd w:fill="CCEEFF" w:val="clear"/>
            <w:tcMar>
              <w:bottom w:w="0" w:type="dxa"/>
            </w:tcMar>
            <w:vAlign w:val="center"/>
          </w:tcPr>
          <w:p>
            <w:pPr>
              <w:pStyle w:val="TableContents"/>
              <w:bidi w:val="0"/>
              <w:spacing w:lineRule="auto" w:line="288" w:before="0" w:after="283"/>
              <w:jc w:val="right"/>
              <w:rPr/>
            </w:pPr>
            <w:r>
              <w:rPr/>
              <w:t> </w:t>
            </w:r>
          </w:p>
        </w:tc>
        <w:tc>
          <w:tcPr>
            <w:tcW w:w="1870" w:type="dxa"/>
            <w:tcBorders/>
            <w:shd w:fill="CCEEFF" w:val="clear"/>
            <w:tcMar>
              <w:bottom w:w="0" w:type="dxa"/>
            </w:tcMar>
            <w:vAlign w:val="center"/>
          </w:tcPr>
          <w:p>
            <w:pPr>
              <w:pStyle w:val="TableContents"/>
              <w:bidi w:val="0"/>
              <w:spacing w:lineRule="auto" w:line="273" w:before="0" w:after="283"/>
              <w:jc w:val="right"/>
              <w:rPr>
                <w:sz w:val="20"/>
              </w:rPr>
            </w:pPr>
            <w:r>
              <w:rPr>
                <w:sz w:val="20"/>
              </w:rPr>
              <w:t>*</w:t>
            </w:r>
          </w:p>
        </w:tc>
      </w:tr>
      <w:tr>
        <w:trPr/>
        <w:tc>
          <w:tcPr>
            <w:tcW w:w="5255" w:type="dxa"/>
            <w:tcBorders/>
            <w:tcMar>
              <w:bottom w:w="0" w:type="dxa"/>
            </w:tcMar>
            <w:vAlign w:val="center"/>
          </w:tcPr>
          <w:p>
            <w:pPr>
              <w:pStyle w:val="TableContents"/>
              <w:bidi w:val="0"/>
              <w:spacing w:lineRule="auto" w:line="276" w:before="0" w:after="283"/>
              <w:jc w:val="left"/>
              <w:rPr>
                <w:sz w:val="20"/>
              </w:rPr>
            </w:pPr>
            <w:r>
              <w:rPr>
                <w:sz w:val="20"/>
              </w:rPr>
              <w:t>Yixin Pan</w:t>
            </w:r>
          </w:p>
        </w:tc>
        <w:tc>
          <w:tcPr>
            <w:tcW w:w="90" w:type="dxa"/>
            <w:tcBorders/>
            <w:tcMar>
              <w:bottom w:w="0" w:type="dxa"/>
            </w:tcMar>
            <w:vAlign w:val="center"/>
          </w:tcPr>
          <w:p>
            <w:pPr>
              <w:pStyle w:val="TableContents"/>
              <w:bidi w:val="0"/>
              <w:spacing w:lineRule="auto" w:line="288" w:before="0" w:after="283"/>
              <w:jc w:val="left"/>
              <w:rPr/>
            </w:pPr>
            <w:r>
              <w:rPr/>
              <w:t> </w:t>
            </w:r>
          </w:p>
        </w:tc>
        <w:tc>
          <w:tcPr>
            <w:tcW w:w="1565" w:type="dxa"/>
            <w:tcBorders/>
            <w:shd w:fill="FFFFFF" w:val="clear"/>
            <w:tcMar>
              <w:bottom w:w="0" w:type="dxa"/>
            </w:tcMar>
            <w:vAlign w:val="center"/>
          </w:tcPr>
          <w:p>
            <w:pPr>
              <w:pStyle w:val="TableContents"/>
              <w:bidi w:val="0"/>
              <w:spacing w:lineRule="auto" w:line="273" w:before="0" w:after="283"/>
              <w:jc w:val="right"/>
              <w:rPr>
                <w:sz w:val="20"/>
              </w:rPr>
            </w:pPr>
            <w:r>
              <w:rPr>
                <w:sz w:val="20"/>
              </w:rPr>
              <w:t>130,739</w:t>
            </w:r>
          </w:p>
        </w:tc>
        <w:tc>
          <w:tcPr>
            <w:tcW w:w="90" w:type="dxa"/>
            <w:tcBorders/>
            <w:shd w:fill="FFFFFF" w:val="clear"/>
            <w:tcMar>
              <w:bottom w:w="0" w:type="dxa"/>
            </w:tcMar>
            <w:vAlign w:val="center"/>
          </w:tcPr>
          <w:p>
            <w:pPr>
              <w:pStyle w:val="TableContents"/>
              <w:bidi w:val="0"/>
              <w:spacing w:lineRule="auto" w:line="288" w:before="0" w:after="283"/>
              <w:jc w:val="right"/>
              <w:rPr/>
            </w:pPr>
            <w:r>
              <w:rPr/>
              <w:t> </w:t>
            </w:r>
          </w:p>
        </w:tc>
        <w:tc>
          <w:tcPr>
            <w:tcW w:w="1870" w:type="dxa"/>
            <w:tcBorders/>
            <w:shd w:fill="FFFFFF" w:val="clear"/>
            <w:tcMar>
              <w:bottom w:w="0" w:type="dxa"/>
            </w:tcMar>
            <w:vAlign w:val="center"/>
          </w:tcPr>
          <w:p>
            <w:pPr>
              <w:pStyle w:val="TableContents"/>
              <w:bidi w:val="0"/>
              <w:spacing w:lineRule="auto" w:line="273" w:before="0" w:after="283"/>
              <w:jc w:val="right"/>
              <w:rPr>
                <w:sz w:val="20"/>
              </w:rPr>
            </w:pPr>
            <w:r>
              <w:rPr>
                <w:sz w:val="20"/>
              </w:rPr>
              <w:t>*</w:t>
            </w:r>
          </w:p>
        </w:tc>
      </w:tr>
      <w:tr>
        <w:trPr/>
        <w:tc>
          <w:tcPr>
            <w:tcW w:w="5255" w:type="dxa"/>
            <w:tcBorders/>
            <w:shd w:fill="CCEEFF" w:val="clear"/>
            <w:tcMar>
              <w:bottom w:w="0" w:type="dxa"/>
            </w:tcMar>
            <w:vAlign w:val="center"/>
          </w:tcPr>
          <w:p>
            <w:pPr>
              <w:pStyle w:val="TableContents"/>
              <w:bidi w:val="0"/>
              <w:spacing w:lineRule="auto" w:line="276" w:before="0" w:after="283"/>
              <w:jc w:val="left"/>
              <w:rPr>
                <w:sz w:val="20"/>
              </w:rPr>
            </w:pPr>
            <w:r>
              <w:rPr>
                <w:sz w:val="20"/>
              </w:rPr>
              <w:t>Dr. Wenjuan Mattis</w:t>
            </w:r>
            <w:r>
              <w:rPr>
                <w:position w:val="7"/>
                <w:sz w:val="16"/>
                <w:sz w:val="20"/>
              </w:rPr>
              <w:t>(4)</w:t>
            </w:r>
          </w:p>
        </w:tc>
        <w:tc>
          <w:tcPr>
            <w:tcW w:w="90" w:type="dxa"/>
            <w:tcBorders/>
            <w:shd w:fill="CCEEFF" w:val="clear"/>
            <w:tcMar>
              <w:bottom w:w="0" w:type="dxa"/>
            </w:tcMar>
            <w:vAlign w:val="center"/>
          </w:tcPr>
          <w:p>
            <w:pPr>
              <w:pStyle w:val="TableContents"/>
              <w:bidi w:val="0"/>
              <w:spacing w:lineRule="auto" w:line="288" w:before="0" w:after="283"/>
              <w:jc w:val="left"/>
              <w:rPr/>
            </w:pPr>
            <w:r>
              <w:rPr/>
              <w:t> </w:t>
            </w:r>
          </w:p>
        </w:tc>
        <w:tc>
          <w:tcPr>
            <w:tcW w:w="1565" w:type="dxa"/>
            <w:tcBorders/>
            <w:shd w:fill="CCEEFF" w:val="clear"/>
            <w:tcMar>
              <w:bottom w:w="0" w:type="dxa"/>
            </w:tcMar>
            <w:vAlign w:val="center"/>
          </w:tcPr>
          <w:p>
            <w:pPr>
              <w:pStyle w:val="TableContents"/>
              <w:bidi w:val="0"/>
              <w:spacing w:lineRule="auto" w:line="273" w:before="0" w:after="283"/>
              <w:jc w:val="right"/>
              <w:rPr>
                <w:sz w:val="20"/>
              </w:rPr>
            </w:pPr>
            <w:r>
              <w:rPr>
                <w:sz w:val="20"/>
              </w:rPr>
              <w:t>2,588,585</w:t>
            </w:r>
          </w:p>
        </w:tc>
        <w:tc>
          <w:tcPr>
            <w:tcW w:w="90" w:type="dxa"/>
            <w:tcBorders/>
            <w:shd w:fill="CCEEFF" w:val="clear"/>
            <w:tcMar>
              <w:bottom w:w="0" w:type="dxa"/>
            </w:tcMar>
            <w:vAlign w:val="center"/>
          </w:tcPr>
          <w:p>
            <w:pPr>
              <w:pStyle w:val="TableContents"/>
              <w:bidi w:val="0"/>
              <w:spacing w:lineRule="auto" w:line="288" w:before="0" w:after="283"/>
              <w:jc w:val="right"/>
              <w:rPr/>
            </w:pPr>
            <w:r>
              <w:rPr/>
              <w:t> </w:t>
            </w:r>
          </w:p>
        </w:tc>
        <w:tc>
          <w:tcPr>
            <w:tcW w:w="1870" w:type="dxa"/>
            <w:tcBorders/>
            <w:shd w:fill="CCEEFF" w:val="clear"/>
            <w:tcMar>
              <w:bottom w:w="0" w:type="dxa"/>
            </w:tcMar>
            <w:vAlign w:val="center"/>
          </w:tcPr>
          <w:p>
            <w:pPr>
              <w:pStyle w:val="TableContents"/>
              <w:bidi w:val="0"/>
              <w:spacing w:lineRule="auto" w:line="273" w:before="0" w:after="283"/>
              <w:jc w:val="right"/>
              <w:rPr>
                <w:sz w:val="20"/>
              </w:rPr>
            </w:pPr>
            <w:r>
              <w:rPr>
                <w:sz w:val="20"/>
              </w:rPr>
              <w:t>*</w:t>
            </w:r>
          </w:p>
        </w:tc>
      </w:tr>
      <w:tr>
        <w:trPr/>
        <w:tc>
          <w:tcPr>
            <w:tcW w:w="5255" w:type="dxa"/>
            <w:tcBorders/>
            <w:shd w:fill="FFFFFF" w:val="clear"/>
            <w:tcMar>
              <w:bottom w:w="0" w:type="dxa"/>
            </w:tcMar>
            <w:vAlign w:val="center"/>
          </w:tcPr>
          <w:p>
            <w:pPr>
              <w:pStyle w:val="TableContents"/>
              <w:bidi w:val="0"/>
              <w:spacing w:lineRule="auto" w:line="276" w:before="0" w:after="283"/>
              <w:jc w:val="left"/>
              <w:rPr>
                <w:sz w:val="20"/>
              </w:rPr>
            </w:pPr>
            <w:r>
              <w:rPr>
                <w:sz w:val="20"/>
              </w:rPr>
              <w:t>Dr. Shengxian Wu</w:t>
            </w:r>
            <w:r>
              <w:rPr>
                <w:position w:val="7"/>
                <w:sz w:val="16"/>
                <w:sz w:val="20"/>
              </w:rPr>
              <w:t>(5)</w:t>
            </w:r>
          </w:p>
        </w:tc>
        <w:tc>
          <w:tcPr>
            <w:tcW w:w="90" w:type="dxa"/>
            <w:tcBorders/>
            <w:shd w:fill="FFFFFF" w:val="clear"/>
            <w:tcMar>
              <w:bottom w:w="0" w:type="dxa"/>
            </w:tcMar>
            <w:vAlign w:val="center"/>
          </w:tcPr>
          <w:p>
            <w:pPr>
              <w:pStyle w:val="TableContents"/>
              <w:bidi w:val="0"/>
              <w:spacing w:lineRule="auto" w:line="288" w:before="0" w:after="283"/>
              <w:jc w:val="left"/>
              <w:rPr/>
            </w:pPr>
            <w:r>
              <w:rPr/>
              <w:t> </w:t>
            </w:r>
          </w:p>
        </w:tc>
        <w:tc>
          <w:tcPr>
            <w:tcW w:w="1565" w:type="dxa"/>
            <w:tcBorders/>
            <w:shd w:fill="FFFFFF" w:val="clear"/>
            <w:tcMar>
              <w:bottom w:w="0" w:type="dxa"/>
            </w:tcMar>
            <w:vAlign w:val="center"/>
          </w:tcPr>
          <w:p>
            <w:pPr>
              <w:pStyle w:val="TableContents"/>
              <w:bidi w:val="0"/>
              <w:spacing w:lineRule="auto" w:line="273" w:before="0" w:after="283"/>
              <w:jc w:val="right"/>
              <w:rPr>
                <w:sz w:val="20"/>
              </w:rPr>
            </w:pPr>
            <w:r>
              <w:rPr>
                <w:sz w:val="20"/>
              </w:rPr>
              <w:t>2,036,199</w:t>
            </w:r>
          </w:p>
        </w:tc>
        <w:tc>
          <w:tcPr>
            <w:tcW w:w="90" w:type="dxa"/>
            <w:tcBorders/>
            <w:shd w:fill="FFFFFF" w:val="clear"/>
            <w:tcMar>
              <w:bottom w:w="0" w:type="dxa"/>
            </w:tcMar>
            <w:vAlign w:val="center"/>
          </w:tcPr>
          <w:p>
            <w:pPr>
              <w:pStyle w:val="TableContents"/>
              <w:bidi w:val="0"/>
              <w:spacing w:lineRule="auto" w:line="288" w:before="0" w:after="283"/>
              <w:jc w:val="right"/>
              <w:rPr/>
            </w:pPr>
            <w:r>
              <w:rPr/>
              <w:t> </w:t>
            </w:r>
          </w:p>
        </w:tc>
        <w:tc>
          <w:tcPr>
            <w:tcW w:w="1870" w:type="dxa"/>
            <w:tcBorders/>
            <w:shd w:fill="FFFFFF" w:val="clear"/>
            <w:tcMar>
              <w:bottom w:w="0" w:type="dxa"/>
            </w:tcMar>
            <w:vAlign w:val="center"/>
          </w:tcPr>
          <w:p>
            <w:pPr>
              <w:pStyle w:val="TableContents"/>
              <w:bidi w:val="0"/>
              <w:spacing w:lineRule="auto" w:line="288" w:before="0" w:after="283"/>
              <w:jc w:val="right"/>
              <w:rPr>
                <w:sz w:val="20"/>
              </w:rPr>
            </w:pPr>
            <w:r>
              <w:rPr>
                <w:sz w:val="20"/>
              </w:rPr>
              <w:t>*</w:t>
            </w:r>
          </w:p>
        </w:tc>
      </w:tr>
      <w:tr>
        <w:trPr/>
        <w:tc>
          <w:tcPr>
            <w:tcW w:w="5255" w:type="dxa"/>
            <w:tcBorders/>
            <w:shd w:fill="CCEEFF" w:val="clear"/>
            <w:tcMar>
              <w:bottom w:w="0" w:type="dxa"/>
            </w:tcMar>
            <w:vAlign w:val="center"/>
          </w:tcPr>
          <w:p>
            <w:pPr>
              <w:pStyle w:val="TableContents"/>
              <w:bidi w:val="0"/>
              <w:spacing w:lineRule="auto" w:line="273" w:before="0" w:after="283"/>
              <w:jc w:val="left"/>
              <w:rPr>
                <w:sz w:val="20"/>
              </w:rPr>
            </w:pPr>
            <w:r>
              <w:rPr>
                <w:sz w:val="20"/>
              </w:rPr>
              <w:t>Isida Tushe</w:t>
            </w:r>
            <w:r>
              <w:rPr>
                <w:position w:val="7"/>
                <w:sz w:val="16"/>
                <w:sz w:val="20"/>
              </w:rPr>
              <w:t>(6)</w:t>
            </w:r>
          </w:p>
        </w:tc>
        <w:tc>
          <w:tcPr>
            <w:tcW w:w="90" w:type="dxa"/>
            <w:tcBorders/>
            <w:shd w:fill="CCEEFF" w:val="clear"/>
            <w:tcMar>
              <w:bottom w:w="0" w:type="dxa"/>
            </w:tcMar>
            <w:vAlign w:val="center"/>
          </w:tcPr>
          <w:p>
            <w:pPr>
              <w:pStyle w:val="TableContents"/>
              <w:bidi w:val="0"/>
              <w:spacing w:lineRule="auto" w:line="288" w:before="0" w:after="283"/>
              <w:jc w:val="left"/>
              <w:rPr/>
            </w:pPr>
            <w:r>
              <w:rPr/>
              <w:t> </w:t>
            </w:r>
          </w:p>
        </w:tc>
        <w:tc>
          <w:tcPr>
            <w:tcW w:w="1565" w:type="dxa"/>
            <w:tcBorders/>
            <w:shd w:fill="CCEEFF" w:val="clear"/>
            <w:tcMar>
              <w:bottom w:w="0" w:type="dxa"/>
            </w:tcMar>
            <w:vAlign w:val="center"/>
          </w:tcPr>
          <w:p>
            <w:pPr>
              <w:pStyle w:val="TableContents"/>
              <w:bidi w:val="0"/>
              <w:spacing w:lineRule="auto" w:line="273" w:before="0" w:after="283"/>
              <w:jc w:val="right"/>
              <w:rPr>
                <w:sz w:val="20"/>
              </w:rPr>
            </w:pPr>
            <w:r>
              <w:rPr>
                <w:sz w:val="20"/>
              </w:rPr>
              <w:t>1,104,100</w:t>
            </w:r>
          </w:p>
        </w:tc>
        <w:tc>
          <w:tcPr>
            <w:tcW w:w="90" w:type="dxa"/>
            <w:tcBorders/>
            <w:shd w:fill="CCEEFF" w:val="clear"/>
            <w:tcMar>
              <w:bottom w:w="0" w:type="dxa"/>
            </w:tcMar>
            <w:vAlign w:val="center"/>
          </w:tcPr>
          <w:p>
            <w:pPr>
              <w:pStyle w:val="TableContents"/>
              <w:bidi w:val="0"/>
              <w:spacing w:lineRule="auto" w:line="288" w:before="0" w:after="283"/>
              <w:jc w:val="right"/>
              <w:rPr/>
            </w:pPr>
            <w:r>
              <w:rPr/>
              <w:t> </w:t>
            </w:r>
          </w:p>
        </w:tc>
        <w:tc>
          <w:tcPr>
            <w:tcW w:w="1870" w:type="dxa"/>
            <w:tcBorders/>
            <w:shd w:fill="CCEEFF" w:val="clear"/>
            <w:tcMar>
              <w:bottom w:w="0" w:type="dxa"/>
            </w:tcMar>
            <w:vAlign w:val="center"/>
          </w:tcPr>
          <w:p>
            <w:pPr>
              <w:pStyle w:val="TableContents"/>
              <w:bidi w:val="0"/>
              <w:spacing w:lineRule="auto" w:line="288" w:before="0" w:after="283"/>
              <w:jc w:val="right"/>
              <w:rPr>
                <w:sz w:val="20"/>
              </w:rPr>
            </w:pPr>
            <w:r>
              <w:rPr>
                <w:sz w:val="20"/>
              </w:rPr>
              <w:t>*</w:t>
            </w:r>
          </w:p>
        </w:tc>
      </w:tr>
      <w:tr>
        <w:trPr/>
        <w:tc>
          <w:tcPr>
            <w:tcW w:w="5255" w:type="dxa"/>
            <w:tcBorders/>
            <w:shd w:fill="FFFFFF" w:val="clear"/>
            <w:tcMar>
              <w:bottom w:w="0" w:type="dxa"/>
            </w:tcMar>
            <w:vAlign w:val="center"/>
          </w:tcPr>
          <w:p>
            <w:pPr>
              <w:pStyle w:val="TableContents"/>
              <w:bidi w:val="0"/>
              <w:spacing w:lineRule="auto" w:line="273" w:before="0" w:after="283"/>
              <w:jc w:val="left"/>
              <w:rPr>
                <w:sz w:val="20"/>
              </w:rPr>
            </w:pPr>
            <w:r>
              <w:rPr>
                <w:sz w:val="20"/>
              </w:rPr>
              <w:t>Arthur Wong</w:t>
            </w:r>
          </w:p>
        </w:tc>
        <w:tc>
          <w:tcPr>
            <w:tcW w:w="90" w:type="dxa"/>
            <w:tcBorders/>
            <w:shd w:fill="FFFFFF" w:val="clear"/>
            <w:tcMar>
              <w:bottom w:w="0" w:type="dxa"/>
            </w:tcMar>
            <w:vAlign w:val="center"/>
          </w:tcPr>
          <w:p>
            <w:pPr>
              <w:pStyle w:val="TableContents"/>
              <w:bidi w:val="0"/>
              <w:spacing w:lineRule="auto" w:line="288" w:before="0" w:after="283"/>
              <w:jc w:val="left"/>
              <w:rPr/>
            </w:pPr>
            <w:r>
              <w:rPr/>
              <w:t> </w:t>
            </w:r>
          </w:p>
        </w:tc>
        <w:tc>
          <w:tcPr>
            <w:tcW w:w="1565" w:type="dxa"/>
            <w:tcBorders/>
            <w:shd w:fill="FFFFFF" w:val="clear"/>
            <w:tcMar>
              <w:bottom w:w="0" w:type="dxa"/>
            </w:tcMar>
            <w:vAlign w:val="center"/>
          </w:tcPr>
          <w:p>
            <w:pPr>
              <w:pStyle w:val="TableContents"/>
              <w:bidi w:val="0"/>
              <w:spacing w:lineRule="auto" w:line="273" w:before="0" w:after="283"/>
              <w:jc w:val="right"/>
              <w:rPr>
                <w:sz w:val="20"/>
              </w:rPr>
            </w:pPr>
            <w:r>
              <w:rPr>
                <w:sz w:val="20"/>
              </w:rPr>
              <w:t>179,973</w:t>
            </w:r>
          </w:p>
        </w:tc>
        <w:tc>
          <w:tcPr>
            <w:tcW w:w="90" w:type="dxa"/>
            <w:tcBorders/>
            <w:shd w:fill="FFFFFF" w:val="clear"/>
            <w:tcMar>
              <w:bottom w:w="0" w:type="dxa"/>
            </w:tcMar>
            <w:vAlign w:val="center"/>
          </w:tcPr>
          <w:p>
            <w:pPr>
              <w:pStyle w:val="TableContents"/>
              <w:bidi w:val="0"/>
              <w:spacing w:lineRule="auto" w:line="288" w:before="0" w:after="283"/>
              <w:jc w:val="right"/>
              <w:rPr/>
            </w:pPr>
            <w:r>
              <w:rPr/>
              <w:t> </w:t>
            </w:r>
          </w:p>
        </w:tc>
        <w:tc>
          <w:tcPr>
            <w:tcW w:w="1870" w:type="dxa"/>
            <w:tcBorders/>
            <w:shd w:fill="FFFFFF" w:val="clear"/>
            <w:tcMar>
              <w:bottom w:w="0" w:type="dxa"/>
            </w:tcMar>
            <w:vAlign w:val="center"/>
          </w:tcPr>
          <w:p>
            <w:pPr>
              <w:pStyle w:val="TableContents"/>
              <w:bidi w:val="0"/>
              <w:spacing w:lineRule="auto" w:line="288" w:before="0" w:after="283"/>
              <w:jc w:val="right"/>
              <w:rPr>
                <w:sz w:val="20"/>
              </w:rPr>
            </w:pPr>
            <w:r>
              <w:rPr>
                <w:sz w:val="20"/>
              </w:rPr>
              <w:t>*</w:t>
            </w:r>
          </w:p>
        </w:tc>
      </w:tr>
      <w:tr>
        <w:trPr/>
        <w:tc>
          <w:tcPr>
            <w:tcW w:w="5255" w:type="dxa"/>
            <w:tcBorders/>
            <w:shd w:fill="CCEEFF" w:val="clear"/>
            <w:tcMar>
              <w:bottom w:w="0" w:type="dxa"/>
            </w:tcMar>
            <w:vAlign w:val="center"/>
          </w:tcPr>
          <w:p>
            <w:pPr>
              <w:pStyle w:val="TableContents"/>
              <w:bidi w:val="0"/>
              <w:spacing w:lineRule="auto" w:line="273" w:before="0" w:after="283"/>
              <w:jc w:val="left"/>
              <w:rPr>
                <w:sz w:val="20"/>
              </w:rPr>
            </w:pPr>
            <w:r>
              <w:rPr>
                <w:sz w:val="20"/>
              </w:rPr>
              <w:t>Rodney Worthen</w:t>
            </w:r>
            <w:r>
              <w:rPr>
                <w:position w:val="7"/>
                <w:sz w:val="16"/>
                <w:sz w:val="20"/>
              </w:rPr>
              <w:t>(7)</w:t>
            </w:r>
          </w:p>
        </w:tc>
        <w:tc>
          <w:tcPr>
            <w:tcW w:w="90" w:type="dxa"/>
            <w:tcBorders/>
            <w:shd w:fill="CCEEFF" w:val="clear"/>
            <w:tcMar>
              <w:bottom w:w="0" w:type="dxa"/>
            </w:tcMar>
            <w:vAlign w:val="center"/>
          </w:tcPr>
          <w:p>
            <w:pPr>
              <w:pStyle w:val="TableContents"/>
              <w:bidi w:val="0"/>
              <w:spacing w:lineRule="auto" w:line="288" w:before="0" w:after="283"/>
              <w:jc w:val="left"/>
              <w:rPr/>
            </w:pPr>
            <w:r>
              <w:rPr/>
              <w:t> </w:t>
            </w:r>
          </w:p>
        </w:tc>
        <w:tc>
          <w:tcPr>
            <w:tcW w:w="1565" w:type="dxa"/>
            <w:tcBorders/>
            <w:shd w:fill="CCEEFF" w:val="clear"/>
            <w:tcMar>
              <w:bottom w:w="0" w:type="dxa"/>
            </w:tcMar>
            <w:vAlign w:val="center"/>
          </w:tcPr>
          <w:p>
            <w:pPr>
              <w:pStyle w:val="TableContents"/>
              <w:bidi w:val="0"/>
              <w:spacing w:lineRule="auto" w:line="273" w:before="0" w:after="283"/>
              <w:jc w:val="right"/>
              <w:rPr>
                <w:sz w:val="20"/>
              </w:rPr>
            </w:pPr>
            <w:r>
              <w:rPr>
                <w:sz w:val="20"/>
              </w:rPr>
              <w:t>15,248</w:t>
            </w:r>
          </w:p>
        </w:tc>
        <w:tc>
          <w:tcPr>
            <w:tcW w:w="90" w:type="dxa"/>
            <w:tcBorders/>
            <w:shd w:fill="CCEEFF" w:val="clear"/>
            <w:tcMar>
              <w:bottom w:w="0" w:type="dxa"/>
            </w:tcMar>
            <w:vAlign w:val="center"/>
          </w:tcPr>
          <w:p>
            <w:pPr>
              <w:pStyle w:val="TableContents"/>
              <w:bidi w:val="0"/>
              <w:spacing w:lineRule="auto" w:line="288" w:before="0" w:after="283"/>
              <w:jc w:val="right"/>
              <w:rPr/>
            </w:pPr>
            <w:r>
              <w:rPr/>
              <w:t> </w:t>
            </w:r>
          </w:p>
        </w:tc>
        <w:tc>
          <w:tcPr>
            <w:tcW w:w="1870" w:type="dxa"/>
            <w:tcBorders/>
            <w:shd w:fill="CCEEFF" w:val="clear"/>
            <w:tcMar>
              <w:bottom w:w="0" w:type="dxa"/>
            </w:tcMar>
            <w:vAlign w:val="center"/>
          </w:tcPr>
          <w:p>
            <w:pPr>
              <w:pStyle w:val="TableContents"/>
              <w:bidi w:val="0"/>
              <w:spacing w:lineRule="auto" w:line="288" w:before="0" w:after="283"/>
              <w:jc w:val="right"/>
              <w:rPr>
                <w:sz w:val="20"/>
              </w:rPr>
            </w:pPr>
            <w:r>
              <w:rPr>
                <w:sz w:val="20"/>
              </w:rPr>
              <w:t>*</w:t>
            </w:r>
          </w:p>
        </w:tc>
      </w:tr>
      <w:tr>
        <w:trPr/>
        <w:tc>
          <w:tcPr>
            <w:tcW w:w="5255" w:type="dxa"/>
            <w:tcBorders/>
            <w:tcMar>
              <w:bottom w:w="0" w:type="dxa"/>
            </w:tcMar>
            <w:vAlign w:val="center"/>
          </w:tcPr>
          <w:p>
            <w:pPr>
              <w:pStyle w:val="TableContents"/>
              <w:bidi w:val="0"/>
              <w:spacing w:lineRule="auto" w:line="273" w:before="0" w:after="283"/>
              <w:jc w:val="left"/>
              <w:rPr>
                <w:sz w:val="20"/>
              </w:rPr>
            </w:pPr>
            <w:r>
              <w:rPr>
                <w:sz w:val="20"/>
              </w:rPr>
              <w:t>Fariyal Khanbabi</w:t>
            </w:r>
            <w:r>
              <w:rPr>
                <w:position w:val="7"/>
                <w:sz w:val="16"/>
                <w:sz w:val="20"/>
              </w:rPr>
              <w:t>(8)</w:t>
            </w:r>
          </w:p>
        </w:tc>
        <w:tc>
          <w:tcPr>
            <w:tcW w:w="90" w:type="dxa"/>
            <w:tcBorders/>
            <w:tcMar>
              <w:bottom w:w="0" w:type="dxa"/>
            </w:tcMar>
            <w:vAlign w:val="center"/>
          </w:tcPr>
          <w:p>
            <w:pPr>
              <w:pStyle w:val="TableContents"/>
              <w:bidi w:val="0"/>
              <w:spacing w:lineRule="auto" w:line="288" w:before="0" w:after="283"/>
              <w:jc w:val="left"/>
              <w:rPr/>
            </w:pPr>
            <w:r>
              <w:rPr/>
              <w:t> </w:t>
            </w:r>
          </w:p>
        </w:tc>
        <w:tc>
          <w:tcPr>
            <w:tcW w:w="1565" w:type="dxa"/>
            <w:tcBorders/>
            <w:tcMar>
              <w:bottom w:w="0" w:type="dxa"/>
            </w:tcMar>
            <w:vAlign w:val="center"/>
          </w:tcPr>
          <w:p>
            <w:pPr>
              <w:pStyle w:val="TableContents"/>
              <w:bidi w:val="0"/>
              <w:spacing w:lineRule="auto" w:line="273" w:before="0" w:after="283"/>
              <w:jc w:val="right"/>
              <w:rPr/>
            </w:pPr>
            <w:r>
              <w:rPr/>
              <w:t>—</w:t>
            </w:r>
          </w:p>
        </w:tc>
        <w:tc>
          <w:tcPr>
            <w:tcW w:w="90" w:type="dxa"/>
            <w:tcBorders/>
            <w:tcMar>
              <w:bottom w:w="0" w:type="dxa"/>
            </w:tcMar>
            <w:vAlign w:val="center"/>
          </w:tcPr>
          <w:p>
            <w:pPr>
              <w:pStyle w:val="TableContents"/>
              <w:bidi w:val="0"/>
              <w:spacing w:lineRule="auto" w:line="288" w:before="0" w:after="283"/>
              <w:jc w:val="right"/>
              <w:rPr/>
            </w:pPr>
            <w:r>
              <w:rPr/>
              <w:t> </w:t>
            </w:r>
          </w:p>
        </w:tc>
        <w:tc>
          <w:tcPr>
            <w:tcW w:w="1870" w:type="dxa"/>
            <w:tcBorders/>
            <w:tcMar>
              <w:bottom w:w="0" w:type="dxa"/>
            </w:tcMar>
            <w:vAlign w:val="center"/>
          </w:tcPr>
          <w:p>
            <w:pPr>
              <w:pStyle w:val="TableContents"/>
              <w:bidi w:val="0"/>
              <w:spacing w:lineRule="auto" w:line="288" w:before="0" w:after="283"/>
              <w:jc w:val="right"/>
              <w:rPr/>
            </w:pPr>
            <w:r>
              <w:rPr/>
              <w:t>—</w:t>
            </w:r>
          </w:p>
        </w:tc>
      </w:tr>
      <w:tr>
        <w:trPr/>
        <w:tc>
          <w:tcPr>
            <w:tcW w:w="5255" w:type="dxa"/>
            <w:tcBorders/>
            <w:shd w:fill="CCEEFF" w:val="clear"/>
            <w:tcMar>
              <w:bottom w:w="0" w:type="dxa"/>
            </w:tcMar>
            <w:vAlign w:val="center"/>
          </w:tcPr>
          <w:p>
            <w:pPr>
              <w:pStyle w:val="TableContents"/>
              <w:bidi w:val="0"/>
              <w:spacing w:lineRule="auto" w:line="273" w:before="0" w:after="283"/>
              <w:jc w:val="left"/>
              <w:rPr>
                <w:sz w:val="20"/>
              </w:rPr>
            </w:pPr>
            <w:r>
              <w:rPr>
                <w:sz w:val="20"/>
              </w:rPr>
              <w:t>Carl T. Schultz</w:t>
            </w:r>
            <w:r>
              <w:rPr>
                <w:position w:val="7"/>
                <w:sz w:val="16"/>
                <w:sz w:val="20"/>
              </w:rPr>
              <w:t>(9)</w:t>
            </w:r>
          </w:p>
        </w:tc>
        <w:tc>
          <w:tcPr>
            <w:tcW w:w="90" w:type="dxa"/>
            <w:tcBorders/>
            <w:shd w:fill="CCEEFF" w:val="clear"/>
            <w:tcMar>
              <w:bottom w:w="0" w:type="dxa"/>
            </w:tcMar>
            <w:vAlign w:val="center"/>
          </w:tcPr>
          <w:p>
            <w:pPr>
              <w:pStyle w:val="TableContents"/>
              <w:bidi w:val="0"/>
              <w:spacing w:lineRule="auto" w:line="288" w:before="0" w:after="283"/>
              <w:jc w:val="left"/>
              <w:rPr/>
            </w:pPr>
            <w:r>
              <w:rPr/>
              <w:t> </w:t>
            </w:r>
          </w:p>
        </w:tc>
        <w:tc>
          <w:tcPr>
            <w:tcW w:w="1565" w:type="dxa"/>
            <w:tcBorders/>
            <w:shd w:fill="CCEEFF" w:val="clear"/>
            <w:tcMar>
              <w:bottom w:w="0" w:type="dxa"/>
            </w:tcMar>
            <w:vAlign w:val="center"/>
          </w:tcPr>
          <w:p>
            <w:pPr>
              <w:pStyle w:val="TableContents"/>
              <w:bidi w:val="0"/>
              <w:spacing w:lineRule="auto" w:line="273" w:before="0" w:after="283"/>
              <w:jc w:val="right"/>
              <w:rPr/>
            </w:pPr>
            <w:r>
              <w:rPr/>
              <w:t>—</w:t>
            </w:r>
          </w:p>
        </w:tc>
        <w:tc>
          <w:tcPr>
            <w:tcW w:w="90" w:type="dxa"/>
            <w:tcBorders/>
            <w:shd w:fill="CCEEFF" w:val="clear"/>
            <w:tcMar>
              <w:bottom w:w="0" w:type="dxa"/>
            </w:tcMar>
            <w:vAlign w:val="center"/>
          </w:tcPr>
          <w:p>
            <w:pPr>
              <w:pStyle w:val="TableContents"/>
              <w:bidi w:val="0"/>
              <w:spacing w:lineRule="auto" w:line="288" w:before="0" w:after="283"/>
              <w:jc w:val="right"/>
              <w:rPr/>
            </w:pPr>
            <w:r>
              <w:rPr/>
              <w:t> </w:t>
            </w:r>
          </w:p>
        </w:tc>
        <w:tc>
          <w:tcPr>
            <w:tcW w:w="1870" w:type="dxa"/>
            <w:tcBorders/>
            <w:shd w:fill="CCEEFF" w:val="clear"/>
            <w:tcMar>
              <w:bottom w:w="0" w:type="dxa"/>
            </w:tcMar>
            <w:vAlign w:val="center"/>
          </w:tcPr>
          <w:p>
            <w:pPr>
              <w:pStyle w:val="TableContents"/>
              <w:bidi w:val="0"/>
              <w:spacing w:lineRule="auto" w:line="288" w:before="0" w:after="283"/>
              <w:jc w:val="right"/>
              <w:rPr/>
            </w:pPr>
            <w:r>
              <w:rPr/>
              <w:t>—</w:t>
            </w:r>
          </w:p>
        </w:tc>
      </w:tr>
      <w:tr>
        <w:trPr/>
        <w:tc>
          <w:tcPr>
            <w:tcW w:w="5255" w:type="dxa"/>
            <w:tcBorders/>
            <w:tcMar>
              <w:bottom w:w="0" w:type="dxa"/>
            </w:tcMar>
            <w:vAlign w:val="center"/>
          </w:tcPr>
          <w:p>
            <w:pPr>
              <w:pStyle w:val="TableContents"/>
              <w:bidi w:val="0"/>
              <w:spacing w:lineRule="auto" w:line="273" w:before="0" w:after="283"/>
              <w:jc w:val="left"/>
              <w:rPr/>
            </w:pPr>
            <w:r>
              <w:rPr/>
              <w:t> </w:t>
            </w:r>
          </w:p>
        </w:tc>
        <w:tc>
          <w:tcPr>
            <w:tcW w:w="90" w:type="dxa"/>
            <w:tcBorders/>
            <w:tcMar>
              <w:bottom w:w="0" w:type="dxa"/>
            </w:tcMar>
            <w:vAlign w:val="center"/>
          </w:tcPr>
          <w:p>
            <w:pPr>
              <w:pStyle w:val="TableContents"/>
              <w:bidi w:val="0"/>
              <w:spacing w:lineRule="auto" w:line="288" w:before="0" w:after="283"/>
              <w:jc w:val="left"/>
              <w:rPr/>
            </w:pPr>
            <w:r>
              <w:rPr/>
              <w:t> </w:t>
            </w:r>
          </w:p>
        </w:tc>
        <w:tc>
          <w:tcPr>
            <w:tcW w:w="1565" w:type="dxa"/>
            <w:tcBorders/>
            <w:tcMar>
              <w:bottom w:w="0" w:type="dxa"/>
            </w:tcMar>
            <w:vAlign w:val="center"/>
          </w:tcPr>
          <w:p>
            <w:pPr>
              <w:pStyle w:val="TableContents"/>
              <w:bidi w:val="0"/>
              <w:spacing w:lineRule="auto" w:line="273" w:before="0" w:after="283"/>
              <w:jc w:val="right"/>
              <w:rPr/>
            </w:pPr>
            <w:r>
              <w:rPr/>
              <w:t> </w:t>
            </w:r>
          </w:p>
        </w:tc>
        <w:tc>
          <w:tcPr>
            <w:tcW w:w="90" w:type="dxa"/>
            <w:tcBorders/>
            <w:tcMar>
              <w:bottom w:w="0" w:type="dxa"/>
            </w:tcMar>
            <w:vAlign w:val="center"/>
          </w:tcPr>
          <w:p>
            <w:pPr>
              <w:pStyle w:val="TableContents"/>
              <w:bidi w:val="0"/>
              <w:spacing w:lineRule="auto" w:line="288" w:before="0" w:after="283"/>
              <w:jc w:val="right"/>
              <w:rPr/>
            </w:pPr>
            <w:r>
              <w:rPr/>
              <w:t> </w:t>
            </w:r>
          </w:p>
        </w:tc>
        <w:tc>
          <w:tcPr>
            <w:tcW w:w="1870" w:type="dxa"/>
            <w:tcBorders/>
            <w:tcMar>
              <w:bottom w:w="0" w:type="dxa"/>
            </w:tcMar>
            <w:vAlign w:val="center"/>
          </w:tcPr>
          <w:p>
            <w:pPr>
              <w:pStyle w:val="TableContents"/>
              <w:bidi w:val="0"/>
              <w:spacing w:lineRule="auto" w:line="288" w:before="0" w:after="283"/>
              <w:jc w:val="right"/>
              <w:rPr/>
            </w:pPr>
            <w:r>
              <w:rPr/>
              <w:t> </w:t>
            </w:r>
          </w:p>
        </w:tc>
      </w:tr>
      <w:tr>
        <w:trPr/>
        <w:tc>
          <w:tcPr>
            <w:tcW w:w="5255" w:type="dxa"/>
            <w:tcBorders/>
            <w:shd w:fill="CCEEFF" w:val="clear"/>
            <w:tcMar>
              <w:bottom w:w="0" w:type="dxa"/>
            </w:tcMar>
            <w:vAlign w:val="center"/>
          </w:tcPr>
          <w:p>
            <w:pPr>
              <w:pStyle w:val="TableContents"/>
              <w:bidi w:val="0"/>
              <w:spacing w:lineRule="auto" w:line="273" w:before="0" w:after="283"/>
              <w:jc w:val="left"/>
              <w:rPr>
                <w:sz w:val="20"/>
              </w:rPr>
            </w:pPr>
            <w:r>
              <w:rPr>
                <w:sz w:val="20"/>
              </w:rPr>
              <w:t>All directors and executive officers as a group (nine persons)</w:t>
            </w:r>
            <w:r>
              <w:rPr>
                <w:position w:val="7"/>
                <w:sz w:val="16"/>
                <w:sz w:val="20"/>
              </w:rPr>
              <w:t>(10)</w:t>
            </w:r>
          </w:p>
        </w:tc>
        <w:tc>
          <w:tcPr>
            <w:tcW w:w="90" w:type="dxa"/>
            <w:tcBorders/>
            <w:shd w:fill="CCEEFF" w:val="clear"/>
            <w:tcMar>
              <w:bottom w:w="0" w:type="dxa"/>
            </w:tcMar>
            <w:vAlign w:val="center"/>
          </w:tcPr>
          <w:p>
            <w:pPr>
              <w:pStyle w:val="TableContents"/>
              <w:bidi w:val="0"/>
              <w:spacing w:lineRule="auto" w:line="288" w:before="0" w:after="283"/>
              <w:jc w:val="left"/>
              <w:rPr/>
            </w:pPr>
            <w:r>
              <w:rPr/>
              <w:t> </w:t>
            </w:r>
          </w:p>
        </w:tc>
        <w:tc>
          <w:tcPr>
            <w:tcW w:w="1565" w:type="dxa"/>
            <w:tcBorders/>
            <w:shd w:fill="CCEEFF" w:val="clear"/>
            <w:tcMar>
              <w:bottom w:w="0" w:type="dxa"/>
            </w:tcMar>
            <w:vAlign w:val="center"/>
          </w:tcPr>
          <w:p>
            <w:pPr>
              <w:pStyle w:val="TableContents"/>
              <w:bidi w:val="0"/>
              <w:spacing w:lineRule="auto" w:line="273" w:before="0" w:after="283"/>
              <w:jc w:val="right"/>
              <w:rPr>
                <w:sz w:val="20"/>
              </w:rPr>
            </w:pPr>
            <w:r>
              <w:rPr>
                <w:sz w:val="20"/>
              </w:rPr>
              <w:t>146,463,363</w:t>
            </w:r>
          </w:p>
        </w:tc>
        <w:tc>
          <w:tcPr>
            <w:tcW w:w="90" w:type="dxa"/>
            <w:tcBorders/>
            <w:shd w:fill="CCEEFF" w:val="clear"/>
            <w:tcMar>
              <w:bottom w:w="0" w:type="dxa"/>
            </w:tcMar>
            <w:vAlign w:val="center"/>
          </w:tcPr>
          <w:p>
            <w:pPr>
              <w:pStyle w:val="TableContents"/>
              <w:bidi w:val="0"/>
              <w:spacing w:lineRule="auto" w:line="288" w:before="0" w:after="283"/>
              <w:jc w:val="right"/>
              <w:rPr/>
            </w:pPr>
            <w:r>
              <w:rPr/>
              <w:t> </w:t>
            </w:r>
          </w:p>
        </w:tc>
        <w:tc>
          <w:tcPr>
            <w:tcW w:w="1870" w:type="dxa"/>
            <w:tcBorders/>
            <w:shd w:fill="CCEEFF" w:val="clear"/>
            <w:tcMar>
              <w:bottom w:w="0" w:type="dxa"/>
            </w:tcMar>
            <w:vAlign w:val="center"/>
          </w:tcPr>
          <w:p>
            <w:pPr>
              <w:pStyle w:val="TableContents"/>
              <w:bidi w:val="0"/>
              <w:spacing w:lineRule="auto" w:line="288" w:before="0" w:after="283"/>
              <w:jc w:val="right"/>
              <w:rPr>
                <w:sz w:val="20"/>
              </w:rPr>
            </w:pPr>
            <w:r>
              <w:rPr>
                <w:sz w:val="20"/>
              </w:rPr>
              <w:t>37.0%</w:t>
            </w:r>
          </w:p>
        </w:tc>
      </w:tr>
      <w:tr>
        <w:trPr/>
        <w:tc>
          <w:tcPr>
            <w:tcW w:w="5255" w:type="dxa"/>
            <w:tcBorders/>
            <w:tcMar>
              <w:bottom w:w="0" w:type="dxa"/>
            </w:tcMar>
            <w:vAlign w:val="center"/>
          </w:tcPr>
          <w:p>
            <w:pPr>
              <w:pStyle w:val="TableContents"/>
              <w:bidi w:val="0"/>
              <w:spacing w:lineRule="auto" w:line="273" w:before="0" w:after="283"/>
              <w:jc w:val="left"/>
              <w:rPr>
                <w:i/>
                <w:sz w:val="20"/>
              </w:rPr>
            </w:pPr>
            <w:r>
              <w:rPr>
                <w:i/>
                <w:sz w:val="20"/>
              </w:rPr>
              <w:t>Five Percent Holders:</w:t>
            </w:r>
          </w:p>
        </w:tc>
        <w:tc>
          <w:tcPr>
            <w:tcW w:w="90" w:type="dxa"/>
            <w:tcBorders/>
            <w:tcMar>
              <w:bottom w:w="0" w:type="dxa"/>
            </w:tcMar>
            <w:vAlign w:val="center"/>
          </w:tcPr>
          <w:p>
            <w:pPr>
              <w:pStyle w:val="TableContents"/>
              <w:bidi w:val="0"/>
              <w:spacing w:lineRule="auto" w:line="288" w:before="0" w:after="283"/>
              <w:jc w:val="left"/>
              <w:rPr/>
            </w:pPr>
            <w:r>
              <w:rPr/>
              <w:t> </w:t>
            </w:r>
          </w:p>
        </w:tc>
        <w:tc>
          <w:tcPr>
            <w:tcW w:w="1565" w:type="dxa"/>
            <w:tcBorders/>
            <w:tcMar>
              <w:bottom w:w="0" w:type="dxa"/>
            </w:tcMar>
            <w:vAlign w:val="center"/>
          </w:tcPr>
          <w:p>
            <w:pPr>
              <w:pStyle w:val="TableContents"/>
              <w:bidi w:val="0"/>
              <w:spacing w:lineRule="auto" w:line="273" w:before="0" w:after="283"/>
              <w:jc w:val="right"/>
              <w:rPr/>
            </w:pPr>
            <w:r>
              <w:rPr/>
              <w:t> </w:t>
            </w:r>
          </w:p>
        </w:tc>
        <w:tc>
          <w:tcPr>
            <w:tcW w:w="90" w:type="dxa"/>
            <w:tcBorders/>
            <w:tcMar>
              <w:bottom w:w="0" w:type="dxa"/>
            </w:tcMar>
            <w:vAlign w:val="center"/>
          </w:tcPr>
          <w:p>
            <w:pPr>
              <w:pStyle w:val="TableContents"/>
              <w:bidi w:val="0"/>
              <w:spacing w:lineRule="auto" w:line="288" w:before="0" w:after="283"/>
              <w:jc w:val="right"/>
              <w:rPr/>
            </w:pPr>
            <w:r>
              <w:rPr/>
              <w:t> </w:t>
            </w:r>
          </w:p>
        </w:tc>
        <w:tc>
          <w:tcPr>
            <w:tcW w:w="1870" w:type="dxa"/>
            <w:tcBorders/>
            <w:tcMar>
              <w:bottom w:w="0" w:type="dxa"/>
            </w:tcMar>
            <w:vAlign w:val="center"/>
          </w:tcPr>
          <w:p>
            <w:pPr>
              <w:pStyle w:val="TableContents"/>
              <w:bidi w:val="0"/>
              <w:spacing w:lineRule="auto" w:line="288" w:before="0" w:after="283"/>
              <w:jc w:val="right"/>
              <w:rPr/>
            </w:pPr>
            <w:r>
              <w:rPr/>
              <w:t> </w:t>
            </w:r>
          </w:p>
        </w:tc>
      </w:tr>
      <w:tr>
        <w:trPr/>
        <w:tc>
          <w:tcPr>
            <w:tcW w:w="5255" w:type="dxa"/>
            <w:tcBorders/>
            <w:shd w:fill="CCEEFF" w:val="clear"/>
            <w:tcMar>
              <w:bottom w:w="0" w:type="dxa"/>
            </w:tcMar>
            <w:vAlign w:val="center"/>
          </w:tcPr>
          <w:p>
            <w:pPr>
              <w:pStyle w:val="TableContents"/>
              <w:bidi w:val="0"/>
              <w:spacing w:lineRule="auto" w:line="273" w:before="0" w:after="283"/>
              <w:jc w:val="left"/>
              <w:rPr>
                <w:sz w:val="20"/>
              </w:rPr>
            </w:pPr>
            <w:r>
              <w:rPr>
                <w:sz w:val="20"/>
              </w:rPr>
              <w:t>Yang Wu</w:t>
            </w:r>
            <w:r>
              <w:rPr>
                <w:position w:val="7"/>
                <w:sz w:val="16"/>
                <w:sz w:val="20"/>
              </w:rPr>
              <w:t>(3)</w:t>
            </w:r>
          </w:p>
        </w:tc>
        <w:tc>
          <w:tcPr>
            <w:tcW w:w="90" w:type="dxa"/>
            <w:tcBorders/>
            <w:shd w:fill="CCEEFF" w:val="clear"/>
            <w:tcMar>
              <w:bottom w:w="0" w:type="dxa"/>
            </w:tcMar>
            <w:vAlign w:val="center"/>
          </w:tcPr>
          <w:p>
            <w:pPr>
              <w:pStyle w:val="TableContents"/>
              <w:bidi w:val="0"/>
              <w:spacing w:lineRule="auto" w:line="288" w:before="0" w:after="283"/>
              <w:jc w:val="left"/>
              <w:rPr/>
            </w:pPr>
            <w:r>
              <w:rPr/>
              <w:t> </w:t>
            </w:r>
          </w:p>
        </w:tc>
        <w:tc>
          <w:tcPr>
            <w:tcW w:w="1565" w:type="dxa"/>
            <w:tcBorders/>
            <w:shd w:fill="CCEEFF" w:val="clear"/>
            <w:tcMar>
              <w:bottom w:w="0" w:type="dxa"/>
            </w:tcMar>
            <w:vAlign w:val="center"/>
          </w:tcPr>
          <w:p>
            <w:pPr>
              <w:pStyle w:val="TableContents"/>
              <w:bidi w:val="0"/>
              <w:spacing w:lineRule="auto" w:line="273" w:before="0" w:after="283"/>
              <w:jc w:val="right"/>
              <w:rPr>
                <w:sz w:val="20"/>
              </w:rPr>
            </w:pPr>
            <w:r>
              <w:rPr>
                <w:sz w:val="20"/>
              </w:rPr>
              <w:t>140,084,820</w:t>
            </w:r>
          </w:p>
        </w:tc>
        <w:tc>
          <w:tcPr>
            <w:tcW w:w="90" w:type="dxa"/>
            <w:tcBorders/>
            <w:shd w:fill="CCEEFF" w:val="clear"/>
            <w:tcMar>
              <w:bottom w:w="0" w:type="dxa"/>
            </w:tcMar>
            <w:vAlign w:val="center"/>
          </w:tcPr>
          <w:p>
            <w:pPr>
              <w:pStyle w:val="TableContents"/>
              <w:bidi w:val="0"/>
              <w:spacing w:lineRule="auto" w:line="288" w:before="0" w:after="283"/>
              <w:jc w:val="right"/>
              <w:rPr/>
            </w:pPr>
            <w:r>
              <w:rPr/>
              <w:t> </w:t>
            </w:r>
          </w:p>
        </w:tc>
        <w:tc>
          <w:tcPr>
            <w:tcW w:w="1870" w:type="dxa"/>
            <w:tcBorders/>
            <w:shd w:fill="CCEEFF" w:val="clear"/>
            <w:tcMar>
              <w:bottom w:w="0" w:type="dxa"/>
            </w:tcMar>
            <w:vAlign w:val="center"/>
          </w:tcPr>
          <w:p>
            <w:pPr>
              <w:pStyle w:val="TableContents"/>
              <w:bidi w:val="0"/>
              <w:spacing w:lineRule="auto" w:line="273" w:before="0" w:after="283"/>
              <w:jc w:val="right"/>
              <w:rPr>
                <w:sz w:val="20"/>
              </w:rPr>
            </w:pPr>
            <w:r>
              <w:rPr>
                <w:sz w:val="20"/>
              </w:rPr>
              <w:t>35.8%</w:t>
            </w:r>
          </w:p>
        </w:tc>
      </w:tr>
      <w:tr>
        <w:trPr/>
        <w:tc>
          <w:tcPr>
            <w:tcW w:w="5255" w:type="dxa"/>
            <w:tcBorders/>
            <w:tcMar>
              <w:bottom w:w="0" w:type="dxa"/>
            </w:tcMar>
            <w:vAlign w:val="center"/>
          </w:tcPr>
          <w:p>
            <w:pPr>
              <w:pStyle w:val="TableContents"/>
              <w:bidi w:val="0"/>
              <w:spacing w:lineRule="auto" w:line="273" w:before="0" w:after="283"/>
              <w:jc w:val="left"/>
              <w:rPr>
                <w:sz w:val="20"/>
              </w:rPr>
            </w:pPr>
            <w:r>
              <w:rPr>
                <w:sz w:val="20"/>
              </w:rPr>
              <w:t>CDH Griffin Holdings Company Limited</w:t>
            </w:r>
            <w:r>
              <w:rPr>
                <w:position w:val="7"/>
                <w:sz w:val="16"/>
                <w:sz w:val="20"/>
              </w:rPr>
              <w:t>(11)</w:t>
            </w:r>
          </w:p>
        </w:tc>
        <w:tc>
          <w:tcPr>
            <w:tcW w:w="90" w:type="dxa"/>
            <w:tcBorders/>
            <w:tcMar>
              <w:bottom w:w="0" w:type="dxa"/>
            </w:tcMar>
            <w:vAlign w:val="center"/>
          </w:tcPr>
          <w:p>
            <w:pPr>
              <w:pStyle w:val="TableContents"/>
              <w:bidi w:val="0"/>
              <w:spacing w:lineRule="auto" w:line="288" w:before="0" w:after="283"/>
              <w:jc w:val="left"/>
              <w:rPr/>
            </w:pPr>
            <w:r>
              <w:rPr/>
              <w:t> </w:t>
            </w:r>
          </w:p>
        </w:tc>
        <w:tc>
          <w:tcPr>
            <w:tcW w:w="1565" w:type="dxa"/>
            <w:tcBorders/>
            <w:tcMar>
              <w:bottom w:w="0" w:type="dxa"/>
            </w:tcMar>
            <w:vAlign w:val="center"/>
          </w:tcPr>
          <w:p>
            <w:pPr>
              <w:pStyle w:val="TableContents"/>
              <w:bidi w:val="0"/>
              <w:spacing w:lineRule="auto" w:line="288" w:before="0" w:after="283"/>
              <w:jc w:val="right"/>
              <w:rPr>
                <w:sz w:val="20"/>
              </w:rPr>
            </w:pPr>
            <w:r>
              <w:rPr>
                <w:sz w:val="20"/>
              </w:rPr>
              <w:t>37,073,227</w:t>
            </w:r>
          </w:p>
        </w:tc>
        <w:tc>
          <w:tcPr>
            <w:tcW w:w="90" w:type="dxa"/>
            <w:tcBorders/>
            <w:tcMar>
              <w:bottom w:w="0" w:type="dxa"/>
            </w:tcMar>
            <w:vAlign w:val="center"/>
          </w:tcPr>
          <w:p>
            <w:pPr>
              <w:pStyle w:val="TableContents"/>
              <w:bidi w:val="0"/>
              <w:spacing w:lineRule="auto" w:line="288" w:before="0" w:after="283"/>
              <w:jc w:val="right"/>
              <w:rPr/>
            </w:pPr>
            <w:r>
              <w:rPr/>
              <w:t> </w:t>
            </w:r>
          </w:p>
        </w:tc>
        <w:tc>
          <w:tcPr>
            <w:tcW w:w="1870" w:type="dxa"/>
            <w:tcBorders/>
            <w:tcMar>
              <w:bottom w:w="0" w:type="dxa"/>
            </w:tcMar>
            <w:vAlign w:val="center"/>
          </w:tcPr>
          <w:p>
            <w:pPr>
              <w:pStyle w:val="TableContents"/>
              <w:bidi w:val="0"/>
              <w:spacing w:lineRule="auto" w:line="288" w:before="0" w:after="283"/>
              <w:jc w:val="right"/>
              <w:rPr>
                <w:sz w:val="20"/>
              </w:rPr>
            </w:pPr>
            <w:r>
              <w:rPr>
                <w:sz w:val="20"/>
              </w:rPr>
              <w:t>9.6%</w:t>
            </w:r>
          </w:p>
        </w:tc>
      </w:tr>
    </w:tbl>
    <w:p>
      <w:pPr>
        <w:pStyle w:val="TextBody"/>
        <w:bidi w:val="0"/>
        <w:spacing w:lineRule="auto" w:line="288"/>
        <w:ind w:left="360" w:right="0" w:hanging="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 xml:space="preserve">* </w:t>
      </w:r>
      <w:r>
        <w:rPr>
          <w:rFonts w:ascii="Times New Roman;Times;Serif" w:hAnsi="Times New Roman;Times;Serif"/>
          <w:b w:val="false"/>
          <w:i w:val="false"/>
          <w:caps w:val="false"/>
          <w:smallCaps w:val="false"/>
          <w:sz w:val="20"/>
        </w:rPr>
        <w:t xml:space="preserve">Less than one percent. </w:t>
      </w:r>
    </w:p>
    <w:p>
      <w:pPr>
        <w:pStyle w:val="TextBody"/>
        <w:bidi w:val="0"/>
        <w:spacing w:lineRule="auto" w:line="288"/>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56"/>
        <w:gridCol w:w="9882"/>
      </w:tblGrid>
      <w:tr>
        <w:trPr/>
        <w:tc>
          <w:tcPr>
            <w:tcW w:w="6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20"/>
              </w:rPr>
            </w:pPr>
            <w:r>
              <w:rPr>
                <w:sz w:val="20"/>
              </w:rPr>
              <w:t>(1)</w:t>
            </w:r>
          </w:p>
        </w:tc>
        <w:tc>
          <w:tcPr>
            <w:tcW w:w="9882" w:type="dxa"/>
            <w:tcBorders/>
            <w:vAlign w:val="center"/>
          </w:tcPr>
          <w:p>
            <w:pPr>
              <w:pStyle w:val="TableContents"/>
              <w:bidi w:val="0"/>
              <w:spacing w:before="0" w:after="283"/>
              <w:jc w:val="both"/>
              <w:rPr>
                <w:sz w:val="20"/>
              </w:rPr>
            </w:pPr>
            <w:r>
              <w:rPr>
                <w:sz w:val="20"/>
              </w:rPr>
              <w:t>Unless otherwise indicated, the business address of each of the individuals listed is c/o Microvast Holdings, Inc., 2929 Briarpark Drive, Suite 400, Houston, Texas 77042.</w:t>
            </w:r>
          </w:p>
        </w:tc>
      </w:tr>
    </w:tbl>
    <w:tbl>
      <w:tblPr>
        <w:tblW w:w="5000" w:type="pct"/>
        <w:jc w:val="left"/>
        <w:tblInd w:w="0" w:type="dxa"/>
        <w:tblLayout w:type="fixed"/>
        <w:tblCellMar>
          <w:top w:w="0" w:type="dxa"/>
          <w:left w:w="0" w:type="dxa"/>
          <w:bottom w:w="0" w:type="dxa"/>
          <w:right w:w="0" w:type="dxa"/>
        </w:tblCellMar>
      </w:tblPr>
      <w:tblGrid>
        <w:gridCol w:w="67"/>
        <w:gridCol w:w="229"/>
        <w:gridCol w:w="9909"/>
      </w:tblGrid>
      <w:tr>
        <w:trPr/>
        <w:tc>
          <w:tcPr>
            <w:tcW w:w="6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20"/>
              </w:rPr>
            </w:pPr>
            <w:r>
              <w:rPr>
                <w:sz w:val="20"/>
              </w:rPr>
              <w:t>(2)</w:t>
            </w:r>
          </w:p>
        </w:tc>
        <w:tc>
          <w:tcPr>
            <w:tcW w:w="9909" w:type="dxa"/>
            <w:tcBorders/>
            <w:vAlign w:val="center"/>
          </w:tcPr>
          <w:p>
            <w:pPr>
              <w:pStyle w:val="TableContents"/>
              <w:bidi w:val="0"/>
              <w:spacing w:before="0" w:after="283"/>
              <w:jc w:val="both"/>
              <w:rPr>
                <w:sz w:val="20"/>
              </w:rPr>
            </w:pPr>
            <w:r>
              <w:rPr>
                <w:sz w:val="20"/>
              </w:rPr>
              <w:t>The percentage of beneficial ownership is calculated based on 385,921,813 shares of common stock issued and outstanding as of the Record Date. Shares issuable upon the exercise of warrants or stock options and RSUs scheduled to vest within 60 days are deemed outstanding in the denominator used for computing the percentage of the respective person or group holding such warrants, stock options or RSUs but are not outstanding for computing the percentage of</w:t>
            </w:r>
          </w:p>
        </w:tc>
      </w:tr>
    </w:tbl>
    <w:p>
      <w:pPr>
        <w:pStyle w:val="TextBody"/>
        <w:bidi w:val="0"/>
        <w:spacing w:before="0" w:after="283"/>
        <w:jc w:val="left"/>
        <w:rPr/>
      </w:pPr>
      <w:r>
        <w:rPr/>
        <w:t> </w:t>
      </w:r>
    </w:p>
    <w:tbl>
      <w:tblPr>
        <w:tblW w:w="590" w:type="dxa"/>
        <w:jc w:val="left"/>
        <w:tblInd w:w="0" w:type="dxa"/>
        <w:tblLayout w:type="fixed"/>
        <w:tblCellMar>
          <w:top w:w="0" w:type="dxa"/>
          <w:left w:w="0" w:type="dxa"/>
          <w:bottom w:w="0" w:type="dxa"/>
          <w:right w:w="0" w:type="dxa"/>
        </w:tblCellMar>
      </w:tblPr>
      <w:tblGrid>
        <w:gridCol w:w="105"/>
        <w:gridCol w:w="350"/>
        <w:gridCol w:w="135"/>
      </w:tblGrid>
      <w:tr>
        <w:trPr/>
        <w:tc>
          <w:tcPr>
            <w:tcW w:w="10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 </w:t>
            </w:r>
            <w:r>
              <w:rPr/>
              <w:t>44</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lineRule="atLeast" w:line="24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other person or group. Unless otherwise indicated, we believe that all persons named in the table have sole voting and investment power with respect to all shares of common stock beneficially owned by them.</w:t>
      </w:r>
    </w:p>
    <w:tbl>
      <w:tblPr>
        <w:tblW w:w="5000" w:type="pct"/>
        <w:jc w:val="left"/>
        <w:tblInd w:w="0" w:type="dxa"/>
        <w:tblLayout w:type="fixed"/>
        <w:tblCellMar>
          <w:top w:w="0" w:type="dxa"/>
          <w:left w:w="0" w:type="dxa"/>
          <w:bottom w:w="0" w:type="dxa"/>
          <w:right w:w="0" w:type="dxa"/>
        </w:tblCellMar>
      </w:tblPr>
      <w:tblGrid>
        <w:gridCol w:w="67"/>
        <w:gridCol w:w="249"/>
        <w:gridCol w:w="9889"/>
      </w:tblGrid>
      <w:tr>
        <w:trPr/>
        <w:tc>
          <w:tcPr>
            <w:tcW w:w="67"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20"/>
              </w:rPr>
            </w:pPr>
            <w:r>
              <w:rPr>
                <w:sz w:val="20"/>
              </w:rPr>
              <w:t>(3)</w:t>
            </w:r>
          </w:p>
        </w:tc>
        <w:tc>
          <w:tcPr>
            <w:tcW w:w="9889" w:type="dxa"/>
            <w:tcBorders/>
            <w:vAlign w:val="center"/>
          </w:tcPr>
          <w:p>
            <w:pPr>
              <w:pStyle w:val="TableContents"/>
              <w:bidi w:val="0"/>
              <w:spacing w:before="0" w:after="283"/>
              <w:jc w:val="both"/>
              <w:rPr>
                <w:sz w:val="20"/>
              </w:rPr>
            </w:pPr>
            <w:r>
              <w:rPr>
                <w:sz w:val="20"/>
              </w:rPr>
              <w:t>Includes: (i) a presently exercisable warrant to purchase 5,500,000 shares of common stock; and (ii) 1,000,000 shares held by Mr. Wu’s son, for which Mr. Wu has sole voting and shared dispositive power.</w:t>
            </w:r>
          </w:p>
        </w:tc>
      </w:tr>
    </w:tbl>
    <w:tbl>
      <w:tblPr>
        <w:tblW w:w="5000" w:type="pct"/>
        <w:jc w:val="left"/>
        <w:tblInd w:w="0" w:type="dxa"/>
        <w:tblLayout w:type="fixed"/>
        <w:tblCellMar>
          <w:top w:w="0" w:type="dxa"/>
          <w:left w:w="0" w:type="dxa"/>
          <w:bottom w:w="0" w:type="dxa"/>
          <w:right w:w="0" w:type="dxa"/>
        </w:tblCellMar>
      </w:tblPr>
      <w:tblGrid>
        <w:gridCol w:w="72"/>
        <w:gridCol w:w="295"/>
        <w:gridCol w:w="9838"/>
      </w:tblGrid>
      <w:tr>
        <w:trPr/>
        <w:tc>
          <w:tcPr>
            <w:tcW w:w="72"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20"/>
              </w:rPr>
            </w:pPr>
            <w:r>
              <w:rPr>
                <w:sz w:val="20"/>
              </w:rPr>
              <w:t>(4)</w:t>
            </w:r>
          </w:p>
        </w:tc>
        <w:tc>
          <w:tcPr>
            <w:tcW w:w="9838" w:type="dxa"/>
            <w:tcBorders/>
            <w:vAlign w:val="center"/>
          </w:tcPr>
          <w:p>
            <w:pPr>
              <w:pStyle w:val="TableContents"/>
              <w:bidi w:val="0"/>
              <w:spacing w:before="0" w:after="283"/>
              <w:jc w:val="both"/>
              <w:rPr>
                <w:sz w:val="20"/>
              </w:rPr>
            </w:pPr>
            <w:r>
              <w:rPr>
                <w:sz w:val="20"/>
              </w:rPr>
              <w:t>Includes 1,780,612 stock options exercisable or that will become exercisable within 60 days of the Record Date.</w:t>
            </w:r>
          </w:p>
        </w:tc>
      </w:tr>
    </w:tbl>
    <w:tbl>
      <w:tblPr>
        <w:tblW w:w="5000" w:type="pct"/>
        <w:jc w:val="left"/>
        <w:tblInd w:w="0" w:type="dxa"/>
        <w:tblLayout w:type="fixed"/>
        <w:tblCellMar>
          <w:top w:w="0" w:type="dxa"/>
          <w:left w:w="0" w:type="dxa"/>
          <w:bottom w:w="0" w:type="dxa"/>
          <w:right w:w="0" w:type="dxa"/>
        </w:tblCellMar>
      </w:tblPr>
      <w:tblGrid>
        <w:gridCol w:w="72"/>
        <w:gridCol w:w="295"/>
        <w:gridCol w:w="9838"/>
      </w:tblGrid>
      <w:tr>
        <w:trPr/>
        <w:tc>
          <w:tcPr>
            <w:tcW w:w="72"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20"/>
              </w:rPr>
            </w:pPr>
            <w:r>
              <w:rPr>
                <w:sz w:val="20"/>
              </w:rPr>
              <w:t>(5)</w:t>
            </w:r>
          </w:p>
        </w:tc>
        <w:tc>
          <w:tcPr>
            <w:tcW w:w="9838" w:type="dxa"/>
            <w:tcBorders/>
            <w:vAlign w:val="center"/>
          </w:tcPr>
          <w:p>
            <w:pPr>
              <w:pStyle w:val="TableContents"/>
              <w:bidi w:val="0"/>
              <w:spacing w:before="0" w:after="283"/>
              <w:jc w:val="both"/>
              <w:rPr>
                <w:sz w:val="20"/>
              </w:rPr>
            </w:pPr>
            <w:r>
              <w:rPr>
                <w:sz w:val="20"/>
              </w:rPr>
              <w:t>Includes 1,949,067 stock options exercisable or that will become exercisable within 60 days of the Record Date.</w:t>
            </w:r>
          </w:p>
        </w:tc>
      </w:tr>
    </w:tbl>
    <w:tbl>
      <w:tblPr>
        <w:tblW w:w="5000" w:type="pct"/>
        <w:jc w:val="left"/>
        <w:tblInd w:w="0" w:type="dxa"/>
        <w:tblLayout w:type="fixed"/>
        <w:tblCellMar>
          <w:top w:w="0" w:type="dxa"/>
          <w:left w:w="0" w:type="dxa"/>
          <w:bottom w:w="0" w:type="dxa"/>
          <w:right w:w="0" w:type="dxa"/>
        </w:tblCellMar>
      </w:tblPr>
      <w:tblGrid>
        <w:gridCol w:w="72"/>
        <w:gridCol w:w="294"/>
        <w:gridCol w:w="9839"/>
      </w:tblGrid>
      <w:tr>
        <w:trPr/>
        <w:tc>
          <w:tcPr>
            <w:tcW w:w="72"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20"/>
              </w:rPr>
            </w:pPr>
            <w:r>
              <w:rPr>
                <w:sz w:val="20"/>
              </w:rPr>
              <w:t>(6)</w:t>
            </w:r>
          </w:p>
        </w:tc>
        <w:tc>
          <w:tcPr>
            <w:tcW w:w="9839" w:type="dxa"/>
            <w:tcBorders/>
            <w:vAlign w:val="center"/>
          </w:tcPr>
          <w:p>
            <w:pPr>
              <w:pStyle w:val="TableContents"/>
              <w:bidi w:val="0"/>
              <w:spacing w:before="0" w:after="283"/>
              <w:jc w:val="both"/>
              <w:rPr>
                <w:sz w:val="20"/>
              </w:rPr>
            </w:pPr>
            <w:r>
              <w:rPr>
                <w:sz w:val="20"/>
              </w:rPr>
              <w:t xml:space="preserve">Includes 1,066,667 stock options exercisable or that will become exercisable within 60 days of the Record Date. </w:t>
            </w:r>
          </w:p>
        </w:tc>
      </w:tr>
    </w:tbl>
    <w:tbl>
      <w:tblPr>
        <w:tblW w:w="5000" w:type="pct"/>
        <w:jc w:val="left"/>
        <w:tblInd w:w="0" w:type="dxa"/>
        <w:tblLayout w:type="fixed"/>
        <w:tblCellMar>
          <w:top w:w="0" w:type="dxa"/>
          <w:left w:w="0" w:type="dxa"/>
          <w:bottom w:w="0" w:type="dxa"/>
          <w:right w:w="0" w:type="dxa"/>
        </w:tblCellMar>
      </w:tblPr>
      <w:tblGrid>
        <w:gridCol w:w="77"/>
        <w:gridCol w:w="312"/>
        <w:gridCol w:w="9816"/>
      </w:tblGrid>
      <w:tr>
        <w:trPr/>
        <w:tc>
          <w:tcPr>
            <w:tcW w:w="77"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20"/>
              </w:rPr>
            </w:pPr>
            <w:r>
              <w:rPr>
                <w:sz w:val="20"/>
              </w:rPr>
              <w:t>(7)</w:t>
            </w:r>
          </w:p>
        </w:tc>
        <w:tc>
          <w:tcPr>
            <w:tcW w:w="9816" w:type="dxa"/>
            <w:tcBorders/>
            <w:vAlign w:val="center"/>
          </w:tcPr>
          <w:p>
            <w:pPr>
              <w:pStyle w:val="TableContents"/>
              <w:bidi w:val="0"/>
              <w:spacing w:before="0" w:after="283"/>
              <w:jc w:val="both"/>
              <w:rPr>
                <w:sz w:val="20"/>
              </w:rPr>
            </w:pPr>
            <w:r>
              <w:rPr>
                <w:sz w:val="20"/>
              </w:rPr>
              <w:t xml:space="preserve">Includes 6,460 shares to be received in connection with RSUs vesting within 60 days of the Record Date. </w:t>
            </w:r>
          </w:p>
        </w:tc>
      </w:tr>
    </w:tbl>
    <w:tbl>
      <w:tblPr>
        <w:tblW w:w="5000" w:type="pct"/>
        <w:jc w:val="left"/>
        <w:tblInd w:w="0" w:type="dxa"/>
        <w:tblLayout w:type="fixed"/>
        <w:tblCellMar>
          <w:top w:w="0" w:type="dxa"/>
          <w:left w:w="0" w:type="dxa"/>
          <w:bottom w:w="0" w:type="dxa"/>
          <w:right w:w="0" w:type="dxa"/>
        </w:tblCellMar>
      </w:tblPr>
      <w:tblGrid>
        <w:gridCol w:w="76"/>
        <w:gridCol w:w="312"/>
        <w:gridCol w:w="9817"/>
      </w:tblGrid>
      <w:tr>
        <w:trPr/>
        <w:tc>
          <w:tcPr>
            <w:tcW w:w="76"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20"/>
              </w:rPr>
            </w:pPr>
            <w:r>
              <w:rPr>
                <w:sz w:val="20"/>
              </w:rPr>
              <w:t>(8)</w:t>
            </w:r>
          </w:p>
        </w:tc>
        <w:tc>
          <w:tcPr>
            <w:tcW w:w="9817" w:type="dxa"/>
            <w:tcBorders/>
            <w:vAlign w:val="center"/>
          </w:tcPr>
          <w:p>
            <w:pPr>
              <w:pStyle w:val="TableContents"/>
              <w:bidi w:val="0"/>
              <w:spacing w:before="0" w:after="283"/>
              <w:jc w:val="both"/>
              <w:rPr>
                <w:sz w:val="20"/>
              </w:rPr>
            </w:pPr>
            <w:r>
              <w:rPr>
                <w:sz w:val="20"/>
              </w:rPr>
              <w:t>Ms. Khanbabi served as the Company’s principal financial officer from October 21, 2024 to April 7, 2025.</w:t>
            </w:r>
          </w:p>
        </w:tc>
      </w:tr>
    </w:tbl>
    <w:tbl>
      <w:tblPr>
        <w:tblW w:w="5000" w:type="pct"/>
        <w:jc w:val="left"/>
        <w:tblInd w:w="0" w:type="dxa"/>
        <w:tblLayout w:type="fixed"/>
        <w:tblCellMar>
          <w:top w:w="0" w:type="dxa"/>
          <w:left w:w="0" w:type="dxa"/>
          <w:bottom w:w="0" w:type="dxa"/>
          <w:right w:w="0" w:type="dxa"/>
        </w:tblCellMar>
      </w:tblPr>
      <w:tblGrid>
        <w:gridCol w:w="80"/>
        <w:gridCol w:w="326"/>
        <w:gridCol w:w="9799"/>
      </w:tblGrid>
      <w:tr>
        <w:trPr/>
        <w:tc>
          <w:tcPr>
            <w:tcW w:w="80"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20"/>
              </w:rPr>
            </w:pPr>
            <w:r>
              <w:rPr>
                <w:sz w:val="20"/>
              </w:rPr>
              <w:t>(9)</w:t>
            </w:r>
          </w:p>
        </w:tc>
        <w:tc>
          <w:tcPr>
            <w:tcW w:w="9799" w:type="dxa"/>
            <w:tcBorders/>
            <w:vAlign w:val="center"/>
          </w:tcPr>
          <w:p>
            <w:pPr>
              <w:pStyle w:val="TableContents"/>
              <w:bidi w:val="0"/>
              <w:spacing w:before="0" w:after="283"/>
              <w:jc w:val="both"/>
              <w:rPr>
                <w:sz w:val="20"/>
              </w:rPr>
            </w:pPr>
            <w:r>
              <w:rPr>
                <w:sz w:val="20"/>
              </w:rPr>
              <w:t>Mr. Schultz served as the Company’s principal financial officer from April 21, 2025 to July 29, 2025.</w:t>
            </w:r>
          </w:p>
        </w:tc>
      </w:tr>
    </w:tbl>
    <w:tbl>
      <w:tblPr>
        <w:tblW w:w="5000" w:type="pct"/>
        <w:jc w:val="left"/>
        <w:tblInd w:w="0" w:type="dxa"/>
        <w:tblLayout w:type="fixed"/>
        <w:tblCellMar>
          <w:top w:w="0" w:type="dxa"/>
          <w:left w:w="0" w:type="dxa"/>
          <w:bottom w:w="0" w:type="dxa"/>
          <w:right w:w="0" w:type="dxa"/>
        </w:tblCellMar>
      </w:tblPr>
      <w:tblGrid>
        <w:gridCol w:w="67"/>
        <w:gridCol w:w="406"/>
        <w:gridCol w:w="9732"/>
      </w:tblGrid>
      <w:tr>
        <w:trPr/>
        <w:tc>
          <w:tcPr>
            <w:tcW w:w="67"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pPr>
            <w:r>
              <w:rPr/>
              <w:t>(10)</w:t>
            </w:r>
          </w:p>
        </w:tc>
        <w:tc>
          <w:tcPr>
            <w:tcW w:w="9732" w:type="dxa"/>
            <w:tcBorders/>
            <w:vAlign w:val="center"/>
          </w:tcPr>
          <w:p>
            <w:pPr>
              <w:pStyle w:val="TableContents"/>
              <w:bidi w:val="0"/>
              <w:spacing w:before="0" w:after="283"/>
              <w:jc w:val="both"/>
              <w:rPr/>
            </w:pPr>
            <w:r>
              <w:rPr/>
              <w:t>This group excludes Ms. Khanbabi and Mr. Schultz and includes Mr. Liu as Chief Accounting Officer. Mr. Liu did not hold any shares of the Company as of the Record Date.</w:t>
            </w:r>
          </w:p>
        </w:tc>
      </w:tr>
    </w:tbl>
    <w:tbl>
      <w:tblPr>
        <w:tblW w:w="5000" w:type="pct"/>
        <w:jc w:val="left"/>
        <w:tblInd w:w="0" w:type="dxa"/>
        <w:tblLayout w:type="fixed"/>
        <w:tblCellMar>
          <w:top w:w="0" w:type="dxa"/>
          <w:left w:w="0" w:type="dxa"/>
          <w:bottom w:w="0" w:type="dxa"/>
          <w:right w:w="0" w:type="dxa"/>
        </w:tblCellMar>
      </w:tblPr>
      <w:tblGrid>
        <w:gridCol w:w="67"/>
        <w:gridCol w:w="367"/>
        <w:gridCol w:w="9771"/>
      </w:tblGrid>
      <w:tr>
        <w:trPr/>
        <w:tc>
          <w:tcPr>
            <w:tcW w:w="6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pPr>
            <w:r>
              <w:rPr/>
              <w:t>(11)</w:t>
            </w:r>
          </w:p>
        </w:tc>
        <w:tc>
          <w:tcPr>
            <w:tcW w:w="9771" w:type="dxa"/>
            <w:tcBorders/>
            <w:vAlign w:val="center"/>
          </w:tcPr>
          <w:p>
            <w:pPr>
              <w:pStyle w:val="TableContents"/>
              <w:bidi w:val="0"/>
              <w:spacing w:before="0" w:after="283"/>
              <w:jc w:val="both"/>
              <w:rPr/>
            </w:pPr>
            <w:r>
              <w:rPr/>
              <w:t>According to a Schedule 13G/A filed on February 13, 2026, reporting beneficial ownership as of December 31, 2025, Evergreen Ever Limited (“Evergreen”) has sole voting and dispositive power over 28,597,614 shares of common stock and Aurora Sheen Limited (“Aurora”) has sole voting and dispositive power over 5,220,347 shares of common stock. In addition, Hangzhou CDH New Trend Equity Investment Partnership (Limited Partnership) (“New Trend”) has sole voting and dispositive power over 3,255,266 shares of common stock that were issued in the name of (and held on behalf of New Trend by) MVST SPV Inc., a wholly owned subsidiary of the Company, pursuant to a framework agreement dated February 1, 2021 by and among the Company, New Trend and other parties named therein. The sole shareholder of Evergreen is Piccadilly, L.P., the sole general partner of which is CDH China HF Holdings Company Limited (“HF Holdings”). The sole shareholder of Aurora is Shanghai Dinghui Pingxun Investment Partnership (LLP), the sole general partner of which is CDH Shanghai Baifu Wealth Management Company (“Shanghai Baifu”). Dispositive and voting power of the securities held by Evergreen and Aurora is exercised by the members of the investment and risk committee (the “IR Committee”), comprising Wu Shangzhi, Ying Wei, Li Dan, Wei Bin and William Hsu. The IR Committee is appointed by HF Holdings and Shanghai Baifu, respectively. HF Holdings and Shanghai Baifu may be deemed to have beneficial ownership over the shares held by Evergreen and Aurora, respectively. The general partner of New Trend is Dinghui Equity Investment Management (Tianjin) Company Limited (“Dinghui Equity”). Dispositive and voting power of the securities beneficially owned by New Trend is exercised by the members of the investment committee (the “Investment Committee”), comprising Wu Shangzhi, Wang Lin, Huang Yan, Guo Qizhi and Gao Jieliang. The Investment Committee is appointed by Dinghui Equity. Dinghui Equity may be deemed to have beneficial ownership over the shares beneficially owned by New Trend. HF Holdings, Shanghai Baifu and Dinghui Equity are controlled by CDH Investment Management Company Limited (“CDH Investment”), and CDH Griffin Holdings Company Limited (“Griffin Holdings”) holds a majority of the equity interests in CDH Investment. The ultimate parent entity is Griffin Holdings. The address for each of the foregoing entities is 1503, Level 15, International Commerce Centre, 1 Austin Road West, Kowloon, Hong Kong, China.</w:t>
            </w:r>
          </w:p>
        </w:tc>
      </w:tr>
    </w:tbl>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tbl>
      <w:tblPr>
        <w:tblW w:w="590" w:type="dxa"/>
        <w:jc w:val="left"/>
        <w:tblInd w:w="0" w:type="dxa"/>
        <w:tblLayout w:type="fixed"/>
        <w:tblCellMar>
          <w:top w:w="0" w:type="dxa"/>
          <w:left w:w="0" w:type="dxa"/>
          <w:bottom w:w="0" w:type="dxa"/>
          <w:right w:w="0" w:type="dxa"/>
        </w:tblCellMar>
      </w:tblPr>
      <w:tblGrid>
        <w:gridCol w:w="105"/>
        <w:gridCol w:w="350"/>
        <w:gridCol w:w="135"/>
      </w:tblGrid>
      <w:tr>
        <w:trPr/>
        <w:tc>
          <w:tcPr>
            <w:tcW w:w="10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 </w:t>
            </w:r>
            <w:r>
              <w:rPr/>
              <w:t>45</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lineRule="auto" w:line="276"/>
        <w:jc w:val="left"/>
        <w:rPr>
          <w:rFonts w:ascii="Times New Roman;Times;Serif" w:hAnsi="Times New Roman;Times;Serif"/>
          <w:b/>
          <w:i w:val="false"/>
          <w:caps w:val="false"/>
          <w:smallCaps w:val="false"/>
          <w:sz w:val="32"/>
        </w:rPr>
      </w:pPr>
      <w:bookmarkStart w:id="14" w:name="audit"/>
      <w:bookmarkEnd w:id="14"/>
      <w:r>
        <w:rPr>
          <w:rFonts w:ascii="Times New Roman;Times;Serif" w:hAnsi="Times New Roman;Times;Serif"/>
          <w:b/>
          <w:i w:val="false"/>
          <w:caps w:val="false"/>
          <w:smallCaps w:val="false"/>
          <w:sz w:val="32"/>
        </w:rPr>
        <w:t>AUDIT COMMITTEE REPORT</w:t>
      </w:r>
    </w:p>
    <w:p>
      <w:pPr>
        <w:pStyle w:val="TextBody"/>
        <w:bidi w:val="0"/>
        <w:spacing w:lineRule="auto" w:line="276"/>
        <w:jc w:val="left"/>
        <w:rPr>
          <w:caps w:val="false"/>
          <w:smallCaps w:val="false"/>
        </w:rPr>
      </w:pPr>
      <w:r>
        <w:rPr>
          <w:caps w:val="false"/>
          <w:smallCaps w:val="false"/>
        </w:rPr>
        <w:t> </w:t>
      </w:r>
    </w:p>
    <w:p>
      <w:pPr>
        <w:pStyle w:val="TextBody"/>
        <w:bidi w:val="0"/>
        <w:spacing w:lineRule="auto" w:line="27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Committee’s primary responsibilities include assisting the Board in its oversight of the Company’s financial reporting process, appointing the independent registered public accounting firm and reviewing the services performed by the independent registered public accounting firm. The Audit Committee does not itself prepare financial statements or perform audits and its members are not auditors or certifiers of the Company’s financial statements.</w:t>
      </w:r>
    </w:p>
    <w:p>
      <w:pPr>
        <w:pStyle w:val="TextBody"/>
        <w:bidi w:val="0"/>
        <w:spacing w:lineRule="auto" w:line="276"/>
        <w:jc w:val="both"/>
        <w:rPr>
          <w:caps w:val="false"/>
          <w:smallCaps w:val="false"/>
        </w:rPr>
      </w:pPr>
      <w:r>
        <w:rPr>
          <w:caps w:val="false"/>
          <w:smallCaps w:val="false"/>
        </w:rPr>
        <w:t> </w:t>
      </w:r>
    </w:p>
    <w:p>
      <w:pPr>
        <w:pStyle w:val="TextBody"/>
        <w:bidi w:val="0"/>
        <w:spacing w:lineRule="auto" w:line="27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performing its oversight responsibility, the Audit Committee has:</w:t>
      </w:r>
    </w:p>
    <w:p>
      <w:pPr>
        <w:pStyle w:val="TextBody"/>
        <w:bidi w:val="0"/>
        <w:spacing w:lineRule="auto" w:line="276"/>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140"/>
        <w:gridCol w:w="9998"/>
      </w:tblGrid>
      <w:tr>
        <w:trPr/>
        <w:tc>
          <w:tcPr>
            <w:tcW w:w="6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sz w:val="20"/>
              </w:rPr>
            </w:pPr>
            <w:r>
              <w:rPr>
                <w:sz w:val="20"/>
              </w:rPr>
              <w:t>reviewed and discussed the audited year-end financial statements with management, which has primary responsibility for the financial statements;</w:t>
            </w:r>
          </w:p>
        </w:tc>
      </w:tr>
    </w:tbl>
    <w:tbl>
      <w:tblPr>
        <w:tblW w:w="5000" w:type="pct"/>
        <w:jc w:val="left"/>
        <w:tblInd w:w="0" w:type="dxa"/>
        <w:tblLayout w:type="fixed"/>
        <w:tblCellMar>
          <w:top w:w="0" w:type="dxa"/>
          <w:left w:w="0" w:type="dxa"/>
          <w:bottom w:w="0" w:type="dxa"/>
          <w:right w:w="0" w:type="dxa"/>
        </w:tblCellMar>
      </w:tblPr>
      <w:tblGrid>
        <w:gridCol w:w="67"/>
        <w:gridCol w:w="140"/>
        <w:gridCol w:w="9998"/>
      </w:tblGrid>
      <w:tr>
        <w:trPr/>
        <w:tc>
          <w:tcPr>
            <w:tcW w:w="6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sz w:val="20"/>
              </w:rPr>
            </w:pPr>
            <w:r>
              <w:rPr>
                <w:sz w:val="20"/>
              </w:rPr>
              <w:t>discussed with Deloitte, the Company’s independent registered public accounting firm for Fiscal 2025, the matters required by applicable requirements of the Public Company Accounting Oversight Board (“PCAOB”) and the SEC; and</w:t>
            </w:r>
          </w:p>
        </w:tc>
      </w:tr>
    </w:tbl>
    <w:tbl>
      <w:tblPr>
        <w:tblW w:w="5000" w:type="pct"/>
        <w:jc w:val="left"/>
        <w:tblInd w:w="0" w:type="dxa"/>
        <w:tblLayout w:type="fixed"/>
        <w:tblCellMar>
          <w:top w:w="0" w:type="dxa"/>
          <w:left w:w="0" w:type="dxa"/>
          <w:bottom w:w="0" w:type="dxa"/>
          <w:right w:w="0" w:type="dxa"/>
        </w:tblCellMar>
      </w:tblPr>
      <w:tblGrid>
        <w:gridCol w:w="67"/>
        <w:gridCol w:w="140"/>
        <w:gridCol w:w="9998"/>
      </w:tblGrid>
      <w:tr>
        <w:trPr/>
        <w:tc>
          <w:tcPr>
            <w:tcW w:w="6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sz w:val="20"/>
              </w:rPr>
            </w:pPr>
            <w:r>
              <w:rPr>
                <w:sz w:val="20"/>
              </w:rPr>
              <w:t>received the written disclosures and the letter from Deloitte required by applicable requirements of the PCAOB regarding Deloitte’s communications with the Audit Committee concerning independence and discussed with Deloitte its independence.</w:t>
            </w:r>
          </w:p>
        </w:tc>
      </w:tr>
    </w:tbl>
    <w:p>
      <w:pPr>
        <w:pStyle w:val="TextBody"/>
        <w:bidi w:val="0"/>
        <w:spacing w:lineRule="auto" w:line="276"/>
        <w:jc w:val="both"/>
        <w:rPr>
          <w:caps w:val="false"/>
          <w:smallCaps w:val="false"/>
        </w:rPr>
      </w:pPr>
      <w:r>
        <w:rPr>
          <w:caps w:val="false"/>
          <w:smallCaps w:val="false"/>
        </w:rPr>
        <w:t> </w:t>
      </w:r>
    </w:p>
    <w:p>
      <w:pPr>
        <w:pStyle w:val="TextBody"/>
        <w:bidi w:val="0"/>
        <w:spacing w:lineRule="auto" w:line="27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also discussed with the auditors matters related to our internal control over financial reporting. Based on these discussions and the written disclosures received from the independent auditors, the Audit Committee recommended to the Board inclusion of the audited year-end financial statements in the Annual Report.</w:t>
      </w:r>
    </w:p>
    <w:p>
      <w:pPr>
        <w:pStyle w:val="TextBody"/>
        <w:bidi w:val="0"/>
        <w:spacing w:lineRule="auto" w:line="276"/>
        <w:jc w:val="left"/>
        <w:rPr>
          <w:caps w:val="false"/>
          <w:smallCaps w:val="false"/>
        </w:rPr>
      </w:pPr>
      <w:r>
        <w:rPr>
          <w:caps w:val="false"/>
          <w:smallCaps w:val="false"/>
        </w:rPr>
        <w:t> </w:t>
      </w:r>
    </w:p>
    <w:tbl>
      <w:tblPr>
        <w:tblW w:w="2855" w:type="dxa"/>
        <w:jc w:val="left"/>
        <w:tblInd w:w="0" w:type="dxa"/>
        <w:tblLayout w:type="fixed"/>
        <w:tblCellMar>
          <w:top w:w="0" w:type="dxa"/>
          <w:left w:w="0" w:type="dxa"/>
          <w:bottom w:w="0" w:type="dxa"/>
          <w:right w:w="0" w:type="dxa"/>
        </w:tblCellMar>
      </w:tblPr>
      <w:tblGrid>
        <w:gridCol w:w="105"/>
        <w:gridCol w:w="2750"/>
      </w:tblGrid>
      <w:tr>
        <w:trPr/>
        <w:tc>
          <w:tcPr>
            <w:tcW w:w="105" w:type="dxa"/>
            <w:tcBorders/>
            <w:vAlign w:val="center"/>
          </w:tcPr>
          <w:p>
            <w:pPr>
              <w:pStyle w:val="TableContents"/>
              <w:bidi w:val="0"/>
              <w:spacing w:lineRule="auto" w:line="276" w:before="0" w:after="283"/>
              <w:jc w:val="left"/>
              <w:rPr/>
            </w:pPr>
            <w:r>
              <w:rPr/>
              <w:t> </w:t>
            </w:r>
          </w:p>
        </w:tc>
        <w:tc>
          <w:tcPr>
            <w:tcW w:w="2750" w:type="dxa"/>
            <w:tcBorders/>
            <w:vAlign w:val="center"/>
          </w:tcPr>
          <w:p>
            <w:pPr>
              <w:pStyle w:val="TableContents"/>
              <w:bidi w:val="0"/>
              <w:spacing w:lineRule="auto" w:line="276" w:before="0" w:after="283"/>
              <w:jc w:val="left"/>
              <w:rPr>
                <w:i/>
                <w:sz w:val="20"/>
              </w:rPr>
            </w:pPr>
            <w:r>
              <w:rPr>
                <w:i/>
                <w:sz w:val="20"/>
              </w:rPr>
              <w:t>Members of the Audit Committee</w:t>
            </w:r>
          </w:p>
        </w:tc>
      </w:tr>
      <w:tr>
        <w:trPr/>
        <w:tc>
          <w:tcPr>
            <w:tcW w:w="105" w:type="dxa"/>
            <w:tcBorders/>
            <w:vAlign w:val="center"/>
          </w:tcPr>
          <w:p>
            <w:pPr>
              <w:pStyle w:val="TableContents"/>
              <w:bidi w:val="0"/>
              <w:spacing w:lineRule="auto" w:line="276" w:before="0" w:after="283"/>
              <w:jc w:val="left"/>
              <w:rPr/>
            </w:pPr>
            <w:r>
              <w:rPr/>
              <w:t> </w:t>
            </w:r>
          </w:p>
        </w:tc>
        <w:tc>
          <w:tcPr>
            <w:tcW w:w="2750" w:type="dxa"/>
            <w:tcBorders/>
            <w:vAlign w:val="center"/>
          </w:tcPr>
          <w:p>
            <w:pPr>
              <w:pStyle w:val="TableContents"/>
              <w:bidi w:val="0"/>
              <w:spacing w:lineRule="auto" w:line="276" w:before="0" w:after="283"/>
              <w:jc w:val="left"/>
              <w:rPr/>
            </w:pPr>
            <w:r>
              <w:rPr/>
              <w:t> </w:t>
            </w:r>
          </w:p>
        </w:tc>
      </w:tr>
      <w:tr>
        <w:trPr/>
        <w:tc>
          <w:tcPr>
            <w:tcW w:w="105" w:type="dxa"/>
            <w:tcBorders/>
            <w:vAlign w:val="center"/>
          </w:tcPr>
          <w:p>
            <w:pPr>
              <w:pStyle w:val="TableContents"/>
              <w:bidi w:val="0"/>
              <w:spacing w:lineRule="auto" w:line="276" w:before="0" w:after="283"/>
              <w:jc w:val="left"/>
              <w:rPr/>
            </w:pPr>
            <w:r>
              <w:rPr/>
              <w:t> </w:t>
            </w:r>
          </w:p>
        </w:tc>
        <w:tc>
          <w:tcPr>
            <w:tcW w:w="2750" w:type="dxa"/>
            <w:tcBorders/>
            <w:vAlign w:val="center"/>
          </w:tcPr>
          <w:p>
            <w:pPr>
              <w:pStyle w:val="TableContents"/>
              <w:bidi w:val="0"/>
              <w:spacing w:lineRule="auto" w:line="276" w:before="0" w:after="283"/>
              <w:jc w:val="left"/>
              <w:rPr>
                <w:sz w:val="20"/>
              </w:rPr>
            </w:pPr>
            <w:r>
              <w:rPr>
                <w:sz w:val="20"/>
              </w:rPr>
              <w:t>Arthur Wong (Chair)</w:t>
            </w:r>
          </w:p>
        </w:tc>
      </w:tr>
      <w:tr>
        <w:trPr/>
        <w:tc>
          <w:tcPr>
            <w:tcW w:w="105" w:type="dxa"/>
            <w:tcBorders/>
            <w:vAlign w:val="center"/>
          </w:tcPr>
          <w:p>
            <w:pPr>
              <w:pStyle w:val="TableContents"/>
              <w:bidi w:val="0"/>
              <w:spacing w:lineRule="auto" w:line="276" w:before="0" w:after="283"/>
              <w:jc w:val="left"/>
              <w:rPr/>
            </w:pPr>
            <w:r>
              <w:rPr/>
              <w:t> </w:t>
            </w:r>
          </w:p>
        </w:tc>
        <w:tc>
          <w:tcPr>
            <w:tcW w:w="2750" w:type="dxa"/>
            <w:tcBorders/>
            <w:vAlign w:val="center"/>
          </w:tcPr>
          <w:p>
            <w:pPr>
              <w:pStyle w:val="TableContents"/>
              <w:bidi w:val="0"/>
              <w:spacing w:lineRule="auto" w:line="276" w:before="0" w:after="283"/>
              <w:jc w:val="left"/>
              <w:rPr>
                <w:sz w:val="20"/>
              </w:rPr>
            </w:pPr>
            <w:r>
              <w:rPr>
                <w:sz w:val="20"/>
              </w:rPr>
              <w:t>Wei Ying</w:t>
            </w:r>
          </w:p>
        </w:tc>
      </w:tr>
      <w:tr>
        <w:trPr/>
        <w:tc>
          <w:tcPr>
            <w:tcW w:w="105" w:type="dxa"/>
            <w:tcBorders/>
            <w:vAlign w:val="center"/>
          </w:tcPr>
          <w:p>
            <w:pPr>
              <w:pStyle w:val="TableContents"/>
              <w:bidi w:val="0"/>
              <w:spacing w:lineRule="auto" w:line="276" w:before="0" w:after="283"/>
              <w:jc w:val="left"/>
              <w:rPr/>
            </w:pPr>
            <w:r>
              <w:rPr/>
              <w:t> </w:t>
            </w:r>
          </w:p>
        </w:tc>
        <w:tc>
          <w:tcPr>
            <w:tcW w:w="2750" w:type="dxa"/>
            <w:tcBorders/>
            <w:vAlign w:val="center"/>
          </w:tcPr>
          <w:p>
            <w:pPr>
              <w:pStyle w:val="TableContents"/>
              <w:bidi w:val="0"/>
              <w:spacing w:lineRule="auto" w:line="276" w:before="0" w:after="283"/>
              <w:jc w:val="left"/>
              <w:rPr>
                <w:sz w:val="20"/>
              </w:rPr>
            </w:pPr>
            <w:r>
              <w:rPr>
                <w:sz w:val="20"/>
              </w:rPr>
              <w:t>Yixin Pan</w:t>
            </w:r>
          </w:p>
        </w:tc>
      </w:tr>
      <w:tr>
        <w:trPr/>
        <w:tc>
          <w:tcPr>
            <w:tcW w:w="105" w:type="dxa"/>
            <w:tcBorders>
              <w:bottom w:val="single" w:sz="8" w:space="0" w:color="000000"/>
            </w:tcBorders>
            <w:tcMar>
              <w:bottom w:w="28" w:type="dxa"/>
            </w:tcMar>
            <w:vAlign w:val="center"/>
          </w:tcPr>
          <w:p>
            <w:pPr>
              <w:pStyle w:val="TableContents"/>
              <w:bidi w:val="0"/>
              <w:spacing w:lineRule="auto" w:line="276" w:before="0" w:after="283"/>
              <w:jc w:val="left"/>
              <w:rPr/>
            </w:pPr>
            <w:r>
              <w:rPr/>
              <w:t> </w:t>
            </w:r>
          </w:p>
        </w:tc>
        <w:tc>
          <w:tcPr>
            <w:tcW w:w="2750" w:type="dxa"/>
            <w:tcBorders>
              <w:bottom w:val="single" w:sz="8" w:space="0" w:color="000000"/>
            </w:tcBorders>
            <w:tcMar>
              <w:bottom w:w="28" w:type="dxa"/>
            </w:tcMar>
            <w:vAlign w:val="center"/>
          </w:tcPr>
          <w:p>
            <w:pPr>
              <w:pStyle w:val="TableContents"/>
              <w:bidi w:val="0"/>
              <w:spacing w:lineRule="auto" w:line="276" w:before="0" w:after="283"/>
              <w:jc w:val="left"/>
              <w:rPr/>
            </w:pPr>
            <w:r>
              <w:rPr/>
              <w:t> </w:t>
            </w:r>
          </w:p>
        </w:tc>
      </w:tr>
      <w:tr>
        <w:trPr/>
        <w:tc>
          <w:tcPr>
            <w:tcW w:w="2855" w:type="dxa"/>
            <w:gridSpan w:val="2"/>
            <w:tcBorders/>
            <w:vAlign w:val="center"/>
          </w:tcPr>
          <w:p>
            <w:pPr>
              <w:pStyle w:val="TableContents"/>
              <w:bidi w:val="0"/>
              <w:spacing w:lineRule="auto" w:line="276" w:before="0" w:after="283"/>
              <w:jc w:val="left"/>
              <w:rPr/>
            </w:pPr>
            <w:r>
              <w:rPr/>
              <w:t> </w:t>
            </w:r>
          </w:p>
        </w:tc>
      </w:tr>
    </w:tbl>
    <w:p>
      <w:pPr>
        <w:pStyle w:val="TextBody"/>
        <w:bidi w:val="0"/>
        <w:spacing w:lineRule="auto" w:line="276"/>
        <w:jc w:val="left"/>
        <w:rPr>
          <w:caps w:val="false"/>
          <w:smallCaps w:val="false"/>
        </w:rPr>
      </w:pPr>
      <w:r>
        <w:rPr>
          <w:caps w:val="false"/>
          <w:smallCaps w:val="false"/>
        </w:rPr>
        <w:t> </w:t>
      </w:r>
    </w:p>
    <w:tbl>
      <w:tblPr>
        <w:tblW w:w="590" w:type="dxa"/>
        <w:jc w:val="left"/>
        <w:tblInd w:w="0" w:type="dxa"/>
        <w:tblLayout w:type="fixed"/>
        <w:tblCellMar>
          <w:top w:w="0" w:type="dxa"/>
          <w:left w:w="0" w:type="dxa"/>
          <w:bottom w:w="0" w:type="dxa"/>
          <w:right w:w="0" w:type="dxa"/>
        </w:tblCellMar>
      </w:tblPr>
      <w:tblGrid>
        <w:gridCol w:w="105"/>
        <w:gridCol w:w="350"/>
        <w:gridCol w:w="135"/>
      </w:tblGrid>
      <w:tr>
        <w:trPr/>
        <w:tc>
          <w:tcPr>
            <w:tcW w:w="10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 </w:t>
            </w:r>
            <w:r>
              <w:rPr/>
              <w:t>46</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lineRule="auto" w:line="276"/>
        <w:jc w:val="left"/>
        <w:rPr>
          <w:caps w:val="false"/>
          <w:smallCaps w:val="false"/>
        </w:rPr>
      </w:pPr>
      <w:r>
        <w:rPr>
          <w:caps w:val="false"/>
          <w:smallCaps w:val="false"/>
        </w:rPr>
        <w:t> </w:t>
      </w:r>
    </w:p>
    <w:p>
      <w:pPr>
        <w:pStyle w:val="TextBody"/>
        <w:bidi w:val="0"/>
        <w:spacing w:lineRule="auto" w:line="276"/>
        <w:jc w:val="left"/>
        <w:rPr>
          <w:rFonts w:ascii="Times New Roman;Times;Serif" w:hAnsi="Times New Roman;Times;Serif"/>
          <w:b/>
          <w:i w:val="false"/>
          <w:caps w:val="false"/>
          <w:smallCaps w:val="false"/>
          <w:sz w:val="32"/>
        </w:rPr>
      </w:pPr>
      <w:bookmarkStart w:id="15" w:name="othermatters"/>
      <w:bookmarkEnd w:id="15"/>
      <w:r>
        <w:rPr>
          <w:rFonts w:ascii="Times New Roman;Times;Serif" w:hAnsi="Times New Roman;Times;Serif"/>
          <w:b/>
          <w:i w:val="false"/>
          <w:caps w:val="false"/>
          <w:smallCaps w:val="false"/>
          <w:sz w:val="32"/>
        </w:rPr>
        <w:t>OTHER MATTERS</w:t>
      </w:r>
    </w:p>
    <w:p>
      <w:pPr>
        <w:pStyle w:val="TextBody"/>
        <w:bidi w:val="0"/>
        <w:spacing w:lineRule="auto" w:line="276"/>
        <w:jc w:val="left"/>
        <w:rPr>
          <w:caps w:val="false"/>
          <w:smallCaps w:val="false"/>
        </w:rPr>
      </w:pPr>
      <w:r>
        <w:rPr>
          <w:caps w:val="false"/>
          <w:smallCaps w:val="false"/>
        </w:rPr>
        <w:t> </w:t>
      </w:r>
    </w:p>
    <w:p>
      <w:pPr>
        <w:pStyle w:val="TextBody"/>
        <w:bidi w:val="0"/>
        <w:spacing w:lineRule="auto" w:line="27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Microvast is not aware of any other business to be presented for a vote of the stockholders at the 2026 Annual Meeting. If any other matters are properly presented for a vote, the people named as proxies will have discretionary authority, to the extent permitted by law, to vote on such matters according to their best judgment.</w:t>
      </w:r>
    </w:p>
    <w:p>
      <w:pPr>
        <w:pStyle w:val="TextBody"/>
        <w:bidi w:val="0"/>
        <w:spacing w:lineRule="auto" w:line="276"/>
        <w:jc w:val="both"/>
        <w:rPr>
          <w:caps w:val="false"/>
          <w:smallCaps w:val="false"/>
        </w:rPr>
      </w:pPr>
      <w:r>
        <w:rPr>
          <w:caps w:val="false"/>
          <w:smallCaps w:val="false"/>
        </w:rPr>
        <w:t> </w:t>
      </w:r>
    </w:p>
    <w:p>
      <w:pPr>
        <w:pStyle w:val="TextBody"/>
        <w:bidi w:val="0"/>
        <w:spacing w:lineRule="auto" w:line="27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chairman of the 2026 Annual Meeting may refuse to allow presentation of a proposal or nominee for the Board if the proposal or nominee was not properly submitted.</w:t>
      </w:r>
    </w:p>
    <w:p>
      <w:pPr>
        <w:pStyle w:val="TextBody"/>
        <w:bidi w:val="0"/>
        <w:spacing w:lineRule="auto" w:line="276"/>
        <w:jc w:val="both"/>
        <w:rPr>
          <w:caps w:val="false"/>
          <w:smallCaps w:val="false"/>
        </w:rPr>
      </w:pPr>
      <w:r>
        <w:rPr>
          <w:caps w:val="false"/>
          <w:smallCaps w:val="false"/>
        </w:rPr>
        <w:t> </w:t>
      </w:r>
    </w:p>
    <w:p>
      <w:pPr>
        <w:pStyle w:val="TextBody"/>
        <w:bidi w:val="0"/>
        <w:spacing w:lineRule="auto" w:line="276"/>
        <w:jc w:val="both"/>
        <w:rPr>
          <w:caps w:val="false"/>
          <w:smallCaps w:val="false"/>
        </w:rPr>
      </w:pPr>
      <w:r>
        <w:rPr>
          <w:caps w:val="false"/>
          <w:smallCaps w:val="false"/>
        </w:rPr>
        <w:t> </w:t>
      </w:r>
    </w:p>
    <w:p>
      <w:pPr>
        <w:pStyle w:val="TextBody"/>
        <w:bidi w:val="0"/>
        <w:spacing w:lineRule="auto" w:line="276"/>
        <w:jc w:val="both"/>
        <w:rPr>
          <w:caps w:val="false"/>
          <w:smallCaps w:val="false"/>
        </w:rPr>
      </w:pPr>
      <w:r>
        <w:rPr>
          <w:caps w:val="false"/>
          <w:smallCaps w:val="false"/>
        </w:rPr>
        <w:t> </w:t>
      </w:r>
    </w:p>
    <w:p>
      <w:pPr>
        <w:pStyle w:val="TextBody"/>
        <w:bidi w:val="0"/>
        <w:spacing w:lineRule="auto" w:line="276"/>
        <w:jc w:val="both"/>
        <w:rPr>
          <w:caps w:val="false"/>
          <w:smallCaps w:val="false"/>
        </w:rPr>
      </w:pPr>
      <w:r>
        <w:rPr>
          <w:caps w:val="false"/>
          <w:smallCaps w:val="false"/>
        </w:rPr>
        <w:t> </w:t>
      </w:r>
    </w:p>
    <w:p>
      <w:pPr>
        <w:pStyle w:val="TextBody"/>
        <w:bidi w:val="0"/>
        <w:spacing w:lineRule="auto" w:line="276"/>
        <w:jc w:val="both"/>
        <w:rPr>
          <w:caps w:val="false"/>
          <w:smallCaps w:val="false"/>
        </w:rPr>
      </w:pPr>
      <w:r>
        <w:rPr>
          <w:caps w:val="false"/>
          <w:smallCaps w:val="false"/>
        </w:rPr>
        <w:t> </w:t>
      </w:r>
    </w:p>
    <w:p>
      <w:pPr>
        <w:pStyle w:val="TextBody"/>
        <w:bidi w:val="0"/>
        <w:spacing w:lineRule="auto" w:line="276"/>
        <w:jc w:val="both"/>
        <w:rPr>
          <w:caps w:val="false"/>
          <w:smallCaps w:val="false"/>
        </w:rPr>
      </w:pPr>
      <w:r>
        <w:rPr>
          <w:caps w:val="false"/>
          <w:smallCaps w:val="false"/>
        </w:rPr>
        <w:t> </w:t>
      </w:r>
    </w:p>
    <w:p>
      <w:pPr>
        <w:pStyle w:val="TextBody"/>
        <w:bidi w:val="0"/>
        <w:spacing w:lineRule="auto" w:line="276"/>
        <w:jc w:val="both"/>
        <w:rPr>
          <w:caps w:val="false"/>
          <w:smallCaps w:val="false"/>
        </w:rPr>
      </w:pPr>
      <w:r>
        <w:rPr>
          <w:caps w:val="false"/>
          <w:smallCaps w:val="false"/>
        </w:rPr>
        <w:t> </w:t>
      </w:r>
    </w:p>
    <w:p>
      <w:pPr>
        <w:pStyle w:val="TextBody"/>
        <w:bidi w:val="0"/>
        <w:spacing w:lineRule="auto" w:line="276"/>
        <w:jc w:val="both"/>
        <w:rPr>
          <w:caps w:val="false"/>
          <w:smallCaps w:val="false"/>
        </w:rPr>
      </w:pPr>
      <w:r>
        <w:rPr>
          <w:caps w:val="false"/>
          <w:smallCaps w:val="false"/>
        </w:rPr>
        <w:t> </w:t>
      </w:r>
    </w:p>
    <w:p>
      <w:pPr>
        <w:pStyle w:val="TextBody"/>
        <w:bidi w:val="0"/>
        <w:spacing w:lineRule="auto" w:line="276"/>
        <w:jc w:val="both"/>
        <w:rPr>
          <w:caps w:val="false"/>
          <w:smallCaps w:val="false"/>
        </w:rPr>
      </w:pPr>
      <w:r>
        <w:rPr>
          <w:caps w:val="false"/>
          <w:smallCaps w:val="false"/>
        </w:rPr>
        <w:t> </w:t>
      </w:r>
    </w:p>
    <w:p>
      <w:pPr>
        <w:pStyle w:val="TextBody"/>
        <w:bidi w:val="0"/>
        <w:spacing w:lineRule="auto" w:line="276"/>
        <w:jc w:val="both"/>
        <w:rPr>
          <w:caps w:val="false"/>
          <w:smallCaps w:val="false"/>
        </w:rPr>
      </w:pPr>
      <w:r>
        <w:rPr>
          <w:caps w:val="false"/>
          <w:smallCaps w:val="false"/>
        </w:rPr>
        <w:t> </w:t>
      </w:r>
    </w:p>
    <w:p>
      <w:pPr>
        <w:pStyle w:val="TextBody"/>
        <w:bidi w:val="0"/>
        <w:spacing w:lineRule="auto" w:line="276"/>
        <w:jc w:val="both"/>
        <w:rPr>
          <w:caps w:val="false"/>
          <w:smallCaps w:val="false"/>
        </w:rPr>
      </w:pPr>
      <w:r>
        <w:rPr>
          <w:caps w:val="false"/>
          <w:smallCaps w:val="false"/>
        </w:rPr>
        <w:t> </w:t>
      </w:r>
    </w:p>
    <w:p>
      <w:pPr>
        <w:pStyle w:val="TextBody"/>
        <w:bidi w:val="0"/>
        <w:spacing w:lineRule="auto" w:line="276"/>
        <w:jc w:val="both"/>
        <w:rPr>
          <w:caps w:val="false"/>
          <w:smallCaps w:val="false"/>
        </w:rPr>
      </w:pPr>
      <w:r>
        <w:rPr>
          <w:caps w:val="false"/>
          <w:smallCaps w:val="false"/>
        </w:rPr>
        <w:t> </w:t>
      </w:r>
    </w:p>
    <w:p>
      <w:pPr>
        <w:pStyle w:val="TextBody"/>
        <w:bidi w:val="0"/>
        <w:spacing w:lineRule="auto" w:line="276"/>
        <w:jc w:val="both"/>
        <w:rPr>
          <w:caps w:val="false"/>
          <w:smallCaps w:val="false"/>
        </w:rPr>
      </w:pPr>
      <w:r>
        <w:rPr>
          <w:caps w:val="false"/>
          <w:smallCaps w:val="false"/>
        </w:rPr>
        <w:t> </w:t>
      </w:r>
    </w:p>
    <w:p>
      <w:pPr>
        <w:pStyle w:val="TextBody"/>
        <w:bidi w:val="0"/>
        <w:spacing w:lineRule="auto" w:line="276"/>
        <w:jc w:val="both"/>
        <w:rPr>
          <w:caps w:val="false"/>
          <w:smallCaps w:val="false"/>
        </w:rPr>
      </w:pPr>
      <w:r>
        <w:rPr>
          <w:caps w:val="false"/>
          <w:smallCaps w:val="false"/>
        </w:rPr>
        <w:t> </w:t>
      </w:r>
    </w:p>
    <w:p>
      <w:pPr>
        <w:pStyle w:val="TextBody"/>
        <w:bidi w:val="0"/>
        <w:spacing w:lineRule="auto" w:line="276"/>
        <w:jc w:val="both"/>
        <w:rPr>
          <w:caps w:val="false"/>
          <w:smallCaps w:val="false"/>
        </w:rPr>
      </w:pPr>
      <w:r>
        <w:rPr>
          <w:caps w:val="false"/>
          <w:smallCaps w:val="false"/>
        </w:rPr>
        <w:t> </w:t>
      </w:r>
    </w:p>
    <w:p>
      <w:pPr>
        <w:pStyle w:val="TextBody"/>
        <w:bidi w:val="0"/>
        <w:spacing w:lineRule="auto" w:line="276"/>
        <w:jc w:val="both"/>
        <w:rPr>
          <w:caps w:val="false"/>
          <w:smallCaps w:val="false"/>
        </w:rPr>
      </w:pPr>
      <w:r>
        <w:rPr>
          <w:caps w:val="false"/>
          <w:smallCaps w:val="false"/>
        </w:rPr>
        <w:t> </w:t>
      </w:r>
    </w:p>
    <w:p>
      <w:pPr>
        <w:pStyle w:val="TextBody"/>
        <w:bidi w:val="0"/>
        <w:spacing w:lineRule="auto" w:line="276"/>
        <w:jc w:val="both"/>
        <w:rPr>
          <w:caps w:val="false"/>
          <w:smallCaps w:val="false"/>
        </w:rPr>
      </w:pPr>
      <w:r>
        <w:rPr>
          <w:caps w:val="false"/>
          <w:smallCaps w:val="false"/>
        </w:rPr>
        <w:t> </w:t>
      </w:r>
    </w:p>
    <w:p>
      <w:pPr>
        <w:pStyle w:val="TextBody"/>
        <w:bidi w:val="0"/>
        <w:spacing w:lineRule="auto" w:line="276"/>
        <w:jc w:val="both"/>
        <w:rPr>
          <w:caps w:val="false"/>
          <w:smallCaps w:val="false"/>
        </w:rPr>
      </w:pPr>
      <w:r>
        <w:rPr>
          <w:caps w:val="false"/>
          <w:smallCaps w:val="false"/>
        </w:rPr>
        <w:t> </w:t>
      </w:r>
    </w:p>
    <w:p>
      <w:pPr>
        <w:pStyle w:val="TextBody"/>
        <w:bidi w:val="0"/>
        <w:spacing w:lineRule="auto" w:line="276"/>
        <w:jc w:val="both"/>
        <w:rPr>
          <w:caps w:val="false"/>
          <w:smallCaps w:val="false"/>
        </w:rPr>
      </w:pPr>
      <w:r>
        <w:rPr>
          <w:caps w:val="false"/>
          <w:smallCaps w:val="false"/>
        </w:rPr>
        <w:t> </w:t>
      </w:r>
    </w:p>
    <w:p>
      <w:pPr>
        <w:pStyle w:val="TextBody"/>
        <w:bidi w:val="0"/>
        <w:spacing w:lineRule="auto" w:line="276"/>
        <w:jc w:val="both"/>
        <w:rPr>
          <w:caps w:val="false"/>
          <w:smallCaps w:val="false"/>
        </w:rPr>
      </w:pPr>
      <w:r>
        <w:rPr>
          <w:caps w:val="false"/>
          <w:smallCaps w:val="false"/>
        </w:rPr>
        <w:t> </w:t>
      </w:r>
    </w:p>
    <w:p>
      <w:pPr>
        <w:pStyle w:val="TextBody"/>
        <w:bidi w:val="0"/>
        <w:spacing w:lineRule="auto" w:line="276"/>
        <w:jc w:val="left"/>
        <w:rPr>
          <w:caps w:val="false"/>
          <w:smallCaps w:val="false"/>
        </w:rPr>
      </w:pPr>
      <w:r>
        <w:rPr>
          <w:caps w:val="false"/>
          <w:smallCaps w:val="false"/>
        </w:rPr>
        <w:t> </w:t>
      </w:r>
    </w:p>
    <w:tbl>
      <w:tblPr>
        <w:tblW w:w="590" w:type="dxa"/>
        <w:jc w:val="left"/>
        <w:tblInd w:w="0" w:type="dxa"/>
        <w:tblLayout w:type="fixed"/>
        <w:tblCellMar>
          <w:top w:w="0" w:type="dxa"/>
          <w:left w:w="0" w:type="dxa"/>
          <w:bottom w:w="0" w:type="dxa"/>
          <w:right w:w="0" w:type="dxa"/>
        </w:tblCellMar>
      </w:tblPr>
      <w:tblGrid>
        <w:gridCol w:w="105"/>
        <w:gridCol w:w="350"/>
        <w:gridCol w:w="135"/>
      </w:tblGrid>
      <w:tr>
        <w:trPr/>
        <w:tc>
          <w:tcPr>
            <w:tcW w:w="10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 </w:t>
            </w:r>
            <w:r>
              <w:rPr/>
              <w:t>47</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left"/>
        <w:rPr>
          <w:rFonts w:ascii="Times New Roman;Times;Serif" w:hAnsi="Times New Roman;Times;Serif"/>
          <w:b/>
          <w:i w:val="false"/>
          <w:caps w:val="false"/>
          <w:smallCaps w:val="false"/>
          <w:sz w:val="32"/>
        </w:rPr>
      </w:pPr>
      <w:bookmarkStart w:id="16" w:name="require"/>
      <w:bookmarkEnd w:id="16"/>
      <w:r>
        <w:rPr>
          <w:rFonts w:ascii="Times New Roman;Times;Serif" w:hAnsi="Times New Roman;Times;Serif"/>
          <w:b/>
          <w:i w:val="false"/>
          <w:caps w:val="false"/>
          <w:smallCaps w:val="false"/>
          <w:sz w:val="32"/>
        </w:rPr>
        <w:t>REQUIREMENTS FOR SUBMISSION OF STOCKHOLDER PROPOSALS FOR THE 2027 ANNUAL MEETING</w:t>
      </w:r>
    </w:p>
    <w:p>
      <w:pPr>
        <w:pStyle w:val="TextBody"/>
        <w:bidi w:val="0"/>
        <w:spacing w:lineRule="auto" w:line="276"/>
        <w:jc w:val="left"/>
        <w:rPr>
          <w:caps w:val="false"/>
          <w:smallCaps w:val="false"/>
        </w:rPr>
      </w:pPr>
      <w:r>
        <w:rPr>
          <w:caps w:val="false"/>
          <w:smallCaps w:val="false"/>
        </w:rPr>
        <w:t> </w:t>
      </w:r>
    </w:p>
    <w:p>
      <w:pPr>
        <w:pStyle w:val="TextBody"/>
        <w:bidi w:val="0"/>
        <w:spacing w:lineRule="auto" w:line="27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for a stockholder proposal to be considered for inclusion in the Company’s Proxy Statement for the 2027 Annual Meeting, our Corporate Secretary must receive the proposal no later than June 11, 2027. Such proposals must be sent via registered, certified, or express mail (or other means that allows the stockholder to determine when the proposal was received) to:</w:t>
      </w:r>
    </w:p>
    <w:p>
      <w:pPr>
        <w:pStyle w:val="TextBody"/>
        <w:bidi w:val="0"/>
        <w:spacing w:lineRule="auto" w:line="276"/>
        <w:jc w:val="left"/>
        <w:rPr>
          <w:caps w:val="false"/>
          <w:smallCaps w:val="false"/>
        </w:rPr>
      </w:pPr>
      <w:r>
        <w:rPr>
          <w:caps w:val="false"/>
          <w:smallCaps w:val="false"/>
        </w:rPr>
        <w:t> </w:t>
      </w:r>
    </w:p>
    <w:p>
      <w:pPr>
        <w:pStyle w:val="TextBody"/>
        <w:bidi w:val="0"/>
        <w:spacing w:lineRule="auto" w:line="276"/>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Microvast Holdings, Inc.</w:t>
      </w:r>
    </w:p>
    <w:p>
      <w:pPr>
        <w:pStyle w:val="TextBody"/>
        <w:bidi w:val="0"/>
        <w:spacing w:lineRule="auto" w:line="276"/>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Corporate Secretary</w:t>
      </w:r>
    </w:p>
    <w:p>
      <w:pPr>
        <w:pStyle w:val="TextBody"/>
        <w:bidi w:val="0"/>
        <w:spacing w:lineRule="auto" w:line="276"/>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2929 Briarpark Drive, Suite 400</w:t>
      </w:r>
    </w:p>
    <w:p>
      <w:pPr>
        <w:pStyle w:val="TextBody"/>
        <w:bidi w:val="0"/>
        <w:spacing w:lineRule="auto" w:line="276"/>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Houston, Texas 77042</w:t>
      </w:r>
    </w:p>
    <w:p>
      <w:pPr>
        <w:pStyle w:val="TextBody"/>
        <w:bidi w:val="0"/>
        <w:spacing w:lineRule="auto" w:line="276"/>
        <w:jc w:val="left"/>
        <w:rPr>
          <w:caps w:val="false"/>
          <w:smallCaps w:val="false"/>
        </w:rPr>
      </w:pPr>
      <w:r>
        <w:rPr>
          <w:caps w:val="false"/>
          <w:smallCaps w:val="false"/>
        </w:rPr>
        <w:t> </w:t>
      </w:r>
    </w:p>
    <w:p>
      <w:pPr>
        <w:pStyle w:val="TextBody"/>
        <w:bidi w:val="0"/>
        <w:spacing w:lineRule="auto" w:line="27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proposals must comply with the SEC’s requirements in Rule 14a-8 under the Exchange Act regarding the inclusion of stockholder proposals in Company-sponsored proxy materials, such as the requirement that the stockholder continues to own a minimum number of shares until the 2027 Annual Meeting and appear during or through an authorized representative at the 2027 Annual Meeting to present the proposal.</w:t>
      </w:r>
    </w:p>
    <w:p>
      <w:pPr>
        <w:pStyle w:val="TextBody"/>
        <w:bidi w:val="0"/>
        <w:spacing w:lineRule="auto" w:line="276"/>
        <w:jc w:val="both"/>
        <w:rPr>
          <w:caps w:val="false"/>
          <w:smallCaps w:val="false"/>
        </w:rPr>
      </w:pPr>
      <w:r>
        <w:rPr>
          <w:caps w:val="false"/>
          <w:smallCaps w:val="false"/>
        </w:rPr>
        <w:t> </w:t>
      </w:r>
    </w:p>
    <w:p>
      <w:pPr>
        <w:pStyle w:val="TextBody"/>
        <w:bidi w:val="0"/>
        <w:spacing w:lineRule="auto" w:line="27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Alternatively, stockholders intending to present a proposal at the 2027 Annual Meeting without having it included in the Company’s Proxy Statement, as well as any director nominations, must comply with the requirements set forth in the Bylaws. Our Bylaws require, among other things, that our Corporate Secretary receive written notice with respect to each director nomination or other proposal that the stockholder intends to present at the 2027 Annual Meeting from the stockholder no earlier than August 2, 2027 and no later than September 1, 2027. The notice must contain the information required by our Bylaws.</w:t>
      </w:r>
    </w:p>
    <w:p>
      <w:pPr>
        <w:pStyle w:val="TextBody"/>
        <w:bidi w:val="0"/>
        <w:spacing w:lineRule="auto" w:line="276"/>
        <w:jc w:val="both"/>
        <w:rPr>
          <w:caps w:val="false"/>
          <w:smallCaps w:val="false"/>
        </w:rPr>
      </w:pPr>
      <w:r>
        <w:rPr>
          <w:caps w:val="false"/>
          <w:smallCaps w:val="false"/>
        </w:rPr>
        <w:t> </w:t>
      </w:r>
    </w:p>
    <w:p>
      <w:pPr>
        <w:pStyle w:val="TextBody"/>
        <w:bidi w:val="0"/>
        <w:spacing w:lineRule="auto" w:line="27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Proposals and nominations received after the dates mentioned above will not be included in the Proxy Statement or acted upon at the 2027 Annual Meeting.</w:t>
      </w:r>
    </w:p>
    <w:p>
      <w:pPr>
        <w:pStyle w:val="TextBody"/>
        <w:bidi w:val="0"/>
        <w:spacing w:lineRule="auto" w:line="276"/>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lineRule="auto" w:line="276"/>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Upon receipt of a written request from any stockholder entitled to vote at the forthcoming 2026 Annual Meeting, the Company will mail, at no charge to the stockholder, a copy of the Annual Report, including the financial statements and schedules required to be filed with the Commission pursuant to Rule 13a-1 under the Exchange Act for the Company’s most recent fiscal year. Requests from beneficial owners of the Company’s voting securities must set forth a good-faith representation that, as of the Record Date, the person making the request was the beneficial owner of securities entitled to vote at the 2026 Annual Meeting. Written requests for the Annual Report should be directed to our General Counsel at Microvast Holdings, Inc., 2929 Briarpark Drive, Suite 400, Houston, Texas 77042. If you would like to receive a copy of any exhibits listed in the Annual Report, please submit a request in writing to our General Counsel at the above address, and the Company will provide you with the exhibits upon the payment of a nominal fee (which fee will be limited to the expenses we incur in providing you with the requested exhibits). The Annual Report and these exhibits are also available in the “Investor Relations—SEC Filings” section of our website located at http://ir.microvast.com.</w:t>
      </w:r>
    </w:p>
    <w:p>
      <w:pPr>
        <w:pStyle w:val="TextBody"/>
        <w:bidi w:val="0"/>
        <w:spacing w:lineRule="auto" w:line="276"/>
        <w:jc w:val="both"/>
        <w:rPr>
          <w:caps w:val="false"/>
          <w:smallCaps w:val="false"/>
        </w:rPr>
      </w:pPr>
      <w:r>
        <w:rPr>
          <w:caps w:val="false"/>
          <w:smallCaps w:val="false"/>
        </w:rPr>
        <w:t> </w:t>
      </w:r>
    </w:p>
    <w:p>
      <w:pPr>
        <w:pStyle w:val="TextBody"/>
        <w:bidi w:val="0"/>
        <w:spacing w:lineRule="auto" w:line="27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important that your shares be voted at the 2026 Annual Meeting, regardless of the number of shares that you hold.</w:t>
      </w:r>
    </w:p>
    <w:p>
      <w:pPr>
        <w:pStyle w:val="TextBody"/>
        <w:bidi w:val="0"/>
        <w:spacing w:lineRule="auto" w:line="276"/>
        <w:jc w:val="both"/>
        <w:rPr>
          <w:caps w:val="false"/>
          <w:smallCaps w:val="false"/>
        </w:rPr>
      </w:pPr>
      <w:r>
        <w:rPr>
          <w:caps w:val="false"/>
          <w:smallCaps w:val="false"/>
        </w:rPr>
        <w:t> </w:t>
      </w:r>
    </w:p>
    <w:p>
      <w:pPr>
        <w:pStyle w:val="TextBody"/>
        <w:bidi w:val="0"/>
        <w:spacing w:lineRule="auto" w:line="276"/>
        <w:jc w:val="both"/>
        <w:rPr>
          <w:caps w:val="false"/>
          <w:smallCaps w:val="false"/>
        </w:rPr>
      </w:pPr>
      <w:r>
        <w:rPr>
          <w:caps w:val="false"/>
          <w:smallCaps w:val="false"/>
        </w:rPr>
        <w:t> </w:t>
      </w:r>
    </w:p>
    <w:p>
      <w:pPr>
        <w:pStyle w:val="TextBody"/>
        <w:bidi w:val="0"/>
        <w:spacing w:lineRule="auto" w:line="276"/>
        <w:jc w:val="both"/>
        <w:rPr>
          <w:caps w:val="false"/>
          <w:smallCaps w:val="false"/>
        </w:rPr>
      </w:pPr>
      <w:r>
        <w:rPr>
          <w:caps w:val="false"/>
          <w:smallCaps w:val="false"/>
        </w:rPr>
        <w:t> </w:t>
      </w:r>
    </w:p>
    <w:p>
      <w:pPr>
        <w:pStyle w:val="TextBody"/>
        <w:bidi w:val="0"/>
        <w:spacing w:lineRule="auto" w:line="276"/>
        <w:jc w:val="both"/>
        <w:rPr>
          <w:caps w:val="false"/>
          <w:smallCaps w:val="false"/>
        </w:rPr>
      </w:pPr>
      <w:r>
        <w:rPr>
          <w:caps w:val="false"/>
          <w:smallCaps w:val="false"/>
        </w:rPr>
        <w:t> </w:t>
      </w:r>
    </w:p>
    <w:p>
      <w:pPr>
        <w:pStyle w:val="TextBody"/>
        <w:bidi w:val="0"/>
        <w:spacing w:lineRule="auto" w:line="276"/>
        <w:jc w:val="both"/>
        <w:rPr>
          <w:caps w:val="false"/>
          <w:smallCaps w:val="false"/>
        </w:rPr>
      </w:pPr>
      <w:r>
        <w:rPr>
          <w:caps w:val="false"/>
          <w:smallCaps w:val="false"/>
        </w:rPr>
        <w:t> </w:t>
      </w:r>
    </w:p>
    <w:p>
      <w:pPr>
        <w:pStyle w:val="TextBody"/>
        <w:bidi w:val="0"/>
        <w:spacing w:lineRule="auto" w:line="276"/>
        <w:jc w:val="both"/>
        <w:rPr>
          <w:caps w:val="false"/>
          <w:smallCaps w:val="false"/>
        </w:rPr>
      </w:pPr>
      <w:r>
        <w:rPr>
          <w:caps w:val="false"/>
          <w:smallCaps w:val="false"/>
        </w:rPr>
        <w:t> </w:t>
      </w:r>
    </w:p>
    <w:p>
      <w:pPr>
        <w:pStyle w:val="TextBody"/>
        <w:bidi w:val="0"/>
        <w:spacing w:lineRule="auto" w:line="276"/>
        <w:jc w:val="both"/>
        <w:rPr>
          <w:caps w:val="false"/>
          <w:smallCaps w:val="false"/>
        </w:rPr>
      </w:pPr>
      <w:r>
        <w:rPr>
          <w:caps w:val="false"/>
          <w:smallCaps w:val="false"/>
        </w:rPr>
        <w:t> </w:t>
      </w:r>
    </w:p>
    <w:p>
      <w:pPr>
        <w:pStyle w:val="TextBody"/>
        <w:bidi w:val="0"/>
        <w:spacing w:lineRule="auto" w:line="276"/>
        <w:jc w:val="both"/>
        <w:rPr>
          <w:caps w:val="false"/>
          <w:smallCaps w:val="false"/>
        </w:rPr>
      </w:pPr>
      <w:r>
        <w:rPr>
          <w:caps w:val="false"/>
          <w:smallCaps w:val="false"/>
        </w:rPr>
        <w:t> </w:t>
      </w:r>
    </w:p>
    <w:p>
      <w:pPr>
        <w:pStyle w:val="TextBody"/>
        <w:bidi w:val="0"/>
        <w:spacing w:before="60" w:after="60"/>
        <w:jc w:val="left"/>
        <w:rPr>
          <w:bdr w:val="single" w:sz="16" w:space="1" w:color="000000"/>
        </w:rPr>
      </w:pPr>
      <w:r>
        <w:rPr>
          <w:bdr w:val="single" w:sz="16" w:space="1" w:color="000000"/>
        </w:rPr>
        <w:t> </w:t>
      </w:r>
    </w:p>
    <w:p>
      <w:pPr>
        <w:pStyle w:val="TextBody"/>
        <w:bidi w:val="0"/>
        <w:spacing w:lineRule="auto" w:line="276" w:before="0" w:after="283"/>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1.jpeg"/><Relationship Id="rId5" Type="http://schemas.openxmlformats.org/officeDocument/2006/relationships/image" Target="media/image3.jpeg"/><Relationship Id="rId6" Type="http://schemas.openxmlformats.org/officeDocument/2006/relationships/image" Target="media/image4.jpeg"/><Relationship Id="rId7" Type="http://schemas.openxmlformats.org/officeDocument/2006/relationships/image" Target="media/image5.jpeg"/><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21451</Words>
  <Characters>116580</Characters>
  <CharactersWithSpaces>138251</CharactersWithSpaces>
  <Paragraphs>3822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