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Times;Serif" w:hAnsi="Times New Roman;Times;Serif"/>
          <w:b/>
          <w:i w:val="false"/>
          <w:caps w:val="false"/>
          <w:smallCaps w:val="false"/>
          <w:sz w:val="20"/>
        </w:rPr>
      </w:pPr>
      <w:bookmarkStart w:id="0" w:name="ss4672489_s3a.htm"/>
      <w:bookmarkStart w:id="1" w:name="ksss4672489_s3a"/>
      <w:bookmarkEnd w:id="0"/>
      <w:bookmarkEnd w:id="1"/>
      <w:r>
        <w:rPr>
          <w:rFonts w:ascii="Times New Roman;Times;Serif" w:hAnsi="Times New Roman;Times;Serif"/>
          <w:b/>
          <w:i w:val="false"/>
          <w:caps w:val="false"/>
          <w:smallCaps w:val="false"/>
          <w:sz w:val="20"/>
        </w:rPr>
        <w:t>As filed with the Securities and Exchange Commission on April 28 , 2025</w:t>
      </w:r>
    </w:p>
    <w:p>
      <w:pPr>
        <w:pStyle w:val="TextBody"/>
        <w:bidi w:val="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333-284496 </w:t>
      </w:r>
    </w:p>
    <w:p>
      <w:pPr>
        <w:pStyle w:val="TextBody"/>
        <w:bidi w:val="0"/>
        <w:spacing w:before="0" w:after="60"/>
        <w:ind w:left="0" w:right="0" w:firstLine="72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spacing w:before="40" w:after="40"/>
        <w:ind w:left="40" w:right="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AMENDMENT NO. 1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w:t>
      </w:r>
      <w:r>
        <w:rPr>
          <w:rFonts w:ascii="Times New Roman;Times;Serif" w:hAnsi="Times New Roman;Times;Serif"/>
          <w:b w:val="false"/>
          <w:i w:val="false"/>
          <w:caps w:val="false"/>
          <w:smallCaps w:val="false"/>
          <w:sz w:val="20"/>
        </w:rPr>
        <w:t xml:space="preserve">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S-3</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STATEMENT </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UNDER </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SECURITIES ACT OF 1933 </w:t>
      </w:r>
    </w:p>
    <w:p>
      <w:pPr>
        <w:pStyle w:val="TextBody"/>
        <w:bidi w:val="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w:t>
      </w:r>
    </w:p>
    <w:p>
      <w:pPr>
        <w:pStyle w:val="TextBody"/>
        <w:bidi w:val="0"/>
        <w:spacing w:before="40" w:after="40"/>
        <w:ind w:left="40" w:right="4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Microvast Holdings, Inc.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w:t>
      </w:r>
    </w:p>
    <w:tbl>
      <w:tblPr>
        <w:tblW w:w="6120" w:type="dxa"/>
        <w:jc w:val="left"/>
        <w:tblInd w:w="0" w:type="dxa"/>
        <w:tblLayout w:type="fixed"/>
        <w:tblCellMar>
          <w:top w:w="0" w:type="dxa"/>
          <w:left w:w="0" w:type="dxa"/>
          <w:bottom w:w="0" w:type="dxa"/>
          <w:right w:w="0" w:type="dxa"/>
        </w:tblCellMar>
      </w:tblPr>
      <w:tblGrid>
        <w:gridCol w:w="2360"/>
        <w:gridCol w:w="2315"/>
        <w:gridCol w:w="1445"/>
      </w:tblGrid>
      <w:tr>
        <w:trPr/>
        <w:tc>
          <w:tcPr>
            <w:tcW w:w="23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Delaware</w:t>
            </w:r>
          </w:p>
        </w:tc>
        <w:tc>
          <w:tcPr>
            <w:tcW w:w="2315" w:type="dxa"/>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b/>
              <w:t>6770</w:t>
            </w:r>
          </w:p>
        </w:tc>
        <w:tc>
          <w:tcPr>
            <w:tcW w:w="1445" w:type="dxa"/>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83-2530757</w:t>
            </w:r>
          </w:p>
        </w:tc>
      </w:tr>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(State or other jurisdiction of</w:t>
            </w:r>
          </w:p>
        </w:tc>
        <w:tc>
          <w:tcPr>
            <w:tcW w:w="2315" w:type="dxa"/>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(Primary Standard Industrial</w:t>
            </w:r>
          </w:p>
        </w:tc>
        <w:tc>
          <w:tcPr>
            <w:tcW w:w="1445" w:type="dxa"/>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(I.R.S. Employer</w:t>
            </w:r>
          </w:p>
        </w:tc>
      </w:tr>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incorporation or organization)</w:t>
            </w:r>
          </w:p>
        </w:tc>
        <w:tc>
          <w:tcPr>
            <w:tcW w:w="2315" w:type="dxa"/>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Classification Code Number)</w:t>
            </w:r>
          </w:p>
        </w:tc>
        <w:tc>
          <w:tcPr>
            <w:tcW w:w="1445" w:type="dxa"/>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Identification No.)</w:t>
            </w:r>
          </w:p>
        </w:tc>
      </w:tr>
    </w:tbl>
    <w:p>
      <w:pPr>
        <w:pStyle w:val="TextBody"/>
        <w:bidi w:val="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12603 Southwest Freeway, Suite 300</w:t>
        <w:br/>
        <w:t>Stafford, Texas 77477</w:t>
        <w:br/>
        <w:t>(281) 491-9505</w:t>
      </w:r>
    </w:p>
    <w:p>
      <w:pPr>
        <w:pStyle w:val="TextBody"/>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(Address, including zip code, and telephone number, including area code, of registrant’s principal executive offices) </w:t>
      </w:r>
    </w:p>
    <w:p>
      <w:pPr>
        <w:pStyle w:val="TextBody"/>
        <w:bidi w:val="0"/>
        <w:jc w:val="center"/>
        <w:rPr>
          <w:caps w:val="false"/>
          <w:smallCaps w:val="false"/>
        </w:rPr>
      </w:pPr>
      <w:r>
        <w:rPr>
          <w:caps w:val="false"/>
          <w:smallCaps w:val="false"/>
        </w:rPr>
        <w:t> </w:t>
      </w:r>
      <w:r>
        <w:rPr>
          <w:rFonts w:ascii="Times New Roman;Times;Serif" w:hAnsi="Times New Roman;Times;Serif"/>
          <w:b w:val="false"/>
          <w:i w:val="false"/>
          <w:caps w:val="false"/>
          <w:smallCaps w:val="false"/>
          <w:sz w:val="18"/>
        </w:rPr>
        <w:t>___________________</w:t>
      </w:r>
    </w:p>
    <w:p>
      <w:pPr>
        <w:pStyle w:val="TextBody"/>
        <w:bidi w:val="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Isida Tushe</w:t>
        <w:br/>
        <w:t>President, General Counsel and Corporate Secretary</w:t>
        <w:br/>
        <w:t>Microvast Holdings, Inc.</w:t>
        <w:br/>
        <w:t>12603 Southwest Freeway, Suite 300</w:t>
        <w:br/>
        <w:t>Stafford, Texas 77477</w:t>
        <w:br/>
        <w:t>(281) 491-9505</w:t>
      </w:r>
    </w:p>
    <w:p>
      <w:pPr>
        <w:pStyle w:val="TextBody"/>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(Name, address, including zip code, and telephone number, including area code, of agent for service) </w:t>
      </w:r>
    </w:p>
    <w:p>
      <w:pPr>
        <w:pStyle w:val="TextBody"/>
        <w:bidi w:val="0"/>
        <w:jc w:val="center"/>
        <w:rPr>
          <w:caps w:val="false"/>
          <w:smallCaps w:val="false"/>
        </w:rPr>
      </w:pPr>
      <w:r>
        <w:rPr>
          <w:caps w:val="false"/>
          <w:smallCaps w:val="false"/>
        </w:rPr>
        <w:t> </w:t>
      </w:r>
      <w:r>
        <w:rPr>
          <w:rFonts w:ascii="Times New Roman;Times;Serif" w:hAnsi="Times New Roman;Times;Serif"/>
          <w:b w:val="false"/>
          <w:i w:val="false"/>
          <w:caps w:val="false"/>
          <w:smallCaps w:val="false"/>
          <w:sz w:val="18"/>
        </w:rPr>
        <w:t>___________________</w:t>
      </w:r>
    </w:p>
    <w:tbl>
      <w:tblPr>
        <w:tblW w:w="8020" w:type="dxa"/>
        <w:jc w:val="left"/>
        <w:tblInd w:w="0" w:type="dxa"/>
        <w:tblLayout w:type="fixed"/>
        <w:tblCellMar>
          <w:top w:w="0" w:type="dxa"/>
          <w:left w:w="0" w:type="dxa"/>
          <w:bottom w:w="0" w:type="dxa"/>
          <w:right w:w="0" w:type="dxa"/>
        </w:tblCellMar>
      </w:tblPr>
      <w:tblGrid>
        <w:gridCol w:w="3980"/>
        <w:gridCol w:w="60"/>
        <w:gridCol w:w="3980"/>
      </w:tblGrid>
      <w:tr>
        <w:trPr/>
        <w:tc>
          <w:tcPr>
            <w:tcW w:w="3980" w:type="dxa"/>
            <w:tcBorders/>
            <w:vAlign w:val="center"/>
          </w:tcPr>
          <w:p>
            <w:pPr>
              <w:pStyle w:val="TableContents"/>
              <w:bidi w:val="0"/>
              <w:jc w:val="center"/>
              <w:rPr>
                <w:rFonts w:ascii="Times New Roman PS Std;serif" w:hAnsi="Times New Roman PS Std;serif"/>
                <w:b w:val="false"/>
                <w:i w:val="false"/>
                <w:caps w:val="false"/>
                <w:smallCaps w:val="false"/>
                <w:sz w:val="18"/>
              </w:rPr>
            </w:pPr>
            <w:r>
              <w:rPr>
                <w:rFonts w:ascii="Times New Roman PS Std;serif" w:hAnsi="Times New Roman PS Std;serif"/>
                <w:b/>
                <w:i/>
                <w:caps w:val="false"/>
                <w:smallCaps w:val="false"/>
                <w:sz w:val="18"/>
              </w:rPr>
              <w:t>With copies to:</w:t>
            </w:r>
            <w:r>
              <w:rPr>
                <w:rFonts w:ascii="Times New Roman PS Std;serif" w:hAnsi="Times New Roman PS Std;serif"/>
                <w:b w:val="false"/>
                <w:i w:val="false"/>
                <w:caps w:val="false"/>
                <w:smallCaps w:val="false"/>
                <w:sz w:val="18"/>
              </w:rPr>
              <w:br/>
            </w:r>
            <w:r>
              <w:rPr>
                <w:rFonts w:ascii="Times New Roman PS Std;serif" w:hAnsi="Times New Roman PS Std;serif"/>
                <w:b/>
                <w:i w:val="false"/>
                <w:caps w:val="false"/>
                <w:smallCaps w:val="false"/>
                <w:sz w:val="18"/>
              </w:rPr>
              <w:t>Alain Dermarkar</w:t>
            </w:r>
            <w:r>
              <w:rPr>
                <w:rFonts w:ascii="Times New Roman PS Std;serif" w:hAnsi="Times New Roman PS Std;serif"/>
                <w:b w:val="false"/>
                <w:i w:val="false"/>
                <w:caps w:val="false"/>
                <w:smallCaps w:val="false"/>
                <w:sz w:val="18"/>
              </w:rPr>
              <w:br/>
            </w:r>
            <w:r>
              <w:rPr>
                <w:rFonts w:ascii="Times New Roman PS Std;serif" w:hAnsi="Times New Roman PS Std;serif"/>
                <w:b/>
                <w:i w:val="false"/>
                <w:caps w:val="false"/>
                <w:smallCaps w:val="false"/>
                <w:sz w:val="18"/>
              </w:rPr>
              <w:t>Allen Overy Shearman Sterling US LLP</w:t>
            </w:r>
          </w:p>
          <w:p>
            <w:pPr>
              <w:pStyle w:val="TableContents"/>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2601 Olive Street, 17</w:t>
            </w:r>
            <w:r>
              <w:rPr>
                <w:rFonts w:ascii="Times New Roman PS Std;serif" w:hAnsi="Times New Roman PS Std;serif"/>
                <w:b/>
                <w:i w:val="false"/>
                <w:caps w:val="false"/>
                <w:smallCaps w:val="false"/>
                <w:position w:val="6"/>
                <w:sz w:val="14"/>
                <w:sz w:val="18"/>
              </w:rPr>
              <w:t>th</w:t>
            </w:r>
            <w:r>
              <w:rPr>
                <w:rFonts w:ascii="Times New Roman PS Std;serif" w:hAnsi="Times New Roman PS Std;serif"/>
                <w:b/>
                <w:i w:val="false"/>
                <w:caps w:val="false"/>
                <w:smallCaps w:val="false"/>
                <w:sz w:val="18"/>
              </w:rPr>
              <w:t xml:space="preserve"> Floor</w:t>
              <w:br/>
              <w:t>Dallas, Texas 75201</w:t>
              <w:br/>
              <w:t>(214) 271-5777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jc w:val="center"/>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 xml:space="preserve">With copies to: </w:t>
            </w:r>
          </w:p>
          <w:p>
            <w:pPr>
              <w:pStyle w:val="TableContents"/>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William B. Nelson</w:t>
              <w:br/>
              <w:t>Taylor E. Landry</w:t>
              <w:br/>
              <w:t>Allen Overy Shearman Sterling US LLP</w:t>
              <w:br/>
              <w:t>800 Capitol Street, Suite 2200</w:t>
              <w:br/>
              <w:t>Houston, Texas 77002</w:t>
              <w:br/>
              <w:t>(713) 354-4900</w:t>
            </w:r>
          </w:p>
        </w:tc>
      </w:tr>
    </w:tbl>
    <w:p>
      <w:pPr>
        <w:pStyle w:val="TextBody"/>
        <w:bidi w:val="0"/>
        <w:jc w:val="center"/>
        <w:rPr>
          <w:caps w:val="false"/>
          <w:smallCaps w:val="false"/>
        </w:rPr>
      </w:pPr>
      <w:r>
        <w:rPr>
          <w:caps w:val="false"/>
          <w:smallCaps w:val="false"/>
        </w:rPr>
        <w:t> </w:t>
      </w:r>
      <w:r>
        <w:rPr>
          <w:rFonts w:ascii="Times New Roman;Times;Serif" w:hAnsi="Times New Roman;Times;Serif"/>
          <w:b w:val="false"/>
          <w:i w:val="false"/>
          <w:caps w:val="false"/>
          <w:smallCaps w:val="false"/>
          <w:sz w:val="18"/>
        </w:rPr>
        <w:t>___________________</w:t>
      </w:r>
    </w:p>
    <w:p>
      <w:pPr>
        <w:pStyle w:val="TextBody"/>
        <w:bidi w:val="0"/>
        <w:spacing w:before="40" w:after="40"/>
        <w:ind w:left="40" w:right="4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Approximate date of commencement of proposed sale to the public: </w:t>
      </w:r>
    </w:p>
    <w:p>
      <w:pPr>
        <w:pStyle w:val="TextBody"/>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From time to time after this Registration Statement becomes effective. </w:t>
      </w:r>
    </w:p>
    <w:p>
      <w:pPr>
        <w:pStyle w:val="TextBody"/>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If the only securities being registered on this Form are being offered pursuant to dividend or interest reinvestment plans, please check the following box. ☐</w:t>
      </w:r>
    </w:p>
    <w:p>
      <w:pPr>
        <w:pStyle w:val="TextBody"/>
        <w:bidi w:val="0"/>
        <w:spacing w:before="40" w:after="40"/>
        <w:ind w:left="40" w:right="4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40" w:after="40"/>
        <w:ind w:left="40" w:right="4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before="40" w:after="40"/>
        <w:ind w:left="40" w:right="4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40" w:after="40"/>
        <w:ind w:left="40" w:right="4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If this Form is a registration statement pursuant to General Instruction I.D. a post-effective amendment thereto that shall become effective upon filing with the Commission pursuant to Rule 462(e) under the Securities Act, check the following box.  ☐</w:t>
      </w:r>
    </w:p>
    <w:p>
      <w:pPr>
        <w:pStyle w:val="TextBody"/>
        <w:bidi w:val="0"/>
        <w:spacing w:before="40" w:after="40"/>
        <w:ind w:left="40" w:right="4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40" w:after="40"/>
        <w:ind w:left="40" w:right="4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010" w:type="dxa"/>
        <w:jc w:val="left"/>
        <w:tblInd w:w="0" w:type="dxa"/>
        <w:tblLayout w:type="fixed"/>
        <w:tblCellMar>
          <w:top w:w="0" w:type="dxa"/>
          <w:left w:w="0" w:type="dxa"/>
          <w:bottom w:w="0" w:type="dxa"/>
          <w:right w:w="0" w:type="dxa"/>
        </w:tblCellMar>
      </w:tblPr>
      <w:tblGrid>
        <w:gridCol w:w="1580"/>
        <w:gridCol w:w="230"/>
        <w:gridCol w:w="1955"/>
        <w:gridCol w:w="245"/>
      </w:tblGrid>
      <w:tr>
        <w:trPr/>
        <w:tc>
          <w:tcPr>
            <w:tcW w:w="15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sz w:val="18"/>
              </w:rPr>
            </w:pPr>
            <w:r>
              <w:rPr>
                <w:sz w:val="18"/>
              </w:rPr>
              <w:t>Large accelerated filer</w:t>
            </w:r>
          </w:p>
        </w:tc>
        <w:tc>
          <w:tcPr>
            <w:tcW w:w="230"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jc w:val="left"/>
              <w:rPr>
                <w:sz w:val="18"/>
              </w:rPr>
            </w:pPr>
            <w:r>
              <w:rPr>
                <w:sz w:val="18"/>
              </w:rPr>
              <w:t>Accelerated filer</w:t>
            </w:r>
          </w:p>
        </w:tc>
        <w:tc>
          <w:tcPr>
            <w:tcW w:w="245" w:type="dxa"/>
            <w:tcBorders/>
            <w:vAlign w:val="center"/>
          </w:tcPr>
          <w:p>
            <w:pPr>
              <w:pStyle w:val="TableContents"/>
              <w:bidi w:val="0"/>
              <w:spacing w:before="0" w:after="283"/>
              <w:jc w:val="left"/>
              <w:rPr/>
            </w:pPr>
            <w:r>
              <w:rPr/>
              <w:t>☒</w:t>
            </w:r>
          </w:p>
        </w:tc>
      </w:tr>
      <w:tr>
        <w:trPr/>
        <w:tc>
          <w:tcPr>
            <w:tcW w:w="15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sz w:val="18"/>
              </w:rPr>
            </w:pPr>
            <w:r>
              <w:rPr>
                <w:sz w:val="18"/>
              </w:rPr>
              <w:t>Non-accelerated filer</w:t>
            </w:r>
          </w:p>
        </w:tc>
        <w:tc>
          <w:tcPr>
            <w:tcW w:w="230"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jc w:val="left"/>
              <w:rPr>
                <w:sz w:val="18"/>
              </w:rPr>
            </w:pPr>
            <w:r>
              <w:rPr>
                <w:sz w:val="18"/>
              </w:rPr>
              <w:t>Smaller reporting company</w:t>
            </w:r>
          </w:p>
        </w:tc>
        <w:tc>
          <w:tcPr>
            <w:tcW w:w="245" w:type="dxa"/>
            <w:tcBorders/>
            <w:vAlign w:val="center"/>
          </w:tcPr>
          <w:p>
            <w:pPr>
              <w:pStyle w:val="TableContents"/>
              <w:bidi w:val="0"/>
              <w:spacing w:before="0" w:after="283"/>
              <w:jc w:val="left"/>
              <w:rPr/>
            </w:pPr>
            <w:r>
              <w:rPr/>
              <w:t>☒</w:t>
            </w:r>
          </w:p>
        </w:tc>
      </w:tr>
      <w:tr>
        <w:trPr/>
        <w:tc>
          <w:tcPr>
            <w:tcW w:w="15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lineRule="atLeast" w:line="142" w:before="0" w:after="283"/>
              <w:jc w:val="left"/>
              <w:rPr/>
            </w:pPr>
            <w:r>
              <w:rPr/>
              <w:t> </w:t>
            </w:r>
          </w:p>
        </w:tc>
        <w:tc>
          <w:tcPr>
            <w:tcW w:w="230" w:type="dxa"/>
            <w:tcBorders/>
            <w:vAlign w:val="center"/>
          </w:tcPr>
          <w:p>
            <w:pPr>
              <w:pStyle w:val="TableContents"/>
              <w:bidi w:val="0"/>
              <w:spacing w:lineRule="atLeast" w:line="142" w:before="0" w:after="283"/>
              <w:jc w:val="left"/>
              <w:rPr/>
            </w:pPr>
            <w:r>
              <w:rPr/>
              <w:t> </w:t>
            </w:r>
          </w:p>
        </w:tc>
        <w:tc>
          <w:tcPr>
            <w:tcW w:w="1955" w:type="dxa"/>
            <w:tcBorders/>
            <w:vAlign w:val="center"/>
          </w:tcPr>
          <w:p>
            <w:pPr>
              <w:pStyle w:val="TableContents"/>
              <w:bidi w:val="0"/>
              <w:spacing w:before="0" w:after="283"/>
              <w:jc w:val="left"/>
              <w:rPr>
                <w:sz w:val="18"/>
              </w:rPr>
            </w:pPr>
            <w:r>
              <w:rPr>
                <w:sz w:val="18"/>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40" w:after="40"/>
        <w:ind w:left="40" w:right="4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r>
        <w:rPr>
          <w:rFonts w:ascii="Times New Roman;Times;Serif" w:hAnsi="Times New Roman;Times;Serif"/>
          <w:b w:val="false"/>
          <w:i w:val="false"/>
          <w:caps w:val="false"/>
          <w:smallCaps w:val="false"/>
          <w:sz w:val="20"/>
        </w:rPr>
        <w:t xml:space="preserve">  </w:t>
      </w:r>
    </w:p>
    <w:p>
      <w:pPr>
        <w:pStyle w:val="TextBody"/>
        <w:bidi w:val="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0" w:after="240"/>
        <w:ind w:left="0" w:right="0" w:hanging="0"/>
        <w:jc w:val="both"/>
        <w:rPr>
          <w:rFonts w:ascii="Arial Narrow;Helvetica;Sans-Serif" w:hAnsi="Arial Narrow;Helvetica;Sans-Serif"/>
          <w:b/>
          <w:i w:val="false"/>
          <w:caps w:val="false"/>
          <w:smallCaps w:val="false"/>
          <w:color w:val="EB0029"/>
          <w:sz w:val="20"/>
        </w:rPr>
      </w:pPr>
      <w:r>
        <w:rPr>
          <w:rFonts w:ascii="Arial Narrow;Helvetica;Sans-Serif" w:hAnsi="Arial Narrow;Helvetica;Sans-Serif"/>
          <w:b/>
          <w:i w:val="false"/>
          <w:caps w:val="false"/>
          <w:smallCaps w:val="false"/>
          <w:color w:val="EB0029"/>
          <w:sz w:val="20"/>
        </w:rPr>
        <w:t xml:space="preserve">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 </w:t>
      </w:r>
    </w:p>
    <w:p>
      <w:pPr>
        <w:pStyle w:val="TextBody"/>
        <w:bidi w:val="0"/>
        <w:spacing w:before="120" w:after="120"/>
        <w:ind w:left="120" w:right="120" w:hanging="0"/>
        <w:jc w:val="center"/>
        <w:rPr>
          <w:rFonts w:ascii="Times New Roman;Times;Serif" w:hAnsi="Times New Roman;Times;Serif"/>
          <w:b/>
          <w:i w:val="false"/>
          <w:caps w:val="false"/>
          <w:smallCaps w:val="false"/>
          <w:color w:val="EB0029"/>
          <w:sz w:val="20"/>
        </w:rPr>
      </w:pPr>
      <w:r>
        <w:rPr>
          <w:rFonts w:ascii="Times New Roman;Times;Serif" w:hAnsi="Times New Roman;Times;Serif"/>
          <w:b/>
          <w:i w:val="false"/>
          <w:caps w:val="false"/>
          <w:smallCaps w:val="false"/>
          <w:color w:val="EB0029"/>
          <w:sz w:val="20"/>
        </w:rPr>
        <w:t>Subject to Completion, dated April 28 , 2025</w:t>
      </w:r>
    </w:p>
    <w:p>
      <w:pPr>
        <w:pStyle w:val="TextBody"/>
        <w:bidi w:val="0"/>
        <w:spacing w:before="120" w:after="120"/>
        <w:ind w:left="120" w:right="1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w:t>
      </w:r>
    </w:p>
    <w:p>
      <w:pPr>
        <w:pStyle w:val="TextBody"/>
        <w:bidi w:val="0"/>
        <w:spacing w:before="240" w:after="240"/>
        <w:ind w:left="240" w:right="24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 xml:space="preserve">MICROVAST HOLDINGS, INC.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$250,000,000</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w:t>
      </w:r>
    </w:p>
    <w:p>
      <w:pPr>
        <w:pStyle w:val="TextBody"/>
        <w:bidi w:val="0"/>
        <w:jc w:val="center"/>
        <w:rPr>
          <w:caps w:val="false"/>
          <w:smallCaps w:val="false"/>
        </w:rPr>
      </w:pPr>
      <w:r>
        <w:rPr>
          <w:caps w:val="false"/>
          <w:smallCaps w:val="false"/>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the securities listed above from time to time in one or more classes or series and in amounts, at prices and on terms that we will determine at the time of the offering. The aggregate initial offering price of the securities that we will offer will not exceed $250,000,000.</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selling stockholder named in this prospectus may, from time to time, in one or more offerings, offer and sell up to 5,500,000 shares of our common stock. We will not receive any proceeds from any sale of shares of our common stock by the selling stockholder. For a more detailed discussion of the selling stockholder, please read “Selling Stockholder.”</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public warrants are traded on The Nasdaq Stock Market LLC (“Nasdaq”) under the symbols “MVST” and “MVSTW,” respectively. On April 24 , 2025, the last reported sales price of our common stock was $ 2.15 per share, and the last reported sales price of our public warrants was $ 0.22 per warrant.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the general manner in which these securities may be offered and sold. If necessary, the specific manner in which these securities may be offered and sold will be described in one or more supplements to this prospectus. Any prospectus supplement may add, update or change information contained in this prospectus. You should carefully read this prospectus, and any applicable prospectus supplement, as well as the documents incorporated by reference herein or therein before you invest in any of our securities.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offered and sold on a delayed or continuous basis directly by us or the selling stockholder through agents, underwriters or dealers as designated from time to time, through a combination of these methods or any other method as provided in the applicable prospectus supplement. See “Plan of Distribution.” The prospectus supplement will list any agents, underwriters or dealers that may be involved and the compensation they will receive.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w:t>
      </w:r>
    </w:p>
    <w:p>
      <w:pPr>
        <w:pStyle w:val="TextBody"/>
        <w:bidi w:val="0"/>
        <w:spacing w:before="240" w:after="240"/>
        <w:ind w:left="240" w:right="24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carefully read this prospectus and any accompanying prospectus supplement, together with the documents we incorporate by reference, before you invest in any of our securities.</w:t>
      </w:r>
    </w:p>
    <w:p>
      <w:pPr>
        <w:pStyle w:val="TextBody"/>
        <w:bidi w:val="0"/>
        <w:spacing w:before="240" w:after="240"/>
        <w:ind w:left="240" w:right="24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Please see “Risk Factors” beginning on page 5 of this prospectus for a discussion of certain risks that you should consider in connection with an investment in the securities.</w:t>
      </w:r>
    </w:p>
    <w:p>
      <w:pPr>
        <w:pStyle w:val="TextBody"/>
        <w:bidi w:val="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Securities and Exchange Commission (“SEC”) nor any state securities commission has approved or disapproved of these securities or passed upon the accuracy or adequacy of this prospectus. Any representation to the contrary is a criminal offense.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2025.</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24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bl>
      <w:tblPr>
        <w:tblW w:w="8320" w:type="dxa"/>
        <w:jc w:val="left"/>
        <w:tblInd w:w="0" w:type="dxa"/>
        <w:tblLayout w:type="fixed"/>
        <w:tblCellMar>
          <w:top w:w="0" w:type="dxa"/>
          <w:left w:w="0" w:type="dxa"/>
          <w:bottom w:w="0" w:type="dxa"/>
          <w:right w:w="0" w:type="dxa"/>
        </w:tblCellMar>
      </w:tblPr>
      <w:tblGrid>
        <w:gridCol w:w="8045"/>
        <w:gridCol w:w="275"/>
      </w:tblGrid>
      <w:tr>
        <w:trPr/>
        <w:tc>
          <w:tcPr>
            <w:tcW w:w="8045"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275" w:type="dxa"/>
            <w:tcBorders/>
            <w:shd w:fill="CCEEFF" w:val="clear"/>
            <w:vAlign w:val="center"/>
          </w:tcPr>
          <w:p>
            <w:pPr>
              <w:pStyle w:val="TableContents"/>
              <w:bidi w:val="0"/>
              <w:spacing w:before="0" w:after="283"/>
              <w:jc w:val="right"/>
              <w:rPr/>
            </w:pPr>
            <w:r>
              <w:rPr/>
              <w:t>1</w:t>
            </w:r>
          </w:p>
        </w:tc>
      </w:tr>
      <w:tr>
        <w:trPr/>
        <w:tc>
          <w:tcPr>
            <w:tcW w:w="8045" w:type="dxa"/>
            <w:tcBorders/>
            <w:shd w:fill="FFFFFF" w:val="clear"/>
            <w:vAlign w:val="center"/>
          </w:tcPr>
          <w:p>
            <w:pPr>
              <w:pStyle w:val="TableContents"/>
              <w:bidi w:val="0"/>
              <w:spacing w:before="0" w:after="283"/>
              <w:jc w:val="left"/>
              <w:rPr/>
            </w:pPr>
            <w:hyperlink w:anchor="a_002">
              <w:r>
                <w:rPr>
                  <w:rStyle w:val="InternetLink"/>
                </w:rPr>
                <w:t>CAUTIONARY NOTE REGARDING FORWARD-LOOKING STATEMENTS</w:t>
              </w:r>
            </w:hyperlink>
          </w:p>
        </w:tc>
        <w:tc>
          <w:tcPr>
            <w:tcW w:w="275" w:type="dxa"/>
            <w:tcBorders/>
            <w:shd w:fill="FFFFFF" w:val="clear"/>
            <w:vAlign w:val="center"/>
          </w:tcPr>
          <w:p>
            <w:pPr>
              <w:pStyle w:val="TableContents"/>
              <w:bidi w:val="0"/>
              <w:spacing w:before="0" w:after="283"/>
              <w:jc w:val="right"/>
              <w:rPr/>
            </w:pPr>
            <w:r>
              <w:rPr/>
              <w:t>2</w:t>
            </w:r>
          </w:p>
        </w:tc>
      </w:tr>
      <w:tr>
        <w:trPr/>
        <w:tc>
          <w:tcPr>
            <w:tcW w:w="8045" w:type="dxa"/>
            <w:tcBorders/>
            <w:shd w:fill="CCEEFF" w:val="clear"/>
            <w:vAlign w:val="center"/>
          </w:tcPr>
          <w:p>
            <w:pPr>
              <w:pStyle w:val="TableContents"/>
              <w:bidi w:val="0"/>
              <w:spacing w:before="0" w:after="283"/>
              <w:jc w:val="left"/>
              <w:rPr/>
            </w:pPr>
            <w:hyperlink w:anchor="a_003">
              <w:r>
                <w:rPr>
                  <w:rStyle w:val="InternetLink"/>
                </w:rPr>
                <w:t>THE COMPANY</w:t>
              </w:r>
            </w:hyperlink>
          </w:p>
        </w:tc>
        <w:tc>
          <w:tcPr>
            <w:tcW w:w="275" w:type="dxa"/>
            <w:tcBorders/>
            <w:shd w:fill="CCEEFF" w:val="clear"/>
            <w:vAlign w:val="center"/>
          </w:tcPr>
          <w:p>
            <w:pPr>
              <w:pStyle w:val="TableContents"/>
              <w:bidi w:val="0"/>
              <w:spacing w:before="0" w:after="283"/>
              <w:jc w:val="right"/>
              <w:rPr/>
            </w:pPr>
            <w:r>
              <w:rPr/>
              <w:t>4</w:t>
            </w:r>
          </w:p>
        </w:tc>
      </w:tr>
      <w:tr>
        <w:trPr/>
        <w:tc>
          <w:tcPr>
            <w:tcW w:w="8045" w:type="dxa"/>
            <w:tcBorders/>
            <w:shd w:fill="FFFFFF" w:val="clear"/>
            <w:vAlign w:val="center"/>
          </w:tcPr>
          <w:p>
            <w:pPr>
              <w:pStyle w:val="TableContents"/>
              <w:bidi w:val="0"/>
              <w:spacing w:before="0" w:after="283"/>
              <w:jc w:val="left"/>
              <w:rPr/>
            </w:pPr>
            <w:hyperlink w:anchor="a_004">
              <w:r>
                <w:rPr>
                  <w:rStyle w:val="InternetLink"/>
                </w:rPr>
                <w:t>RISK FACTORS</w:t>
              </w:r>
            </w:hyperlink>
          </w:p>
        </w:tc>
        <w:tc>
          <w:tcPr>
            <w:tcW w:w="275" w:type="dxa"/>
            <w:tcBorders/>
            <w:shd w:fill="FFFFFF" w:val="clear"/>
            <w:vAlign w:val="center"/>
          </w:tcPr>
          <w:p>
            <w:pPr>
              <w:pStyle w:val="TableContents"/>
              <w:bidi w:val="0"/>
              <w:spacing w:before="0" w:after="283"/>
              <w:jc w:val="right"/>
              <w:rPr/>
            </w:pPr>
            <w:r>
              <w:rPr/>
              <w:t>5</w:t>
            </w:r>
          </w:p>
        </w:tc>
      </w:tr>
      <w:tr>
        <w:trPr/>
        <w:tc>
          <w:tcPr>
            <w:tcW w:w="8045" w:type="dxa"/>
            <w:tcBorders/>
            <w:shd w:fill="CCEEFF" w:val="clear"/>
            <w:vAlign w:val="center"/>
          </w:tcPr>
          <w:p>
            <w:pPr>
              <w:pStyle w:val="TableContents"/>
              <w:bidi w:val="0"/>
              <w:spacing w:before="0" w:after="283"/>
              <w:jc w:val="left"/>
              <w:rPr/>
            </w:pPr>
            <w:hyperlink w:anchor="a_005">
              <w:r>
                <w:rPr>
                  <w:rStyle w:val="InternetLink"/>
                </w:rPr>
                <w:t>USE OF PROCEEDS</w:t>
              </w:r>
            </w:hyperlink>
          </w:p>
        </w:tc>
        <w:tc>
          <w:tcPr>
            <w:tcW w:w="275" w:type="dxa"/>
            <w:tcBorders/>
            <w:shd w:fill="CCEEFF" w:val="clear"/>
            <w:vAlign w:val="center"/>
          </w:tcPr>
          <w:p>
            <w:pPr>
              <w:pStyle w:val="TableContents"/>
              <w:bidi w:val="0"/>
              <w:spacing w:before="0" w:after="283"/>
              <w:jc w:val="right"/>
              <w:rPr/>
            </w:pPr>
            <w:r>
              <w:rPr/>
              <w:t>6</w:t>
            </w:r>
          </w:p>
        </w:tc>
      </w:tr>
      <w:tr>
        <w:trPr/>
        <w:tc>
          <w:tcPr>
            <w:tcW w:w="8045" w:type="dxa"/>
            <w:tcBorders/>
            <w:shd w:fill="FFFFFF" w:val="clear"/>
            <w:vAlign w:val="center"/>
          </w:tcPr>
          <w:p>
            <w:pPr>
              <w:pStyle w:val="TableContents"/>
              <w:bidi w:val="0"/>
              <w:spacing w:before="0" w:after="283"/>
              <w:jc w:val="left"/>
              <w:rPr/>
            </w:pPr>
            <w:hyperlink w:anchor="a_006">
              <w:r>
                <w:rPr>
                  <w:rStyle w:val="InternetLink"/>
                </w:rPr>
                <w:t>DESCRIPTION OF CAPITAL STOCK</w:t>
              </w:r>
            </w:hyperlink>
          </w:p>
        </w:tc>
        <w:tc>
          <w:tcPr>
            <w:tcW w:w="275" w:type="dxa"/>
            <w:tcBorders/>
            <w:shd w:fill="FFFFFF" w:val="clear"/>
            <w:vAlign w:val="center"/>
          </w:tcPr>
          <w:p>
            <w:pPr>
              <w:pStyle w:val="TableContents"/>
              <w:bidi w:val="0"/>
              <w:spacing w:before="0" w:after="283"/>
              <w:jc w:val="right"/>
              <w:rPr/>
            </w:pPr>
            <w:r>
              <w:rPr/>
              <w:t>7</w:t>
            </w:r>
          </w:p>
        </w:tc>
      </w:tr>
      <w:tr>
        <w:trPr/>
        <w:tc>
          <w:tcPr>
            <w:tcW w:w="8045" w:type="dxa"/>
            <w:tcBorders/>
            <w:shd w:fill="CCEEFF" w:val="clear"/>
            <w:vAlign w:val="center"/>
          </w:tcPr>
          <w:p>
            <w:pPr>
              <w:pStyle w:val="TableContents"/>
              <w:bidi w:val="0"/>
              <w:spacing w:before="0" w:after="283"/>
              <w:jc w:val="left"/>
              <w:rPr/>
            </w:pPr>
            <w:hyperlink w:anchor="a_007">
              <w:r>
                <w:rPr>
                  <w:rStyle w:val="InternetLink"/>
                </w:rPr>
                <w:t>DESCRIPTION OF WARRANTS</w:t>
              </w:r>
            </w:hyperlink>
          </w:p>
        </w:tc>
        <w:tc>
          <w:tcPr>
            <w:tcW w:w="275" w:type="dxa"/>
            <w:tcBorders/>
            <w:shd w:fill="CCEEFF" w:val="clear"/>
            <w:vAlign w:val="center"/>
          </w:tcPr>
          <w:p>
            <w:pPr>
              <w:pStyle w:val="TableContents"/>
              <w:bidi w:val="0"/>
              <w:spacing w:before="0" w:after="283"/>
              <w:jc w:val="right"/>
              <w:rPr/>
            </w:pPr>
            <w:r>
              <w:rPr/>
              <w:t>11</w:t>
            </w:r>
          </w:p>
        </w:tc>
      </w:tr>
      <w:tr>
        <w:trPr/>
        <w:tc>
          <w:tcPr>
            <w:tcW w:w="8045" w:type="dxa"/>
            <w:tcBorders/>
            <w:shd w:fill="FFFFFF" w:val="clear"/>
            <w:vAlign w:val="center"/>
          </w:tcPr>
          <w:p>
            <w:pPr>
              <w:pStyle w:val="TableContents"/>
              <w:bidi w:val="0"/>
              <w:spacing w:before="0" w:after="283"/>
              <w:jc w:val="left"/>
              <w:rPr/>
            </w:pPr>
            <w:hyperlink w:anchor="a_008">
              <w:r>
                <w:rPr>
                  <w:rStyle w:val="InternetLink"/>
                </w:rPr>
                <w:t>DESCRIPTION OF UNITS</w:t>
              </w:r>
            </w:hyperlink>
          </w:p>
        </w:tc>
        <w:tc>
          <w:tcPr>
            <w:tcW w:w="275" w:type="dxa"/>
            <w:tcBorders/>
            <w:shd w:fill="FFFFFF" w:val="clear"/>
            <w:vAlign w:val="center"/>
          </w:tcPr>
          <w:p>
            <w:pPr>
              <w:pStyle w:val="TableContents"/>
              <w:bidi w:val="0"/>
              <w:spacing w:before="0" w:after="283"/>
              <w:jc w:val="right"/>
              <w:rPr/>
            </w:pPr>
            <w:r>
              <w:rPr/>
              <w:t>12</w:t>
            </w:r>
          </w:p>
        </w:tc>
      </w:tr>
      <w:tr>
        <w:trPr/>
        <w:tc>
          <w:tcPr>
            <w:tcW w:w="8045" w:type="dxa"/>
            <w:tcBorders/>
            <w:shd w:fill="CCEEFF" w:val="clear"/>
            <w:vAlign w:val="center"/>
          </w:tcPr>
          <w:p>
            <w:pPr>
              <w:pStyle w:val="TableContents"/>
              <w:bidi w:val="0"/>
              <w:spacing w:before="0" w:after="283"/>
              <w:jc w:val="left"/>
              <w:rPr/>
            </w:pPr>
            <w:hyperlink w:anchor="a_009">
              <w:r>
                <w:rPr>
                  <w:rStyle w:val="InternetLink"/>
                </w:rPr>
                <w:t>SELLING STOCKHOLDER</w:t>
              </w:r>
            </w:hyperlink>
          </w:p>
        </w:tc>
        <w:tc>
          <w:tcPr>
            <w:tcW w:w="275" w:type="dxa"/>
            <w:tcBorders/>
            <w:shd w:fill="CCEEFF" w:val="clear"/>
            <w:vAlign w:val="center"/>
          </w:tcPr>
          <w:p>
            <w:pPr>
              <w:pStyle w:val="TableContents"/>
              <w:bidi w:val="0"/>
              <w:spacing w:before="0" w:after="283"/>
              <w:jc w:val="right"/>
              <w:rPr/>
            </w:pPr>
            <w:r>
              <w:rPr/>
              <w:t>13</w:t>
            </w:r>
          </w:p>
        </w:tc>
      </w:tr>
      <w:tr>
        <w:trPr/>
        <w:tc>
          <w:tcPr>
            <w:tcW w:w="8045" w:type="dxa"/>
            <w:tcBorders/>
            <w:shd w:fill="FFFFFF" w:val="clear"/>
            <w:vAlign w:val="center"/>
          </w:tcPr>
          <w:p>
            <w:pPr>
              <w:pStyle w:val="TableContents"/>
              <w:bidi w:val="0"/>
              <w:spacing w:before="0" w:after="283"/>
              <w:jc w:val="left"/>
              <w:rPr/>
            </w:pPr>
            <w:hyperlink w:anchor="a_010">
              <w:r>
                <w:rPr>
                  <w:rStyle w:val="InternetLink"/>
                </w:rPr>
                <w:t>PLAN OF DISTRIBUTION</w:t>
              </w:r>
            </w:hyperlink>
          </w:p>
        </w:tc>
        <w:tc>
          <w:tcPr>
            <w:tcW w:w="275" w:type="dxa"/>
            <w:tcBorders/>
            <w:shd w:fill="FFFFFF" w:val="clear"/>
            <w:vAlign w:val="center"/>
          </w:tcPr>
          <w:p>
            <w:pPr>
              <w:pStyle w:val="TableContents"/>
              <w:bidi w:val="0"/>
              <w:spacing w:before="0" w:after="283"/>
              <w:jc w:val="right"/>
              <w:rPr/>
            </w:pPr>
            <w:r>
              <w:rPr/>
              <w:t>14</w:t>
            </w:r>
          </w:p>
        </w:tc>
      </w:tr>
      <w:tr>
        <w:trPr/>
        <w:tc>
          <w:tcPr>
            <w:tcW w:w="8045" w:type="dxa"/>
            <w:tcBorders/>
            <w:shd w:fill="CCEEFF" w:val="clear"/>
            <w:vAlign w:val="center"/>
          </w:tcPr>
          <w:p>
            <w:pPr>
              <w:pStyle w:val="TableContents"/>
              <w:bidi w:val="0"/>
              <w:spacing w:before="0" w:after="283"/>
              <w:jc w:val="left"/>
              <w:rPr/>
            </w:pPr>
            <w:hyperlink w:anchor="a_011">
              <w:r>
                <w:rPr>
                  <w:rStyle w:val="InternetLink"/>
                </w:rPr>
                <w:t>LEGAL MATTERS</w:t>
              </w:r>
            </w:hyperlink>
          </w:p>
        </w:tc>
        <w:tc>
          <w:tcPr>
            <w:tcW w:w="275" w:type="dxa"/>
            <w:tcBorders/>
            <w:shd w:fill="CCEEFF" w:val="clear"/>
            <w:vAlign w:val="center"/>
          </w:tcPr>
          <w:p>
            <w:pPr>
              <w:pStyle w:val="TableContents"/>
              <w:bidi w:val="0"/>
              <w:spacing w:before="0" w:after="283"/>
              <w:jc w:val="right"/>
              <w:rPr/>
            </w:pPr>
            <w:r>
              <w:rPr/>
              <w:t>16</w:t>
            </w:r>
          </w:p>
        </w:tc>
      </w:tr>
      <w:tr>
        <w:trPr/>
        <w:tc>
          <w:tcPr>
            <w:tcW w:w="8045" w:type="dxa"/>
            <w:tcBorders/>
            <w:shd w:fill="FFFFFF" w:val="clear"/>
            <w:vAlign w:val="center"/>
          </w:tcPr>
          <w:p>
            <w:pPr>
              <w:pStyle w:val="TableContents"/>
              <w:bidi w:val="0"/>
              <w:spacing w:before="0" w:after="283"/>
              <w:jc w:val="left"/>
              <w:rPr/>
            </w:pPr>
            <w:hyperlink w:anchor="a_012">
              <w:r>
                <w:rPr>
                  <w:rStyle w:val="InternetLink"/>
                </w:rPr>
                <w:t>EXPERTS</w:t>
              </w:r>
            </w:hyperlink>
          </w:p>
        </w:tc>
        <w:tc>
          <w:tcPr>
            <w:tcW w:w="275" w:type="dxa"/>
            <w:tcBorders/>
            <w:shd w:fill="FFFFFF" w:val="clear"/>
            <w:vAlign w:val="center"/>
          </w:tcPr>
          <w:p>
            <w:pPr>
              <w:pStyle w:val="TableContents"/>
              <w:bidi w:val="0"/>
              <w:spacing w:before="0" w:after="283"/>
              <w:jc w:val="right"/>
              <w:rPr/>
            </w:pPr>
            <w:r>
              <w:rPr/>
              <w:t>16</w:t>
            </w:r>
          </w:p>
        </w:tc>
      </w:tr>
      <w:tr>
        <w:trPr/>
        <w:tc>
          <w:tcPr>
            <w:tcW w:w="8045" w:type="dxa"/>
            <w:tcBorders/>
            <w:shd w:fill="CCEEFF" w:val="clear"/>
            <w:vAlign w:val="center"/>
          </w:tcPr>
          <w:p>
            <w:pPr>
              <w:pStyle w:val="TableContents"/>
              <w:bidi w:val="0"/>
              <w:spacing w:before="0" w:after="283"/>
              <w:jc w:val="left"/>
              <w:rPr/>
            </w:pPr>
            <w:hyperlink w:anchor="a_013">
              <w:r>
                <w:rPr>
                  <w:rStyle w:val="InternetLink"/>
                </w:rPr>
                <w:t>WHERE YOU CAN FIND MORE INFORMATION</w:t>
              </w:r>
            </w:hyperlink>
          </w:p>
        </w:tc>
        <w:tc>
          <w:tcPr>
            <w:tcW w:w="275" w:type="dxa"/>
            <w:tcBorders/>
            <w:shd w:fill="CCEEFF" w:val="clear"/>
            <w:vAlign w:val="center"/>
          </w:tcPr>
          <w:p>
            <w:pPr>
              <w:pStyle w:val="TableContents"/>
              <w:bidi w:val="0"/>
              <w:spacing w:before="0" w:after="283"/>
              <w:jc w:val="right"/>
              <w:rPr/>
            </w:pPr>
            <w:r>
              <w:rPr/>
              <w:t>17</w:t>
            </w:r>
          </w:p>
        </w:tc>
      </w:tr>
      <w:tr>
        <w:trPr/>
        <w:tc>
          <w:tcPr>
            <w:tcW w:w="8045" w:type="dxa"/>
            <w:tcBorders/>
            <w:shd w:fill="FFFFFF" w:val="clear"/>
            <w:vAlign w:val="center"/>
          </w:tcPr>
          <w:p>
            <w:pPr>
              <w:pStyle w:val="TableContents"/>
              <w:bidi w:val="0"/>
              <w:spacing w:before="0" w:after="283"/>
              <w:jc w:val="left"/>
              <w:rPr/>
            </w:pPr>
            <w:hyperlink w:anchor="a_014">
              <w:r>
                <w:rPr>
                  <w:rStyle w:val="InternetLink"/>
                </w:rPr>
                <w:t>INFORMATION INCORPORATED BY REFERENCE</w:t>
              </w:r>
            </w:hyperlink>
          </w:p>
        </w:tc>
        <w:tc>
          <w:tcPr>
            <w:tcW w:w="275" w:type="dxa"/>
            <w:tcBorders/>
            <w:shd w:fill="FFFFFF" w:val="clear"/>
            <w:vAlign w:val="center"/>
          </w:tcPr>
          <w:p>
            <w:pPr>
              <w:pStyle w:val="TableContents"/>
              <w:bidi w:val="0"/>
              <w:spacing w:before="0" w:after="283"/>
              <w:jc w:val="right"/>
              <w:rPr/>
            </w:pPr>
            <w:r>
              <w:rPr/>
              <w:t>18</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(the “SEC”) using a “shelf” registration process. Under the shelf process, we may sell any combination of the securities described in this prospectus in one or more offerings up to a total dollar amount of $250,000,000. In addition, the selling stockholder named in this prospectus may sell up to 5,500,000 shares of our common stock as described in this prospectus in one or more offerings. Unless the context requires otherwise or unless otherwise noted, all references in this prospectus or any accompanying prospectus supplement to “Microvast,” “Company,” “we,” “us” or “our” are to Microvast Holdings, Inc. and, as applicable, its subsidiaries.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we or the selling stockholder may offer. Each time we or the selling stockholder, if applicable, sell securities pursuant to the registration statement of which this prospectus forms a part,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You should carefully read this prospectus, any applicable prospectus supplement and related free writing prospectus, together with additional information described under the heading “Where You Can Find More Information” before you invest in any of these securities.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or incorporated by reference in this prospectus and any prospectus supplement. We have not authorized any dealer, salesperson or other person to provide you with additional or different information. If anyone provides you with different or inconsistent information, you should not rely on it. This prospectus and any prospectus supplement are not an offer to sell or the solicitation of an offer to buy any securities other than the securities to which they relate and are not an offer to sell or the solicitation of an offer to buy securities in any jurisdiction to any person to whom it is unlawful to make an offer or solicitation in that jurisdiction. You should not assume that the information in this prospectus or any prospectus supplement or in any document incorporated by reference in this prospectus or any prospectus supplement is accurate as of any date other than the date of the document containing the information. Some of the market and industry data contained or incorporated by reference in this prospectus are based on independent industry publications or other publicly available information, while other information is based on internal studies. Although we believe that these independent sources and our internal data are reliable as of their respective dates, the information contained in them has not been independently verified. As a result, you should be aware that the market and industry data contained or incorporated by reference in this prospectus, and beliefs and estimates based on such data, may not be reliable.</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carefully the entire prospectus, as well as the documents incorporated by reference in the prospectus and the applicable prospectus supplement, before making an investment decision.</w:t>
      </w:r>
    </w:p>
    <w:p>
      <w:pPr>
        <w:pStyle w:val="TextBody"/>
        <w:bidi w:val="0"/>
        <w:spacing w:before="240" w:after="240"/>
        <w:ind w:left="240" w:right="240" w:hanging="0"/>
        <w:jc w:val="left"/>
        <w:rPr>
          <w:caps w:val="false"/>
          <w:smallCaps w:val="false"/>
        </w:rPr>
      </w:pPr>
      <w:r>
        <w:rPr>
          <w:caps w:val="false"/>
          <w:smallCaps w:val="false"/>
        </w:rPr>
        <w:t> </w:t>
      </w:r>
    </w:p>
    <w:p>
      <w:pPr>
        <w:pStyle w:val="TextBody"/>
        <w:bidi w:val="0"/>
        <w:spacing w:before="240" w:after="240"/>
        <w:ind w:left="240" w:right="240" w:firstLine="72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CAUTIONARY NOTE REGARDING FORWARD-LOOKING STATEMENTS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and the documents incorporated by reference contain “forward-looking statements” within the meaning of the Private Securities Litigation Reform Act of 1995. Such statements include, but are not limited to, statements about our future results of operations and financial position, our operational performance, our anticipated growth and business strategy, our future capital expenditures and debt service obligations, the projected costs, prospects and plans and objectives of management for future operations, including regarding expected growth and demand for our batteries and energy storage solutions and introduction of new batteries and energy storage solutions, the adoption of such offerings by customers, our expectations relating to backlog, pipeline and contracted backlog, our ability to implement our remediation plan in connection with the material weakness in our internal control over financial reporting, current expectations relating to legal proceedings and anticipated impacts and benefits from the Inflation Reduction Act of 2022 as well as any other proposed or recently enacted legislation. In some cases, you may also identify forward-looking statements by words such as “anticipate,” “believe,” “continue,” “could,” “estimate,” “expect,” “intend,” “may,” “might,” “objective,” “plan,” “project,” “predict,” “outlook” “should,” “will,” “would,” or the negative of these terms, or other comparable terminology intended to identify statements about the future. Such forward-looking statements are based upon the current beliefs and expectations of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factors identified in our Annual Report on Form 10-K </w:t>
      </w:r>
      <w:r>
        <w:rPr>
          <w:rFonts w:ascii="Times New Roman;Times;Serif" w:hAnsi="Times New Roman;Times;Serif"/>
          <w:b w:val="false"/>
          <w:i w:val="false"/>
          <w:caps w:val="false"/>
          <w:smallCaps w:val="false"/>
          <w:sz w:val="20"/>
          <w:shd w:fill="FFFFFF" w:val="clear"/>
        </w:rPr>
        <w:t>filed with the SEC</w:t>
      </w:r>
      <w:r>
        <w:rPr>
          <w:rFonts w:ascii="Times New Roman;Times;Serif" w:hAnsi="Times New Roman;Times;Serif"/>
          <w:b w:val="false"/>
          <w:i w:val="false"/>
          <w:caps w:val="false"/>
          <w:smallCaps w:val="false"/>
          <w:sz w:val="20"/>
        </w:rPr>
        <w:t xml:space="preserve">, the following factors, among others, could cause actual results and the timing of events to differ materially from the anticipated results or other expectations expressed in the forward-looking statements: </w:t>
      </w:r>
    </w:p>
    <w:p>
      <w:pPr>
        <w:pStyle w:val="TextBody"/>
        <w:bidi w:val="0"/>
        <w:spacing w:before="0" w:after="283"/>
        <w:jc w:val="left"/>
        <w:rPr/>
      </w:pPr>
      <w:r>
        <w:rPr/>
        <w:t> </w:t>
      </w:r>
    </w:p>
    <w:tbl>
      <w:tblPr>
        <w:tblW w:w="3295" w:type="dxa"/>
        <w:jc w:val="left"/>
        <w:tblInd w:w="0" w:type="dxa"/>
        <w:tblLayout w:type="fixed"/>
        <w:tblCellMar>
          <w:top w:w="0" w:type="dxa"/>
          <w:left w:w="0" w:type="dxa"/>
          <w:bottom w:w="0" w:type="dxa"/>
          <w:right w:w="0" w:type="dxa"/>
        </w:tblCellMar>
      </w:tblPr>
      <w:tblGrid>
        <w:gridCol w:w="75"/>
        <w:gridCol w:w="110"/>
        <w:gridCol w:w="3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288" w:before="0" w:after="283"/>
              <w:jc w:val="left"/>
              <w:rPr>
                <w:caps w:val="false"/>
                <w:smallCaps w:val="false"/>
              </w:rPr>
            </w:pPr>
            <w:r>
              <w:rPr>
                <w:caps w:val="false"/>
                <w:smallCaps w:val="false"/>
              </w:rPr>
              <w:t>•</w:t>
            </w:r>
          </w:p>
        </w:tc>
        <w:tc>
          <w:tcPr>
            <w:tcW w:w="3110" w:type="dxa"/>
            <w:tcBorders/>
            <w:vAlign w:val="center"/>
          </w:tcPr>
          <w:p>
            <w:pPr>
              <w:pStyle w:val="TableContents"/>
              <w:bidi w:val="0"/>
              <w:spacing w:lineRule="auto" w:line="288"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remain a going concern;</w:t>
            </w:r>
          </w:p>
        </w:tc>
      </w:tr>
    </w:tbl>
    <w:p>
      <w:pPr>
        <w:pStyle w:val="TextBody"/>
        <w:bidi w:val="0"/>
        <w:jc w:val="lef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75"/>
        <w:gridCol w:w="110"/>
        <w:gridCol w:w="6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288" w:before="0" w:after="283"/>
              <w:jc w:val="left"/>
              <w:rPr>
                <w:caps w:val="false"/>
                <w:smallCaps w:val="false"/>
              </w:rPr>
            </w:pPr>
            <w:r>
              <w:rPr>
                <w:caps w:val="false"/>
                <w:smallCaps w:val="false"/>
              </w:rPr>
              <w:t>•</w:t>
            </w:r>
          </w:p>
        </w:tc>
        <w:tc>
          <w:tcPr>
            <w:tcW w:w="6905" w:type="dxa"/>
            <w:tcBorders/>
            <w:vAlign w:val="center"/>
          </w:tcPr>
          <w:p>
            <w:pPr>
              <w:pStyle w:val="TableContents"/>
              <w:bidi w:val="0"/>
              <w:spacing w:lineRule="auto" w:line="288"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that we may not be able to execute our growth strategies or achieve profitability;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288" w:before="0" w:after="283"/>
              <w:jc w:val="left"/>
              <w:rPr>
                <w:caps w:val="false"/>
                <w:smallCaps w:val="false"/>
              </w:rPr>
            </w:pPr>
            <w:r>
              <w:rPr>
                <w:caps w:val="false"/>
                <w:smallCaps w:val="false"/>
              </w:rPr>
              <w:t>•</w:t>
            </w:r>
          </w:p>
        </w:tc>
        <w:tc>
          <w:tcPr>
            <w:tcW w:w="10020" w:type="dxa"/>
            <w:tcBorders/>
            <w:vAlign w:val="center"/>
          </w:tcPr>
          <w:p>
            <w:pPr>
              <w:pStyle w:val="TableContents"/>
              <w:bidi w:val="0"/>
              <w:spacing w:lineRule="auto" w:line="288"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 that we may be unable to meet our future capital requirements and we may require additional capital to support our business growth, and this capital might not be available on acceptable terms, or at all;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5"/>
        <w:gridCol w:w="9965"/>
      </w:tblGrid>
      <w:tr>
        <w:trPr/>
        <w:tc>
          <w:tcPr>
            <w:tcW w:w="7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lineRule="auto" w:line="288" w:before="0" w:after="283"/>
              <w:jc w:val="left"/>
              <w:rPr>
                <w:caps w:val="false"/>
                <w:smallCaps w:val="false"/>
              </w:rPr>
            </w:pPr>
            <w:r>
              <w:rPr>
                <w:caps w:val="false"/>
                <w:smallCaps w:val="false"/>
              </w:rPr>
              <w:t xml:space="preserve">• </w:t>
            </w:r>
          </w:p>
        </w:tc>
        <w:tc>
          <w:tcPr>
            <w:tcW w:w="9965" w:type="dxa"/>
            <w:tcBorders/>
            <w:vAlign w:val="center"/>
          </w:tcPr>
          <w:p>
            <w:pPr>
              <w:pStyle w:val="TableContents"/>
              <w:bidi w:val="0"/>
              <w:spacing w:lineRule="auto" w:line="288"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potential difficulties in maintaining manufacturing capacity and establishing expected mass manufacturing capacity in the future; </w:t>
            </w:r>
          </w:p>
        </w:tc>
      </w:tr>
    </w:tbl>
    <w:p>
      <w:pPr>
        <w:pStyle w:val="TextBody"/>
        <w:bidi w:val="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170"/>
        <w:gridCol w:w="8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288" w:before="0" w:after="283"/>
              <w:jc w:val="left"/>
              <w:rPr>
                <w:caps w:val="false"/>
                <w:smallCaps w:val="false"/>
              </w:rPr>
            </w:pPr>
            <w:r>
              <w:rPr>
                <w:caps w:val="false"/>
                <w:smallCaps w:val="false"/>
              </w:rPr>
              <w:t xml:space="preserve">• </w:t>
            </w:r>
          </w:p>
        </w:tc>
        <w:tc>
          <w:tcPr>
            <w:tcW w:w="8030" w:type="dxa"/>
            <w:tcBorders/>
            <w:vAlign w:val="center"/>
          </w:tcPr>
          <w:p>
            <w:pPr>
              <w:pStyle w:val="TableContents"/>
              <w:bidi w:val="0"/>
              <w:spacing w:lineRule="auto" w:line="288"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relating to delays, disruptions and quality control problems in our manufacturing operations; </w:t>
            </w:r>
          </w:p>
        </w:tc>
      </w:tr>
    </w:tbl>
    <w:tbl>
      <w:tblPr>
        <w:tblW w:w="5000" w:type="pct"/>
        <w:jc w:val="left"/>
        <w:tblInd w:w="0" w:type="dxa"/>
        <w:tblLayout w:type="fixed"/>
        <w:tblCellMar>
          <w:top w:w="0" w:type="dxa"/>
          <w:left w:w="0" w:type="dxa"/>
          <w:bottom w:w="0" w:type="dxa"/>
          <w:right w:w="0" w:type="dxa"/>
        </w:tblCellMar>
      </w:tblPr>
      <w:tblGrid>
        <w:gridCol w:w="70"/>
        <w:gridCol w:w="203"/>
        <w:gridCol w:w="9932"/>
      </w:tblGrid>
      <w:tr>
        <w:trPr/>
        <w:tc>
          <w:tcPr>
            <w:tcW w:w="7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32" w:type="dxa"/>
            <w:tcBorders/>
            <w:vAlign w:val="center"/>
          </w:tcPr>
          <w:p>
            <w:pPr>
              <w:pStyle w:val="TableContents"/>
              <w:bidi w:val="0"/>
              <w:spacing w:before="0" w:after="283"/>
              <w:jc w:val="left"/>
              <w:rPr/>
            </w:pPr>
            <w:r>
              <w:rPr/>
              <w:t>restrictions in our existing and any future credit facilities;</w:t>
            </w:r>
          </w:p>
        </w:tc>
      </w:tr>
    </w:tbl>
    <w:tbl>
      <w:tblPr>
        <w:tblW w:w="5000" w:type="pct"/>
        <w:jc w:val="left"/>
        <w:tblInd w:w="0" w:type="dxa"/>
        <w:tblLayout w:type="fixed"/>
        <w:tblCellMar>
          <w:top w:w="0" w:type="dxa"/>
          <w:left w:w="0" w:type="dxa"/>
          <w:bottom w:w="0" w:type="dxa"/>
          <w:right w:w="0" w:type="dxa"/>
        </w:tblCellMar>
      </w:tblPr>
      <w:tblGrid>
        <w:gridCol w:w="136"/>
        <w:gridCol w:w="396"/>
        <w:gridCol w:w="9673"/>
      </w:tblGrid>
      <w:tr>
        <w:trPr/>
        <w:tc>
          <w:tcPr>
            <w:tcW w:w="13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pPr>
            <w:r>
              <w:rPr/>
              <w:t>•</w:t>
            </w:r>
          </w:p>
        </w:tc>
        <w:tc>
          <w:tcPr>
            <w:tcW w:w="9673" w:type="dxa"/>
            <w:tcBorders/>
            <w:vAlign w:val="center"/>
          </w:tcPr>
          <w:p>
            <w:pPr>
              <w:pStyle w:val="TableContents"/>
              <w:bidi w:val="0"/>
              <w:spacing w:before="0" w:after="283"/>
              <w:jc w:val="left"/>
              <w:rPr/>
            </w:pPr>
            <w:r>
              <w:rPr/>
              <w:t>risks of operations in China;</w:t>
            </w:r>
          </w:p>
        </w:tc>
      </w:tr>
    </w:tbl>
    <w:tbl>
      <w:tblPr>
        <w:tblW w:w="5000" w:type="pct"/>
        <w:jc w:val="left"/>
        <w:tblInd w:w="0" w:type="dxa"/>
        <w:tblLayout w:type="fixed"/>
        <w:tblCellMar>
          <w:top w:w="0" w:type="dxa"/>
          <w:left w:w="0" w:type="dxa"/>
          <w:bottom w:w="0" w:type="dxa"/>
          <w:right w:w="0" w:type="dxa"/>
        </w:tblCellMar>
      </w:tblPr>
      <w:tblGrid>
        <w:gridCol w:w="43"/>
        <w:gridCol w:w="125"/>
        <w:gridCol w:w="10037"/>
      </w:tblGrid>
      <w:tr>
        <w:trPr/>
        <w:tc>
          <w:tcPr>
            <w:tcW w:w="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w:t>
            </w:r>
          </w:p>
        </w:tc>
        <w:tc>
          <w:tcPr>
            <w:tcW w:w="10037" w:type="dxa"/>
            <w:tcBorders/>
            <w:vAlign w:val="center"/>
          </w:tcPr>
          <w:p>
            <w:pPr>
              <w:pStyle w:val="TableContents"/>
              <w:bidi w:val="0"/>
              <w:spacing w:before="0" w:after="283"/>
              <w:jc w:val="left"/>
              <w:rPr/>
            </w:pPr>
            <w:r>
              <w:rPr/>
              <w:t>the effects of mechanics liens filed by contractors that we do not have sufficient funds to pay;</w:t>
            </w:r>
          </w:p>
        </w:tc>
      </w:tr>
    </w:tbl>
    <w:tbl>
      <w:tblPr>
        <w:tblW w:w="5000" w:type="pct"/>
        <w:jc w:val="left"/>
        <w:tblInd w:w="0" w:type="dxa"/>
        <w:tblLayout w:type="fixed"/>
        <w:tblCellMar>
          <w:top w:w="0" w:type="dxa"/>
          <w:left w:w="0" w:type="dxa"/>
          <w:bottom w:w="0" w:type="dxa"/>
          <w:right w:w="0" w:type="dxa"/>
        </w:tblCellMar>
      </w:tblPr>
      <w:tblGrid>
        <w:gridCol w:w="93"/>
        <w:gridCol w:w="269"/>
        <w:gridCol w:w="9843"/>
      </w:tblGrid>
      <w:tr>
        <w:trPr/>
        <w:tc>
          <w:tcPr>
            <w:tcW w:w="9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w:t>
            </w:r>
          </w:p>
        </w:tc>
        <w:tc>
          <w:tcPr>
            <w:tcW w:w="9843" w:type="dxa"/>
            <w:tcBorders/>
            <w:vAlign w:val="center"/>
          </w:tcPr>
          <w:p>
            <w:pPr>
              <w:pStyle w:val="TableContents"/>
              <w:bidi w:val="0"/>
              <w:spacing w:before="0" w:after="283"/>
              <w:jc w:val="left"/>
              <w:rPr/>
            </w:pPr>
            <w:r>
              <w:rPr/>
              <w:t>the effects of existing and future litigation;</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changes in general economic conditions, including increases in interest rates and associated Federal Reserve policies, a potential economic recession, and the impact of inflation on our business;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changes in the highly competitive market in which we compete, including with respect to our competitive landscape, technology evolution or regulatory changes;</w:t>
            </w:r>
          </w:p>
        </w:tc>
      </w:tr>
    </w:tbl>
    <w:tbl>
      <w:tblPr>
        <w:tblW w:w="5000" w:type="pct"/>
        <w:jc w:val="left"/>
        <w:tblInd w:w="0" w:type="dxa"/>
        <w:tblLayout w:type="fixed"/>
        <w:tblCellMar>
          <w:top w:w="0" w:type="dxa"/>
          <w:left w:w="0" w:type="dxa"/>
          <w:bottom w:w="0" w:type="dxa"/>
          <w:right w:w="0" w:type="dxa"/>
        </w:tblCellMar>
      </w:tblPr>
      <w:tblGrid>
        <w:gridCol w:w="79"/>
        <w:gridCol w:w="232"/>
        <w:gridCol w:w="9894"/>
      </w:tblGrid>
      <w:tr>
        <w:trPr/>
        <w:tc>
          <w:tcPr>
            <w:tcW w:w="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w:t>
            </w:r>
          </w:p>
        </w:tc>
        <w:tc>
          <w:tcPr>
            <w:tcW w:w="9894" w:type="dxa"/>
            <w:tcBorders/>
            <w:vAlign w:val="center"/>
          </w:tcPr>
          <w:p>
            <w:pPr>
              <w:pStyle w:val="TableContents"/>
              <w:bidi w:val="0"/>
              <w:spacing w:before="0" w:after="283"/>
              <w:jc w:val="left"/>
              <w:rPr/>
            </w:pPr>
            <w:r>
              <w:rPr/>
              <w:t>changes in availability and price of raw materials;</w:t>
            </w:r>
          </w:p>
        </w:tc>
      </w:tr>
    </w:tbl>
    <w:tbl>
      <w:tblPr>
        <w:tblW w:w="5000" w:type="pct"/>
        <w:jc w:val="left"/>
        <w:tblInd w:w="0" w:type="dxa"/>
        <w:tblLayout w:type="fixed"/>
        <w:tblCellMar>
          <w:top w:w="0" w:type="dxa"/>
          <w:left w:w="0" w:type="dxa"/>
          <w:bottom w:w="0" w:type="dxa"/>
          <w:right w:w="0" w:type="dxa"/>
        </w:tblCellMar>
      </w:tblPr>
      <w:tblGrid>
        <w:gridCol w:w="40"/>
        <w:gridCol w:w="117"/>
        <w:gridCol w:w="10048"/>
      </w:tblGrid>
      <w:tr>
        <w:trPr/>
        <w:tc>
          <w:tcPr>
            <w:tcW w:w="4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pPr>
            <w:r>
              <w:rPr/>
              <w:t>•</w:t>
            </w:r>
          </w:p>
        </w:tc>
        <w:tc>
          <w:tcPr>
            <w:tcW w:w="10048" w:type="dxa"/>
            <w:tcBorders/>
            <w:vAlign w:val="center"/>
          </w:tcPr>
          <w:p>
            <w:pPr>
              <w:pStyle w:val="TableContents"/>
              <w:bidi w:val="0"/>
              <w:spacing w:before="0" w:after="283"/>
              <w:jc w:val="left"/>
              <w:rPr/>
            </w:pPr>
            <w:r>
              <w:rPr/>
              <w:t>labor relations, including the ability to attract, hire and retain key employees and contract personnel;</w:t>
            </w:r>
          </w:p>
        </w:tc>
      </w:tr>
    </w:tbl>
    <w:tbl>
      <w:tblPr>
        <w:tblW w:w="5000" w:type="pct"/>
        <w:jc w:val="left"/>
        <w:tblInd w:w="0" w:type="dxa"/>
        <w:tblLayout w:type="fixed"/>
        <w:tblCellMar>
          <w:top w:w="0" w:type="dxa"/>
          <w:left w:w="0" w:type="dxa"/>
          <w:bottom w:w="0" w:type="dxa"/>
          <w:right w:w="0" w:type="dxa"/>
        </w:tblCellMar>
      </w:tblPr>
      <w:tblGrid>
        <w:gridCol w:w="39"/>
        <w:gridCol w:w="114"/>
        <w:gridCol w:w="10052"/>
      </w:tblGrid>
      <w:tr>
        <w:trPr/>
        <w:tc>
          <w:tcPr>
            <w:tcW w:w="3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pPr>
            <w:r>
              <w:rPr/>
              <w:t>•</w:t>
            </w:r>
          </w:p>
        </w:tc>
        <w:tc>
          <w:tcPr>
            <w:tcW w:w="10052" w:type="dxa"/>
            <w:tcBorders/>
            <w:vAlign w:val="center"/>
          </w:tcPr>
          <w:p>
            <w:pPr>
              <w:pStyle w:val="TableContents"/>
              <w:bidi w:val="0"/>
              <w:spacing w:before="0" w:after="283"/>
              <w:jc w:val="left"/>
              <w:rPr/>
            </w:pPr>
            <w:r>
              <w:rPr/>
              <w:t>heightened awareness of environmental issues and concern about global warming and climate change;</w:t>
            </w:r>
          </w:p>
        </w:tc>
      </w:tr>
    </w:tbl>
    <w:tbl>
      <w:tblPr>
        <w:tblW w:w="5000" w:type="pct"/>
        <w:jc w:val="left"/>
        <w:tblInd w:w="0" w:type="dxa"/>
        <w:tblLayout w:type="fixed"/>
        <w:tblCellMar>
          <w:top w:w="0" w:type="dxa"/>
          <w:left w:w="0" w:type="dxa"/>
          <w:bottom w:w="0" w:type="dxa"/>
          <w:right w:w="0" w:type="dxa"/>
        </w:tblCellMar>
      </w:tblPr>
      <w:tblGrid>
        <w:gridCol w:w="59"/>
        <w:gridCol w:w="171"/>
        <w:gridCol w:w="9975"/>
      </w:tblGrid>
      <w:tr>
        <w:trPr/>
        <w:tc>
          <w:tcPr>
            <w:tcW w:w="5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risk that we are unable to secure or protect our intellectual property;</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risk that our customers or third-party suppliers are unable to meet their obligations fully or in a timely manner;</w:t>
            </w:r>
          </w:p>
        </w:tc>
      </w:tr>
    </w:tbl>
    <w:p>
      <w:pPr>
        <w:pStyle w:val="TextBody"/>
        <w:bidi w:val="0"/>
        <w:spacing w:before="0" w:after="283"/>
        <w:jc w:val="left"/>
        <w:rPr/>
      </w:pPr>
      <w:r>
        <w:rPr/>
        <w:t> </w:t>
      </w:r>
    </w:p>
    <w:tbl>
      <w:tblPr>
        <w:tblW w:w="9970" w:type="dxa"/>
        <w:jc w:val="left"/>
        <w:tblInd w:w="0" w:type="dxa"/>
        <w:tblLayout w:type="fixed"/>
        <w:tblCellMar>
          <w:top w:w="0" w:type="dxa"/>
          <w:left w:w="0" w:type="dxa"/>
          <w:bottom w:w="0" w:type="dxa"/>
          <w:right w:w="0" w:type="dxa"/>
        </w:tblCellMar>
      </w:tblPr>
      <w:tblGrid>
        <w:gridCol w:w="75"/>
        <w:gridCol w:w="170"/>
        <w:gridCol w:w="97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288" w:before="0" w:after="283"/>
              <w:jc w:val="left"/>
              <w:rPr>
                <w:caps w:val="false"/>
                <w:smallCaps w:val="false"/>
              </w:rPr>
            </w:pPr>
            <w:r>
              <w:rPr>
                <w:caps w:val="false"/>
                <w:smallCaps w:val="false"/>
              </w:rPr>
              <w:t xml:space="preserve">• </w:t>
            </w:r>
          </w:p>
        </w:tc>
        <w:tc>
          <w:tcPr>
            <w:tcW w:w="9725" w:type="dxa"/>
            <w:tcBorders/>
            <w:vAlign w:val="center"/>
          </w:tcPr>
          <w:p>
            <w:pPr>
              <w:pStyle w:val="TableContents"/>
              <w:bidi w:val="0"/>
              <w:spacing w:lineRule="auto" w:line="288"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related to possible future reductions in pricing or order volume or loss of one or more of our significant customers;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5"/>
        <w:gridCol w:w="9965"/>
      </w:tblGrid>
      <w:tr>
        <w:trPr/>
        <w:tc>
          <w:tcPr>
            <w:tcW w:w="7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lineRule="auto" w:line="288" w:before="0" w:after="283"/>
              <w:jc w:val="left"/>
              <w:rPr>
                <w:caps w:val="false"/>
                <w:smallCaps w:val="false"/>
              </w:rPr>
            </w:pPr>
            <w:r>
              <w:rPr>
                <w:caps w:val="false"/>
                <w:smallCaps w:val="false"/>
              </w:rPr>
              <w:t xml:space="preserve">• </w:t>
            </w:r>
          </w:p>
        </w:tc>
        <w:tc>
          <w:tcPr>
            <w:tcW w:w="9965" w:type="dxa"/>
            <w:tcBorders/>
            <w:vAlign w:val="center"/>
          </w:tcPr>
          <w:p>
            <w:pPr>
              <w:pStyle w:val="TableContents"/>
              <w:bidi w:val="0"/>
              <w:spacing w:lineRule="auto" w:line="288"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relating to our status as a relatively low-volume purchaser as well as from supplier concentration and limited supplier capacity; </w:t>
            </w:r>
          </w:p>
        </w:tc>
      </w:tr>
    </w:tbl>
    <w:p>
      <w:pPr>
        <w:pStyle w:val="TextBody"/>
        <w:bidi w:val="0"/>
        <w:jc w:val="left"/>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75"/>
        <w:gridCol w:w="110"/>
        <w:gridCol w:w="66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288" w:before="0" w:after="283"/>
              <w:jc w:val="left"/>
              <w:rPr>
                <w:caps w:val="false"/>
                <w:smallCaps w:val="false"/>
              </w:rPr>
            </w:pPr>
            <w:r>
              <w:rPr>
                <w:caps w:val="false"/>
                <w:smallCaps w:val="false"/>
              </w:rPr>
              <w:t>•</w:t>
            </w:r>
          </w:p>
        </w:tc>
        <w:tc>
          <w:tcPr>
            <w:tcW w:w="6650" w:type="dxa"/>
            <w:tcBorders/>
            <w:vAlign w:val="center"/>
          </w:tcPr>
          <w:p>
            <w:pPr>
              <w:pStyle w:val="TableContents"/>
              <w:bidi w:val="0"/>
              <w:spacing w:lineRule="auto" w:line="288"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that our customers will adjust, cancel or suspend their orders for our products;</w:t>
            </w:r>
          </w:p>
        </w:tc>
      </w:tr>
    </w:tbl>
    <w:p>
      <w:pPr>
        <w:pStyle w:val="TextBody"/>
        <w:bidi w:val="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75"/>
        <w:gridCol w:w="170"/>
        <w:gridCol w:w="67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288" w:before="0" w:after="283"/>
              <w:jc w:val="left"/>
              <w:rPr>
                <w:caps w:val="false"/>
                <w:smallCaps w:val="false"/>
              </w:rPr>
            </w:pPr>
            <w:r>
              <w:rPr>
                <w:caps w:val="false"/>
                <w:smallCaps w:val="false"/>
              </w:rPr>
              <w:t xml:space="preserve">• </w:t>
            </w:r>
          </w:p>
        </w:tc>
        <w:tc>
          <w:tcPr>
            <w:tcW w:w="6710" w:type="dxa"/>
            <w:tcBorders/>
            <w:vAlign w:val="center"/>
          </w:tcPr>
          <w:p>
            <w:pPr>
              <w:pStyle w:val="TableContents"/>
              <w:bidi w:val="0"/>
              <w:spacing w:lineRule="auto" w:line="288"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relating to our ability to attract new customers and retain existing customers; </w:t>
            </w:r>
          </w:p>
        </w:tc>
      </w:tr>
    </w:tbl>
    <w:p>
      <w:pPr>
        <w:pStyle w:val="TextBody"/>
        <w:bidi w:val="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75"/>
        <w:gridCol w:w="170"/>
        <w:gridCol w:w="4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288" w:before="0" w:after="283"/>
              <w:jc w:val="left"/>
              <w:rPr>
                <w:caps w:val="false"/>
                <w:smallCaps w:val="false"/>
              </w:rPr>
            </w:pPr>
            <w:r>
              <w:rPr>
                <w:caps w:val="false"/>
                <w:smallCaps w:val="false"/>
              </w:rPr>
              <w:t xml:space="preserve">• </w:t>
            </w:r>
          </w:p>
        </w:tc>
        <w:tc>
          <w:tcPr>
            <w:tcW w:w="4565" w:type="dxa"/>
            <w:tcBorders/>
            <w:vAlign w:val="center"/>
          </w:tcPr>
          <w:p>
            <w:pPr>
              <w:pStyle w:val="TableContents"/>
              <w:bidi w:val="0"/>
              <w:spacing w:lineRule="auto" w:line="288"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related to our lengthy sales cycle for our products; </w:t>
            </w:r>
          </w:p>
        </w:tc>
      </w:tr>
    </w:tbl>
    <w:p>
      <w:pPr>
        <w:pStyle w:val="TextBody"/>
        <w:bidi w:val="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75"/>
        <w:gridCol w:w="110"/>
        <w:gridCol w:w="7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288" w:before="0" w:after="283"/>
              <w:jc w:val="left"/>
              <w:rPr>
                <w:caps w:val="false"/>
                <w:smallCaps w:val="false"/>
              </w:rPr>
            </w:pPr>
            <w:r>
              <w:rPr>
                <w:caps w:val="false"/>
                <w:smallCaps w:val="false"/>
              </w:rPr>
              <w:t>•</w:t>
            </w:r>
          </w:p>
        </w:tc>
        <w:tc>
          <w:tcPr>
            <w:tcW w:w="7880" w:type="dxa"/>
            <w:tcBorders/>
            <w:vAlign w:val="center"/>
          </w:tcPr>
          <w:p>
            <w:pPr>
              <w:pStyle w:val="TableContents"/>
              <w:bidi w:val="0"/>
              <w:spacing w:lineRule="auto" w:line="288"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of product liability or regulatory lawsuits or proceedings relating to our products or services;</w:t>
            </w:r>
          </w:p>
        </w:tc>
      </w:tr>
    </w:tbl>
    <w:p>
      <w:pPr>
        <w:pStyle w:val="TextBody"/>
        <w:bidi w:val="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288" w:before="0" w:after="283"/>
              <w:jc w:val="left"/>
              <w:rPr>
                <w:caps w:val="false"/>
                <w:smallCaps w:val="false"/>
              </w:rPr>
            </w:pPr>
            <w:r>
              <w:rPr>
                <w:caps w:val="false"/>
                <w:smallCaps w:val="false"/>
              </w:rPr>
              <w:t xml:space="preserve">• </w:t>
            </w:r>
          </w:p>
        </w:tc>
        <w:tc>
          <w:tcPr>
            <w:tcW w:w="6080" w:type="dxa"/>
            <w:tcBorders/>
            <w:vAlign w:val="center"/>
          </w:tcPr>
          <w:p>
            <w:pPr>
              <w:pStyle w:val="TableContents"/>
              <w:bidi w:val="0"/>
              <w:spacing w:lineRule="auto" w:line="288"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maintain and enhance our reputation and brand recognition;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288" w:before="0" w:after="283"/>
              <w:jc w:val="left"/>
              <w:rPr>
                <w:caps w:val="false"/>
                <w:smallCaps w:val="false"/>
              </w:rPr>
            </w:pPr>
            <w:r>
              <w:rPr>
                <w:caps w:val="false"/>
                <w:smallCaps w:val="false"/>
              </w:rPr>
              <w:t>•</w:t>
            </w:r>
          </w:p>
        </w:tc>
        <w:tc>
          <w:tcPr>
            <w:tcW w:w="10020" w:type="dxa"/>
            <w:tcBorders/>
            <w:vAlign w:val="center"/>
          </w:tcPr>
          <w:p>
            <w:pPr>
              <w:pStyle w:val="TableContents"/>
              <w:bidi w:val="0"/>
              <w:spacing w:lineRule="auto" w:line="288"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our information technology and operational technology systems and practices to detect and defend against evolving cyberattacks;</w:t>
            </w:r>
          </w:p>
        </w:tc>
      </w:tr>
    </w:tbl>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23"/>
        <w:gridCol w:w="10040"/>
      </w:tblGrid>
      <w:tr>
        <w:trPr/>
        <w:tc>
          <w:tcPr>
            <w:tcW w:w="4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pPr>
            <w:r>
              <w:rPr/>
              <w:t>•</w:t>
            </w:r>
          </w:p>
        </w:tc>
        <w:tc>
          <w:tcPr>
            <w:tcW w:w="10040" w:type="dxa"/>
            <w:tcBorders/>
            <w:vAlign w:val="center"/>
          </w:tcPr>
          <w:p>
            <w:pPr>
              <w:pStyle w:val="TableContents"/>
              <w:bidi w:val="0"/>
              <w:spacing w:before="0" w:after="283"/>
              <w:jc w:val="left"/>
              <w:rPr/>
            </w:pPr>
            <w:r>
              <w:rPr/>
              <w:t>changing laws regarding cybersecurity and data privacy, and any cybersecurity threat or event;</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effects and associated cost of compliance with existing and future laws and governmental regulations, such as the IRA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5"/>
        <w:gridCol w:w="9985"/>
      </w:tblGrid>
      <w:tr>
        <w:trPr/>
        <w:tc>
          <w:tcPr>
            <w:tcW w:w="7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lineRule="auto" w:line="288" w:before="0" w:after="283"/>
              <w:jc w:val="left"/>
              <w:rPr>
                <w:caps w:val="false"/>
                <w:smallCaps w:val="false"/>
              </w:rPr>
            </w:pPr>
            <w:r>
              <w:rPr>
                <w:caps w:val="false"/>
                <w:smallCaps w:val="false"/>
              </w:rPr>
              <w:t xml:space="preserve">• </w:t>
            </w:r>
          </w:p>
        </w:tc>
        <w:tc>
          <w:tcPr>
            <w:tcW w:w="9985" w:type="dxa"/>
            <w:tcBorders/>
            <w:vAlign w:val="center"/>
          </w:tcPr>
          <w:p>
            <w:pPr>
              <w:pStyle w:val="TableContents"/>
              <w:bidi w:val="0"/>
              <w:spacing w:lineRule="auto" w:line="288"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relating to whether renewable energy technologies are suitable for widespread adoption or if sufficient demand for our offerings does not develop or takes longer to develop than we anticipate; </w:t>
            </w:r>
          </w:p>
        </w:tc>
      </w:tr>
    </w:tbl>
    <w:tbl>
      <w:tblPr>
        <w:tblW w:w="5000" w:type="pct"/>
        <w:jc w:val="left"/>
        <w:tblInd w:w="0" w:type="dxa"/>
        <w:tblLayout w:type="fixed"/>
        <w:tblCellMar>
          <w:top w:w="0" w:type="dxa"/>
          <w:left w:w="0" w:type="dxa"/>
          <w:bottom w:w="0" w:type="dxa"/>
          <w:right w:w="0" w:type="dxa"/>
        </w:tblCellMar>
      </w:tblPr>
      <w:tblGrid>
        <w:gridCol w:w="38"/>
        <w:gridCol w:w="111"/>
        <w:gridCol w:w="10056"/>
      </w:tblGrid>
      <w:tr>
        <w:trPr/>
        <w:tc>
          <w:tcPr>
            <w:tcW w:w="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pPr>
            <w:r>
              <w:rPr/>
              <w:t>•</w:t>
            </w:r>
          </w:p>
        </w:tc>
        <w:tc>
          <w:tcPr>
            <w:tcW w:w="10056" w:type="dxa"/>
            <w:tcBorders/>
            <w:vAlign w:val="center"/>
          </w:tcPr>
          <w:p>
            <w:pPr>
              <w:pStyle w:val="TableContents"/>
              <w:bidi w:val="0"/>
              <w:spacing w:before="0" w:after="283"/>
              <w:jc w:val="left"/>
              <w:rPr/>
            </w:pPr>
            <w:r>
              <w:rPr/>
              <w:t>economic, financial and other impacts such as a pandemic, including global supply chain disruptions; and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the impacts of geopolitical events, including the ongoing conflicts between Russia and Ukraine and the Middle East.</w:t>
            </w:r>
          </w:p>
        </w:tc>
      </w:tr>
    </w:tbl>
    <w:p>
      <w:pPr>
        <w:pStyle w:val="TextBody"/>
        <w:bidi w:val="0"/>
        <w:spacing w:before="120" w:after="120"/>
        <w:ind w:left="120" w:right="12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Additionally, new risk factors and uncertainties may emerge from time to time, and it is not possible for management to predict all risk factors and uncertainties. As a result of these factors, the forward-looking statements in this prospectus, any accompanying prospectus supplement and the documents incorporated by reference herein may not prove to be accurate.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any accompanying prospectus supplement and the documents incorporated by reference herein completely and with the understanding that our actual future results may be materially different from what we expect. We qualify all of our forward-looking statements by these cautionary statements.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THE COMPANY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Microvast Holdings, Inc. is an advanced battery technology company, headquartered in Stafford, Texas. We specialize in the design, development, and manufacturing of battery components and systems primarily for electric commercial vehicles and utility-scale energy storage systems (“ESS”)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mission is to accelerate the global transition to electrification by delivering innovative battery solutions that support the adoption of electric vehicles and renewable energy. A key strategic focus is to be in a position to lead U.S. domestic battery production, reducing reliance on overseas suppliers, and strengthening national energy independence. We believe continuous investment in our technology and operations will deliver long-term targeted revenue and income growth. </w:t>
      </w:r>
    </w:p>
    <w:p>
      <w:pPr>
        <w:pStyle w:val="TextBody"/>
        <w:bidi w:val="0"/>
        <w:ind w:left="0" w:right="0" w:firstLine="720"/>
        <w:jc w:val="left"/>
        <w:rPr>
          <w:caps w:val="false"/>
          <w:smallCaps w:val="false"/>
        </w:rPr>
      </w:pPr>
      <w:r>
        <w:rPr>
          <w:caps w:val="false"/>
          <w:smallCaps w:val="false"/>
        </w:rPr>
        <w:t xml:space="preserve">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 a vertically integrated approach, we have developed proprietary technologies spanning the entire battery system—from the core cell materials - including cathodes, anodes, electrolytes, and separators - to cells, modules, packs, energy storage containers, thermal management systems, battery management systems, high voltage control boxes, and more. Our advanced battery technologies and systems provide what we believe to be numerous advantages, ensuring high performance, safety and cost efficiency of our batteries across a wide range of applications.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Microvast, Inc. was initially incorporated in Texas in 2006, then re-incorporated as a Delaware corporation in December 2015. On July 23, 2021, Tuscan Holdings Corp. (“Tuscan”) a Delaware corporation established in November 2018 for the purpose of effecting a merger, capital stock exchange, asset acquisition, stock purchase, reorganization, or similar business combination with one or more businesses , consummated the acquisition of Microvast, Inc. pursuant to an Agreement and Plan of Merger dated February 1, 2021, between Tuscan, Microvast, Inc. and TSCN Merger Sub Inc. (the “Business Combination”). Following the Business Combination, we changed our name from Tuscan to “Microvast Holdings, Inc.”</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12603 Southwest Freeway, Suite 300, Stafford, Texas 77477, and our telephone number is (281) 491-9505. Our website is https://microvast.com. The information posted on our website is not incorporated by reference into this prospectus or any applicable prospectus supplement.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RISK FACTORS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Investing in any of our securities involves significant risks. </w:t>
      </w:r>
      <w:r>
        <w:rPr>
          <w:rFonts w:ascii="Times New Roman;Times;Serif" w:hAnsi="Times New Roman;Times;Serif"/>
          <w:b w:val="false"/>
          <w:i w:val="false"/>
          <w:caps w:val="false"/>
          <w:smallCaps w:val="false"/>
          <w:sz w:val="20"/>
        </w:rPr>
        <w:t xml:space="preserve">Before you make a decision to buy our securities, in addition to the risks and uncertainties discussed above under “Forward-Looking Statements,” </w:t>
      </w:r>
      <w:r>
        <w:rPr>
          <w:rFonts w:ascii="Times New Roman;Times;Serif" w:hAnsi="Times New Roman;Times;Serif"/>
          <w:b w:val="false"/>
          <w:i w:val="false"/>
          <w:caps w:val="false"/>
          <w:smallCaps w:val="false"/>
          <w:sz w:val="20"/>
          <w:shd w:fill="FFFFFF" w:val="clear"/>
        </w:rPr>
        <w:t>you should carefully consider the specific risks set forth under the heading “Risk Factors” under Item 1A of Part I of our Annual Report on Form 10-K filed with the SEC, any subsequent Quarterly Reports on Form 10-Q or Current Reports on Form 8-K, and all other information contained or incorporated by reference to this prospectus, as updated by our subsequent filings under the Exchange Act, and the risk factors and other information contained in any applicable prospectus supplement and any applicable free writing prospectus before acquiring any of such securities.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any prospectus supplement or any documents incorporated by reference herein are not the only risks and uncertainties that we face. Additional risks and uncertainties not presently known to us or that we currently believe to be immaterial may become material and adversely affect our business. For more information, see “Where You Can Find More Information” and “Information Incorporated by Reference.”</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USE OF PROCEEDS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indicated in the applicable prospectus supplement, information incorporated by reference or related free writing prospectus, we intend to use the net proceeds from the sale of securities for general corporate purposes, </w:t>
      </w:r>
      <w:r>
        <w:rPr>
          <w:rFonts w:ascii="Times New Roman;Times;Serif" w:hAnsi="Times New Roman;Times;Serif"/>
          <w:b w:val="false"/>
          <w:i w:val="false"/>
          <w:caps w:val="false"/>
          <w:smallCaps w:val="false"/>
          <w:sz w:val="20"/>
          <w:shd w:fill="FFFFFF" w:val="clear"/>
        </w:rPr>
        <w:t>which may include the repayment or refinancing of all or a portion of any indebtedness outstanding at a particular time, increasing our working capital, acquisitions and capital expenditures.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the common stock offered by the selling stockholder.</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0" w:right="0" w:firstLine="360"/>
        <w:jc w:val="left"/>
        <w:rPr>
          <w:caps w:val="false"/>
          <w:smallCaps w:val="false"/>
        </w:rPr>
      </w:pPr>
      <w:r>
        <w:rPr>
          <w:caps w:val="false"/>
          <w:smallCaps w:val="false"/>
        </w:rPr>
        <w:t> </w:t>
      </w:r>
    </w:p>
    <w:p>
      <w:pPr>
        <w:pStyle w:val="TextBody"/>
        <w:bidi w:val="0"/>
        <w:spacing w:before="0" w:after="20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DESCRIPTION OF CAPITAL STOCK</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capital stock is a summary and does not purport to be complete. It is subject to and qualified in its entirety by reference to our Second Amended and Restated Certificate of Incorporation (our “Charter”), our Amended and Restated Bylaws (our “Bylaws”), the Stockholders’ Agreement entered on July 26, 2021, the Registration Rights and Lockup Agreement entered into on July 26, 2021, and the applicable provisions of the General Corporation Law of the State of Delaware (the “DGCL”), as applicable.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authorized the issuance of 800,000,000 shares of capital stock, consisting of 750,000,000 shares of common stock, par value $0.0001 per share, and 50,000,000 shares of preferred stock, par value $0.0001 per share.</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The Nasdaq Stock Market LLC (“Nasdaq”) under the symbol “MVST.” On April 22 , 2025, there were 325,588,726 outstanding shares of common stock held by 93 stockholders of record.</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Each holder of common stock is entitled to one vote for each share of common stock held of record by such holder on all matters on which stockholders generally are entitled to vote. The holders of shares of common stock will vote together as a single class (or, if the holders of one or more outstanding series of preferred stock are entitled to vote together with the holders of common stock as a single class, together with the holders of such other series of preferred stock) on all matters submitted to a vote of our stockholders generally. Generally, all matters to be voted on by stockholders must be approved by a majority (or, (1) in the case of election of directors, by a plurality and (2), in the case of amendment of the Charter, so long as Mr. Yang Wu (“Mr. Wu”) maintains beneficial ownership of at least 10% of the total voting power of all the outstanding shares of the Company entitled to vote generally in the election of directors, by a vote of at least 75%) of the votes entitled to be cast by all stockholders present in person or represented by proxy, voting together as a single class. Notwithstanding the foregoing, to the fullest extent permitted by law, holders of common stock, as such, will have no voting power with respect to, and will not be entitled to vote on, any amendment to the Charter (including any certificate of designations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the Charter (including any certificate of designations relating to any series of preferred stock) or pursuant to the DGCL.</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 Rights</w:t>
      </w:r>
      <w:r>
        <w:rPr>
          <w:rFonts w:ascii="Times New Roman;Times;Serif" w:hAnsi="Times New Roman;Times;Serif"/>
          <w:b w:val="false"/>
          <w:i w:val="false"/>
          <w:caps w:val="false"/>
          <w:smallCaps w:val="false"/>
          <w:sz w:val="20"/>
        </w:rPr>
        <w:t>. Subject to preferences that may be applicable to any outstanding series of preferred stock or any other outstanding class or series of stock, the holders of shares of common stock are entitled to receive such dividends or distributions, if any, as may be declared from time-to-time by the Board of Directors (the “Board”) out of funds or assets legally available therefor.</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upon Liquidation</w:t>
      </w:r>
      <w:r>
        <w:rPr>
          <w:rFonts w:ascii="Times New Roman;Times;Serif" w:hAnsi="Times New Roman;Times;Serif"/>
          <w:b w:val="false"/>
          <w:i w:val="false"/>
          <w:caps w:val="false"/>
          <w:smallCaps w:val="false"/>
          <w:sz w:val="20"/>
        </w:rPr>
        <w:t>. In the event of any voluntary or involuntary liquidation, dissolution or winding up of the Company’s affairs, the holders of common stock are entitled to the assets remaining after payment of the Company’s debts and other liabilities, subject to prior distribution rights of preferred stock or any class or series of stock having a preference over the common stock, then outstanding, if any.</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Rights</w:t>
      </w:r>
      <w:r>
        <w:rPr>
          <w:rFonts w:ascii="Times New Roman;Times;Serif" w:hAnsi="Times New Roman;Times;Serif"/>
          <w:b w:val="false"/>
          <w:i w:val="false"/>
          <w:caps w:val="false"/>
          <w:smallCaps w:val="false"/>
          <w:sz w:val="20"/>
        </w:rPr>
        <w:t>. The holders of common stock have no preemptive, preferential, or similar rights with respect to issuances of shares of stock of the Company. There are no redemption provisions or sinking fund provisions applicable to the common stock. The rights, preferences and privileges of holders of common stock will be subject to those of the holders of any shares of preferred stock the Company may issue in the future.</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shares of preferred stock have been issued. The Charter authorizes the Board to establish one or more series of preferred stock. Unless required by law or any stock exchange, the authorized shares of preferred stock will be available for issuance without further action by the holders of common stock. The Board has the discretion to determine the powers, preferences and relative, participating, optional and other special rights, including voting rights, dividend rights, conversion rights, redemption privileges and liquidation preferences, of each series of preferred stock.</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preferred stock may have the effect of delaying, deferring or preventing a change in control of the Company without further action by the stockholders. Additionally, the issuance of preferred stock may adversely affect the holders of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the common stock.</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Business Combination, on July 23, 2021, the Company, Mr. Yang Wu and Tuscan Holdings Acquisition LLC entered into an agreement (the “Stockholders Agreement”) which provides that Mr. Wu will have the right, but not the obligation, to nominate for election to the Board at every meeting of the stockholders of the Company at which directors are elected a number of individuals (rounded up to the nearest whole number) equal to (a) the total number of directors, multiplied by (b) the quotient obtained by dividing the shares of common stock beneficially owned by Mr. Wu by the total number of outstanding shares of common stock (each, a “Wu Director”) less the number of Wu Directors then serving on the Board and whose terms in office are not expiring at such meeting. The Stockholders Agreement provides that any increase or decrease in the number of directors will require the affirmative vote of the Wu Directors. Under the terms of the Stockholders Agreement, there are currently two Wu Directors. </w:t>
      </w:r>
    </w:p>
    <w:p>
      <w:pPr>
        <w:pStyle w:val="TextBody"/>
        <w:bidi w:val="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the Charter and the Bylaws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the Charter and the Bylaws, which are summarized in the following paragraphs, are intended to enhance the likelihood of continuity and stability in the composition of the Board and to discourage certain types of transactions that may involve an actual or threatened acquisition of the Company. However, these provisions may have the effect of rendering more difficult, discouraging, delaying, or preventing an acquisition deemed undesirable by Mr. Wu or the Board and therefore depress the trading price of the common stock.</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Authorized but Unissued Capital Stock. </w:t>
      </w:r>
      <w:r>
        <w:rPr>
          <w:rFonts w:ascii="Times New Roman;Times;Serif" w:hAnsi="Times New Roman;Times;Serif"/>
          <w:b w:val="false"/>
          <w:i w:val="false"/>
          <w:caps w:val="false"/>
          <w:smallCaps w:val="false"/>
          <w:sz w:val="20"/>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Classified Board</w:t>
      </w:r>
      <w:r>
        <w:rPr>
          <w:rFonts w:ascii="Times New Roman;Times;Serif" w:hAnsi="Times New Roman;Times;Serif"/>
          <w:b w:val="false"/>
          <w:i w:val="false"/>
          <w:caps w:val="false"/>
          <w:smallCaps w:val="false"/>
          <w:sz w:val="20"/>
        </w:rPr>
        <w:t>. The Charter provides that the Board (other than those directors, if any, elected by the holders of any outstanding series of preferred stock) is divided into three classes of directors. The existence of a classified board of directors could discourage a third-party from making a tender offer or otherwise attempting to obtain control of the Company, as the classification of the Board makes it more time consuming for stockholders to replace a majority of the directors.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Number of Directors. </w:t>
      </w:r>
      <w:r>
        <w:rPr>
          <w:rFonts w:ascii="Times New Roman;Times;Serif" w:hAnsi="Times New Roman;Times;Serif"/>
          <w:b w:val="false"/>
          <w:i w:val="false"/>
          <w:caps w:val="false"/>
          <w:smallCaps w:val="false"/>
          <w:sz w:val="20"/>
        </w:rPr>
        <w:t>The Charter provides that the number of directors on the Board will be fixed in the manner set forth in the Bylaws, except that any increase or decrease in the number of directors will require the affirmative vote of the directors appointed by Mr. Wu then in office.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Board of Director Vacancies. </w:t>
      </w:r>
      <w:r>
        <w:rPr>
          <w:rFonts w:ascii="Times New Roman;Times;Serif" w:hAnsi="Times New Roman;Times;Serif"/>
          <w:b w:val="false"/>
          <w:i w:val="false"/>
          <w:caps w:val="false"/>
          <w:smallCaps w:val="false"/>
          <w:sz w:val="20"/>
        </w:rPr>
        <w:t>The Charter provides that, with respect to directors elected by the stockholders generally entitled to vote, (i) newly created directorships resulting from an increase in the authorized number of directors or any vacancies on the Board resulting from death, resignation, disqualification, removal or other cause will be filled solely and exclusively by a majority of the directors then in office, although less than a quorum, or by the sole remaining director, and (ii) that any director so elected will hold office until the expiration of the term of office of the director whom he or she has replaced and until his or her successor is elected and qualified, subject to such director’s earlier death, resignation, disqualification or removal, which prevents stockholders from being able to fill vacancies on the Board.</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Directors Removed Only for Cause. </w:t>
      </w:r>
      <w:r>
        <w:rPr>
          <w:rFonts w:ascii="Times New Roman;Times;Serif" w:hAnsi="Times New Roman;Times;Serif"/>
          <w:b w:val="false"/>
          <w:i w:val="false"/>
          <w:caps w:val="false"/>
          <w:smallCaps w:val="false"/>
          <w:sz w:val="20"/>
        </w:rPr>
        <w:t>The Charter provides that any director elected by the stockholders generally entitled to vote may only be removed for cause.</w:t>
      </w:r>
    </w:p>
    <w:p>
      <w:pPr>
        <w:pStyle w:val="TextBody"/>
        <w:bidi w:val="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Special Meeting of Stockholders. </w:t>
      </w:r>
      <w:r>
        <w:rPr>
          <w:rFonts w:ascii="Times New Roman;Times;Serif" w:hAnsi="Times New Roman;Times;Serif"/>
          <w:b w:val="false"/>
          <w:i w:val="false"/>
          <w:caps w:val="false"/>
          <w:smallCaps w:val="false"/>
          <w:sz w:val="20"/>
        </w:rPr>
        <w:t>The Charter provides that special meetings of stockholders may only be called by: (1) the Board, (2) the chairman of the Board or (3) Mr. Wu, so long as Mr. Wu beneficially owns at least 10% of the total voting power of the outstanding capital stock of the Company, which may delay the ability of our stockholders to force consideration of a proposal or to take action, including the removal of directors.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Action by Written Consent. </w:t>
      </w:r>
      <w:r>
        <w:rPr>
          <w:rFonts w:ascii="Times New Roman;Times;Serif" w:hAnsi="Times New Roman;Times;Serif"/>
          <w:b w:val="false"/>
          <w:i w:val="false"/>
          <w:caps w:val="false"/>
          <w:smallCaps w:val="false"/>
          <w:sz w:val="20"/>
        </w:rPr>
        <w:t>The Charter provides that stockholder action can be taken only at an annual or special meeting of stockholders and cannot be taken by consent in lieu of a meeting.</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Supermajority Requirement for Amendments of the Charter. </w:t>
      </w:r>
      <w:r>
        <w:rPr>
          <w:rFonts w:ascii="Times New Roman;Times;Serif" w:hAnsi="Times New Roman;Times;Serif"/>
          <w:b w:val="false"/>
          <w:i w:val="false"/>
          <w:caps w:val="false"/>
          <w:smallCaps w:val="false"/>
          <w:sz w:val="20"/>
        </w:rPr>
        <w:t>The DGCL generally provides that the affirmative vote of the holders of a majority of the total voting power of the shares entitled to vote is required to amend a corporation’s certificate of incorporation, unless the corporation’s certificate of incorporation requires a greater percentage. The Charter provides that, so long as Mr. Wu owns at least 10% of the total voting power of the outstanding capital stock of the Company, the Charter may only be amended by the affirmative vote of at least 75% of the total voting power of the outstanding capital stock of the Company. If Mr. Wu ceases to own at least 10% of the total voting power of the outstanding capital stock of the Company, the Charter may be amended by the affirmative vote of a majority of the total voting power of the outstanding capital stock of the Company. Such requirement for a supermajority to approve amendments to the Charter could enable a minority of the stockholders of the Company to exercise veto power over such amendments.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Notice Requirements for Stockholder Proposals and Director Nominations. </w:t>
      </w:r>
      <w:r>
        <w:rPr>
          <w:rFonts w:ascii="Times New Roman;Times;Serif" w:hAnsi="Times New Roman;Times;Serif"/>
          <w:b w:val="false"/>
          <w:i w:val="false"/>
          <w:caps w:val="false"/>
          <w:smallCaps w:val="false"/>
          <w:sz w:val="20"/>
        </w:rPr>
        <w:t>The Charter and Bylaws provide advance notice procedures for stockholders seeking to bring business before the special meeting of stockholders or to nominate candidates for election as directors at the special meeting of stockholders. The Bylaws will also specify certain requirements regarding the form and content of a stockholder’s notice. These provisions might make it more difficult to bring matters before the special meeting.</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Exclusive Forum Selection. </w:t>
      </w:r>
      <w:r>
        <w:rPr>
          <w:rFonts w:ascii="Times New Roman;Times;Serif" w:hAnsi="Times New Roman;Times;Serif"/>
          <w:b w:val="false"/>
          <w:i w:val="false"/>
          <w:caps w:val="false"/>
          <w:smallCaps w:val="false"/>
          <w:sz w:val="20"/>
        </w:rPr>
        <w:t>The Charter provides that, unless we consent to the selection of an alternative forum, any (1) derivative action or proceeding brought on behalf of the Company, (2) action asserting a claim of breach of a fiduciary duty owed by any current or former director, officer, other employee or stockholder of the Company to the Company or the Company’s stockholders, (3) action asserting a claim against the Company or any director or officer of the Company (a) action arising pursuant to any provision of the DGCL or the Charter or the Bylaws or (b) as to which the DGCL confers jurisdiction on the Court of Chancery of the State of Delaware or (iv) action asserting a claim against the Company or any director or officer of the Company governed by the internal affairs doctrine of the law of the State of Delaware will, to the fullest extent permitted by law, be solely and exclusively brought in the Court of Chancery of the State of Delaware or, if such court does not have subject matter jurisdiction thereof, any other court located in the State of Delaware with subject matter jurisdiction. This forum selection provision does not apply to any action asserting claims arising under the Exchange Act or the Securities Act. The forum provision further provides that the federal district courts of the United States of America will, to the fullest extent permitted by applicable law, be the sole and exclusive forum for the resolution of any action asserting claims arising under the Securities Act. To the fullest extent permitted by law, any person or entity purchasing or otherwise acquiring or holding any interest in shares of capital stock of the Company will be deemed to have notice of and consented to the forum provisions in the Charter. Although the Company believes this provision benefits it by providing increased consistency in the application of Delaware law in the types of lawsuits to which it applies, the provision may have the effect of discouraging lawsuits against Company’s directors and officers.</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Liability and Indemnification of Officers and Directors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authorizes corporations to limit or eliminate the personal liability of the directors of corporations and their stockholders for monetary damages for breaches of directors’ fiduciary duties, subject to certain exceptions. The Charter includes a provision that eliminates the personal liability of directors for monetary damages for any breach of fiduciary duties as a director, except to the extent such exemption from liability or limitation thereof is not permitted under the DGCL. The effect of this provision is to eliminate the rights of the Company and its stockholders, through stockholders’ derivative suits on the Company’s behalf, to recover monetary damages from a director for a breach of fiduciary duties as a director, including breaches resulting from grossly negligent behavior. However, exculpation does not apply to any director if the director has acted in bad faith or knowingly or intentionally violated the law.</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and the Bylaws provide that the Company must indemnify and advance expenses to directors and officers to the fullest extent authorized by the DGCL. The Company is also expressly authorized to carry directors’ and officers’ liability insurance providing indemnification for directors, officers and certain employees for some liabilities. The Company believes that these indemnification and advancement provisions and insurance are useful to attract and retain qualified directors and executive officers.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indemnification and advancement provisions in the Charter and the Bylaws may discourage stockholders from bringing a lawsuit against directors for breach of their fiduciary duties. These provisions also may have the effect of reducing the likelihood of derivative litigation against directors and officers, even though such an action, if successful, might otherwise benefit the Company and its stockholders.</w:t>
      </w:r>
    </w:p>
    <w:p>
      <w:pPr>
        <w:pStyle w:val="TextBody"/>
        <w:bidi w:val="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your investment may be adversely affected to the extent the Company pays the costs of settlement and damage awards against directors and officers pursuant to these indemnification provisions. The Company believes that these provisions, liability insurance and the indemnity agreements are necessary to attract and retain talented and experienced directors and officers.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our securities is Continental Stock Transfer &amp; Trust Company, 1 State Street, New York, New York 10004.</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Nasdaq under the symbol “MVST”.</w:t>
      </w:r>
    </w:p>
    <w:p>
      <w:pPr>
        <w:pStyle w:val="TextBody"/>
        <w:bidi w:val="0"/>
        <w:ind w:left="0" w:right="0" w:firstLine="72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0" w:after="20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DESCRIPTION OF WARRANTS</w:t>
      </w:r>
    </w:p>
    <w:p>
      <w:pPr>
        <w:pStyle w:val="TextBody"/>
        <w:bidi w:val="0"/>
        <w:jc w:val="left"/>
        <w:rPr>
          <w:caps w:val="false"/>
          <w:smallCaps w:val="false"/>
        </w:rPr>
      </w:pPr>
      <w:r>
        <w:rPr>
          <w:caps w:val="false"/>
          <w:smallCaps w:val="false"/>
        </w:rPr>
        <w:t> </w:t>
      </w:r>
    </w:p>
    <w:p>
      <w:pPr>
        <w:pStyle w:val="TextBody"/>
        <w:bidi w:val="0"/>
        <w:spacing w:lineRule="atLeast" w:line="230"/>
        <w:ind w:left="0" w:right="0" w:firstLine="400"/>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The following is a general description of the terms of the warrants we may issue from time to time. This description is subject to the detailed provisions of a warrant agreement to be entered into between us and a warrant agent we select at the time of issue and the description in the prospectus supplement relating to the applicable series of warrants.</w:t>
      </w:r>
    </w:p>
    <w:p>
      <w:pPr>
        <w:pStyle w:val="TextBody"/>
        <w:bidi w:val="0"/>
        <w:spacing w:lineRule="atLeast" w:line="230"/>
        <w:ind w:left="0" w:right="0" w:firstLine="400"/>
        <w:jc w:val="left"/>
        <w:rPr>
          <w:caps w:val="false"/>
          <w:smallCaps w:val="false"/>
          <w:spacing w:val="4"/>
        </w:rPr>
      </w:pPr>
      <w:r>
        <w:rPr>
          <w:caps w:val="false"/>
          <w:smallCaps w:val="false"/>
          <w:spacing w:val="4"/>
        </w:rPr>
        <w:t> </w:t>
      </w:r>
    </w:p>
    <w:p>
      <w:pPr>
        <w:pStyle w:val="TextBody"/>
        <w:bidi w:val="0"/>
        <w:spacing w:lineRule="atLeast" w:line="230"/>
        <w:ind w:left="0" w:right="0" w:firstLine="400"/>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We may issue warrants to purchase common stock, preferred stock, units or any combination thereof. Such warrants may be issued independently or together with any such securities and may be attached or separate from such securities. We may issue each series of warrants under a separate warrant agreement to be entered into between a warrant agent and us. The warrant agent will act solely as our agent and will not assume any obligation or relationship of agency for or with holders or beneficial owners of warrants.</w:t>
      </w:r>
    </w:p>
    <w:p>
      <w:pPr>
        <w:pStyle w:val="TextBody"/>
        <w:bidi w:val="0"/>
        <w:spacing w:lineRule="atLeast" w:line="230"/>
        <w:ind w:left="0" w:right="0" w:firstLine="400"/>
        <w:jc w:val="left"/>
        <w:rPr>
          <w:caps w:val="false"/>
          <w:smallCaps w:val="false"/>
          <w:spacing w:val="4"/>
        </w:rPr>
      </w:pPr>
      <w:r>
        <w:rPr>
          <w:caps w:val="false"/>
          <w:smallCaps w:val="false"/>
          <w:spacing w:val="4"/>
        </w:rPr>
        <w:t> </w:t>
      </w:r>
    </w:p>
    <w:p>
      <w:pPr>
        <w:pStyle w:val="TextBody"/>
        <w:bidi w:val="0"/>
        <w:spacing w:lineRule="atLeast" w:line="230"/>
        <w:ind w:left="0" w:right="0" w:firstLine="400"/>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A prospectus supplement will describe the particular terms of any series of warrants we may issue, including the following:</w:t>
      </w:r>
    </w:p>
    <w:p>
      <w:pPr>
        <w:pStyle w:val="TextBody"/>
        <w:bidi w:val="0"/>
        <w:spacing w:lineRule="atLeast" w:line="230"/>
        <w:ind w:left="0" w:right="0" w:firstLine="40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7"/>
        <w:gridCol w:w="483"/>
        <w:gridCol w:w="9575"/>
      </w:tblGrid>
      <w:tr>
        <w:trPr/>
        <w:tc>
          <w:tcPr>
            <w:tcW w:w="14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rFonts w:ascii="Symbol" w:hAnsi="Symbol"/>
              </w:rPr>
            </w:pPr>
            <w:r>
              <w:rPr>
                <w:rFonts w:ascii="Symbol" w:hAnsi="Symbol"/>
              </w:rPr>
              <w:t>·</w:t>
            </w:r>
          </w:p>
        </w:tc>
        <w:tc>
          <w:tcPr>
            <w:tcW w:w="9575" w:type="dxa"/>
            <w:tcBorders/>
            <w:vAlign w:val="center"/>
          </w:tcPr>
          <w:p>
            <w:pPr>
              <w:pStyle w:val="TableContents"/>
              <w:bidi w:val="0"/>
              <w:spacing w:before="0" w:after="283"/>
              <w:jc w:val="left"/>
              <w:rPr>
                <w:spacing w:val="4"/>
              </w:rPr>
            </w:pPr>
            <w:r>
              <w:rPr>
                <w:spacing w:val="4"/>
              </w:rPr>
              <w:t>the title of such warrants;</w:t>
            </w:r>
          </w:p>
        </w:tc>
      </w:tr>
    </w:tbl>
    <w:tbl>
      <w:tblPr>
        <w:tblW w:w="5000" w:type="pct"/>
        <w:jc w:val="left"/>
        <w:tblInd w:w="0" w:type="dxa"/>
        <w:tblLayout w:type="fixed"/>
        <w:tblCellMar>
          <w:top w:w="0" w:type="dxa"/>
          <w:left w:w="0" w:type="dxa"/>
          <w:bottom w:w="0" w:type="dxa"/>
          <w:right w:w="0" w:type="dxa"/>
        </w:tblCellMar>
      </w:tblPr>
      <w:tblGrid>
        <w:gridCol w:w="96"/>
        <w:gridCol w:w="317"/>
        <w:gridCol w:w="9792"/>
      </w:tblGrid>
      <w:tr>
        <w:trPr/>
        <w:tc>
          <w:tcPr>
            <w:tcW w:w="9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rFonts w:ascii="Symbol" w:hAnsi="Symbol"/>
              </w:rPr>
            </w:pPr>
            <w:r>
              <w:rPr>
                <w:rFonts w:ascii="Symbol" w:hAnsi="Symbol"/>
              </w:rPr>
              <w:t>·</w:t>
            </w:r>
          </w:p>
        </w:tc>
        <w:tc>
          <w:tcPr>
            <w:tcW w:w="9792" w:type="dxa"/>
            <w:tcBorders/>
            <w:vAlign w:val="center"/>
          </w:tcPr>
          <w:p>
            <w:pPr>
              <w:pStyle w:val="TableContents"/>
              <w:bidi w:val="0"/>
              <w:spacing w:before="0" w:after="283"/>
              <w:jc w:val="left"/>
              <w:rPr/>
            </w:pPr>
            <w:r>
              <w:rPr/>
              <w:t>​</w:t>
            </w:r>
            <w:r>
              <w:rPr>
                <w:spacing w:val="4"/>
              </w:rPr>
              <w:t>the aggregate number of such warrants;</w:t>
            </w:r>
          </w:p>
        </w:tc>
      </w:tr>
    </w:tbl>
    <w:tbl>
      <w:tblPr>
        <w:tblW w:w="5000" w:type="pct"/>
        <w:jc w:val="left"/>
        <w:tblInd w:w="0" w:type="dxa"/>
        <w:tblLayout w:type="fixed"/>
        <w:tblCellMar>
          <w:top w:w="0" w:type="dxa"/>
          <w:left w:w="0" w:type="dxa"/>
          <w:bottom w:w="0" w:type="dxa"/>
          <w:right w:w="0" w:type="dxa"/>
        </w:tblCellMar>
      </w:tblPr>
      <w:tblGrid>
        <w:gridCol w:w="68"/>
        <w:gridCol w:w="225"/>
        <w:gridCol w:w="9912"/>
      </w:tblGrid>
      <w:tr>
        <w:trPr/>
        <w:tc>
          <w:tcPr>
            <w:tcW w:w="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Symbol" w:hAnsi="Symbol"/>
              </w:rPr>
            </w:pPr>
            <w:r>
              <w:rPr>
                <w:rFonts w:ascii="Symbol" w:hAnsi="Symbol"/>
              </w:rPr>
              <w:t>·</w:t>
            </w:r>
          </w:p>
        </w:tc>
        <w:tc>
          <w:tcPr>
            <w:tcW w:w="9912" w:type="dxa"/>
            <w:tcBorders/>
            <w:vAlign w:val="center"/>
          </w:tcPr>
          <w:p>
            <w:pPr>
              <w:pStyle w:val="TableContents"/>
              <w:bidi w:val="0"/>
              <w:spacing w:before="0" w:after="283"/>
              <w:jc w:val="left"/>
              <w:rPr/>
            </w:pPr>
            <w:r>
              <w:rPr/>
              <w:t>​</w:t>
            </w:r>
            <w:r>
              <w:rPr>
                <w:spacing w:val="4"/>
              </w:rPr>
              <w:t>the price or prices at which such warrants will be issued;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t>
            </w:r>
            <w:r>
              <w:rPr>
                <w:spacing w:val="4"/>
              </w:rPr>
              <w:t>the currency or currencies, including composite currencies, in which the price of such warrants may be payable;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t>
            </w:r>
            <w:r>
              <w:rPr>
                <w:spacing w:val="4"/>
              </w:rPr>
              <w:t>the designation and terms of the securities purchasable upon exercise of such warrants and the number of such securities issuable upon exercise of such warrants;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t>
            </w:r>
            <w:r>
              <w:rPr>
                <w:spacing w:val="4"/>
              </w:rPr>
              <w:t>the price at which and the currency or currencies, including composite currencies, in which the securities purchasable upon exercise of such warrants may be purchased;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spacing w:val="4"/>
              </w:rPr>
            </w:pPr>
            <w:r>
              <w:rPr>
                <w:spacing w:val="4"/>
              </w:rPr>
              <w:t>the date on which the right to exercise such warrants shall commence and the date on which such right will expire;</w:t>
            </w:r>
          </w:p>
        </w:tc>
      </w:tr>
    </w:tbl>
    <w:tbl>
      <w:tblPr>
        <w:tblW w:w="5000" w:type="pct"/>
        <w:jc w:val="left"/>
        <w:tblInd w:w="0" w:type="dxa"/>
        <w:tblLayout w:type="fixed"/>
        <w:tblCellMar>
          <w:top w:w="0" w:type="dxa"/>
          <w:left w:w="0" w:type="dxa"/>
          <w:bottom w:w="0" w:type="dxa"/>
          <w:right w:w="0" w:type="dxa"/>
        </w:tblCellMar>
      </w:tblPr>
      <w:tblGrid>
        <w:gridCol w:w="54"/>
        <w:gridCol w:w="181"/>
        <w:gridCol w:w="9970"/>
      </w:tblGrid>
      <w:tr>
        <w:trPr/>
        <w:tc>
          <w:tcPr>
            <w:tcW w:w="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Symbol" w:hAnsi="Symbol"/>
              </w:rPr>
            </w:pPr>
            <w:r>
              <w:rPr>
                <w:rFonts w:ascii="Symbol" w:hAnsi="Symbol"/>
              </w:rPr>
              <w:t>·</w:t>
            </w:r>
          </w:p>
        </w:tc>
        <w:tc>
          <w:tcPr>
            <w:tcW w:w="9970" w:type="dxa"/>
            <w:tcBorders/>
            <w:vAlign w:val="center"/>
          </w:tcPr>
          <w:p>
            <w:pPr>
              <w:pStyle w:val="TableContents"/>
              <w:bidi w:val="0"/>
              <w:spacing w:before="0" w:after="283"/>
              <w:jc w:val="left"/>
              <w:rPr/>
            </w:pPr>
            <w:r>
              <w:rPr/>
              <w:t>​</w:t>
            </w:r>
            <w:r>
              <w:rPr>
                <w:spacing w:val="4"/>
              </w:rPr>
              <w:t>whether such warrants will be issued in registered form or bearer form;</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spacing w:val="4"/>
              </w:rPr>
            </w:pPr>
            <w:r>
              <w:rPr>
                <w:spacing w:val="4"/>
              </w:rPr>
              <w:t>if applicable, the minimum or maximum amount of such warrants which may be exercised at any one time;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t>
            </w:r>
            <w:r>
              <w:rPr>
                <w:spacing w:val="4"/>
              </w:rPr>
              <w:t>if applicable, the designation and terms of the securities with which such warrants are issued and the number of such warrants issued with each such security;</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t>
            </w:r>
            <w:r>
              <w:rPr>
                <w:spacing w:val="4"/>
              </w:rPr>
              <w:t>if applicable, the date on and after which such warrants and the related securities will be separately transferable;</w:t>
            </w:r>
          </w:p>
        </w:tc>
      </w:tr>
    </w:tbl>
    <w:tbl>
      <w:tblPr>
        <w:tblW w:w="5000" w:type="pct"/>
        <w:jc w:val="left"/>
        <w:tblInd w:w="0" w:type="dxa"/>
        <w:tblLayout w:type="fixed"/>
        <w:tblCellMar>
          <w:top w:w="0" w:type="dxa"/>
          <w:left w:w="0" w:type="dxa"/>
          <w:bottom w:w="0" w:type="dxa"/>
          <w:right w:w="0" w:type="dxa"/>
        </w:tblCellMar>
      </w:tblPr>
      <w:tblGrid>
        <w:gridCol w:w="66"/>
        <w:gridCol w:w="220"/>
        <w:gridCol w:w="9919"/>
      </w:tblGrid>
      <w:tr>
        <w:trPr/>
        <w:tc>
          <w:tcPr>
            <w:tcW w:w="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Symbol" w:hAnsi="Symbol"/>
              </w:rPr>
            </w:pPr>
            <w:r>
              <w:rPr>
                <w:rFonts w:ascii="Symbol" w:hAnsi="Symbol"/>
              </w:rPr>
              <w:t>·</w:t>
            </w:r>
          </w:p>
        </w:tc>
        <w:tc>
          <w:tcPr>
            <w:tcW w:w="9919" w:type="dxa"/>
            <w:tcBorders/>
            <w:vAlign w:val="center"/>
          </w:tcPr>
          <w:p>
            <w:pPr>
              <w:pStyle w:val="TableContents"/>
              <w:bidi w:val="0"/>
              <w:spacing w:before="0" w:after="283"/>
              <w:jc w:val="left"/>
              <w:rPr/>
            </w:pPr>
            <w:r>
              <w:rPr/>
              <w:t>​</w:t>
            </w:r>
            <w:r>
              <w:rPr>
                <w:spacing w:val="4"/>
              </w:rPr>
              <w:t>information with respect to book-entry procedures, if any;</w:t>
            </w:r>
          </w:p>
        </w:tc>
      </w:tr>
    </w:tbl>
    <w:tbl>
      <w:tblPr>
        <w:tblW w:w="5000" w:type="pct"/>
        <w:jc w:val="left"/>
        <w:tblInd w:w="0" w:type="dxa"/>
        <w:tblLayout w:type="fixed"/>
        <w:tblCellMar>
          <w:top w:w="0" w:type="dxa"/>
          <w:left w:w="0" w:type="dxa"/>
          <w:bottom w:w="0" w:type="dxa"/>
          <w:right w:w="0" w:type="dxa"/>
        </w:tblCellMar>
      </w:tblPr>
      <w:tblGrid>
        <w:gridCol w:w="48"/>
        <w:gridCol w:w="160"/>
        <w:gridCol w:w="9997"/>
      </w:tblGrid>
      <w:tr>
        <w:trPr/>
        <w:tc>
          <w:tcPr>
            <w:tcW w:w="4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Symbol" w:hAnsi="Symbol"/>
              </w:rPr>
            </w:pPr>
            <w:r>
              <w:rPr>
                <w:rFonts w:ascii="Symbol" w:hAnsi="Symbol"/>
              </w:rPr>
              <w:t>·</w:t>
            </w:r>
          </w:p>
        </w:tc>
        <w:tc>
          <w:tcPr>
            <w:tcW w:w="9997" w:type="dxa"/>
            <w:tcBorders/>
            <w:vAlign w:val="center"/>
          </w:tcPr>
          <w:p>
            <w:pPr>
              <w:pStyle w:val="TableContents"/>
              <w:bidi w:val="0"/>
              <w:spacing w:before="0" w:after="283"/>
              <w:jc w:val="left"/>
              <w:rPr/>
            </w:pPr>
            <w:r>
              <w:rPr/>
              <w:t>​</w:t>
            </w:r>
            <w:r>
              <w:rPr>
                <w:spacing w:val="4"/>
              </w:rPr>
              <w:t>if applicable, a discussion of certain U.S. federal income tax considerations; and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t>
            </w:r>
            <w:r>
              <w:rPr>
                <w:spacing w:val="4"/>
              </w:rPr>
              <w:t>any other terms of such warrants, including terms, procedures and limitations relating to the exchange and exercise of such warrants.</w:t>
            </w:r>
          </w:p>
        </w:tc>
      </w:tr>
    </w:tbl>
    <w:p>
      <w:pPr>
        <w:pStyle w:val="TextBody"/>
        <w:bidi w:val="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pStyle w:val="TextBody"/>
        <w:bidi w:val="0"/>
        <w:ind w:left="0" w:right="0" w:firstLine="360"/>
        <w:jc w:val="left"/>
        <w:rPr>
          <w:caps w:val="false"/>
          <w:smallCaps w:val="false"/>
          <w:spacing w:val="4"/>
        </w:rPr>
      </w:pPr>
      <w:r>
        <w:rPr>
          <w:caps w:val="false"/>
          <w:smallCaps w:val="false"/>
          <w:spacing w:val="4"/>
        </w:rPr>
        <w:t> </w:t>
      </w:r>
    </w:p>
    <w:p>
      <w:pPr>
        <w:pStyle w:val="TextBody"/>
        <w:bidi w:val="0"/>
        <w:ind w:left="0" w:right="0" w:firstLine="360"/>
        <w:jc w:val="left"/>
        <w:rPr>
          <w:caps w:val="false"/>
          <w:smallCaps w:val="false"/>
        </w:rPr>
      </w:pPr>
      <w:r>
        <w:rPr>
          <w:caps w:val="false"/>
          <w:smallCaps w:val="false"/>
        </w:rPr>
        <w:t> </w:t>
      </w:r>
    </w:p>
    <w:p>
      <w:pPr>
        <w:pStyle w:val="TextBody"/>
        <w:bidi w:val="0"/>
        <w:ind w:left="72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p>
    <w:p>
      <w:pPr>
        <w:pStyle w:val="TextBody"/>
        <w:bidi w:val="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0" w:after="20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DESCRIPTION OF UNITS</w:t>
      </w:r>
    </w:p>
    <w:p>
      <w:pPr>
        <w:pStyle w:val="TextBody"/>
        <w:bidi w:val="0"/>
        <w:spacing w:lineRule="atLeast" w:line="240"/>
        <w:ind w:left="0" w:right="0" w:firstLine="400"/>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pStyle w:val="TextBody"/>
        <w:bidi w:val="0"/>
        <w:spacing w:lineRule="atLeast" w:line="240"/>
        <w:ind w:left="0" w:right="0" w:firstLine="40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spacing w:val="4"/>
              </w:rPr>
            </w:pPr>
            <w:r>
              <w:rPr>
                <w:spacing w:val="4"/>
              </w:rPr>
              <w:t>the designation and terms of the units and of the securities comprising the units, including whether and under what circumstances those securities may be held or transferred separately;</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t>
            </w:r>
            <w:r>
              <w:rPr>
                <w:spacing w:val="4"/>
              </w:rPr>
              <w:t>any provisions for the issuance, payment, settlement, transfer or exchange of the units or of the securities comprising the units;</w:t>
            </w:r>
          </w:p>
        </w:tc>
      </w:tr>
    </w:tbl>
    <w:tbl>
      <w:tblPr>
        <w:tblW w:w="5000" w:type="pct"/>
        <w:jc w:val="left"/>
        <w:tblInd w:w="0" w:type="dxa"/>
        <w:tblLayout w:type="fixed"/>
        <w:tblCellMar>
          <w:top w:w="0" w:type="dxa"/>
          <w:left w:w="0" w:type="dxa"/>
          <w:bottom w:w="0" w:type="dxa"/>
          <w:right w:w="0" w:type="dxa"/>
        </w:tblCellMar>
      </w:tblPr>
      <w:tblGrid>
        <w:gridCol w:w="74"/>
        <w:gridCol w:w="246"/>
        <w:gridCol w:w="9885"/>
      </w:tblGrid>
      <w:tr>
        <w:trPr/>
        <w:tc>
          <w:tcPr>
            <w:tcW w:w="7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rFonts w:ascii="Symbol" w:hAnsi="Symbol"/>
              </w:rPr>
            </w:pPr>
            <w:r>
              <w:rPr>
                <w:rFonts w:ascii="Symbol" w:hAnsi="Symbol"/>
              </w:rPr>
              <w:t>·</w:t>
            </w:r>
          </w:p>
        </w:tc>
        <w:tc>
          <w:tcPr>
            <w:tcW w:w="9885" w:type="dxa"/>
            <w:tcBorders/>
            <w:vAlign w:val="center"/>
          </w:tcPr>
          <w:p>
            <w:pPr>
              <w:pStyle w:val="TableContents"/>
              <w:bidi w:val="0"/>
              <w:spacing w:before="0" w:after="283"/>
              <w:jc w:val="left"/>
              <w:rPr/>
            </w:pPr>
            <w:r>
              <w:rPr/>
              <w:t>​</w:t>
            </w:r>
            <w:r>
              <w:rPr>
                <w:spacing w:val="4"/>
              </w:rPr>
              <w:t>the terms of the unit agreement governing the units;</w:t>
            </w:r>
          </w:p>
        </w:tc>
      </w:tr>
    </w:tbl>
    <w:tbl>
      <w:tblPr>
        <w:tblW w:w="5000" w:type="pct"/>
        <w:jc w:val="left"/>
        <w:tblInd w:w="0" w:type="dxa"/>
        <w:tblLayout w:type="fixed"/>
        <w:tblCellMar>
          <w:top w:w="0" w:type="dxa"/>
          <w:left w:w="0" w:type="dxa"/>
          <w:bottom w:w="0" w:type="dxa"/>
          <w:right w:w="0" w:type="dxa"/>
        </w:tblCellMar>
      </w:tblPr>
      <w:tblGrid>
        <w:gridCol w:w="53"/>
        <w:gridCol w:w="176"/>
        <w:gridCol w:w="9976"/>
      </w:tblGrid>
      <w:tr>
        <w:trPr/>
        <w:tc>
          <w:tcPr>
            <w:tcW w:w="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Symbol" w:hAnsi="Symbol"/>
              </w:rPr>
            </w:pPr>
            <w:r>
              <w:rPr>
                <w:rFonts w:ascii="Symbol" w:hAnsi="Symbol"/>
              </w:rPr>
              <w:t>·</w:t>
            </w:r>
          </w:p>
        </w:tc>
        <w:tc>
          <w:tcPr>
            <w:tcW w:w="9976" w:type="dxa"/>
            <w:tcBorders/>
            <w:vAlign w:val="center"/>
          </w:tcPr>
          <w:p>
            <w:pPr>
              <w:pStyle w:val="TableContents"/>
              <w:bidi w:val="0"/>
              <w:spacing w:before="0" w:after="283"/>
              <w:jc w:val="left"/>
              <w:rPr/>
            </w:pPr>
            <w:r>
              <w:rPr/>
              <w:t>​</w:t>
            </w:r>
            <w:r>
              <w:rPr>
                <w:spacing w:val="4"/>
              </w:rPr>
              <w:t>United States federal income tax considerations relevant to the units; and</w:t>
            </w:r>
          </w:p>
        </w:tc>
      </w:tr>
    </w:tbl>
    <w:tbl>
      <w:tblPr>
        <w:tblW w:w="5000" w:type="pct"/>
        <w:jc w:val="left"/>
        <w:tblInd w:w="0" w:type="dxa"/>
        <w:tblLayout w:type="fixed"/>
        <w:tblCellMar>
          <w:top w:w="0" w:type="dxa"/>
          <w:left w:w="0" w:type="dxa"/>
          <w:bottom w:w="0" w:type="dxa"/>
          <w:right w:w="0" w:type="dxa"/>
        </w:tblCellMar>
      </w:tblPr>
      <w:tblGrid>
        <w:gridCol w:w="61"/>
        <w:gridCol w:w="204"/>
        <w:gridCol w:w="9940"/>
      </w:tblGrid>
      <w:tr>
        <w:trPr/>
        <w:tc>
          <w:tcPr>
            <w:tcW w:w="6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Symbol" w:hAnsi="Symbol"/>
              </w:rPr>
            </w:pPr>
            <w:r>
              <w:rPr>
                <w:rFonts w:ascii="Symbol" w:hAnsi="Symbol"/>
              </w:rPr>
              <w:t>·</w:t>
            </w:r>
          </w:p>
        </w:tc>
        <w:tc>
          <w:tcPr>
            <w:tcW w:w="9940" w:type="dxa"/>
            <w:tcBorders/>
            <w:vAlign w:val="center"/>
          </w:tcPr>
          <w:p>
            <w:pPr>
              <w:pStyle w:val="TableContents"/>
              <w:bidi w:val="0"/>
              <w:spacing w:before="0" w:after="283"/>
              <w:jc w:val="left"/>
              <w:rPr/>
            </w:pPr>
            <w:r>
              <w:rPr/>
              <w:t>​</w:t>
            </w:r>
            <w:r>
              <w:rPr>
                <w:spacing w:val="4"/>
              </w:rPr>
              <w:t>whether the units will be issued in fully registered global form.</w:t>
            </w:r>
          </w:p>
        </w:tc>
      </w:tr>
    </w:tbl>
    <w:p>
      <w:pPr>
        <w:pStyle w:val="TextBody"/>
        <w:bidi w:val="0"/>
        <w:ind w:left="72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This summary of certain general terms of units and any summary description of units in the applicable prospectus supplement do not purport to be complete and are qualified in their entirety by reference to all provisions of the applicable unit agreement and, if applicable, collateral arrangements and depositary arrangements relating to such units. The forms of the unit agreements and other documents relating to a particular issue of units will be filed with the SEC each time we issue units, and you should read those documents for provisions that may be important to you.</w:t>
      </w:r>
    </w:p>
    <w:p>
      <w:pPr>
        <w:pStyle w:val="TextBody"/>
        <w:bidi w:val="0"/>
        <w:ind w:left="0" w:right="0" w:firstLine="72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SELLING STOCKHOLDER</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named below may offer and sell from time to time in the future up to an aggregate of 5,500,000 shares of our common stock, par value $0.0001 per share, underlying the presently exercisable warrants (the “Common Stock Purchase Warrants”) issued to the selling stockholder in connection with the Loan and Security Agreement (as restated, supplemented or otherwise modified from time to time, the “Loan Agreement”) dated May 28, 2024. The term “selling stockholder” includes the stockholder listed in the table below and its transferees, pledgees, donees, assignees or other successors.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selling stockholder may change from time to time and any changed information will be set forth in supplements to this prospectus, if and when necessary. The selling stockholder may offer all, some or none of its shares of common stock. We cannot advise you as to whether the selling stockholder will exercise the Common Stock Purchase Warrant or sell any or all of such shares of common stock. In addition, the selling stockholder listed in the table below may have sold, transferred or otherwise disposed of, or may sell, transfer or otherwise dispose of, at any time and from time to time, shares of our common stock in transactions exempt from the registration requirements of the Securities Act after the date on which it provided the information set forth in the table below.</w:t>
      </w:r>
    </w:p>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60"/>
        <w:gridCol w:w="2732"/>
        <w:gridCol w:w="131"/>
        <w:gridCol w:w="196"/>
        <w:gridCol w:w="2763"/>
        <w:gridCol w:w="60"/>
        <w:gridCol w:w="1678"/>
        <w:gridCol w:w="95"/>
        <w:gridCol w:w="1190"/>
      </w:tblGrid>
      <w:tr>
        <w:trPr/>
        <w:tc>
          <w:tcPr>
            <w:tcW w:w="1360" w:type="dxa"/>
            <w:tcBorders/>
            <w:vAlign w:val="center"/>
          </w:tcPr>
          <w:p>
            <w:pPr>
              <w:pStyle w:val="TableContents"/>
              <w:bidi w:val="0"/>
              <w:spacing w:before="0" w:after="283"/>
              <w:jc w:val="left"/>
              <w:rPr/>
            </w:pPr>
            <w:r>
              <w:rPr/>
              <w:t> </w:t>
            </w:r>
          </w:p>
        </w:tc>
        <w:tc>
          <w:tcPr>
            <w:tcW w:w="2863" w:type="dxa"/>
            <w:gridSpan w:val="2"/>
            <w:tcBorders/>
            <w:vAlign w:val="center"/>
          </w:tcPr>
          <w:p>
            <w:pPr>
              <w:pStyle w:val="TableContents"/>
              <w:bidi w:val="0"/>
              <w:spacing w:before="0" w:after="283"/>
              <w:jc w:val="center"/>
              <w:rPr>
                <w:b/>
                <w:sz w:val="16"/>
              </w:rPr>
            </w:pPr>
            <w:r>
              <w:rPr>
                <w:b/>
                <w:sz w:val="16"/>
              </w:rPr>
              <w:t>Shares of Common Stock Beneficially Owned Prior to this Offering (1) (2) (3)</w:t>
            </w:r>
          </w:p>
        </w:tc>
        <w:tc>
          <w:tcPr>
            <w:tcW w:w="2959" w:type="dxa"/>
            <w:gridSpan w:val="2"/>
            <w:tcBorders/>
            <w:vAlign w:val="center"/>
          </w:tcPr>
          <w:p>
            <w:pPr>
              <w:pStyle w:val="TableContents"/>
              <w:bidi w:val="0"/>
              <w:spacing w:before="0" w:after="283"/>
              <w:jc w:val="center"/>
              <w:rPr>
                <w:b/>
                <w:sz w:val="16"/>
              </w:rPr>
            </w:pPr>
            <w:r>
              <w:rPr>
                <w:b/>
                <w:sz w:val="16"/>
              </w:rPr>
              <w:t>Maximum Number of Shares of Common Stock to be Sold Pursuant to this Prospectus</w:t>
            </w:r>
          </w:p>
        </w:tc>
        <w:tc>
          <w:tcPr>
            <w:tcW w:w="60" w:type="dxa"/>
            <w:tcBorders/>
            <w:vAlign w:val="center"/>
          </w:tcPr>
          <w:p>
            <w:pPr>
              <w:pStyle w:val="TableContents"/>
              <w:bidi w:val="0"/>
              <w:spacing w:before="0" w:after="283"/>
              <w:jc w:val="left"/>
              <w:rPr/>
            </w:pPr>
            <w:r>
              <w:rPr/>
              <w:t> </w:t>
            </w:r>
          </w:p>
        </w:tc>
        <w:tc>
          <w:tcPr>
            <w:tcW w:w="2963" w:type="dxa"/>
            <w:gridSpan w:val="3"/>
            <w:tcBorders>
              <w:bottom w:val="single" w:sz="8" w:space="0" w:color="000000"/>
            </w:tcBorders>
            <w:tcMar>
              <w:bottom w:w="28" w:type="dxa"/>
            </w:tcMar>
            <w:vAlign w:val="center"/>
          </w:tcPr>
          <w:p>
            <w:pPr>
              <w:pStyle w:val="TableContents"/>
              <w:bidi w:val="0"/>
              <w:spacing w:before="0" w:after="283"/>
              <w:jc w:val="center"/>
              <w:rPr>
                <w:b/>
                <w:sz w:val="16"/>
              </w:rPr>
            </w:pPr>
            <w:r>
              <w:rPr>
                <w:b/>
                <w:sz w:val="16"/>
              </w:rPr>
              <w:t>Shares of Common Stock Beneficially Owned After this Offering (3)</w:t>
            </w:r>
          </w:p>
        </w:tc>
      </w:tr>
      <w:tr>
        <w:trPr/>
        <w:tc>
          <w:tcPr>
            <w:tcW w:w="1360" w:type="dxa"/>
            <w:tcBorders/>
            <w:vAlign w:val="center"/>
          </w:tcPr>
          <w:p>
            <w:pPr>
              <w:pStyle w:val="TableContents"/>
              <w:bidi w:val="0"/>
              <w:spacing w:before="0" w:after="283"/>
              <w:jc w:val="left"/>
              <w:rPr>
                <w:b/>
                <w:sz w:val="16"/>
              </w:rPr>
            </w:pPr>
            <w:r>
              <w:rPr>
                <w:b/>
                <w:sz w:val="16"/>
              </w:rPr>
              <w:t>Name of Selling Stockholder</w:t>
            </w:r>
          </w:p>
        </w:tc>
        <w:tc>
          <w:tcPr>
            <w:tcW w:w="2732" w:type="dxa"/>
            <w:tcBorders>
              <w:bottom w:val="single" w:sz="8" w:space="0" w:color="000000"/>
            </w:tcBorders>
            <w:tcMar>
              <w:bottom w:w="28" w:type="dxa"/>
            </w:tcMar>
            <w:vAlign w:val="center"/>
          </w:tcPr>
          <w:p>
            <w:pPr>
              <w:pStyle w:val="TableContents"/>
              <w:bidi w:val="0"/>
              <w:spacing w:before="0" w:after="283"/>
              <w:jc w:val="center"/>
              <w:rPr/>
            </w:pPr>
            <w:r>
              <w:rPr/>
              <w:t> </w:t>
            </w:r>
          </w:p>
        </w:tc>
        <w:tc>
          <w:tcPr>
            <w:tcW w:w="327" w:type="dxa"/>
            <w:gridSpan w:val="2"/>
            <w:tcBorders/>
            <w:vAlign w:val="center"/>
          </w:tcPr>
          <w:p>
            <w:pPr>
              <w:pStyle w:val="TableContents"/>
              <w:bidi w:val="0"/>
              <w:spacing w:before="0" w:after="283"/>
              <w:jc w:val="left"/>
              <w:rPr/>
            </w:pPr>
            <w:r>
              <w:rPr/>
              <w:t> </w:t>
            </w:r>
          </w:p>
        </w:tc>
        <w:tc>
          <w:tcPr>
            <w:tcW w:w="2763"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78"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Number (3)</w:t>
            </w:r>
          </w:p>
        </w:tc>
        <w:tc>
          <w:tcPr>
            <w:tcW w:w="95" w:type="dxa"/>
            <w:tcBorders/>
            <w:vAlign w:val="center"/>
          </w:tcPr>
          <w:p>
            <w:pPr>
              <w:pStyle w:val="TableContents"/>
              <w:bidi w:val="0"/>
              <w:spacing w:before="0" w:after="283"/>
              <w:jc w:val="center"/>
              <w:rPr/>
            </w:pPr>
            <w:r>
              <w:rPr/>
              <w:t> </w:t>
            </w:r>
          </w:p>
        </w:tc>
        <w:tc>
          <w:tcPr>
            <w:tcW w:w="1190"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Percent (4)</w:t>
            </w:r>
          </w:p>
        </w:tc>
      </w:tr>
      <w:tr>
        <w:trPr/>
        <w:tc>
          <w:tcPr>
            <w:tcW w:w="1360" w:type="dxa"/>
            <w:tcBorders/>
            <w:shd w:fill="CCEEFF" w:val="clear"/>
            <w:vAlign w:val="center"/>
          </w:tcPr>
          <w:p>
            <w:pPr>
              <w:pStyle w:val="TableContents"/>
              <w:bidi w:val="0"/>
              <w:spacing w:before="0" w:after="283"/>
              <w:jc w:val="left"/>
              <w:rPr>
                <w:sz w:val="20"/>
              </w:rPr>
            </w:pPr>
            <w:r>
              <w:rPr>
                <w:sz w:val="20"/>
              </w:rPr>
              <w:t>Yang Wu</w:t>
            </w:r>
          </w:p>
        </w:tc>
        <w:tc>
          <w:tcPr>
            <w:tcW w:w="2732" w:type="dxa"/>
            <w:tcBorders/>
            <w:shd w:fill="CCEEFF" w:val="clear"/>
            <w:vAlign w:val="center"/>
          </w:tcPr>
          <w:p>
            <w:pPr>
              <w:pStyle w:val="TableContents"/>
              <w:bidi w:val="0"/>
              <w:spacing w:before="0" w:after="283"/>
              <w:jc w:val="center"/>
              <w:rPr/>
            </w:pPr>
            <w:r>
              <w:rPr>
                <w:sz w:val="20"/>
              </w:rPr>
              <w:t>141,068,036</w:t>
            </w:r>
            <w:r>
              <w:rPr/>
              <w:t xml:space="preserve"> </w:t>
            </w:r>
            <w:r>
              <w:rPr>
                <w:position w:val="7"/>
                <w:sz w:val="16"/>
                <w:sz w:val="20"/>
              </w:rPr>
              <w:t>(5)</w:t>
            </w:r>
          </w:p>
        </w:tc>
        <w:tc>
          <w:tcPr>
            <w:tcW w:w="327" w:type="dxa"/>
            <w:gridSpan w:val="2"/>
            <w:tcBorders/>
            <w:shd w:fill="CCEEFF" w:val="clear"/>
            <w:vAlign w:val="center"/>
          </w:tcPr>
          <w:p>
            <w:pPr>
              <w:pStyle w:val="TableContents"/>
              <w:bidi w:val="0"/>
              <w:spacing w:before="0" w:after="283"/>
              <w:jc w:val="left"/>
              <w:rPr/>
            </w:pPr>
            <w:r>
              <w:rPr/>
              <w:t> </w:t>
            </w:r>
          </w:p>
        </w:tc>
        <w:tc>
          <w:tcPr>
            <w:tcW w:w="2763" w:type="dxa"/>
            <w:tcBorders/>
            <w:shd w:fill="CCEEFF" w:val="clear"/>
            <w:vAlign w:val="center"/>
          </w:tcPr>
          <w:p>
            <w:pPr>
              <w:pStyle w:val="TableContents"/>
              <w:bidi w:val="0"/>
              <w:spacing w:before="0" w:after="283"/>
              <w:jc w:val="center"/>
              <w:rPr>
                <w:sz w:val="20"/>
              </w:rPr>
            </w:pPr>
            <w:r>
              <w:rPr>
                <w:sz w:val="20"/>
              </w:rPr>
              <w:t>5,500,000</w:t>
            </w:r>
          </w:p>
        </w:tc>
        <w:tc>
          <w:tcPr>
            <w:tcW w:w="60" w:type="dxa"/>
            <w:tcBorders/>
            <w:shd w:fill="CCEEFF" w:val="clear"/>
            <w:vAlign w:val="center"/>
          </w:tcPr>
          <w:p>
            <w:pPr>
              <w:pStyle w:val="TableContents"/>
              <w:bidi w:val="0"/>
              <w:spacing w:before="0" w:after="283"/>
              <w:jc w:val="left"/>
              <w:rPr/>
            </w:pPr>
            <w:r>
              <w:rPr/>
              <w:t> </w:t>
            </w:r>
          </w:p>
        </w:tc>
        <w:tc>
          <w:tcPr>
            <w:tcW w:w="1678" w:type="dxa"/>
            <w:tcBorders/>
            <w:shd w:fill="CCEEFF" w:val="clear"/>
            <w:vAlign w:val="center"/>
          </w:tcPr>
          <w:p>
            <w:pPr>
              <w:pStyle w:val="TableContents"/>
              <w:bidi w:val="0"/>
              <w:spacing w:before="0" w:after="283"/>
              <w:jc w:val="right"/>
              <w:rPr>
                <w:sz w:val="20"/>
              </w:rPr>
            </w:pPr>
            <w:r>
              <w:rPr>
                <w:sz w:val="20"/>
              </w:rPr>
              <w:t>135,036,953</w:t>
            </w:r>
          </w:p>
        </w:tc>
        <w:tc>
          <w:tcPr>
            <w:tcW w:w="95" w:type="dxa"/>
            <w:tcBorders/>
            <w:shd w:fill="CCEEFF" w:val="clear"/>
            <w:vAlign w:val="center"/>
          </w:tcPr>
          <w:p>
            <w:pPr>
              <w:pStyle w:val="TableContents"/>
              <w:bidi w:val="0"/>
              <w:spacing w:before="0" w:after="283"/>
              <w:jc w:val="right"/>
              <w:rPr/>
            </w:pPr>
            <w:r>
              <w:rPr/>
              <w:t> </w:t>
            </w:r>
          </w:p>
        </w:tc>
        <w:tc>
          <w:tcPr>
            <w:tcW w:w="1190" w:type="dxa"/>
            <w:tcBorders/>
            <w:shd w:fill="CCEEFF" w:val="clear"/>
            <w:vAlign w:val="center"/>
          </w:tcPr>
          <w:p>
            <w:pPr>
              <w:pStyle w:val="TableContents"/>
              <w:bidi w:val="0"/>
              <w:spacing w:before="0" w:after="283"/>
              <w:jc w:val="right"/>
              <w:rPr/>
            </w:pPr>
            <w:r>
              <w:rPr>
                <w:sz w:val="20"/>
              </w:rPr>
              <w:t>41.5</w:t>
            </w:r>
            <w:r>
              <w:rPr/>
              <w:t xml:space="preserve"> </w:t>
            </w:r>
            <w:r>
              <w:rPr>
                <w:sz w:val="20"/>
              </w:rPr>
              <w:t>%</w:t>
            </w:r>
          </w:p>
        </w:tc>
      </w:tr>
      <w:tr>
        <w:trPr/>
        <w:tc>
          <w:tcPr>
            <w:tcW w:w="1360" w:type="dxa"/>
            <w:tcBorders/>
            <w:vAlign w:val="center"/>
          </w:tcPr>
          <w:p>
            <w:pPr>
              <w:pStyle w:val="TableContents"/>
              <w:bidi w:val="0"/>
              <w:spacing w:before="0" w:after="283"/>
              <w:jc w:val="left"/>
              <w:rPr/>
            </w:pPr>
            <w:r>
              <w:rPr/>
              <w:t> </w:t>
            </w:r>
          </w:p>
        </w:tc>
        <w:tc>
          <w:tcPr>
            <w:tcW w:w="2732"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27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8"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20"/>
              </w:rPr>
            </w:pPr>
            <w:r>
              <w:rPr>
                <w:sz w:val="20"/>
              </w:rPr>
              <w:t>(1)</w:t>
            </w:r>
          </w:p>
        </w:tc>
        <w:tc>
          <w:tcPr>
            <w:tcW w:w="9905" w:type="dxa"/>
            <w:tcBorders/>
            <w:vAlign w:val="center"/>
          </w:tcPr>
          <w:p>
            <w:pPr>
              <w:pStyle w:val="TableContents"/>
              <w:bidi w:val="0"/>
              <w:spacing w:before="0" w:after="283"/>
              <w:jc w:val="left"/>
              <w:rPr>
                <w:sz w:val="20"/>
              </w:rPr>
            </w:pPr>
            <w:r>
              <w:rPr>
                <w:sz w:val="20"/>
              </w:rPr>
              <w:t>Except as noted below, beneficial ownership is determined in accordance with the rules of the SEC and generally includes voting or investment power with respect to securities.</w:t>
            </w:r>
          </w:p>
        </w:tc>
      </w:tr>
    </w:tbl>
    <w:p>
      <w:pPr>
        <w:pStyle w:val="TextBody"/>
        <w:bidi w:val="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75"/>
        <w:gridCol w:w="245"/>
        <w:gridCol w:w="885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(2)</w:t>
            </w:r>
          </w:p>
        </w:tc>
        <w:tc>
          <w:tcPr>
            <w:tcW w:w="8855" w:type="dxa"/>
            <w:tcBorders/>
            <w:vAlign w:val="center"/>
          </w:tcPr>
          <w:p>
            <w:pPr>
              <w:pStyle w:val="TableContents"/>
              <w:bidi w:val="0"/>
              <w:spacing w:before="0" w:after="283"/>
              <w:jc w:val="left"/>
              <w:rPr>
                <w:sz w:val="20"/>
              </w:rPr>
            </w:pPr>
            <w:r>
              <w:rPr>
                <w:sz w:val="20"/>
              </w:rPr>
              <w:t>The information set forth in the table above is based upon information obtained from the selling stockholder.</w:t>
            </w:r>
          </w:p>
        </w:tc>
      </w:tr>
    </w:tbl>
    <w:p>
      <w:pPr>
        <w:pStyle w:val="TextBody"/>
        <w:bidi w:val="0"/>
        <w:jc w:val="left"/>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75"/>
        <w:gridCol w:w="245"/>
        <w:gridCol w:w="723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(3)</w:t>
            </w:r>
          </w:p>
        </w:tc>
        <w:tc>
          <w:tcPr>
            <w:tcW w:w="7235" w:type="dxa"/>
            <w:tcBorders/>
            <w:vAlign w:val="center"/>
          </w:tcPr>
          <w:p>
            <w:pPr>
              <w:pStyle w:val="TableContents"/>
              <w:bidi w:val="0"/>
              <w:spacing w:before="0" w:after="283"/>
              <w:jc w:val="left"/>
              <w:rPr>
                <w:sz w:val="20"/>
              </w:rPr>
            </w:pPr>
            <w:r>
              <w:rPr>
                <w:sz w:val="20"/>
              </w:rPr>
              <w:t>Includes shares of common stock which are not being offered pursuant to this prospectus.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20"/>
              </w:rPr>
            </w:pPr>
            <w:r>
              <w:rPr>
                <w:sz w:val="20"/>
              </w:rPr>
              <w:t>(4)</w:t>
            </w:r>
          </w:p>
        </w:tc>
        <w:tc>
          <w:tcPr>
            <w:tcW w:w="9933" w:type="dxa"/>
            <w:tcBorders/>
            <w:vAlign w:val="center"/>
          </w:tcPr>
          <w:p>
            <w:pPr>
              <w:pStyle w:val="TableContents"/>
              <w:bidi w:val="0"/>
              <w:spacing w:before="0" w:after="283"/>
              <w:jc w:val="left"/>
              <w:rPr/>
            </w:pPr>
            <w:r>
              <w:rPr>
                <w:sz w:val="20"/>
              </w:rPr>
              <w:t>The percentage calculation is based on 325,588,726 shares of common stock currently issued and outstanding as of April 22, 2025 and is rounded to the nearest tenth of a percent</w:t>
            </w:r>
            <w:r>
              <w:rPr/>
              <w:t xml:space="preserve"> </w:t>
            </w:r>
            <w:r>
              <w:rPr>
                <w:sz w:val="20"/>
              </w:rPr>
              <w:t>. Warrants, options or other derivative securities that are presently exercisable or exercisable within 60 days are deemed to be beneficially owned by the person holding such securities for the purpose of calculating the percentage ownership of that person but are not treated as outstanding for the purpose of calculating the percentage ownership of any other person.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sz w:val="20"/>
              </w:rPr>
            </w:pPr>
            <w:r>
              <w:rPr>
                <w:sz w:val="20"/>
              </w:rPr>
              <w:t>(5)</w:t>
            </w:r>
          </w:p>
        </w:tc>
        <w:tc>
          <w:tcPr>
            <w:tcW w:w="9934" w:type="dxa"/>
            <w:tcBorders/>
            <w:vAlign w:val="center"/>
          </w:tcPr>
          <w:p>
            <w:pPr>
              <w:pStyle w:val="TableContents"/>
              <w:bidi w:val="0"/>
              <w:spacing w:before="0" w:after="283"/>
              <w:jc w:val="left"/>
              <w:rPr>
                <w:sz w:val="20"/>
              </w:rPr>
            </w:pPr>
            <w:r>
              <w:rPr>
                <w:sz w:val="20"/>
              </w:rPr>
              <w:t>Includes: (i) 50,000,000 shares that may be received upon the conversion of certain convertible loans in the aggregate amount of $25,000,000 for which the principal balance may be converted, in whole or in part, in increments of $100,000 into shares of common stock at an initial conversion rate of two shares of common stock per $1.00 of principal to be converted; (ii) presently exercisable warrants to purchase 5,500,000 shares of common stock, and (iii) 2,000,000 shares held by Mr. Wu’s children, for which Mr. Wu has sole voting and shared dispositive power .</w:t>
            </w:r>
          </w:p>
        </w:tc>
      </w:tr>
    </w:tbl>
    <w:p>
      <w:pPr>
        <w:pStyle w:val="TextBody"/>
        <w:bidi w:val="0"/>
        <w:ind w:left="720" w:right="0" w:hanging="360"/>
        <w:jc w:val="left"/>
        <w:rPr>
          <w:caps w:val="false"/>
          <w:smallCaps w:val="false"/>
        </w:rPr>
      </w:pPr>
      <w:r>
        <w:rPr>
          <w:caps w:val="false"/>
          <w:smallCaps w:val="false"/>
        </w:rPr>
        <w:t> </w:t>
      </w:r>
    </w:p>
    <w:p>
      <w:pPr>
        <w:pStyle w:val="TextBody"/>
        <w:bidi w:val="0"/>
        <w:ind w:left="720" w:right="0" w:hanging="360"/>
        <w:jc w:val="left"/>
        <w:rPr>
          <w:caps w:val="false"/>
          <w:smallCaps w:val="false"/>
        </w:rPr>
      </w:pPr>
      <w:r>
        <w:rPr>
          <w:caps w:val="false"/>
          <w:smallCaps w:val="false"/>
        </w:rPr>
        <w:t> </w:t>
      </w:r>
    </w:p>
    <w:p>
      <w:pPr>
        <w:pStyle w:val="TextBody"/>
        <w:bidi w:val="0"/>
        <w:ind w:left="720" w:right="0" w:hanging="360"/>
        <w:jc w:val="left"/>
        <w:rPr>
          <w:caps w:val="false"/>
          <w:smallCaps w:val="false"/>
        </w:rPr>
      </w:pPr>
      <w:r>
        <w:rPr>
          <w:caps w:val="false"/>
          <w:smallCaps w:val="false"/>
        </w:rPr>
        <w:t> </w:t>
      </w:r>
    </w:p>
    <w:p>
      <w:pPr>
        <w:pStyle w:val="TextBody"/>
        <w:bidi w:val="0"/>
        <w:ind w:left="720" w:right="0" w:hanging="360"/>
        <w:jc w:val="left"/>
        <w:rPr>
          <w:caps w:val="false"/>
          <w:smallCaps w:val="false"/>
        </w:rPr>
      </w:pPr>
      <w:r>
        <w:rPr>
          <w:caps w:val="false"/>
          <w:smallCaps w:val="false"/>
        </w:rPr>
        <w:t> </w:t>
      </w:r>
    </w:p>
    <w:p>
      <w:pPr>
        <w:pStyle w:val="TextBody"/>
        <w:bidi w:val="0"/>
        <w:ind w:left="720" w:right="0" w:hanging="360"/>
        <w:jc w:val="left"/>
        <w:rPr>
          <w:caps w:val="false"/>
          <w:smallCaps w:val="false"/>
        </w:rPr>
      </w:pPr>
      <w:r>
        <w:rPr>
          <w:caps w:val="false"/>
          <w:smallCaps w:val="false"/>
        </w:rPr>
        <w:t> </w:t>
      </w:r>
    </w:p>
    <w:p>
      <w:pPr>
        <w:pStyle w:val="TextBody"/>
        <w:bidi w:val="0"/>
        <w:ind w:left="720" w:right="0" w:hanging="36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720" w:right="0" w:hanging="360"/>
        <w:jc w:val="left"/>
        <w:rPr>
          <w:caps w:val="false"/>
          <w:smallCaps w:val="false"/>
        </w:rPr>
      </w:pPr>
      <w:r>
        <w:rPr>
          <w:caps w:val="false"/>
          <w:smallCaps w:val="false"/>
        </w:rPr>
        <w:t> </w:t>
      </w:r>
    </w:p>
    <w:p>
      <w:pPr>
        <w:pStyle w:val="TextBody"/>
        <w:bidi w:val="0"/>
        <w:spacing w:before="0" w:after="20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PLAN OF DISTRIBUTION</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the terms of the offering of the securities in a prospectus supplement, information incorporated by reference or related free writing prospectus, including:</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278"/>
        <w:gridCol w:w="9843"/>
      </w:tblGrid>
      <w:tr>
        <w:trPr/>
        <w:tc>
          <w:tcPr>
            <w:tcW w:w="8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rFonts w:ascii="Symbol" w:hAnsi="Symbol"/>
              </w:rPr>
            </w:pPr>
            <w:r>
              <w:rPr>
                <w:rFonts w:ascii="Symbol" w:hAnsi="Symbol"/>
              </w:rPr>
              <w:t>·</w:t>
            </w:r>
          </w:p>
        </w:tc>
        <w:tc>
          <w:tcPr>
            <w:tcW w:w="9843" w:type="dxa"/>
            <w:tcBorders/>
            <w:vAlign w:val="center"/>
          </w:tcPr>
          <w:p>
            <w:pPr>
              <w:pStyle w:val="TableContents"/>
              <w:bidi w:val="0"/>
              <w:spacing w:before="0" w:after="283"/>
              <w:jc w:val="left"/>
              <w:rPr/>
            </w:pPr>
            <w:r>
              <w:rPr/>
              <w:t>the name or names of any underwriters, if any;</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Symbol" w:hAnsi="Symbol"/>
              </w:rPr>
            </w:pPr>
            <w:r>
              <w:rPr>
                <w:rFonts w:ascii="Symbol" w:hAnsi="Symbol"/>
              </w:rPr>
              <w:t>·</w:t>
            </w:r>
          </w:p>
        </w:tc>
        <w:tc>
          <w:tcPr>
            <w:tcW w:w="9996" w:type="dxa"/>
            <w:tcBorders/>
            <w:vAlign w:val="center"/>
          </w:tcPr>
          <w:p>
            <w:pPr>
              <w:pStyle w:val="TableContents"/>
              <w:bidi w:val="0"/>
              <w:spacing w:before="0" w:after="283"/>
              <w:jc w:val="left"/>
              <w:rPr/>
            </w:pPr>
            <w:r>
              <w:rPr/>
              <w:t>the purchase price of the securities and the proceeds we will receive from the sale;</w:t>
            </w:r>
          </w:p>
        </w:tc>
      </w:tr>
    </w:tbl>
    <w:tbl>
      <w:tblPr>
        <w:tblW w:w="5000" w:type="pct"/>
        <w:jc w:val="left"/>
        <w:tblInd w:w="0" w:type="dxa"/>
        <w:tblLayout w:type="fixed"/>
        <w:tblCellMar>
          <w:top w:w="0" w:type="dxa"/>
          <w:left w:w="0" w:type="dxa"/>
          <w:bottom w:w="0" w:type="dxa"/>
          <w:right w:w="0" w:type="dxa"/>
        </w:tblCellMar>
      </w:tblPr>
      <w:tblGrid>
        <w:gridCol w:w="47"/>
        <w:gridCol w:w="156"/>
        <w:gridCol w:w="10002"/>
      </w:tblGrid>
      <w:tr>
        <w:trPr/>
        <w:tc>
          <w:tcPr>
            <w:tcW w:w="4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Symbol" w:hAnsi="Symbol"/>
              </w:rPr>
            </w:pPr>
            <w:r>
              <w:rPr>
                <w:rFonts w:ascii="Symbol" w:hAnsi="Symbol"/>
              </w:rPr>
              <w:t>·</w:t>
            </w:r>
          </w:p>
        </w:tc>
        <w:tc>
          <w:tcPr>
            <w:tcW w:w="10002" w:type="dxa"/>
            <w:tcBorders/>
            <w:vAlign w:val="center"/>
          </w:tcPr>
          <w:p>
            <w:pPr>
              <w:pStyle w:val="TableContents"/>
              <w:bidi w:val="0"/>
              <w:spacing w:before="0" w:after="283"/>
              <w:jc w:val="left"/>
              <w:rPr/>
            </w:pPr>
            <w:r>
              <w:rPr/>
              <w:t>any underwriting discounts and other items constituting underwriters’ compensation;</w:t>
            </w:r>
          </w:p>
        </w:tc>
      </w:tr>
    </w:tbl>
    <w:tbl>
      <w:tblPr>
        <w:tblW w:w="5000" w:type="pct"/>
        <w:jc w:val="left"/>
        <w:tblInd w:w="0" w:type="dxa"/>
        <w:tblLayout w:type="fixed"/>
        <w:tblCellMar>
          <w:top w:w="0" w:type="dxa"/>
          <w:left w:w="0" w:type="dxa"/>
          <w:bottom w:w="0" w:type="dxa"/>
          <w:right w:w="0" w:type="dxa"/>
        </w:tblCellMar>
      </w:tblPr>
      <w:tblGrid>
        <w:gridCol w:w="122"/>
        <w:gridCol w:w="402"/>
        <w:gridCol w:w="9681"/>
      </w:tblGrid>
      <w:tr>
        <w:trPr/>
        <w:tc>
          <w:tcPr>
            <w:tcW w:w="12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rFonts w:ascii="Symbol" w:hAnsi="Symbol"/>
              </w:rPr>
            </w:pPr>
            <w:r>
              <w:rPr>
                <w:rFonts w:ascii="Symbol" w:hAnsi="Symbol"/>
              </w:rPr>
              <w:t>·</w:t>
            </w:r>
          </w:p>
        </w:tc>
        <w:tc>
          <w:tcPr>
            <w:tcW w:w="9681" w:type="dxa"/>
            <w:tcBorders/>
            <w:vAlign w:val="center"/>
          </w:tcPr>
          <w:p>
            <w:pPr>
              <w:pStyle w:val="TableContents"/>
              <w:bidi w:val="0"/>
              <w:spacing w:before="0" w:after="283"/>
              <w:jc w:val="left"/>
              <w:rPr/>
            </w:pPr>
            <w:r>
              <w:rPr/>
              <w:t>any initial public offering price;</w:t>
            </w:r>
          </w:p>
        </w:tc>
      </w:tr>
    </w:tbl>
    <w:tbl>
      <w:tblPr>
        <w:tblW w:w="5000" w:type="pct"/>
        <w:jc w:val="left"/>
        <w:tblInd w:w="0" w:type="dxa"/>
        <w:tblLayout w:type="fixed"/>
        <w:tblCellMar>
          <w:top w:w="0" w:type="dxa"/>
          <w:left w:w="0" w:type="dxa"/>
          <w:bottom w:w="0" w:type="dxa"/>
          <w:right w:w="0" w:type="dxa"/>
        </w:tblCellMar>
      </w:tblPr>
      <w:tblGrid>
        <w:gridCol w:w="54"/>
        <w:gridCol w:w="179"/>
        <w:gridCol w:w="9972"/>
      </w:tblGrid>
      <w:tr>
        <w:trPr/>
        <w:tc>
          <w:tcPr>
            <w:tcW w:w="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Symbol" w:hAnsi="Symbol"/>
              </w:rPr>
            </w:pPr>
            <w:r>
              <w:rPr>
                <w:rFonts w:ascii="Symbol" w:hAnsi="Symbol"/>
              </w:rPr>
              <w:t>·</w:t>
            </w:r>
          </w:p>
        </w:tc>
        <w:tc>
          <w:tcPr>
            <w:tcW w:w="9972" w:type="dxa"/>
            <w:tcBorders/>
            <w:vAlign w:val="center"/>
          </w:tcPr>
          <w:p>
            <w:pPr>
              <w:pStyle w:val="TableContents"/>
              <w:bidi w:val="0"/>
              <w:spacing w:before="0" w:after="283"/>
              <w:jc w:val="left"/>
              <w:rPr/>
            </w:pPr>
            <w:r>
              <w:rPr/>
              <w:t>any discounts or concessions allowed or reallowed or paid to dealers; and</w:t>
            </w:r>
          </w:p>
        </w:tc>
      </w:tr>
    </w:tbl>
    <w:tbl>
      <w:tblPr>
        <w:tblW w:w="5000" w:type="pct"/>
        <w:jc w:val="left"/>
        <w:tblInd w:w="0" w:type="dxa"/>
        <w:tblLayout w:type="fixed"/>
        <w:tblCellMar>
          <w:top w:w="0" w:type="dxa"/>
          <w:left w:w="0" w:type="dxa"/>
          <w:bottom w:w="0" w:type="dxa"/>
          <w:right w:w="0" w:type="dxa"/>
        </w:tblCellMar>
      </w:tblPr>
      <w:tblGrid>
        <w:gridCol w:w="55"/>
        <w:gridCol w:w="183"/>
        <w:gridCol w:w="9967"/>
      </w:tblGrid>
      <w:tr>
        <w:trPr/>
        <w:tc>
          <w:tcPr>
            <w:tcW w:w="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Symbol" w:hAnsi="Symbol"/>
              </w:rPr>
            </w:pPr>
            <w:r>
              <w:rPr>
                <w:rFonts w:ascii="Symbol" w:hAnsi="Symbol"/>
              </w:rPr>
              <w:t>·</w:t>
            </w:r>
          </w:p>
        </w:tc>
        <w:tc>
          <w:tcPr>
            <w:tcW w:w="9967" w:type="dxa"/>
            <w:tcBorders/>
            <w:vAlign w:val="center"/>
          </w:tcPr>
          <w:p>
            <w:pPr>
              <w:pStyle w:val="TableContents"/>
              <w:bidi w:val="0"/>
              <w:spacing w:before="0" w:after="283"/>
              <w:jc w:val="left"/>
              <w:rPr/>
            </w:pPr>
            <w:r>
              <w:rPr/>
              <w:t>any securities exchange or market on which the securities may be listed.</w:t>
            </w:r>
          </w:p>
        </w:tc>
      </w:tr>
    </w:tbl>
    <w:p>
      <w:pPr>
        <w:pStyle w:val="TextBody"/>
        <w:bidi w:val="0"/>
        <w:ind w:left="72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we name in the prospectus supplement, information incorporated by reference or related free writing prospectus are underwriters of the securities offered thereby.</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securities may be effected, from time to time, in one or more transactions, including:</w:t>
      </w:r>
    </w:p>
    <w:p>
      <w:pPr>
        <w:pStyle w:val="TextBody"/>
        <w:bidi w:val="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purchases by a broker-dealer as principal and resale by such broker-dealer for its own account pursuant to this prospectus;</w:t>
            </w:r>
          </w:p>
        </w:tc>
      </w:tr>
    </w:tbl>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Symbol" w:hAnsi="Symbol"/>
              </w:rPr>
            </w:pPr>
            <w:r>
              <w:rPr>
                <w:rFonts w:ascii="Symbol" w:hAnsi="Symbol"/>
              </w:rPr>
              <w:t>·</w:t>
            </w:r>
          </w:p>
        </w:tc>
        <w:tc>
          <w:tcPr>
            <w:tcW w:w="10009" w:type="dxa"/>
            <w:tcBorders/>
            <w:vAlign w:val="center"/>
          </w:tcPr>
          <w:p>
            <w:pPr>
              <w:pStyle w:val="TableContents"/>
              <w:bidi w:val="0"/>
              <w:spacing w:before="0" w:after="283"/>
              <w:jc w:val="left"/>
              <w:rPr/>
            </w:pPr>
            <w:r>
              <w:rPr/>
              <w:t>ordinary brokerage transactions and transactions in which the broker solicits purchasers;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block trades in which the broker-dealer so engaged will attempt to sell the shares as agent but may position and resell a portion of the block as principal to facilitate the transaction;</w:t>
            </w:r>
          </w:p>
        </w:tc>
      </w:tr>
    </w:tbl>
    <w:tbl>
      <w:tblPr>
        <w:tblW w:w="5000" w:type="pct"/>
        <w:jc w:val="left"/>
        <w:tblInd w:w="0" w:type="dxa"/>
        <w:tblLayout w:type="fixed"/>
        <w:tblCellMar>
          <w:top w:w="0" w:type="dxa"/>
          <w:left w:w="0" w:type="dxa"/>
          <w:bottom w:w="0" w:type="dxa"/>
          <w:right w:w="0" w:type="dxa"/>
        </w:tblCellMar>
      </w:tblPr>
      <w:tblGrid>
        <w:gridCol w:w="52"/>
        <w:gridCol w:w="175"/>
        <w:gridCol w:w="9978"/>
      </w:tblGrid>
      <w:tr>
        <w:trPr/>
        <w:tc>
          <w:tcPr>
            <w:tcW w:w="5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Symbol" w:hAnsi="Symbol"/>
              </w:rPr>
            </w:pPr>
            <w:r>
              <w:rPr>
                <w:rFonts w:ascii="Symbol" w:hAnsi="Symbol"/>
              </w:rPr>
              <w:t>·</w:t>
            </w:r>
          </w:p>
        </w:tc>
        <w:tc>
          <w:tcPr>
            <w:tcW w:w="9978" w:type="dxa"/>
            <w:tcBorders/>
            <w:vAlign w:val="center"/>
          </w:tcPr>
          <w:p>
            <w:pPr>
              <w:pStyle w:val="TableContents"/>
              <w:bidi w:val="0"/>
              <w:spacing w:before="0" w:after="283"/>
              <w:jc w:val="left"/>
              <w:rPr/>
            </w:pPr>
            <w:r>
              <w:rPr/>
              <w:t>an over-the-counter distribution in accordance with the rules of the Nasdaq;</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through trading plans entered into by a selling stockholder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tc>
      </w:tr>
    </w:tbl>
    <w:tbl>
      <w:tblPr>
        <w:tblW w:w="5000" w:type="pct"/>
        <w:jc w:val="left"/>
        <w:tblInd w:w="0" w:type="dxa"/>
        <w:tblLayout w:type="fixed"/>
        <w:tblCellMar>
          <w:top w:w="0" w:type="dxa"/>
          <w:left w:w="0" w:type="dxa"/>
          <w:bottom w:w="0" w:type="dxa"/>
          <w:right w:w="0" w:type="dxa"/>
        </w:tblCellMar>
      </w:tblPr>
      <w:tblGrid>
        <w:gridCol w:w="88"/>
        <w:gridCol w:w="290"/>
        <w:gridCol w:w="9827"/>
      </w:tblGrid>
      <w:tr>
        <w:trPr/>
        <w:tc>
          <w:tcPr>
            <w:tcW w:w="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Symbol" w:hAnsi="Symbol"/>
              </w:rPr>
            </w:pPr>
            <w:r>
              <w:rPr>
                <w:rFonts w:ascii="Symbol" w:hAnsi="Symbol"/>
              </w:rPr>
              <w:t>·</w:t>
            </w:r>
          </w:p>
        </w:tc>
        <w:tc>
          <w:tcPr>
            <w:tcW w:w="9827" w:type="dxa"/>
            <w:tcBorders/>
            <w:vAlign w:val="center"/>
          </w:tcPr>
          <w:p>
            <w:pPr>
              <w:pStyle w:val="TableContents"/>
              <w:bidi w:val="0"/>
              <w:spacing w:before="0" w:after="283"/>
              <w:jc w:val="left"/>
              <w:rPr/>
            </w:pPr>
            <w:r>
              <w:rPr/>
              <w:t>to or through underwriters or broker-dealers;</w:t>
            </w:r>
          </w:p>
        </w:tc>
      </w:tr>
    </w:tbl>
    <w:tbl>
      <w:tblPr>
        <w:tblW w:w="5000" w:type="pct"/>
        <w:jc w:val="left"/>
        <w:tblInd w:w="0" w:type="dxa"/>
        <w:tblLayout w:type="fixed"/>
        <w:tblCellMar>
          <w:top w:w="0" w:type="dxa"/>
          <w:left w:w="0" w:type="dxa"/>
          <w:bottom w:w="0" w:type="dxa"/>
          <w:right w:w="0" w:type="dxa"/>
        </w:tblCellMar>
      </w:tblPr>
      <w:tblGrid>
        <w:gridCol w:w="58"/>
        <w:gridCol w:w="192"/>
        <w:gridCol w:w="9955"/>
      </w:tblGrid>
      <w:tr>
        <w:trPr/>
        <w:tc>
          <w:tcPr>
            <w:tcW w:w="5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Symbol" w:hAnsi="Symbol"/>
              </w:rPr>
            </w:pPr>
            <w:r>
              <w:rPr>
                <w:rFonts w:ascii="Symbol" w:hAnsi="Symbol"/>
              </w:rPr>
              <w:t>·</w:t>
            </w:r>
          </w:p>
        </w:tc>
        <w:tc>
          <w:tcPr>
            <w:tcW w:w="9955" w:type="dxa"/>
            <w:tcBorders/>
            <w:vAlign w:val="center"/>
          </w:tcPr>
          <w:p>
            <w:pPr>
              <w:pStyle w:val="TableContents"/>
              <w:bidi w:val="0"/>
              <w:spacing w:before="0" w:after="283"/>
              <w:jc w:val="left"/>
              <w:rPr/>
            </w:pPr>
            <w:r>
              <w:rPr/>
              <w:t>settlement of short sales entered into after the date of this prospectus;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agreements with broker-dealers to sell a specified number of securities at a stipulated price per share and/or warrant;</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tc>
      </w:tr>
    </w:tbl>
    <w:tbl>
      <w:tblPr>
        <w:tblW w:w="5000" w:type="pct"/>
        <w:jc w:val="left"/>
        <w:tblInd w:w="0" w:type="dxa"/>
        <w:tblLayout w:type="fixed"/>
        <w:tblCellMar>
          <w:top w:w="0" w:type="dxa"/>
          <w:left w:w="0" w:type="dxa"/>
          <w:bottom w:w="0" w:type="dxa"/>
          <w:right w:w="0" w:type="dxa"/>
        </w:tblCellMar>
      </w:tblPr>
      <w:tblGrid>
        <w:gridCol w:w="45"/>
        <w:gridCol w:w="152"/>
        <w:gridCol w:w="10008"/>
      </w:tblGrid>
      <w:tr>
        <w:trPr/>
        <w:tc>
          <w:tcPr>
            <w:tcW w:w="4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Symbol" w:hAnsi="Symbol"/>
              </w:rPr>
            </w:pPr>
            <w:r>
              <w:rPr>
                <w:rFonts w:ascii="Symbol" w:hAnsi="Symbol"/>
              </w:rPr>
              <w:t>·</w:t>
            </w:r>
          </w:p>
        </w:tc>
        <w:tc>
          <w:tcPr>
            <w:tcW w:w="10008" w:type="dxa"/>
            <w:tcBorders/>
            <w:vAlign w:val="center"/>
          </w:tcPr>
          <w:p>
            <w:pPr>
              <w:pStyle w:val="TableContents"/>
              <w:bidi w:val="0"/>
              <w:spacing w:before="0" w:after="283"/>
              <w:jc w:val="left"/>
              <w:rPr/>
            </w:pPr>
            <w:r>
              <w:rPr/>
              <w:t>in privately negotiated transactions, whether through an options exchange or otherwise;</w:t>
            </w:r>
          </w:p>
        </w:tc>
      </w:tr>
    </w:tbl>
    <w:tbl>
      <w:tblPr>
        <w:tblW w:w="5000" w:type="pct"/>
        <w:jc w:val="left"/>
        <w:tblInd w:w="0" w:type="dxa"/>
        <w:tblLayout w:type="fixed"/>
        <w:tblCellMar>
          <w:top w:w="0" w:type="dxa"/>
          <w:left w:w="0" w:type="dxa"/>
          <w:bottom w:w="0" w:type="dxa"/>
          <w:right w:w="0" w:type="dxa"/>
        </w:tblCellMar>
      </w:tblPr>
      <w:tblGrid>
        <w:gridCol w:w="164"/>
        <w:gridCol w:w="541"/>
        <w:gridCol w:w="9500"/>
      </w:tblGrid>
      <w:tr>
        <w:trPr/>
        <w:tc>
          <w:tcPr>
            <w:tcW w:w="16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rFonts w:ascii="Symbol" w:hAnsi="Symbol"/>
              </w:rPr>
            </w:pPr>
            <w:r>
              <w:rPr>
                <w:rFonts w:ascii="Symbol" w:hAnsi="Symbol"/>
              </w:rPr>
              <w:t>·</w:t>
            </w:r>
          </w:p>
        </w:tc>
        <w:tc>
          <w:tcPr>
            <w:tcW w:w="9500" w:type="dxa"/>
            <w:tcBorders/>
            <w:vAlign w:val="center"/>
          </w:tcPr>
          <w:p>
            <w:pPr>
              <w:pStyle w:val="TableContents"/>
              <w:bidi w:val="0"/>
              <w:spacing w:before="0" w:after="283"/>
              <w:jc w:val="left"/>
              <w:rPr/>
            </w:pPr>
            <w:r>
              <w:rPr/>
              <w:t>in options transactions;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in sales of other ways not involving market makers or established trading markets, including direct sales to purchasers;</w:t>
            </w:r>
          </w:p>
        </w:tc>
      </w:tr>
    </w:tbl>
    <w:tbl>
      <w:tblPr>
        <w:tblW w:w="5000" w:type="pct"/>
        <w:jc w:val="left"/>
        <w:tblInd w:w="0" w:type="dxa"/>
        <w:tblLayout w:type="fixed"/>
        <w:tblCellMar>
          <w:top w:w="0" w:type="dxa"/>
          <w:left w:w="0" w:type="dxa"/>
          <w:bottom w:w="0" w:type="dxa"/>
          <w:right w:w="0" w:type="dxa"/>
        </w:tblCellMar>
      </w:tblPr>
      <w:tblGrid>
        <w:gridCol w:w="63"/>
        <w:gridCol w:w="211"/>
        <w:gridCol w:w="9931"/>
      </w:tblGrid>
      <w:tr>
        <w:trPr/>
        <w:tc>
          <w:tcPr>
            <w:tcW w:w="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Symbol" w:hAnsi="Symbol"/>
              </w:rPr>
            </w:pPr>
            <w:r>
              <w:rPr>
                <w:rFonts w:ascii="Symbol" w:hAnsi="Symbol"/>
              </w:rPr>
              <w:t>·</w:t>
            </w:r>
          </w:p>
        </w:tc>
        <w:tc>
          <w:tcPr>
            <w:tcW w:w="9931" w:type="dxa"/>
            <w:tcBorders/>
            <w:vAlign w:val="center"/>
          </w:tcPr>
          <w:p>
            <w:pPr>
              <w:pStyle w:val="TableContents"/>
              <w:bidi w:val="0"/>
              <w:spacing w:before="0" w:after="283"/>
              <w:jc w:val="left"/>
              <w:rPr/>
            </w:pPr>
            <w:r>
              <w:rPr/>
              <w:t>through a combination of any of the above methods of sale; or</w:t>
            </w:r>
          </w:p>
        </w:tc>
      </w:tr>
    </w:tbl>
    <w:tbl>
      <w:tblPr>
        <w:tblW w:w="5000" w:type="pct"/>
        <w:jc w:val="left"/>
        <w:tblInd w:w="0" w:type="dxa"/>
        <w:tblLayout w:type="fixed"/>
        <w:tblCellMar>
          <w:top w:w="0" w:type="dxa"/>
          <w:left w:w="0" w:type="dxa"/>
          <w:bottom w:w="0" w:type="dxa"/>
          <w:right w:w="0" w:type="dxa"/>
        </w:tblCellMar>
      </w:tblPr>
      <w:tblGrid>
        <w:gridCol w:w="71"/>
        <w:gridCol w:w="237"/>
        <w:gridCol w:w="9897"/>
      </w:tblGrid>
      <w:tr>
        <w:trPr/>
        <w:tc>
          <w:tcPr>
            <w:tcW w:w="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Symbol" w:hAnsi="Symbol"/>
              </w:rPr>
            </w:pPr>
            <w:r>
              <w:rPr>
                <w:rFonts w:ascii="Symbol" w:hAnsi="Symbol"/>
              </w:rPr>
              <w:t>·</w:t>
            </w:r>
          </w:p>
        </w:tc>
        <w:tc>
          <w:tcPr>
            <w:tcW w:w="9897" w:type="dxa"/>
            <w:tcBorders/>
            <w:vAlign w:val="center"/>
          </w:tcPr>
          <w:p>
            <w:pPr>
              <w:pStyle w:val="TableContents"/>
              <w:bidi w:val="0"/>
              <w:spacing w:before="0" w:after="283"/>
              <w:jc w:val="left"/>
              <w:rPr/>
            </w:pPr>
            <w:r>
              <w:rPr/>
              <w:t>any other method permitted pursuant to applicable law.</w:t>
            </w:r>
          </w:p>
        </w:tc>
      </w:tr>
    </w:tbl>
    <w:p>
      <w:pPr>
        <w:pStyle w:val="TextBody"/>
        <w:bidi w:val="0"/>
        <w:ind w:left="0" w:right="0" w:firstLine="36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and commissions under the Securities Act. If such dealers or agents were deemed to be underwriters, they may be subject to statutory liabilities under the Securities Act.</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make direct sales through subscription rights distributed to our existing stockholders on a pro rata basis, which may or may not be transferable. In any distribution of subscription rights to our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pStyle w:val="TextBody"/>
        <w:bidi w:val="0"/>
        <w:ind w:left="0" w:right="0" w:firstLine="36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may, from time to time, solicit offers to purchase the securities. If required, we will name in the applicable prospectus supplement, document incorporated by reference or related free writing prospectus, as applicable, any agent involved in the offer or sale of the securities and set forth any compensation payable to the agent. Unless otherwise indicated, any agent will be acting on a best efforts basis for the period of its appointment. Any agent selling the securities covered by this prospectus may be deemed to be an underwriter, as that term is defined in the Securities Act, of the securities.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an offering,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and any applicable free writing prospectus will be used by the underwriters to resell the securities.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dealer is used in the sale of the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document incorporated by reference or related free writing prospectus, as applicable, the name of the dealer and the terms of the transactions.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directly solicit offers to purchase the securities and may make sales of securities directly to institutional investors or others. These persons may be deemed to be underwriters within the meaning of the Securities Act with respect to any resale of the securities. To the extent required, the prospectus supplement, document incorporated by reference or related free writing prospectus, as applicable, will describe the terms of any such sales, including the terms of any bidding or auction process, if used.</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may be entitled under agreements which may be entered into with us to indemnification against specified liabilities, including liabilities incurred under the Securities Act, or to contribution to payments they may be required to make in respect of such liabilities. If required, the prospectus supplement, document incorporated by reference or related free writing prospectus, as applicable, will describe the terms and conditions of such indemnification or contribution. Some of the agents, underwriters or dealers, or their affiliates may be customers of, engage in transactions with or perform services for us, our subsidiaries or affiliates in the ordinary course of business.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securities offered by this prospectus may be sold in those states only through registered or licensed brokers or dealers.</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this prospectus may be amended or supplemented from time to time to describe a specific plan of distribution.</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we offer other than common stock and public warrants which are listed on Nasdaq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pStyle w:val="TextBody"/>
        <w:bidi w:val="0"/>
        <w:ind w:left="0" w:right="0" w:firstLine="72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LEGAL MATTERS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offered hereby will be passed upon for us by Allen Overy Shearman Sterling US LLP, Houston, Texas.</w:t>
      </w:r>
    </w:p>
    <w:p>
      <w:pPr>
        <w:pStyle w:val="TextBody"/>
        <w:bidi w:val="0"/>
        <w:spacing w:before="0" w:after="20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EXPERTS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financial statements of Microvast Holdings, Inc. as of December 31, 2024 and 2023, and for each of the three years in the period ended December 31, 2024, incorporated by reference in this prospectus, and the effectiveness of Microvast Holdings, Inc.’s internal control over financial reporting as of December 31, 2024 have been audited by Deloitte Touche Tohmatsu Certified Public Accountants LLP, an independent registered public accounting firm, as stated in their reports which express an unqualified opinion on the financial statements and an adverse opinion on the effectiveness of Microvast Holdings, Inc.'s internal control over financial reporting. Such financial statements are incorporated by reference in reliance upon the reports of such firm given their authority as experts in accounting and auditing. </w:t>
      </w:r>
    </w:p>
    <w:p>
      <w:pPr>
        <w:pStyle w:val="TextBody"/>
        <w:bidi w:val="0"/>
        <w:spacing w:before="240" w:after="240"/>
        <w:ind w:left="240" w:right="240" w:hanging="0"/>
        <w:jc w:val="left"/>
        <w:rPr>
          <w:caps w:val="false"/>
          <w:smallCaps w:val="false"/>
        </w:rPr>
      </w:pPr>
      <w:r>
        <w:rPr>
          <w:caps w:val="false"/>
          <w:smallCaps w:val="false"/>
        </w:rPr>
        <w:t> </w:t>
      </w:r>
    </w:p>
    <w:p>
      <w:pPr>
        <w:pStyle w:val="TextBody"/>
        <w:bidi w:val="0"/>
        <w:spacing w:before="240" w:after="240"/>
        <w:ind w:left="240" w:right="240" w:hanging="0"/>
        <w:jc w:val="left"/>
        <w:rPr>
          <w:caps w:val="false"/>
          <w:smallCaps w:val="false"/>
        </w:rPr>
      </w:pPr>
      <w:r>
        <w:rPr>
          <w:caps w:val="false"/>
          <w:smallCaps w:val="false"/>
        </w:rPr>
        <w:t> </w:t>
      </w:r>
    </w:p>
    <w:p>
      <w:pPr>
        <w:pStyle w:val="TextBody"/>
        <w:bidi w:val="0"/>
        <w:spacing w:before="240" w:after="240"/>
        <w:ind w:left="240" w:right="240" w:hanging="0"/>
        <w:jc w:val="left"/>
        <w:rPr>
          <w:caps w:val="false"/>
          <w:smallCaps w:val="false"/>
        </w:rPr>
      </w:pPr>
      <w:r>
        <w:rPr>
          <w:caps w:val="false"/>
          <w:smallCaps w:val="false"/>
        </w:rPr>
        <w:t> </w:t>
      </w:r>
    </w:p>
    <w:p>
      <w:pPr>
        <w:pStyle w:val="TextBody"/>
        <w:bidi w:val="0"/>
        <w:spacing w:before="240" w:after="240"/>
        <w:ind w:left="240" w:right="240" w:hanging="0"/>
        <w:jc w:val="left"/>
        <w:rPr>
          <w:caps w:val="false"/>
          <w:smallCaps w:val="false"/>
        </w:rPr>
      </w:pPr>
      <w:r>
        <w:rPr>
          <w:caps w:val="false"/>
          <w:smallCaps w:val="false"/>
        </w:rPr>
        <w:t> </w:t>
      </w:r>
    </w:p>
    <w:p>
      <w:pPr>
        <w:pStyle w:val="TextBody"/>
        <w:bidi w:val="0"/>
        <w:spacing w:before="240" w:after="240"/>
        <w:ind w:left="240" w:right="240" w:hanging="0"/>
        <w:jc w:val="left"/>
        <w:rPr>
          <w:caps w:val="false"/>
          <w:smallCaps w:val="false"/>
        </w:rPr>
      </w:pPr>
      <w:r>
        <w:rPr>
          <w:caps w:val="false"/>
          <w:smallCaps w:val="false"/>
        </w:rPr>
        <w:t> </w:t>
      </w:r>
    </w:p>
    <w:p>
      <w:pPr>
        <w:pStyle w:val="TextBody"/>
        <w:bidi w:val="0"/>
        <w:spacing w:before="240" w:after="240"/>
        <w:ind w:left="240" w:right="24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WHERE YOU CAN FIND MORE INFORMATION</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This prospectus is part of a registration statement on Form S-3 that we filed with the SEC. </w:t>
      </w:r>
      <w:r>
        <w:rPr>
          <w:rFonts w:ascii="Times New Roman;Times;Serif" w:hAnsi="Times New Roman;Times;Serif"/>
          <w:b w:val="false"/>
          <w:i w:val="false"/>
          <w:caps w:val="false"/>
          <w:smallCaps w:val="false"/>
          <w:sz w:val="20"/>
        </w:rPr>
        <w:t>This prospectus, which constitutes a part of the registration statement, does not contain all of the information set forth in the registration statement or the exhibits and schedules filed therewith.</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Times;Serif" w:hAnsi="Times New Roman;Times;Serif"/>
          <w:b w:val="false"/>
          <w:i w:val="false"/>
          <w:caps w:val="false"/>
          <w:smallCaps w:val="false"/>
          <w:color w:val="0000FF"/>
          <w:sz w:val="20"/>
          <w:u w:val="single"/>
        </w:rPr>
        <w:t>http://www.sec.gov</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website address is https://microvast.com.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pStyle w:val="TextBody"/>
        <w:bidi w:val="0"/>
        <w:ind w:left="0" w:right="0" w:firstLine="720"/>
        <w:jc w:val="left"/>
        <w:rPr>
          <w:caps w:val="false"/>
          <w:smallCaps w:val="false"/>
        </w:rPr>
      </w:pPr>
      <w:r>
        <w:rPr>
          <w:caps w:val="false"/>
          <w:smallCaps w:val="false"/>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applicable prospectus supplement are part of a registration statement that we filed with the SEC, but do not contain all of the information in the registration statement. The full registration statement may be obtained from the SEC or us, as provided below. Statements in the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INFORMATION INCORPORATED BY REFERENCE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accompanying prospectus supplement incorporate by reference the documents set forth below that have previously been filed with the SEC:</w:t>
      </w:r>
    </w:p>
    <w:tbl>
      <w:tblPr>
        <w:tblW w:w="9280" w:type="dxa"/>
        <w:jc w:val="left"/>
        <w:tblInd w:w="0" w:type="dxa"/>
        <w:tblLayout w:type="fixed"/>
        <w:tblCellMar>
          <w:top w:w="0" w:type="dxa"/>
          <w:left w:w="0" w:type="dxa"/>
          <w:bottom w:w="0" w:type="dxa"/>
          <w:right w:w="0" w:type="dxa"/>
        </w:tblCellMar>
      </w:tblPr>
      <w:tblGrid>
        <w:gridCol w:w="75"/>
        <w:gridCol w:w="95"/>
        <w:gridCol w:w="911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Annual Report on Form 10-K for the year ended December 31, 2024, filed with the SEC on March 31, 2025; </w:t>
            </w:r>
          </w:p>
        </w:tc>
      </w:tr>
    </w:tbl>
    <w:tbl>
      <w:tblPr>
        <w:tblW w:w="5000" w:type="pct"/>
        <w:jc w:val="left"/>
        <w:tblInd w:w="0" w:type="dxa"/>
        <w:tblLayout w:type="fixed"/>
        <w:tblCellMar>
          <w:top w:w="0" w:type="dxa"/>
          <w:left w:w="0" w:type="dxa"/>
          <w:bottom w:w="0" w:type="dxa"/>
          <w:right w:w="0" w:type="dxa"/>
        </w:tblCellMar>
      </w:tblPr>
      <w:tblGrid>
        <w:gridCol w:w="53"/>
        <w:gridCol w:w="175"/>
        <w:gridCol w:w="9977"/>
      </w:tblGrid>
      <w:tr>
        <w:trPr/>
        <w:tc>
          <w:tcPr>
            <w:tcW w:w="5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Symbol" w:hAnsi="Symbol"/>
              </w:rPr>
            </w:pPr>
            <w:r>
              <w:rPr>
                <w:rFonts w:ascii="Symbol" w:hAnsi="Symbol"/>
              </w:rPr>
              <w:t>·</w:t>
            </w:r>
          </w:p>
        </w:tc>
        <w:tc>
          <w:tcPr>
            <w:tcW w:w="9977" w:type="dxa"/>
            <w:tcBorders/>
            <w:vAlign w:val="center"/>
          </w:tcPr>
          <w:p>
            <w:pPr>
              <w:pStyle w:val="TableContents"/>
              <w:bidi w:val="0"/>
              <w:spacing w:before="0" w:after="283"/>
              <w:jc w:val="left"/>
              <w:rPr/>
            </w:pPr>
            <w:r>
              <w:rPr/>
              <w:t xml:space="preserve">our Current Report on Form 8-K filed with the SEC on April 9, 2025; and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description of our common stock contained in Exhibit 4.1 to our Annual Report on Form 10-K for the year ended December 31, 2023, as subsequently amended or updated for the purpose of updating the description of our common stock.</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we subsequently file pursuant to Section 13(a), 13(c), 14 or 15(d) of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undertake to provide without charge to each person, including any beneficial owner, to whom a copy of this prospectus is delivered, upon written or oral request of any such person, a copy of any and all of the information that has been incorporated by reference in this prospectus, other than exhibits to such documents, unless such exhibits have been specifically incorporated by reference thereto. Requests for such copies should be directed to our Investor Relations department, at the following address: Microvast Holdings, Inc., 12603 Southwest Freeway, Suite 300, Stafford, Texas 77477.</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120" w:after="120"/>
        <w:ind w:left="120" w:right="1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NOT REQUIRED IN PROSPECTUS </w:t>
      </w:r>
    </w:p>
    <w:tbl>
      <w:tblPr>
        <w:tblW w:w="5000" w:type="pct"/>
        <w:jc w:val="left"/>
        <w:tblInd w:w="0" w:type="dxa"/>
        <w:tblLayout w:type="fixed"/>
        <w:tblCellMar>
          <w:top w:w="0" w:type="dxa"/>
          <w:left w:w="0" w:type="dxa"/>
          <w:bottom w:w="0" w:type="dxa"/>
          <w:right w:w="0" w:type="dxa"/>
        </w:tblCellMar>
      </w:tblPr>
      <w:tblGrid>
        <w:gridCol w:w="70"/>
        <w:gridCol w:w="1565"/>
        <w:gridCol w:w="8570"/>
      </w:tblGrid>
      <w:tr>
        <w:trPr/>
        <w:tc>
          <w:tcPr>
            <w:tcW w:w="7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b/>
              </w:rPr>
            </w:pPr>
            <w:r>
              <w:rPr>
                <w:b/>
              </w:rPr>
              <w:t>Item 14.</w:t>
            </w:r>
          </w:p>
        </w:tc>
        <w:tc>
          <w:tcPr>
            <w:tcW w:w="8570" w:type="dxa"/>
            <w:tcBorders/>
            <w:vAlign w:val="center"/>
          </w:tcPr>
          <w:p>
            <w:pPr>
              <w:pStyle w:val="TableContents"/>
              <w:bidi w:val="0"/>
              <w:spacing w:before="0" w:after="283"/>
              <w:jc w:val="left"/>
              <w:rPr>
                <w:b/>
              </w:rPr>
            </w:pPr>
            <w:r>
              <w:rPr>
                <w:b/>
              </w:rPr>
              <w:t xml:space="preserve">Other Expenses of Issuance and Distribution </w:t>
            </w:r>
          </w:p>
        </w:tc>
      </w:tr>
    </w:tbl>
    <w:p>
      <w:pPr>
        <w:pStyle w:val="TextBody"/>
        <w:bidi w:val="0"/>
        <w:spacing w:before="120" w:after="120"/>
        <w:ind w:left="120" w:right="12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indicates the estimated expenses to be incurred in connection with the offering described in this registration statement, other than underwriting discounts and commissions.</w:t>
      </w:r>
    </w:p>
    <w:p>
      <w:pPr>
        <w:pStyle w:val="TextBody"/>
        <w:bidi w:val="0"/>
        <w:jc w:val="left"/>
        <w:rPr>
          <w:caps w:val="false"/>
          <w:smallCaps w:val="false"/>
        </w:rPr>
      </w:pPr>
      <w:r>
        <w:rPr>
          <w:caps w:val="false"/>
          <w:smallCaps w:val="false"/>
        </w:rPr>
        <w:t> </w:t>
      </w:r>
    </w:p>
    <w:tbl>
      <w:tblPr>
        <w:tblW w:w="5320" w:type="dxa"/>
        <w:jc w:val="center"/>
        <w:tblInd w:w="0" w:type="dxa"/>
        <w:tblLayout w:type="fixed"/>
        <w:tblCellMar>
          <w:top w:w="0" w:type="dxa"/>
          <w:left w:w="0" w:type="dxa"/>
          <w:bottom w:w="0" w:type="dxa"/>
          <w:right w:w="0" w:type="dxa"/>
        </w:tblCellMar>
      </w:tblPr>
      <w:tblGrid>
        <w:gridCol w:w="4355"/>
        <w:gridCol w:w="965"/>
      </w:tblGrid>
      <w:tr>
        <w:trPr/>
        <w:tc>
          <w:tcPr>
            <w:tcW w:w="435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lineRule="atLeast" w:line="142" w:before="0" w:after="283"/>
              <w:jc w:val="left"/>
              <w:rPr/>
            </w:pPr>
            <w:r>
              <w:rPr/>
              <w:t> </w:t>
            </w:r>
          </w:p>
        </w:tc>
        <w:tc>
          <w:tcPr>
            <w:tcW w:w="965"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p>
            <w:pPr>
              <w:pStyle w:val="TableContents"/>
              <w:bidi w:val="0"/>
              <w:spacing w:before="20" w:after="20"/>
              <w:ind w:left="0" w:right="0" w:hanging="240"/>
              <w:jc w:val="left"/>
              <w:rPr>
                <w:bdr w:val="single" w:sz="8" w:space="1" w:color="000000"/>
              </w:rPr>
            </w:pPr>
            <w:r>
              <w:rPr>
                <w:bdr w:val="single" w:sz="8" w:space="1" w:color="000000"/>
              </w:rPr>
              <w:t> </w:t>
            </w:r>
          </w:p>
        </w:tc>
      </w:tr>
      <w:tr>
        <w:trPr/>
        <w:tc>
          <w:tcPr>
            <w:tcW w:w="4355" w:type="dxa"/>
            <w:tcBorders/>
            <w:vAlign w:val="center"/>
          </w:tcPr>
          <w:p>
            <w:pPr>
              <w:pStyle w:val="TableContents"/>
              <w:bidi w:val="0"/>
              <w:spacing w:before="0" w:after="283"/>
              <w:jc w:val="left"/>
              <w:rPr>
                <w:sz w:val="20"/>
              </w:rPr>
            </w:pPr>
            <w:r>
              <w:rPr>
                <w:sz w:val="20"/>
              </w:rPr>
              <w:t>Securities and Exchange Commission registration fee</w:t>
              <w:tab/>
            </w:r>
          </w:p>
        </w:tc>
        <w:tc>
          <w:tcPr>
            <w:tcW w:w="965" w:type="dxa"/>
            <w:tcBorders/>
            <w:vAlign w:val="center"/>
          </w:tcPr>
          <w:p>
            <w:pPr>
              <w:pStyle w:val="TableContents"/>
              <w:bidi w:val="0"/>
              <w:spacing w:before="0" w:after="283"/>
              <w:ind w:left="0" w:right="0" w:hanging="240"/>
              <w:jc w:val="left"/>
              <w:rPr>
                <w:sz w:val="20"/>
              </w:rPr>
            </w:pPr>
            <w:r>
              <w:rPr>
                <w:sz w:val="20"/>
              </w:rPr>
              <w:t>$</w:t>
              <w:tab/>
              <w:t>40,085.41</w:t>
              <w:tab/>
            </w:r>
          </w:p>
        </w:tc>
      </w:tr>
      <w:tr>
        <w:trPr/>
        <w:tc>
          <w:tcPr>
            <w:tcW w:w="4355" w:type="dxa"/>
            <w:tcBorders/>
            <w:vAlign w:val="center"/>
          </w:tcPr>
          <w:p>
            <w:pPr>
              <w:pStyle w:val="TableContents"/>
              <w:bidi w:val="0"/>
              <w:spacing w:before="0" w:after="283"/>
              <w:jc w:val="left"/>
              <w:rPr>
                <w:sz w:val="20"/>
              </w:rPr>
            </w:pPr>
            <w:r>
              <w:rPr>
                <w:sz w:val="20"/>
              </w:rPr>
              <w:t>Accounting fees and expenses</w:t>
              <w:tab/>
            </w:r>
          </w:p>
        </w:tc>
        <w:tc>
          <w:tcPr>
            <w:tcW w:w="965" w:type="dxa"/>
            <w:tcBorders/>
            <w:vAlign w:val="center"/>
          </w:tcPr>
          <w:p>
            <w:pPr>
              <w:pStyle w:val="TableContents"/>
              <w:bidi w:val="0"/>
              <w:spacing w:before="0" w:after="283"/>
              <w:ind w:left="0" w:right="0" w:hanging="240"/>
              <w:jc w:val="left"/>
              <w:rPr>
                <w:sz w:val="20"/>
              </w:rPr>
            </w:pPr>
            <w:r>
              <w:rPr>
                <w:sz w:val="20"/>
              </w:rPr>
              <w:t>$</w:t>
              <w:tab/>
              <w:t>        *</w:t>
              <w:tab/>
            </w:r>
          </w:p>
        </w:tc>
      </w:tr>
      <w:tr>
        <w:trPr/>
        <w:tc>
          <w:tcPr>
            <w:tcW w:w="4355" w:type="dxa"/>
            <w:tcBorders/>
            <w:vAlign w:val="center"/>
          </w:tcPr>
          <w:p>
            <w:pPr>
              <w:pStyle w:val="TableContents"/>
              <w:bidi w:val="0"/>
              <w:spacing w:before="0" w:after="283"/>
              <w:jc w:val="left"/>
              <w:rPr>
                <w:sz w:val="20"/>
              </w:rPr>
            </w:pPr>
            <w:r>
              <w:rPr>
                <w:sz w:val="20"/>
              </w:rPr>
              <w:t>Legal fees and expenses</w:t>
              <w:tab/>
            </w:r>
          </w:p>
        </w:tc>
        <w:tc>
          <w:tcPr>
            <w:tcW w:w="965" w:type="dxa"/>
            <w:tcBorders/>
            <w:vAlign w:val="center"/>
          </w:tcPr>
          <w:p>
            <w:pPr>
              <w:pStyle w:val="TableContents"/>
              <w:bidi w:val="0"/>
              <w:spacing w:before="0" w:after="283"/>
              <w:ind w:left="0" w:right="0" w:hanging="240"/>
              <w:jc w:val="left"/>
              <w:rPr>
                <w:sz w:val="20"/>
              </w:rPr>
            </w:pPr>
            <w:r>
              <w:rPr>
                <w:sz w:val="20"/>
              </w:rPr>
              <w:t>$</w:t>
              <w:tab/>
              <w:t>        *</w:t>
              <w:tab/>
            </w:r>
          </w:p>
        </w:tc>
      </w:tr>
      <w:tr>
        <w:trPr/>
        <w:tc>
          <w:tcPr>
            <w:tcW w:w="4355" w:type="dxa"/>
            <w:tcBorders/>
            <w:vAlign w:val="center"/>
          </w:tcPr>
          <w:p>
            <w:pPr>
              <w:pStyle w:val="TableContents"/>
              <w:bidi w:val="0"/>
              <w:spacing w:before="0" w:after="283"/>
              <w:jc w:val="left"/>
              <w:rPr>
                <w:sz w:val="20"/>
              </w:rPr>
            </w:pPr>
            <w:r>
              <w:rPr>
                <w:sz w:val="20"/>
              </w:rPr>
              <w:t>Transfer agent and trustee fees</w:t>
              <w:tab/>
            </w:r>
          </w:p>
        </w:tc>
        <w:tc>
          <w:tcPr>
            <w:tcW w:w="965" w:type="dxa"/>
            <w:tcBorders/>
            <w:vAlign w:val="center"/>
          </w:tcPr>
          <w:p>
            <w:pPr>
              <w:pStyle w:val="TableContents"/>
              <w:bidi w:val="0"/>
              <w:spacing w:before="0" w:after="283"/>
              <w:ind w:left="0" w:right="0" w:hanging="240"/>
              <w:jc w:val="left"/>
              <w:rPr>
                <w:sz w:val="20"/>
              </w:rPr>
            </w:pPr>
            <w:r>
              <w:rPr>
                <w:sz w:val="20"/>
              </w:rPr>
              <w:t>$        </w:t>
              <w:tab/>
              <w:t>*</w:t>
              <w:tab/>
            </w:r>
          </w:p>
        </w:tc>
      </w:tr>
      <w:tr>
        <w:trPr/>
        <w:tc>
          <w:tcPr>
            <w:tcW w:w="4355" w:type="dxa"/>
            <w:tcBorders/>
            <w:vAlign w:val="center"/>
          </w:tcPr>
          <w:p>
            <w:pPr>
              <w:pStyle w:val="TableContents"/>
              <w:bidi w:val="0"/>
              <w:spacing w:before="0" w:after="283"/>
              <w:jc w:val="left"/>
              <w:rPr>
                <w:sz w:val="20"/>
              </w:rPr>
            </w:pPr>
            <w:r>
              <w:rPr>
                <w:sz w:val="20"/>
              </w:rPr>
              <w:t>Listing fees</w:t>
              <w:tab/>
            </w:r>
          </w:p>
        </w:tc>
        <w:tc>
          <w:tcPr>
            <w:tcW w:w="965" w:type="dxa"/>
            <w:tcBorders/>
            <w:vAlign w:val="center"/>
          </w:tcPr>
          <w:p>
            <w:pPr>
              <w:pStyle w:val="TableContents"/>
              <w:bidi w:val="0"/>
              <w:spacing w:before="0" w:after="283"/>
              <w:ind w:left="0" w:right="0" w:hanging="240"/>
              <w:jc w:val="left"/>
              <w:rPr>
                <w:sz w:val="20"/>
              </w:rPr>
            </w:pPr>
            <w:r>
              <w:rPr>
                <w:sz w:val="20"/>
              </w:rPr>
              <w:t>$        </w:t>
              <w:tab/>
              <w:t>*</w:t>
              <w:tab/>
            </w:r>
          </w:p>
        </w:tc>
      </w:tr>
      <w:tr>
        <w:trPr/>
        <w:tc>
          <w:tcPr>
            <w:tcW w:w="4355" w:type="dxa"/>
            <w:tcBorders/>
            <w:vAlign w:val="center"/>
          </w:tcPr>
          <w:p>
            <w:pPr>
              <w:pStyle w:val="TableContents"/>
              <w:bidi w:val="0"/>
              <w:spacing w:before="0" w:after="283"/>
              <w:jc w:val="left"/>
              <w:rPr>
                <w:sz w:val="20"/>
              </w:rPr>
            </w:pPr>
            <w:r>
              <w:rPr>
                <w:sz w:val="20"/>
              </w:rPr>
              <w:t>Financial printing and miscellaneous expenses</w:t>
              <w:tab/>
            </w:r>
          </w:p>
        </w:tc>
        <w:tc>
          <w:tcPr>
            <w:tcW w:w="965" w:type="dxa"/>
            <w:tcBorders/>
            <w:vAlign w:val="center"/>
          </w:tcPr>
          <w:p>
            <w:pPr>
              <w:pStyle w:val="TableContents"/>
              <w:bidi w:val="0"/>
              <w:spacing w:before="0" w:after="283"/>
              <w:jc w:val="left"/>
              <w:rPr>
                <w:sz w:val="20"/>
              </w:rPr>
            </w:pPr>
            <w:r>
              <w:rPr>
                <w:sz w:val="20"/>
              </w:rPr>
              <w:t>$        </w:t>
              <w:tab/>
              <w:t>*</w:t>
              <w:tab/>
            </w:r>
          </w:p>
        </w:tc>
      </w:tr>
      <w:tr>
        <w:trPr/>
        <w:tc>
          <w:tcPr>
            <w:tcW w:w="4355" w:type="dxa"/>
            <w:tcBorders/>
            <w:vAlign w:val="center"/>
          </w:tcPr>
          <w:p>
            <w:pPr>
              <w:pStyle w:val="TableContents"/>
              <w:bidi w:val="0"/>
              <w:spacing w:lineRule="atLeast" w:line="142" w:before="0" w:after="283"/>
              <w:jc w:val="left"/>
              <w:rPr/>
            </w:pPr>
            <w:r>
              <w:rPr/>
              <w:t> </w:t>
            </w:r>
          </w:p>
        </w:tc>
        <w:tc>
          <w:tcPr>
            <w:tcW w:w="965" w:type="dxa"/>
            <w:tcBorders/>
            <w:vAlign w:val="center"/>
          </w:tcPr>
          <w:p>
            <w:pPr>
              <w:pStyle w:val="TableContents"/>
              <w:bidi w:val="0"/>
              <w:spacing w:before="20" w:after="20"/>
              <w:ind w:left="0" w:right="0" w:hanging="240"/>
              <w:jc w:val="left"/>
              <w:rPr>
                <w:bdr w:val="single" w:sz="8" w:space="1" w:color="000000"/>
              </w:rPr>
            </w:pPr>
            <w:r>
              <w:rPr>
                <w:bdr w:val="single" w:sz="8" w:space="1" w:color="000000"/>
              </w:rPr>
              <w:t> </w:t>
            </w:r>
          </w:p>
        </w:tc>
      </w:tr>
      <w:tr>
        <w:trPr/>
        <w:tc>
          <w:tcPr>
            <w:tcW w:w="4355" w:type="dxa"/>
            <w:tcBorders/>
            <w:vAlign w:val="center"/>
          </w:tcPr>
          <w:p>
            <w:pPr>
              <w:pStyle w:val="TableContents"/>
              <w:bidi w:val="0"/>
              <w:spacing w:before="0" w:after="283"/>
              <w:jc w:val="left"/>
              <w:rPr>
                <w:sz w:val="20"/>
              </w:rPr>
            </w:pPr>
            <w:r>
              <w:rPr>
                <w:sz w:val="20"/>
              </w:rPr>
              <w:t>Total expenses</w:t>
              <w:tab/>
            </w:r>
          </w:p>
        </w:tc>
        <w:tc>
          <w:tcPr>
            <w:tcW w:w="965" w:type="dxa"/>
            <w:tcBorders/>
            <w:vAlign w:val="center"/>
          </w:tcPr>
          <w:p>
            <w:pPr>
              <w:pStyle w:val="TableContents"/>
              <w:bidi w:val="0"/>
              <w:spacing w:before="0" w:after="283"/>
              <w:jc w:val="left"/>
              <w:rPr>
                <w:sz w:val="20"/>
              </w:rPr>
            </w:pPr>
            <w:r>
              <w:rPr>
                <w:sz w:val="20"/>
              </w:rPr>
              <w:t>$         *</w:t>
              <w:tab/>
            </w:r>
          </w:p>
        </w:tc>
      </w:tr>
    </w:tbl>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fees and expenses are calculated based on the number of issuances and amount of securities offered and accordingly cannot be estimated at this time.</w:t>
      </w:r>
    </w:p>
    <w:tbl>
      <w:tblPr>
        <w:tblW w:w="5000" w:type="pct"/>
        <w:jc w:val="left"/>
        <w:tblInd w:w="0" w:type="dxa"/>
        <w:tblLayout w:type="fixed"/>
        <w:tblCellMar>
          <w:top w:w="0" w:type="dxa"/>
          <w:left w:w="0" w:type="dxa"/>
          <w:bottom w:w="0" w:type="dxa"/>
          <w:right w:w="0" w:type="dxa"/>
        </w:tblCellMar>
      </w:tblPr>
      <w:tblGrid>
        <w:gridCol w:w="75"/>
        <w:gridCol w:w="1675"/>
        <w:gridCol w:w="8455"/>
      </w:tblGrid>
      <w:tr>
        <w:trPr/>
        <w:tc>
          <w:tcPr>
            <w:tcW w:w="75"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b/>
              </w:rPr>
            </w:pPr>
            <w:r>
              <w:rPr>
                <w:b/>
              </w:rPr>
              <w:t>Item 15.</w:t>
            </w:r>
          </w:p>
        </w:tc>
        <w:tc>
          <w:tcPr>
            <w:tcW w:w="8455" w:type="dxa"/>
            <w:tcBorders/>
            <w:vAlign w:val="center"/>
          </w:tcPr>
          <w:p>
            <w:pPr>
              <w:pStyle w:val="TableContents"/>
              <w:bidi w:val="0"/>
              <w:spacing w:before="0" w:after="283"/>
              <w:jc w:val="left"/>
              <w:rPr>
                <w:b/>
              </w:rPr>
            </w:pPr>
            <w:r>
              <w:rPr>
                <w:b/>
              </w:rPr>
              <w:t xml:space="preserve">Indemnification of Directors and Officers </w:t>
            </w:r>
          </w:p>
        </w:tc>
      </w:tr>
    </w:tbl>
    <w:p>
      <w:pPr>
        <w:pStyle w:val="TextBody"/>
        <w:shd w:fill="FFFFFF" w:val="clear"/>
        <w:bidi w:val="0"/>
        <w:spacing w:before="160" w:after="160"/>
        <w:ind w:left="160" w:right="160" w:firstLine="720"/>
        <w:jc w:val="left"/>
        <w:rPr>
          <w:rFonts w:ascii="Times New Roman PS Std;serif" w:hAnsi="Times New Roman PS Std;serif"/>
          <w:b w:val="false"/>
          <w:i w:val="false"/>
          <w:caps w:val="false"/>
          <w:smallCaps w:val="false"/>
          <w:color w:val="212529"/>
          <w:sz w:val="20"/>
        </w:rPr>
      </w:pPr>
      <w:r>
        <w:rPr>
          <w:rFonts w:ascii="Times New Roman PS Std;serif" w:hAnsi="Times New Roman PS Std;serif"/>
          <w:b w:val="false"/>
          <w:i w:val="false"/>
          <w:caps w:val="false"/>
          <w:smallCaps w:val="false"/>
          <w:color w:val="212529"/>
          <w:sz w:val="20"/>
        </w:rPr>
        <w:t>Section 145 of the DGCL, as amended, authorizes us to indemnify any director or officer under certain prescribed circumstances and subject to certain limitations against certain costs and expenses, including attorney’s fees actually and reasonably incurred in connection with any action, suit or proceeding, whether civil, criminal, administrative or investigative, to which a person is a party by reason of being one of our directors or officers if it is determined that such person acted in accordance with the applicable standard of conduct set forth in such statutory provisions.</w:t>
      </w:r>
    </w:p>
    <w:p>
      <w:pPr>
        <w:pStyle w:val="TextBody"/>
        <w:shd w:fill="FFFFFF" w:val="clear"/>
        <w:bidi w:val="0"/>
        <w:spacing w:before="160" w:after="160"/>
        <w:ind w:left="160" w:right="160" w:firstLine="720"/>
        <w:jc w:val="left"/>
        <w:rPr>
          <w:rFonts w:ascii="Times New Roman PS Std;serif" w:hAnsi="Times New Roman PS Std;serif"/>
          <w:b w:val="false"/>
          <w:i w:val="false"/>
          <w:caps w:val="false"/>
          <w:smallCaps w:val="false"/>
          <w:color w:val="212529"/>
          <w:sz w:val="20"/>
        </w:rPr>
      </w:pPr>
      <w:r>
        <w:rPr>
          <w:rFonts w:ascii="Times New Roman PS Std;serif" w:hAnsi="Times New Roman PS Std;serif"/>
          <w:b w:val="false"/>
          <w:i w:val="false"/>
          <w:caps w:val="false"/>
          <w:smallCaps w:val="false"/>
          <w:color w:val="212529"/>
          <w:sz w:val="20"/>
        </w:rPr>
        <w:t>Our Certificate of Incorporation provides that our officers and directors are indemnified by us to the fullest extent authorized by Delaware law, as it now exists or may in the future be amended. In addition, our Certificate of Incorporation provides that our directors will not be personally liable for monetary damages to us or our stockholders for breaches of their fiduciary duty as directors, except to the extent such exemption from liability or limitation thereof is not permitted under the DGCL as the same exists or may hereafter be amended.</w:t>
      </w:r>
    </w:p>
    <w:p>
      <w:pPr>
        <w:pStyle w:val="TextBody"/>
        <w:shd w:fill="FFFFFF" w:val="clear"/>
        <w:bidi w:val="0"/>
        <w:spacing w:before="160" w:after="160"/>
        <w:ind w:left="160" w:right="160" w:firstLine="720"/>
        <w:jc w:val="left"/>
        <w:rPr>
          <w:rFonts w:ascii="Times New Roman PS Std;serif" w:hAnsi="Times New Roman PS Std;serif"/>
          <w:b w:val="false"/>
          <w:i w:val="false"/>
          <w:caps w:val="false"/>
          <w:smallCaps w:val="false"/>
          <w:color w:val="212529"/>
          <w:sz w:val="20"/>
        </w:rPr>
      </w:pPr>
      <w:r>
        <w:rPr>
          <w:rFonts w:ascii="Times New Roman PS Std;serif" w:hAnsi="Times New Roman PS Std;serif"/>
          <w:b w:val="false"/>
          <w:i w:val="false"/>
          <w:caps w:val="false"/>
          <w:smallCaps w:val="false"/>
          <w:color w:val="212529"/>
          <w:sz w:val="20"/>
        </w:rPr>
        <w:t>Our Bylaws permit us to secure insurance on behalf of any officer, director, employee or agent of the Company for any liability arising out of his or her actions, regardless of whether Delaware law would permit such indemnification.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 In addition, we have entered into indemnification agreements with each of our officers and directors, a form of which is incorporated by reference in this registration statement.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pStyle w:val="TextBody"/>
        <w:shd w:fill="FFFFFF" w:val="clear"/>
        <w:bidi w:val="0"/>
        <w:spacing w:before="160" w:after="160"/>
        <w:ind w:left="160" w:right="160" w:firstLine="720"/>
        <w:jc w:val="left"/>
        <w:rPr>
          <w:rFonts w:ascii="Times New Roman PS Std;serif" w:hAnsi="Times New Roman PS Std;serif"/>
          <w:b w:val="false"/>
          <w:i w:val="false"/>
          <w:caps w:val="false"/>
          <w:smallCaps w:val="false"/>
          <w:color w:val="212529"/>
          <w:sz w:val="20"/>
        </w:rPr>
      </w:pPr>
      <w:r>
        <w:rPr>
          <w:rFonts w:ascii="Times New Roman PS Std;serif" w:hAnsi="Times New Roman PS Std;serif"/>
          <w:b w:val="false"/>
          <w:i w:val="false"/>
          <w:caps w:val="false"/>
          <w:smallCaps w:val="false"/>
          <w:color w:val="212529"/>
          <w:sz w:val="20"/>
        </w:rPr>
        <w:t>Insofar as indemnification for liabilities arising under the Securities Act may be permitted to directors, officers or persons controlling us pursuant to the foregoing provisions, or otherwise, we have been advised that in the opinion of the SEC, such indemnification is against public policy as expressed in the Securities Act and is, therefore, unenforceable.</w:t>
      </w:r>
    </w:p>
    <w:tbl>
      <w:tblPr>
        <w:tblW w:w="5000" w:type="pct"/>
        <w:jc w:val="left"/>
        <w:tblInd w:w="0" w:type="dxa"/>
        <w:tblLayout w:type="fixed"/>
        <w:tblCellMar>
          <w:top w:w="0" w:type="dxa"/>
          <w:left w:w="0" w:type="dxa"/>
          <w:bottom w:w="0" w:type="dxa"/>
          <w:right w:w="0" w:type="dxa"/>
        </w:tblCellMar>
      </w:tblPr>
      <w:tblGrid>
        <w:gridCol w:w="213"/>
        <w:gridCol w:w="4743"/>
        <w:gridCol w:w="5249"/>
      </w:tblGrid>
      <w:tr>
        <w:trPr/>
        <w:tc>
          <w:tcPr>
            <w:tcW w:w="213" w:type="dxa"/>
            <w:tcBorders/>
            <w:vAlign w:val="center"/>
          </w:tcPr>
          <w:p>
            <w:pPr>
              <w:pStyle w:val="TableContents"/>
              <w:bidi w:val="0"/>
              <w:spacing w:before="0" w:after="283"/>
              <w:jc w:val="left"/>
              <w:rPr>
                <w:sz w:val="4"/>
                <w:szCs w:val="4"/>
              </w:rPr>
            </w:pPr>
            <w:r>
              <w:rPr>
                <w:sz w:val="4"/>
                <w:szCs w:val="4"/>
              </w:rPr>
            </w:r>
          </w:p>
        </w:tc>
        <w:tc>
          <w:tcPr>
            <w:tcW w:w="4743" w:type="dxa"/>
            <w:tcBorders/>
            <w:vAlign w:val="center"/>
          </w:tcPr>
          <w:p>
            <w:pPr>
              <w:pStyle w:val="TableContents"/>
              <w:bidi w:val="0"/>
              <w:spacing w:before="0" w:after="283"/>
              <w:jc w:val="left"/>
              <w:rPr>
                <w:b/>
              </w:rPr>
            </w:pPr>
            <w:r>
              <w:rPr>
                <w:b/>
              </w:rPr>
              <w:t>Item 16.</w:t>
            </w:r>
          </w:p>
        </w:tc>
        <w:tc>
          <w:tcPr>
            <w:tcW w:w="5249" w:type="dxa"/>
            <w:tcBorders/>
            <w:vAlign w:val="center"/>
          </w:tcPr>
          <w:p>
            <w:pPr>
              <w:pStyle w:val="TableContents"/>
              <w:bidi w:val="0"/>
              <w:spacing w:before="0" w:after="283"/>
              <w:jc w:val="left"/>
              <w:rPr>
                <w:b/>
              </w:rPr>
            </w:pPr>
            <w:r>
              <w:rPr>
                <w:b/>
              </w:rPr>
              <w:t xml:space="preserve">Exhibits </w:t>
            </w:r>
          </w:p>
        </w:tc>
      </w:tr>
    </w:tbl>
    <w:p>
      <w:pPr>
        <w:pStyle w:val="TextBody"/>
        <w:bidi w:val="0"/>
        <w:spacing w:before="120" w:after="240"/>
        <w:ind w:left="120"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Exhibits.</w:t>
      </w:r>
    </w:p>
    <w:tbl>
      <w:tblPr>
        <w:tblW w:w="10205" w:type="dxa"/>
        <w:jc w:val="left"/>
        <w:tblInd w:w="0" w:type="dxa"/>
        <w:tblLayout w:type="fixed"/>
        <w:tblCellMar>
          <w:top w:w="0" w:type="dxa"/>
          <w:left w:w="0" w:type="dxa"/>
          <w:bottom w:w="0" w:type="dxa"/>
          <w:right w:w="0" w:type="dxa"/>
        </w:tblCellMar>
      </w:tblPr>
      <w:tblGrid>
        <w:gridCol w:w="677"/>
        <w:gridCol w:w="9528"/>
      </w:tblGrid>
      <w:tr>
        <w:trPr/>
        <w:tc>
          <w:tcPr>
            <w:tcW w:w="677" w:type="dxa"/>
            <w:tcBorders/>
            <w:vAlign w:val="center"/>
          </w:tcPr>
          <w:p>
            <w:pPr>
              <w:pStyle w:val="TableContents"/>
              <w:bidi w:val="0"/>
              <w:spacing w:before="0" w:after="283"/>
              <w:jc w:val="left"/>
              <w:rPr/>
            </w:pPr>
            <w:r>
              <w:rPr/>
              <w:t> </w:t>
            </w:r>
          </w:p>
        </w:tc>
        <w:tc>
          <w:tcPr>
            <w:tcW w:w="9528" w:type="dxa"/>
            <w:tcBorders/>
            <w:vAlign w:val="center"/>
          </w:tcPr>
          <w:p>
            <w:pPr>
              <w:pStyle w:val="TableContents"/>
              <w:bidi w:val="0"/>
              <w:spacing w:before="0" w:after="283"/>
              <w:jc w:val="left"/>
              <w:rPr/>
            </w:pPr>
            <w:r>
              <w:rPr/>
              <w:t> </w:t>
            </w:r>
          </w:p>
        </w:tc>
      </w:tr>
      <w:tr>
        <w:trPr/>
        <w:tc>
          <w:tcPr>
            <w:tcW w:w="677" w:type="dxa"/>
            <w:tcBorders/>
            <w:vAlign w:val="center"/>
          </w:tcPr>
          <w:p>
            <w:pPr>
              <w:pStyle w:val="TableContents"/>
              <w:bidi w:val="0"/>
              <w:spacing w:before="0" w:after="283"/>
              <w:jc w:val="left"/>
              <w:rPr/>
            </w:pPr>
            <w:r>
              <w:rPr/>
              <w:t> </w:t>
            </w:r>
          </w:p>
        </w:tc>
        <w:tc>
          <w:tcPr>
            <w:tcW w:w="9528" w:type="dxa"/>
            <w:tcBorders/>
            <w:vAlign w:val="center"/>
          </w:tcPr>
          <w:p>
            <w:pPr>
              <w:pStyle w:val="TableContents"/>
              <w:bidi w:val="0"/>
              <w:spacing w:before="0" w:after="283"/>
              <w:jc w:val="left"/>
              <w:rPr/>
            </w:pPr>
            <w:r>
              <w:rPr/>
              <w:t> </w:t>
            </w:r>
          </w:p>
        </w:tc>
      </w:tr>
      <w:tr>
        <w:trPr/>
        <w:tc>
          <w:tcPr>
            <w:tcW w:w="677" w:type="dxa"/>
            <w:tcBorders/>
            <w:vAlign w:val="center"/>
          </w:tcPr>
          <w:p>
            <w:pPr>
              <w:pStyle w:val="TableContents"/>
              <w:pBdr>
                <w:bottom w:val="single" w:sz="4" w:space="1" w:color="000000"/>
              </w:pBdr>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9528" w:type="dxa"/>
            <w:tcBorders/>
            <w:vAlign w:val="center"/>
          </w:tcPr>
          <w:p>
            <w:pPr>
              <w:pStyle w:val="TableContents"/>
              <w:pBdr>
                <w:bottom w:val="single" w:sz="4" w:space="1" w:color="000000"/>
              </w:pBdr>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677" w:type="dxa"/>
            <w:tcBorders/>
            <w:vAlign w:val="center"/>
          </w:tcPr>
          <w:p>
            <w:pPr>
              <w:pStyle w:val="TableContents"/>
              <w:bidi w:val="0"/>
              <w:spacing w:before="0" w:after="283"/>
              <w:jc w:val="right"/>
              <w:rPr>
                <w:sz w:val="20"/>
              </w:rPr>
            </w:pPr>
            <w:r>
              <w:rPr>
                <w:sz w:val="20"/>
              </w:rPr>
              <w:t>1.1*</w:t>
            </w:r>
          </w:p>
        </w:tc>
        <w:tc>
          <w:tcPr>
            <w:tcW w:w="9528" w:type="dxa"/>
            <w:tcBorders/>
            <w:vAlign w:val="center"/>
          </w:tcPr>
          <w:p>
            <w:pPr>
              <w:pStyle w:val="TableContents"/>
              <w:bidi w:val="0"/>
              <w:spacing w:before="0" w:after="283"/>
              <w:jc w:val="left"/>
              <w:rPr>
                <w:sz w:val="20"/>
              </w:rPr>
            </w:pPr>
            <w:r>
              <w:rPr>
                <w:sz w:val="20"/>
              </w:rPr>
              <w:t>Form of Underwriting Agreement</w:t>
            </w:r>
          </w:p>
        </w:tc>
      </w:tr>
      <w:tr>
        <w:trPr/>
        <w:tc>
          <w:tcPr>
            <w:tcW w:w="677" w:type="dxa"/>
            <w:tcBorders/>
            <w:vAlign w:val="center"/>
          </w:tcPr>
          <w:p>
            <w:pPr>
              <w:pStyle w:val="TableContents"/>
              <w:bidi w:val="0"/>
              <w:spacing w:before="0" w:after="283"/>
              <w:jc w:val="right"/>
              <w:rPr>
                <w:sz w:val="20"/>
              </w:rPr>
            </w:pPr>
            <w:r>
              <w:rPr>
                <w:sz w:val="20"/>
              </w:rPr>
              <w:t>2.1</w:t>
            </w:r>
          </w:p>
        </w:tc>
        <w:tc>
          <w:tcPr>
            <w:tcW w:w="9528" w:type="dxa"/>
            <w:tcBorders/>
            <w:vAlign w:val="center"/>
          </w:tcPr>
          <w:p>
            <w:pPr>
              <w:pStyle w:val="TableContents"/>
              <w:bidi w:val="0"/>
              <w:spacing w:before="0" w:after="283"/>
              <w:jc w:val="left"/>
              <w:rPr/>
            </w:pPr>
            <w:hyperlink r:id="rId2">
              <w:r>
                <w:rPr>
                  <w:rStyle w:val="InternetLink"/>
                  <w:sz w:val="20"/>
                </w:rPr>
                <w:t>Agreement and Plan of Merger, dated as of February 1, 2021, by and among Tuscan Holdings Corp., TSCN Merger Sub Inc., and Microvast, Inc. (incorporated by reference to the Company’s definitive proxy statement on Schedule 14A, filed with the SEC on July 2, 2021).</w:t>
              </w:r>
            </w:hyperlink>
          </w:p>
        </w:tc>
      </w:tr>
      <w:tr>
        <w:trPr/>
        <w:tc>
          <w:tcPr>
            <w:tcW w:w="677" w:type="dxa"/>
            <w:tcBorders/>
            <w:vAlign w:val="center"/>
          </w:tcPr>
          <w:p>
            <w:pPr>
              <w:pStyle w:val="TableContents"/>
              <w:bidi w:val="0"/>
              <w:spacing w:before="0" w:after="283"/>
              <w:jc w:val="right"/>
              <w:rPr>
                <w:sz w:val="20"/>
              </w:rPr>
            </w:pPr>
            <w:r>
              <w:rPr>
                <w:sz w:val="20"/>
              </w:rPr>
              <w:t>3.1</w:t>
            </w:r>
          </w:p>
        </w:tc>
        <w:tc>
          <w:tcPr>
            <w:tcW w:w="9528" w:type="dxa"/>
            <w:tcBorders/>
            <w:vAlign w:val="center"/>
          </w:tcPr>
          <w:p>
            <w:pPr>
              <w:pStyle w:val="TableContents"/>
              <w:bidi w:val="0"/>
              <w:spacing w:before="0" w:after="283"/>
              <w:jc w:val="left"/>
              <w:rPr/>
            </w:pPr>
            <w:hyperlink r:id="rId3">
              <w:r>
                <w:rPr>
                  <w:rStyle w:val="InternetLink"/>
                  <w:sz w:val="20"/>
                </w:rPr>
                <w:t>Second Amended and Restated Certificate of Incorporation of Microvast Holdings, Inc. (incorporated by reference to Exhibit 3.1 of the Company’s Current Report on Form 8-K, filed with the SEC on July 28, 2021).</w:t>
              </w:r>
            </w:hyperlink>
          </w:p>
        </w:tc>
      </w:tr>
      <w:tr>
        <w:trPr/>
        <w:tc>
          <w:tcPr>
            <w:tcW w:w="677" w:type="dxa"/>
            <w:tcBorders/>
            <w:vAlign w:val="center"/>
          </w:tcPr>
          <w:p>
            <w:pPr>
              <w:pStyle w:val="TableContents"/>
              <w:bidi w:val="0"/>
              <w:spacing w:before="0" w:after="283"/>
              <w:jc w:val="right"/>
              <w:rPr>
                <w:sz w:val="20"/>
              </w:rPr>
            </w:pPr>
            <w:r>
              <w:rPr>
                <w:sz w:val="20"/>
              </w:rPr>
              <w:t>3.2</w:t>
            </w:r>
          </w:p>
        </w:tc>
        <w:tc>
          <w:tcPr>
            <w:tcW w:w="9528" w:type="dxa"/>
            <w:tcBorders/>
            <w:vAlign w:val="center"/>
          </w:tcPr>
          <w:p>
            <w:pPr>
              <w:pStyle w:val="TableContents"/>
              <w:bidi w:val="0"/>
              <w:spacing w:before="0" w:after="283"/>
              <w:jc w:val="left"/>
              <w:rPr/>
            </w:pPr>
            <w:hyperlink r:id="rId4">
              <w:r>
                <w:rPr>
                  <w:rStyle w:val="InternetLink"/>
                  <w:sz w:val="20"/>
                </w:rPr>
                <w:t>Amended and Restated Bylaws of Microvast Holdings, Inc. (incorporated by reference to Exhibit 3.2 of the Company’s Current Report on Form 8-K, filed with the SEC on July 28, 2021).</w:t>
              </w:r>
            </w:hyperlink>
          </w:p>
        </w:tc>
      </w:tr>
      <w:tr>
        <w:trPr/>
        <w:tc>
          <w:tcPr>
            <w:tcW w:w="677" w:type="dxa"/>
            <w:tcBorders/>
            <w:vAlign w:val="center"/>
          </w:tcPr>
          <w:p>
            <w:pPr>
              <w:pStyle w:val="TableContents"/>
              <w:bidi w:val="0"/>
              <w:spacing w:before="0" w:after="283"/>
              <w:jc w:val="right"/>
              <w:rPr>
                <w:sz w:val="20"/>
              </w:rPr>
            </w:pPr>
            <w:r>
              <w:rPr>
                <w:sz w:val="20"/>
              </w:rPr>
              <w:t>4.1</w:t>
            </w:r>
          </w:p>
        </w:tc>
        <w:tc>
          <w:tcPr>
            <w:tcW w:w="9528" w:type="dxa"/>
            <w:tcBorders/>
            <w:vAlign w:val="center"/>
          </w:tcPr>
          <w:p>
            <w:pPr>
              <w:pStyle w:val="TableContents"/>
              <w:bidi w:val="0"/>
              <w:spacing w:before="0" w:after="283"/>
              <w:jc w:val="left"/>
              <w:rPr/>
            </w:pPr>
            <w:hyperlink r:id="rId5">
              <w:r>
                <w:rPr>
                  <w:rStyle w:val="InternetLink"/>
                  <w:sz w:val="20"/>
                </w:rPr>
                <w:t>Specimen Common Stock Certificate (incorporated by reference to Exhibit 4.4 of the Company’s Current Report on Form 8-K, filed with the SEC on July 28, 2021).</w:t>
              </w:r>
            </w:hyperlink>
            <w:r>
              <w:rPr>
                <w:sz w:val="20"/>
              </w:rPr>
              <w:t xml:space="preserve"> </w:t>
            </w:r>
          </w:p>
        </w:tc>
      </w:tr>
      <w:tr>
        <w:trPr/>
        <w:tc>
          <w:tcPr>
            <w:tcW w:w="677" w:type="dxa"/>
            <w:tcBorders/>
            <w:vAlign w:val="center"/>
          </w:tcPr>
          <w:p>
            <w:pPr>
              <w:pStyle w:val="TableContents"/>
              <w:bidi w:val="0"/>
              <w:spacing w:before="0" w:after="283"/>
              <w:jc w:val="right"/>
              <w:rPr>
                <w:sz w:val="20"/>
              </w:rPr>
            </w:pPr>
            <w:r>
              <w:rPr>
                <w:sz w:val="20"/>
              </w:rPr>
              <w:t>4.2*</w:t>
            </w:r>
          </w:p>
        </w:tc>
        <w:tc>
          <w:tcPr>
            <w:tcW w:w="9528" w:type="dxa"/>
            <w:tcBorders/>
            <w:vAlign w:val="center"/>
          </w:tcPr>
          <w:p>
            <w:pPr>
              <w:pStyle w:val="TableContents"/>
              <w:bidi w:val="0"/>
              <w:spacing w:before="0" w:after="283"/>
              <w:jc w:val="left"/>
              <w:rPr>
                <w:sz w:val="20"/>
              </w:rPr>
            </w:pPr>
            <w:r>
              <w:rPr>
                <w:sz w:val="20"/>
              </w:rPr>
              <w:t>Specimen Warrant Certificate</w:t>
            </w:r>
          </w:p>
        </w:tc>
      </w:tr>
      <w:tr>
        <w:trPr/>
        <w:tc>
          <w:tcPr>
            <w:tcW w:w="677" w:type="dxa"/>
            <w:tcBorders/>
            <w:vAlign w:val="center"/>
          </w:tcPr>
          <w:p>
            <w:pPr>
              <w:pStyle w:val="TableContents"/>
              <w:bidi w:val="0"/>
              <w:spacing w:before="0" w:after="283"/>
              <w:jc w:val="right"/>
              <w:rPr>
                <w:sz w:val="20"/>
              </w:rPr>
            </w:pPr>
            <w:r>
              <w:rPr>
                <w:sz w:val="20"/>
              </w:rPr>
              <w:t>4.3*</w:t>
            </w:r>
          </w:p>
        </w:tc>
        <w:tc>
          <w:tcPr>
            <w:tcW w:w="9528" w:type="dxa"/>
            <w:tcBorders/>
            <w:vAlign w:val="center"/>
          </w:tcPr>
          <w:p>
            <w:pPr>
              <w:pStyle w:val="TableContents"/>
              <w:bidi w:val="0"/>
              <w:spacing w:before="0" w:after="283"/>
              <w:jc w:val="left"/>
              <w:rPr>
                <w:sz w:val="20"/>
              </w:rPr>
            </w:pPr>
            <w:r>
              <w:rPr>
                <w:sz w:val="20"/>
              </w:rPr>
              <w:t>Form of Preferred Stock Certificate of Designations</w:t>
            </w:r>
          </w:p>
        </w:tc>
      </w:tr>
      <w:tr>
        <w:trPr/>
        <w:tc>
          <w:tcPr>
            <w:tcW w:w="677" w:type="dxa"/>
            <w:tcBorders/>
            <w:vAlign w:val="center"/>
          </w:tcPr>
          <w:p>
            <w:pPr>
              <w:pStyle w:val="TableContents"/>
              <w:bidi w:val="0"/>
              <w:spacing w:before="0" w:after="283"/>
              <w:jc w:val="right"/>
              <w:rPr>
                <w:sz w:val="20"/>
              </w:rPr>
            </w:pPr>
            <w:r>
              <w:rPr>
                <w:sz w:val="20"/>
              </w:rPr>
              <w:t>4.4*</w:t>
            </w:r>
          </w:p>
        </w:tc>
        <w:tc>
          <w:tcPr>
            <w:tcW w:w="9528" w:type="dxa"/>
            <w:tcBorders/>
            <w:vAlign w:val="center"/>
          </w:tcPr>
          <w:p>
            <w:pPr>
              <w:pStyle w:val="TableContents"/>
              <w:bidi w:val="0"/>
              <w:spacing w:before="0" w:after="283"/>
              <w:jc w:val="left"/>
              <w:rPr>
                <w:sz w:val="20"/>
              </w:rPr>
            </w:pPr>
            <w:r>
              <w:rPr>
                <w:sz w:val="20"/>
              </w:rPr>
              <w:t>Form of Unit Agreement</w:t>
            </w:r>
          </w:p>
        </w:tc>
      </w:tr>
      <w:tr>
        <w:trPr/>
        <w:tc>
          <w:tcPr>
            <w:tcW w:w="677" w:type="dxa"/>
            <w:tcBorders/>
            <w:vAlign w:val="center"/>
          </w:tcPr>
          <w:p>
            <w:pPr>
              <w:pStyle w:val="TableContents"/>
              <w:bidi w:val="0"/>
              <w:spacing w:before="0" w:after="283"/>
              <w:jc w:val="right"/>
              <w:rPr>
                <w:sz w:val="20"/>
              </w:rPr>
            </w:pPr>
            <w:r>
              <w:rPr>
                <w:sz w:val="20"/>
              </w:rPr>
              <w:t>4.5*</w:t>
            </w:r>
          </w:p>
        </w:tc>
        <w:tc>
          <w:tcPr>
            <w:tcW w:w="9528" w:type="dxa"/>
            <w:tcBorders/>
            <w:vAlign w:val="center"/>
          </w:tcPr>
          <w:p>
            <w:pPr>
              <w:pStyle w:val="TableContents"/>
              <w:bidi w:val="0"/>
              <w:spacing w:before="0" w:after="283"/>
              <w:jc w:val="left"/>
              <w:rPr>
                <w:sz w:val="20"/>
              </w:rPr>
            </w:pPr>
            <w:r>
              <w:rPr>
                <w:sz w:val="20"/>
              </w:rPr>
              <w:t>Form of Warrant Agreement</w:t>
            </w:r>
          </w:p>
        </w:tc>
      </w:tr>
      <w:tr>
        <w:trPr/>
        <w:tc>
          <w:tcPr>
            <w:tcW w:w="677" w:type="dxa"/>
            <w:tcBorders/>
            <w:vAlign w:val="center"/>
          </w:tcPr>
          <w:p>
            <w:pPr>
              <w:pStyle w:val="TableContents"/>
              <w:bidi w:val="0"/>
              <w:spacing w:before="0" w:after="283"/>
              <w:jc w:val="right"/>
              <w:rPr>
                <w:sz w:val="20"/>
              </w:rPr>
            </w:pPr>
            <w:r>
              <w:rPr>
                <w:sz w:val="20"/>
              </w:rPr>
              <w:t xml:space="preserve">5.1 ** </w:t>
            </w:r>
          </w:p>
        </w:tc>
        <w:tc>
          <w:tcPr>
            <w:tcW w:w="9528" w:type="dxa"/>
            <w:tcBorders/>
            <w:vAlign w:val="center"/>
          </w:tcPr>
          <w:p>
            <w:pPr>
              <w:pStyle w:val="TableContents"/>
              <w:bidi w:val="0"/>
              <w:spacing w:before="0" w:after="283"/>
              <w:jc w:val="left"/>
              <w:rPr/>
            </w:pPr>
            <w:hyperlink r:id="rId6">
              <w:r>
                <w:rPr>
                  <w:rStyle w:val="InternetLink"/>
                  <w:sz w:val="20"/>
                </w:rPr>
                <w:t xml:space="preserve">Opinion of Allen Overy Shearman Sterling US LLP </w:t>
              </w:r>
            </w:hyperlink>
          </w:p>
        </w:tc>
      </w:tr>
      <w:tr>
        <w:trPr/>
        <w:tc>
          <w:tcPr>
            <w:tcW w:w="677" w:type="dxa"/>
            <w:tcBorders/>
            <w:vAlign w:val="center"/>
          </w:tcPr>
          <w:p>
            <w:pPr>
              <w:pStyle w:val="TableContents"/>
              <w:bidi w:val="0"/>
              <w:spacing w:before="0" w:after="283"/>
              <w:jc w:val="right"/>
              <w:rPr>
                <w:sz w:val="20"/>
              </w:rPr>
            </w:pPr>
            <w:r>
              <w:rPr>
                <w:sz w:val="20"/>
              </w:rPr>
              <w:t xml:space="preserve">23.1 ** </w:t>
            </w:r>
          </w:p>
        </w:tc>
        <w:tc>
          <w:tcPr>
            <w:tcW w:w="9528" w:type="dxa"/>
            <w:tcBorders/>
            <w:vAlign w:val="center"/>
          </w:tcPr>
          <w:p>
            <w:pPr>
              <w:pStyle w:val="TableContents"/>
              <w:bidi w:val="0"/>
              <w:spacing w:before="0" w:after="283"/>
              <w:jc w:val="left"/>
              <w:rPr/>
            </w:pPr>
            <w:hyperlink r:id="rId7">
              <w:r>
                <w:rPr>
                  <w:rStyle w:val="InternetLink"/>
                  <w:sz w:val="20"/>
                </w:rPr>
                <w:t>Consent of Allen Overy Shearman Sterling US LLP (included in Exhibit 5.1)</w:t>
              </w:r>
            </w:hyperlink>
          </w:p>
        </w:tc>
      </w:tr>
      <w:tr>
        <w:trPr/>
        <w:tc>
          <w:tcPr>
            <w:tcW w:w="677" w:type="dxa"/>
            <w:tcBorders/>
            <w:vAlign w:val="center"/>
          </w:tcPr>
          <w:p>
            <w:pPr>
              <w:pStyle w:val="TableContents"/>
              <w:bidi w:val="0"/>
              <w:spacing w:before="0" w:after="283"/>
              <w:jc w:val="right"/>
              <w:rPr>
                <w:sz w:val="20"/>
              </w:rPr>
            </w:pPr>
            <w:r>
              <w:rPr>
                <w:sz w:val="20"/>
              </w:rPr>
              <w:t>23.2</w:t>
            </w:r>
          </w:p>
        </w:tc>
        <w:tc>
          <w:tcPr>
            <w:tcW w:w="9528" w:type="dxa"/>
            <w:tcBorders/>
            <w:vAlign w:val="center"/>
          </w:tcPr>
          <w:p>
            <w:pPr>
              <w:pStyle w:val="TableContents"/>
              <w:bidi w:val="0"/>
              <w:spacing w:before="0" w:after="283"/>
              <w:jc w:val="left"/>
              <w:rPr>
                <w:sz w:val="20"/>
              </w:rPr>
            </w:pPr>
            <w:r>
              <w:rPr>
                <w:sz w:val="20"/>
              </w:rPr>
              <w:t xml:space="preserve">Consent of Deloitte Touche Tohmatsu Certified Public Accountants LLP (filed herewith) </w:t>
            </w:r>
          </w:p>
        </w:tc>
      </w:tr>
      <w:tr>
        <w:trPr/>
        <w:tc>
          <w:tcPr>
            <w:tcW w:w="677" w:type="dxa"/>
            <w:tcBorders/>
            <w:vAlign w:val="center"/>
          </w:tcPr>
          <w:p>
            <w:pPr>
              <w:pStyle w:val="TableContents"/>
              <w:bidi w:val="0"/>
              <w:spacing w:before="0" w:after="283"/>
              <w:jc w:val="right"/>
              <w:rPr>
                <w:sz w:val="20"/>
              </w:rPr>
            </w:pPr>
            <w:r>
              <w:rPr>
                <w:sz w:val="20"/>
              </w:rPr>
              <w:t>24.1</w:t>
            </w:r>
          </w:p>
        </w:tc>
        <w:tc>
          <w:tcPr>
            <w:tcW w:w="9528" w:type="dxa"/>
            <w:tcBorders/>
            <w:vAlign w:val="center"/>
          </w:tcPr>
          <w:p>
            <w:pPr>
              <w:pStyle w:val="TableContents"/>
              <w:bidi w:val="0"/>
              <w:spacing w:before="0" w:after="283"/>
              <w:jc w:val="left"/>
              <w:rPr/>
            </w:pPr>
            <w:hyperlink w:anchor="a_015">
              <w:r>
                <w:rPr>
                  <w:rStyle w:val="InternetLink"/>
                  <w:sz w:val="20"/>
                </w:rPr>
                <w:t>Power of Attorney (included on signature page of the initial filing of this Registration Statement)</w:t>
              </w:r>
            </w:hyperlink>
          </w:p>
        </w:tc>
      </w:tr>
      <w:tr>
        <w:trPr/>
        <w:tc>
          <w:tcPr>
            <w:tcW w:w="677" w:type="dxa"/>
            <w:tcBorders/>
            <w:vAlign w:val="center"/>
          </w:tcPr>
          <w:p>
            <w:pPr>
              <w:pStyle w:val="TableContents"/>
              <w:bidi w:val="0"/>
              <w:spacing w:before="0" w:after="283"/>
              <w:jc w:val="right"/>
              <w:rPr>
                <w:sz w:val="20"/>
              </w:rPr>
            </w:pPr>
            <w:r>
              <w:rPr>
                <w:sz w:val="20"/>
              </w:rPr>
              <w:t xml:space="preserve">107 ** </w:t>
            </w:r>
          </w:p>
        </w:tc>
        <w:tc>
          <w:tcPr>
            <w:tcW w:w="9528" w:type="dxa"/>
            <w:tcBorders/>
            <w:vAlign w:val="center"/>
          </w:tcPr>
          <w:p>
            <w:pPr>
              <w:pStyle w:val="TableContents"/>
              <w:bidi w:val="0"/>
              <w:spacing w:before="0" w:after="283"/>
              <w:jc w:val="left"/>
              <w:rPr/>
            </w:pPr>
            <w:hyperlink r:id="rId8">
              <w:r>
                <w:rPr>
                  <w:rStyle w:val="InternetLink"/>
                  <w:sz w:val="20"/>
                </w:rPr>
                <w:t xml:space="preserve">Filing Fee Table </w:t>
              </w:r>
            </w:hyperlink>
          </w:p>
        </w:tc>
      </w:tr>
    </w:tbl>
    <w:p>
      <w:pPr>
        <w:pStyle w:val="TextBody"/>
        <w:bidi w:val="0"/>
        <w:spacing w:before="0" w:after="24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To be filed by amendment or incorporated by reference in connection with the offering of the securities.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Previously filed.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3"/>
        <w:gridCol w:w="3634"/>
        <w:gridCol w:w="6408"/>
      </w:tblGrid>
      <w:tr>
        <w:trPr/>
        <w:tc>
          <w:tcPr>
            <w:tcW w:w="163" w:type="dxa"/>
            <w:tcBorders/>
            <w:vAlign w:val="center"/>
          </w:tcPr>
          <w:p>
            <w:pPr>
              <w:pStyle w:val="TableContents"/>
              <w:bidi w:val="0"/>
              <w:spacing w:before="0" w:after="283"/>
              <w:jc w:val="left"/>
              <w:rPr>
                <w:sz w:val="4"/>
                <w:szCs w:val="4"/>
              </w:rPr>
            </w:pPr>
            <w:r>
              <w:rPr>
                <w:sz w:val="4"/>
                <w:szCs w:val="4"/>
              </w:rPr>
            </w:r>
          </w:p>
        </w:tc>
        <w:tc>
          <w:tcPr>
            <w:tcW w:w="3634" w:type="dxa"/>
            <w:tcBorders/>
            <w:vAlign w:val="center"/>
          </w:tcPr>
          <w:p>
            <w:pPr>
              <w:pStyle w:val="TableContents"/>
              <w:bidi w:val="0"/>
              <w:spacing w:before="0" w:after="283"/>
              <w:jc w:val="left"/>
              <w:rPr>
                <w:b/>
              </w:rPr>
            </w:pPr>
            <w:r>
              <w:rPr>
                <w:b/>
              </w:rPr>
              <w:t>Item 17.</w:t>
            </w:r>
          </w:p>
        </w:tc>
        <w:tc>
          <w:tcPr>
            <w:tcW w:w="6408" w:type="dxa"/>
            <w:tcBorders/>
            <w:vAlign w:val="center"/>
          </w:tcPr>
          <w:p>
            <w:pPr>
              <w:pStyle w:val="TableContents"/>
              <w:bidi w:val="0"/>
              <w:spacing w:before="0" w:after="283"/>
              <w:jc w:val="left"/>
              <w:rPr>
                <w:b/>
              </w:rPr>
            </w:pPr>
            <w:r>
              <w:rPr>
                <w:b/>
              </w:rPr>
              <w:t xml:space="preserve">Undertakings </w:t>
            </w:r>
          </w:p>
        </w:tc>
      </w:tr>
    </w:tbl>
    <w:p>
      <w:pPr>
        <w:pStyle w:val="TextBody"/>
        <w:bidi w:val="0"/>
        <w:spacing w:before="120" w:after="120"/>
        <w:ind w:left="120"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120" w:after="120"/>
        <w:ind w:left="120" w:right="12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120" w:after="120"/>
        <w:ind w:left="720" w:right="12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120" w:after="120"/>
        <w:ind w:left="120" w:right="12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spacing w:before="120" w:after="120"/>
        <w:ind w:left="120" w:right="12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 provided, however, that paragraphs (i), (ii) and (iii)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to any purchaser:</w:t>
      </w:r>
    </w:p>
    <w:p>
      <w:pPr>
        <w:pStyle w:val="TextBody"/>
        <w:bidi w:val="0"/>
        <w:ind w:left="0" w:right="0" w:firstLine="450"/>
        <w:jc w:val="left"/>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ind w:left="0" w:right="0" w:firstLine="450"/>
        <w:jc w:val="left"/>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pStyle w:val="TextBody"/>
        <w:bidi w:val="0"/>
        <w:ind w:left="0" w:right="0" w:firstLine="45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ind w:left="0" w:right="0" w:firstLine="45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undersigned registrant relating to the offering required to be filed pursuant to Rule 424;</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an undersigned registrant; and</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undersigned registrant to the purchaser.</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shd w:fill="FFFFFF" w:val="clear"/>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shd w:fill="FFFFFF" w:val="clear"/>
        </w:rPr>
        <w:t>bona fide</w:t>
      </w:r>
      <w:r>
        <w:rPr>
          <w:rFonts w:ascii="Times New Roman;Times;Serif" w:hAnsi="Times New Roman;Times;Serif"/>
          <w:b w:val="false"/>
          <w:i w:val="false"/>
          <w:caps w:val="false"/>
          <w:smallCaps w:val="false"/>
          <w:sz w:val="20"/>
          <w:shd w:fill="FFFFFF" w:val="clear"/>
        </w:rPr>
        <w:t> offering thereof.</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to be signed on its behalf by the undersigned, hereunto duly authorized, in Stafford, Texas, on this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April , 2025.</w:t>
      </w:r>
    </w:p>
    <w:p>
      <w:pPr>
        <w:pStyle w:val="TextBody"/>
        <w:bidi w:val="0"/>
        <w:jc w:val="left"/>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olumn">
                  <wp:align>right</wp:align>
                </wp:positionH>
                <wp:positionV relativeFrom="line">
                  <wp:posOffset>635</wp:posOffset>
                </wp:positionV>
                <wp:extent cx="1774190" cy="1539875"/>
                <wp:effectExtent l="0" t="0" r="0" b="0"/>
                <wp:wrapSquare wrapText="left"/>
                <wp:docPr id="1" name="Frame1"/>
                <a:graphic xmlns:a="http://schemas.openxmlformats.org/drawingml/2006/main">
                  <a:graphicData uri="http://schemas.microsoft.com/office/word/2010/wordprocessingShape">
                    <wps:wsp>
                      <wps:cNvSpPr txBox="1"/>
                      <wps:spPr>
                        <a:xfrm>
                          <a:off x="0" y="0"/>
                          <a:ext cx="1774190" cy="1539875"/>
                        </a:xfrm>
                        <a:prstGeom prst="rect"/>
                        <a:solidFill>
                          <a:srgbClr val="FFFFFF"/>
                        </a:solidFill>
                      </wps:spPr>
                      <wps:txbx>
                        <w:txbxContent>
                          <w:tbl>
                            <w:tblPr>
                              <w:tblW w:w="2794" w:type="dxa"/>
                              <w:jc w:val="left"/>
                              <w:tblInd w:w="0" w:type="dxa"/>
                              <w:tblLayout w:type="fixed"/>
                              <w:tblCellMar>
                                <w:top w:w="0" w:type="dxa"/>
                                <w:left w:w="0" w:type="dxa"/>
                                <w:bottom w:w="0" w:type="dxa"/>
                                <w:right w:w="0" w:type="dxa"/>
                              </w:tblCellMar>
                            </w:tblPr>
                            <w:tblGrid>
                              <w:gridCol w:w="659"/>
                              <w:gridCol w:w="2135"/>
                            </w:tblGrid>
                            <w:tr>
                              <w:trPr/>
                              <w:tc>
                                <w:tcPr>
                                  <w:tcW w:w="659"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left"/>
                                    <w:rPr/>
                                  </w:pPr>
                                  <w:r>
                                    <w:rPr/>
                                    <w:t> </w:t>
                                  </w:r>
                                </w:p>
                              </w:tc>
                            </w:tr>
                            <w:tr>
                              <w:trPr/>
                              <w:tc>
                                <w:tcPr>
                                  <w:tcW w:w="2794" w:type="dxa"/>
                                  <w:gridSpan w:val="2"/>
                                  <w:tcBorders/>
                                  <w:vAlign w:val="center"/>
                                </w:tcPr>
                                <w:p>
                                  <w:pPr>
                                    <w:pStyle w:val="TableContents"/>
                                    <w:bidi w:val="0"/>
                                    <w:spacing w:before="0" w:after="283"/>
                                    <w:jc w:val="left"/>
                                    <w:rPr>
                                      <w:b/>
                                      <w:sz w:val="20"/>
                                    </w:rPr>
                                  </w:pPr>
                                  <w:r>
                                    <w:rPr>
                                      <w:b/>
                                      <w:sz w:val="20"/>
                                    </w:rPr>
                                    <w:t>MICROVAST HOLDINGS, INC.</w:t>
                                  </w:r>
                                </w:p>
                              </w:tc>
                            </w:tr>
                            <w:tr>
                              <w:trPr/>
                              <w:tc>
                                <w:tcPr>
                                  <w:tcW w:w="659"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left"/>
                                    <w:rPr/>
                                  </w:pPr>
                                  <w:r>
                                    <w:rPr/>
                                    <w:t> </w:t>
                                  </w:r>
                                </w:p>
                              </w:tc>
                            </w:tr>
                            <w:tr>
                              <w:trPr/>
                              <w:tc>
                                <w:tcPr>
                                  <w:tcW w:w="659" w:type="dxa"/>
                                  <w:tcBorders/>
                                  <w:vAlign w:val="center"/>
                                </w:tcPr>
                                <w:p>
                                  <w:pPr>
                                    <w:pStyle w:val="TableContents"/>
                                    <w:bidi w:val="0"/>
                                    <w:spacing w:before="0" w:after="283"/>
                                    <w:jc w:val="left"/>
                                    <w:rPr>
                                      <w:sz w:val="20"/>
                                    </w:rPr>
                                  </w:pPr>
                                  <w:r>
                                    <w:rPr>
                                      <w:sz w:val="20"/>
                                    </w:rPr>
                                    <w:t>By:</w:t>
                                  </w:r>
                                </w:p>
                              </w:tc>
                              <w:tc>
                                <w:tcPr>
                                  <w:tcW w:w="2135" w:type="dxa"/>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Yang Wu </w:t>
                                  </w:r>
                                </w:p>
                              </w:tc>
                            </w:tr>
                          </w:tbl>
                        </w:txbxContent>
                      </wps:txbx>
                      <wps:bodyPr anchor="t" lIns="0" tIns="0" rIns="0" bIns="0">
                        <a:noAutofit/>
                      </wps:bodyPr>
                    </wps:wsp>
                  </a:graphicData>
                </a:graphic>
              </wp:anchor>
            </w:drawing>
          </mc:Choice>
          <mc:Fallback>
            <w:pict>
              <v:rect style="position:absolute;rotation:-0;width:139.7pt;height:121.25pt;mso-wrap-distance-left:0pt;mso-wrap-distance-right:0pt;mso-wrap-distance-top:0pt;mso-wrap-distance-bottom:0pt;margin-top:0pt;mso-position-vertical:top;mso-position-vertical-relative:text;margin-left:370.55pt;mso-position-horizontal:right;mso-position-horizontal-relative:text">
                <v:textbox>
                  <w:txbxContent>
                    <w:tbl>
                      <w:tblPr>
                        <w:tblW w:w="2794" w:type="dxa"/>
                        <w:jc w:val="left"/>
                        <w:tblInd w:w="0" w:type="dxa"/>
                        <w:tblLayout w:type="fixed"/>
                        <w:tblCellMar>
                          <w:top w:w="0" w:type="dxa"/>
                          <w:left w:w="0" w:type="dxa"/>
                          <w:bottom w:w="0" w:type="dxa"/>
                          <w:right w:w="0" w:type="dxa"/>
                        </w:tblCellMar>
                      </w:tblPr>
                      <w:tblGrid>
                        <w:gridCol w:w="659"/>
                        <w:gridCol w:w="2135"/>
                      </w:tblGrid>
                      <w:tr>
                        <w:trPr/>
                        <w:tc>
                          <w:tcPr>
                            <w:tcW w:w="659"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left"/>
                              <w:rPr/>
                            </w:pPr>
                            <w:r>
                              <w:rPr/>
                              <w:t> </w:t>
                            </w:r>
                          </w:p>
                        </w:tc>
                      </w:tr>
                      <w:tr>
                        <w:trPr/>
                        <w:tc>
                          <w:tcPr>
                            <w:tcW w:w="2794" w:type="dxa"/>
                            <w:gridSpan w:val="2"/>
                            <w:tcBorders/>
                            <w:vAlign w:val="center"/>
                          </w:tcPr>
                          <w:p>
                            <w:pPr>
                              <w:pStyle w:val="TableContents"/>
                              <w:bidi w:val="0"/>
                              <w:spacing w:before="0" w:after="283"/>
                              <w:jc w:val="left"/>
                              <w:rPr>
                                <w:b/>
                                <w:sz w:val="20"/>
                              </w:rPr>
                            </w:pPr>
                            <w:r>
                              <w:rPr>
                                <w:b/>
                                <w:sz w:val="20"/>
                              </w:rPr>
                              <w:t>MICROVAST HOLDINGS, INC.</w:t>
                            </w:r>
                          </w:p>
                        </w:tc>
                      </w:tr>
                      <w:tr>
                        <w:trPr/>
                        <w:tc>
                          <w:tcPr>
                            <w:tcW w:w="659"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left"/>
                              <w:rPr/>
                            </w:pPr>
                            <w:r>
                              <w:rPr/>
                              <w:t> </w:t>
                            </w:r>
                          </w:p>
                        </w:tc>
                      </w:tr>
                      <w:tr>
                        <w:trPr/>
                        <w:tc>
                          <w:tcPr>
                            <w:tcW w:w="659" w:type="dxa"/>
                            <w:tcBorders/>
                            <w:vAlign w:val="center"/>
                          </w:tcPr>
                          <w:p>
                            <w:pPr>
                              <w:pStyle w:val="TableContents"/>
                              <w:bidi w:val="0"/>
                              <w:spacing w:before="0" w:after="283"/>
                              <w:jc w:val="left"/>
                              <w:rPr>
                                <w:sz w:val="20"/>
                              </w:rPr>
                            </w:pPr>
                            <w:r>
                              <w:rPr>
                                <w:sz w:val="20"/>
                              </w:rPr>
                              <w:t>By:</w:t>
                            </w:r>
                          </w:p>
                        </w:tc>
                        <w:tc>
                          <w:tcPr>
                            <w:tcW w:w="2135" w:type="dxa"/>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Yang Wu </w:t>
                            </w:r>
                          </w:p>
                        </w:tc>
                      </w:tr>
                    </w:tbl>
                  </w:txbxContent>
                </v:textbox>
                <w10:wrap type="square" side="left"/>
              </v:rect>
            </w:pict>
          </mc:Fallback>
        </mc:AlternateContent>
      </w:r>
    </w:p>
    <w:p>
      <w:pPr>
        <w:pStyle w:val="TextBody"/>
        <w:bidi w:val="0"/>
        <w:jc w:val="right"/>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1597025" cy="1036320"/>
                <wp:effectExtent l="0" t="0" r="0" b="0"/>
                <wp:wrapSquare wrapText="left"/>
                <wp:docPr id="2" name="Frame2"/>
                <a:graphic xmlns:a="http://schemas.openxmlformats.org/drawingml/2006/main">
                  <a:graphicData uri="http://schemas.microsoft.com/office/word/2010/wordprocessingShape">
                    <wps:wsp>
                      <wps:cNvSpPr txBox="1"/>
                      <wps:spPr>
                        <a:xfrm>
                          <a:off x="0" y="0"/>
                          <a:ext cx="1597025" cy="1036320"/>
                        </a:xfrm>
                        <a:prstGeom prst="rect"/>
                        <a:solidFill>
                          <a:srgbClr val="FFFFFF"/>
                        </a:solidFill>
                      </wps:spPr>
                      <wps:txbx>
                        <w:txbxContent>
                          <w:tbl>
                            <w:tblPr>
                              <w:tblW w:w="2515" w:type="dxa"/>
                              <w:jc w:val="left"/>
                              <w:tblInd w:w="0" w:type="dxa"/>
                              <w:tblLayout w:type="fixed"/>
                              <w:tblCellMar>
                                <w:top w:w="0" w:type="dxa"/>
                                <w:left w:w="0" w:type="dxa"/>
                                <w:bottom w:w="0" w:type="dxa"/>
                                <w:right w:w="0" w:type="dxa"/>
                              </w:tblCellMar>
                            </w:tblPr>
                            <w:tblGrid>
                              <w:gridCol w:w="560"/>
                              <w:gridCol w:w="1955"/>
                            </w:tblGrid>
                            <w:tr>
                              <w:trPr/>
                              <w:tc>
                                <w:tcPr>
                                  <w:tcW w:w="5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Name:</w:t>
                                  </w:r>
                                </w:p>
                              </w:tc>
                              <w:tc>
                                <w:tcPr>
                                  <w:tcW w:w="1955" w:type="dxa"/>
                                  <w:tcBorders/>
                                  <w:vAlign w:val="center"/>
                                </w:tcPr>
                                <w:p>
                                  <w:pPr>
                                    <w:pStyle w:val="TableContents"/>
                                    <w:bidi w:val="0"/>
                                    <w:spacing w:before="0" w:after="283"/>
                                    <w:jc w:val="left"/>
                                    <w:rPr/>
                                  </w:pPr>
                                  <w:r>
                                    <w:rPr>
                                      <w:sz w:val="20"/>
                                    </w:rPr>
                                    <w:t>Yang Wu</w:t>
                                  </w:r>
                                  <w:r>
                                    <w:rPr/>
                                    <w:t xml:space="preserve"> </w:t>
                                  </w:r>
                                </w:p>
                              </w:tc>
                            </w:tr>
                            <w:tr>
                              <w:trPr/>
                              <w:tc>
                                <w:tcPr>
                                  <w:tcW w:w="560"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txbxContent>
                      </wps:txbx>
                      <wps:bodyPr anchor="t" lIns="0" tIns="0" rIns="0" bIns="0">
                        <a:noAutofit/>
                      </wps:bodyPr>
                    </wps:wsp>
                  </a:graphicData>
                </a:graphic>
              </wp:anchor>
            </w:drawing>
          </mc:Choice>
          <mc:Fallback>
            <w:pict>
              <v:rect style="position:absolute;rotation:-0;width:125.75pt;height:81.6pt;mso-wrap-distance-left:0pt;mso-wrap-distance-right:0pt;mso-wrap-distance-top:0pt;mso-wrap-distance-bottom:0pt;margin-top:0pt;mso-position-vertical:top;mso-position-vertical-relative:text;margin-left:244.75pt;mso-position-horizontal:right;mso-position-horizontal-relative:text">
                <v:textbox>
                  <w:txbxContent>
                    <w:tbl>
                      <w:tblPr>
                        <w:tblW w:w="2515" w:type="dxa"/>
                        <w:jc w:val="left"/>
                        <w:tblInd w:w="0" w:type="dxa"/>
                        <w:tblLayout w:type="fixed"/>
                        <w:tblCellMar>
                          <w:top w:w="0" w:type="dxa"/>
                          <w:left w:w="0" w:type="dxa"/>
                          <w:bottom w:w="0" w:type="dxa"/>
                          <w:right w:w="0" w:type="dxa"/>
                        </w:tblCellMar>
                      </w:tblPr>
                      <w:tblGrid>
                        <w:gridCol w:w="560"/>
                        <w:gridCol w:w="1955"/>
                      </w:tblGrid>
                      <w:tr>
                        <w:trPr/>
                        <w:tc>
                          <w:tcPr>
                            <w:tcW w:w="5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Name:</w:t>
                            </w:r>
                          </w:p>
                        </w:tc>
                        <w:tc>
                          <w:tcPr>
                            <w:tcW w:w="1955" w:type="dxa"/>
                            <w:tcBorders/>
                            <w:vAlign w:val="center"/>
                          </w:tcPr>
                          <w:p>
                            <w:pPr>
                              <w:pStyle w:val="TableContents"/>
                              <w:bidi w:val="0"/>
                              <w:spacing w:before="0" w:after="283"/>
                              <w:jc w:val="left"/>
                              <w:rPr/>
                            </w:pPr>
                            <w:r>
                              <w:rPr>
                                <w:sz w:val="20"/>
                              </w:rPr>
                              <w:t>Yang Wu</w:t>
                            </w:r>
                            <w:r>
                              <w:rPr/>
                              <w:t xml:space="preserve"> </w:t>
                            </w:r>
                          </w:p>
                        </w:tc>
                      </w:tr>
                      <w:tr>
                        <w:trPr/>
                        <w:tc>
                          <w:tcPr>
                            <w:tcW w:w="560"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txbxContent>
                </v:textbox>
                <w10:wrap type="square" side="left"/>
              </v:rect>
            </w:pict>
          </mc:Fallback>
        </mc:AlternateContent>
      </w:r>
    </w:p>
    <w:p>
      <w:pPr>
        <w:pStyle w:val="TextBody"/>
        <w:bidi w:val="0"/>
        <w:jc w:val="center"/>
        <w:rPr>
          <w:caps/>
        </w:rPr>
      </w:pPr>
      <w:r>
        <w:rPr>
          <w:caps/>
        </w:rPr>
        <w:t> </w:t>
      </w:r>
    </w:p>
    <w:p>
      <w:pPr>
        <w:pStyle w:val="TextBody"/>
        <w:bidi w:val="0"/>
        <w:jc w:val="center"/>
        <w:rPr>
          <w:rFonts w:ascii="Times New Roman;Times;Serif" w:hAnsi="Times New Roman;Times;Serif"/>
          <w:b/>
          <w:i w:val="false"/>
          <w:caps/>
          <w:sz w:val="20"/>
        </w:rPr>
      </w:pPr>
      <w:bookmarkStart w:id="16" w:name="a_015"/>
      <w:bookmarkEnd w:id="16"/>
      <w:r>
        <w:rPr>
          <w:rFonts w:ascii="Times New Roman;Times;Serif" w:hAnsi="Times New Roman;Times;Serif"/>
          <w:b/>
          <w:i w:val="false"/>
          <w:caps/>
          <w:sz w:val="20"/>
        </w:rPr>
        <w:t>POWER OF ATTORNEY</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MEN BY THESE PRESENTS that each individual whose signature appears below constitutes and appoints each of Yang Wu and Isida Tushe as such person’s true and lawful attorney-in-fact and agent with full power of substitution and resubstitution, for such person and in such person’s name, place and stead, in any and all capacities, to sign any and all amendments (including post-effective amendments) to this Registration Statement (or to any other registration statement for the same offering that is to be effective upon filing pursuant to Rule 462(b) under the Securities Act),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 </w:t>
      </w:r>
    </w:p>
    <w:p>
      <w:pPr>
        <w:pStyle w:val="TextBody"/>
        <w:bidi w:val="0"/>
        <w:ind w:left="0" w:right="0" w:firstLine="720"/>
        <w:jc w:val="left"/>
        <w:rPr>
          <w:caps w:val="false"/>
          <w:smallCaps w:val="false"/>
        </w:rPr>
      </w:pPr>
      <w:r>
        <w:rPr>
          <w:caps w:val="false"/>
          <w:smallCaps w:val="false"/>
        </w:rPr>
        <w:t> </w:t>
      </w:r>
    </w:p>
    <w:tbl>
      <w:tblPr>
        <w:tblW w:w="9495" w:type="dxa"/>
        <w:jc w:val="left"/>
        <w:tblInd w:w="0" w:type="dxa"/>
        <w:tblLayout w:type="fixed"/>
        <w:tblCellMar>
          <w:top w:w="0" w:type="dxa"/>
          <w:left w:w="0" w:type="dxa"/>
          <w:bottom w:w="28" w:type="dxa"/>
          <w:right w:w="0" w:type="dxa"/>
        </w:tblCellMar>
      </w:tblPr>
      <w:tblGrid>
        <w:gridCol w:w="2210"/>
        <w:gridCol w:w="60"/>
        <w:gridCol w:w="5885"/>
        <w:gridCol w:w="60"/>
        <w:gridCol w:w="1280"/>
      </w:tblGrid>
      <w:tr>
        <w:trPr/>
        <w:tc>
          <w:tcPr>
            <w:tcW w:w="2210" w:type="dxa"/>
            <w:tcBorders>
              <w:bottom w:val="single" w:sz="8" w:space="0" w:color="000000"/>
            </w:tcBorders>
            <w:vAlign w:val="center"/>
          </w:tcPr>
          <w:p>
            <w:pPr>
              <w:pStyle w:val="TableContents"/>
              <w:bidi w:val="0"/>
              <w:spacing w:lineRule="auto" w:line="273" w:before="0" w:after="283"/>
              <w:jc w:val="center"/>
              <w:rPr>
                <w:b/>
                <w:sz w:val="20"/>
              </w:rPr>
            </w:pPr>
            <w:r>
              <w:rPr>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5885" w:type="dxa"/>
            <w:tcBorders>
              <w:bottom w:val="single" w:sz="8" w:space="0" w:color="000000"/>
            </w:tcBorders>
            <w:vAlign w:val="center"/>
          </w:tcPr>
          <w:p>
            <w:pPr>
              <w:pStyle w:val="TableContents"/>
              <w:bidi w:val="0"/>
              <w:spacing w:lineRule="auto" w:line="273" w:before="0" w:after="283"/>
              <w:jc w:val="center"/>
              <w:rPr>
                <w:b/>
                <w:sz w:val="20"/>
              </w:rPr>
            </w:pPr>
            <w:r>
              <w:rPr>
                <w:b/>
                <w:sz w:val="20"/>
              </w:rPr>
              <w:t>Title</w:t>
            </w:r>
          </w:p>
        </w:tc>
        <w:tc>
          <w:tcPr>
            <w:tcW w:w="60" w:type="dxa"/>
            <w:tcBorders/>
            <w:tcMar>
              <w:bottom w:w="0" w:type="dxa"/>
            </w:tcMar>
            <w:vAlign w:val="center"/>
          </w:tcPr>
          <w:p>
            <w:pPr>
              <w:pStyle w:val="TableContents"/>
              <w:bidi w:val="0"/>
              <w:spacing w:before="0" w:after="283"/>
              <w:jc w:val="left"/>
              <w:rPr/>
            </w:pPr>
            <w:r>
              <w:rPr/>
              <w:t> </w:t>
            </w:r>
          </w:p>
        </w:tc>
        <w:tc>
          <w:tcPr>
            <w:tcW w:w="1280" w:type="dxa"/>
            <w:tcBorders>
              <w:bottom w:val="single" w:sz="8" w:space="0" w:color="000000"/>
            </w:tcBorders>
            <w:vAlign w:val="center"/>
          </w:tcPr>
          <w:p>
            <w:pPr>
              <w:pStyle w:val="TableContents"/>
              <w:bidi w:val="0"/>
              <w:spacing w:lineRule="auto" w:line="273" w:before="0" w:after="283"/>
              <w:jc w:val="center"/>
              <w:rPr>
                <w:b/>
                <w:sz w:val="20"/>
              </w:rPr>
            </w:pPr>
            <w:r>
              <w:rPr>
                <w:b/>
                <w:sz w:val="20"/>
              </w:rPr>
              <w:t>Date</w:t>
            </w:r>
          </w:p>
        </w:tc>
      </w:tr>
      <w:tr>
        <w:trPr/>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2210" w:type="dxa"/>
            <w:tcBorders>
              <w:bottom w:val="single" w:sz="8" w:space="0" w:color="000000"/>
            </w:tcBorders>
            <w:vAlign w:val="center"/>
          </w:tcPr>
          <w:p>
            <w:pPr>
              <w:pStyle w:val="TableContents"/>
              <w:bidi w:val="0"/>
              <w:spacing w:lineRule="auto" w:line="273" w:before="0" w:after="283"/>
              <w:jc w:val="center"/>
              <w:rPr>
                <w:sz w:val="20"/>
              </w:rPr>
            </w:pPr>
            <w:r>
              <w:rPr>
                <w:sz w:val="20"/>
              </w:rPr>
              <w:t>/s/ Yang Wu</w:t>
            </w:r>
          </w:p>
        </w:tc>
        <w:tc>
          <w:tcPr>
            <w:tcW w:w="60" w:type="dxa"/>
            <w:tcBorders/>
            <w:tcMar>
              <w:bottom w:w="0" w:type="dxa"/>
            </w:tcMar>
            <w:vAlign w:val="center"/>
          </w:tcPr>
          <w:p>
            <w:pPr>
              <w:pStyle w:val="TableContents"/>
              <w:bidi w:val="0"/>
              <w:spacing w:before="0" w:after="283"/>
              <w:jc w:val="left"/>
              <w:rPr/>
            </w:pPr>
            <w:r>
              <w:rPr/>
              <w:t> </w:t>
            </w:r>
          </w:p>
        </w:tc>
        <w:tc>
          <w:tcPr>
            <w:tcW w:w="5885" w:type="dxa"/>
            <w:vMerge w:val="restart"/>
            <w:tcBorders/>
            <w:tcMar>
              <w:bottom w:w="0" w:type="dxa"/>
            </w:tcMar>
            <w:vAlign w:val="center"/>
          </w:tcPr>
          <w:p>
            <w:pPr>
              <w:pStyle w:val="TableContents"/>
              <w:bidi w:val="0"/>
              <w:spacing w:lineRule="auto" w:line="27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Chairman of the Board</w:t>
            </w:r>
          </w:p>
          <w:p>
            <w:pPr>
              <w:pStyle w:val="TableContents"/>
              <w:bidi w:val="0"/>
              <w:spacing w:lineRule="auto" w:line="273"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280" w:type="dxa"/>
            <w:vMerge w:val="restart"/>
            <w:tcBorders/>
            <w:tcMar>
              <w:bottom w:w="0" w:type="dxa"/>
            </w:tcMar>
            <w:vAlign w:val="center"/>
          </w:tcPr>
          <w:p>
            <w:pPr>
              <w:pStyle w:val="TableContents"/>
              <w:bidi w:val="0"/>
              <w:spacing w:lineRule="auto" w:line="273" w:before="0" w:after="283"/>
              <w:jc w:val="center"/>
              <w:rPr/>
            </w:pPr>
            <w:r>
              <w:rPr>
                <w:sz w:val="20"/>
              </w:rPr>
              <w:t>April 28</w:t>
            </w:r>
            <w:r>
              <w:rPr/>
              <w:t xml:space="preserve"> </w:t>
            </w:r>
            <w:r>
              <w:rPr>
                <w:sz w:val="20"/>
              </w:rPr>
              <w:t>, 2025</w:t>
            </w:r>
          </w:p>
        </w:tc>
      </w:tr>
      <w:tr>
        <w:trPr/>
        <w:tc>
          <w:tcPr>
            <w:tcW w:w="2210" w:type="dxa"/>
            <w:tcBorders/>
            <w:tcMar>
              <w:bottom w:w="0" w:type="dxa"/>
            </w:tcMar>
            <w:vAlign w:val="center"/>
          </w:tcPr>
          <w:p>
            <w:pPr>
              <w:pStyle w:val="TableContents"/>
              <w:bidi w:val="0"/>
              <w:spacing w:lineRule="auto" w:line="273" w:before="0" w:after="283"/>
              <w:jc w:val="center"/>
              <w:rPr>
                <w:b/>
                <w:sz w:val="20"/>
              </w:rPr>
            </w:pPr>
            <w:r>
              <w:rPr>
                <w:b/>
                <w:sz w:val="20"/>
              </w:rPr>
              <w:t>Yang Wu</w:t>
            </w:r>
          </w:p>
        </w:tc>
        <w:tc>
          <w:tcPr>
            <w:tcW w:w="60" w:type="dxa"/>
            <w:tcBorders/>
            <w:tcMar>
              <w:bottom w:w="0" w:type="dxa"/>
            </w:tcMar>
            <w:vAlign w:val="center"/>
          </w:tcPr>
          <w:p>
            <w:pPr>
              <w:pStyle w:val="TableContents"/>
              <w:bidi w:val="0"/>
              <w:spacing w:before="0" w:after="283"/>
              <w:jc w:val="left"/>
              <w:rPr/>
            </w:pPr>
            <w:r>
              <w:rPr/>
              <w:t> </w:t>
            </w:r>
          </w:p>
        </w:tc>
        <w:tc>
          <w:tcPr>
            <w:tcW w:w="588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280" w:type="dxa"/>
            <w:vMerge w:val="continue"/>
            <w:tcBorders/>
            <w:tcMar>
              <w:bottom w:w="0" w:type="dxa"/>
            </w:tcMar>
            <w:vAlign w:val="center"/>
          </w:tcPr>
          <w:p>
            <w:pPr>
              <w:pStyle w:val="Normal"/>
              <w:bidi w:val="0"/>
              <w:jc w:val="left"/>
              <w:rPr/>
            </w:pPr>
            <w:r>
              <w:rPr/>
            </w:r>
          </w:p>
        </w:tc>
      </w:tr>
      <w:tr>
        <w:trPr/>
        <w:tc>
          <w:tcPr>
            <w:tcW w:w="2210" w:type="dxa"/>
            <w:tcBorders/>
            <w:tcMar>
              <w:bottom w:w="0" w:type="dxa"/>
            </w:tcMar>
            <w:vAlign w:val="center"/>
          </w:tcPr>
          <w:p>
            <w:pPr>
              <w:pStyle w:val="TableContents"/>
              <w:bidi w:val="0"/>
              <w:spacing w:before="0" w:after="283"/>
              <w:jc w:val="left"/>
              <w:rPr/>
            </w:pPr>
            <w:r>
              <w:rPr/>
              <w:t xml:space="preserve">  </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2210" w:type="dxa"/>
            <w:tcBorders>
              <w:bottom w:val="single" w:sz="8" w:space="0" w:color="000000"/>
            </w:tcBorders>
            <w:vAlign w:val="center"/>
          </w:tcPr>
          <w:p>
            <w:pPr>
              <w:pStyle w:val="TableContents"/>
              <w:bidi w:val="0"/>
              <w:spacing w:lineRule="auto" w:line="273" w:before="0" w:after="283"/>
              <w:jc w:val="center"/>
              <w:rPr>
                <w:sz w:val="20"/>
              </w:rPr>
            </w:pPr>
            <w:r>
              <w:rPr>
                <w:sz w:val="20"/>
              </w:rPr>
              <w:t xml:space="preserve">/s/ Carl T. (Pat) Schultz </w:t>
            </w:r>
          </w:p>
        </w:tc>
        <w:tc>
          <w:tcPr>
            <w:tcW w:w="60" w:type="dxa"/>
            <w:tcBorders/>
            <w:tcMar>
              <w:bottom w:w="0" w:type="dxa"/>
            </w:tcMar>
            <w:vAlign w:val="center"/>
          </w:tcPr>
          <w:p>
            <w:pPr>
              <w:pStyle w:val="TableContents"/>
              <w:bidi w:val="0"/>
              <w:spacing w:before="0" w:after="283"/>
              <w:jc w:val="left"/>
              <w:rPr/>
            </w:pPr>
            <w:r>
              <w:rPr/>
              <w:t> </w:t>
            </w:r>
          </w:p>
        </w:tc>
        <w:tc>
          <w:tcPr>
            <w:tcW w:w="5885" w:type="dxa"/>
            <w:vMerge w:val="restart"/>
            <w:tcBorders/>
            <w:tcMar>
              <w:bottom w:w="0" w:type="dxa"/>
            </w:tcMar>
            <w:vAlign w:val="center"/>
          </w:tcPr>
          <w:p>
            <w:pPr>
              <w:pStyle w:val="TableContents"/>
              <w:bidi w:val="0"/>
              <w:spacing w:before="0" w:after="283"/>
              <w:jc w:val="left"/>
              <w:rPr/>
            </w:pPr>
            <w:r>
              <w:rPr/>
              <w:t>Chief Financial Officer</w:t>
              <w:br/>
              <w:t>(Principal Financial Officer and 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280" w:type="dxa"/>
            <w:vMerge w:val="restart"/>
            <w:tcBorders/>
            <w:tcMar>
              <w:bottom w:w="0" w:type="dxa"/>
            </w:tcMar>
            <w:vAlign w:val="center"/>
          </w:tcPr>
          <w:p>
            <w:pPr>
              <w:pStyle w:val="TableContents"/>
              <w:bidi w:val="0"/>
              <w:spacing w:lineRule="auto" w:line="273" w:before="0" w:after="283"/>
              <w:jc w:val="center"/>
              <w:rPr/>
            </w:pPr>
            <w:r>
              <w:rPr>
                <w:sz w:val="20"/>
              </w:rPr>
              <w:t>April 28</w:t>
            </w:r>
            <w:r>
              <w:rPr/>
              <w:t xml:space="preserve"> </w:t>
            </w:r>
            <w:r>
              <w:rPr>
                <w:sz w:val="20"/>
              </w:rPr>
              <w:t>, 2025</w:t>
            </w:r>
          </w:p>
        </w:tc>
      </w:tr>
      <w:tr>
        <w:trPr/>
        <w:tc>
          <w:tcPr>
            <w:tcW w:w="2210" w:type="dxa"/>
            <w:tcBorders/>
            <w:tcMar>
              <w:bottom w:w="0" w:type="dxa"/>
            </w:tcMar>
            <w:vAlign w:val="center"/>
          </w:tcPr>
          <w:p>
            <w:pPr>
              <w:pStyle w:val="TableContents"/>
              <w:bidi w:val="0"/>
              <w:spacing w:lineRule="auto" w:line="273" w:before="0" w:after="283"/>
              <w:jc w:val="center"/>
              <w:rPr/>
            </w:pPr>
            <w:r>
              <w:rPr>
                <w:b/>
              </w:rPr>
              <w:t>Carl T. (Pat) Schultz</w:t>
            </w:r>
            <w:r>
              <w:rPr/>
              <w:t xml:space="preserve"> </w:t>
            </w:r>
          </w:p>
        </w:tc>
        <w:tc>
          <w:tcPr>
            <w:tcW w:w="60" w:type="dxa"/>
            <w:tcBorders/>
            <w:tcMar>
              <w:bottom w:w="0" w:type="dxa"/>
            </w:tcMar>
            <w:vAlign w:val="center"/>
          </w:tcPr>
          <w:p>
            <w:pPr>
              <w:pStyle w:val="TableContents"/>
              <w:bidi w:val="0"/>
              <w:spacing w:before="0" w:after="283"/>
              <w:jc w:val="left"/>
              <w:rPr/>
            </w:pPr>
            <w:r>
              <w:rPr/>
              <w:t> </w:t>
            </w:r>
          </w:p>
        </w:tc>
        <w:tc>
          <w:tcPr>
            <w:tcW w:w="588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280" w:type="dxa"/>
            <w:vMerge w:val="continue"/>
            <w:tcBorders/>
            <w:tcMar>
              <w:bottom w:w="0" w:type="dxa"/>
            </w:tcMar>
            <w:vAlign w:val="center"/>
          </w:tcPr>
          <w:p>
            <w:pPr>
              <w:pStyle w:val="Normal"/>
              <w:bidi w:val="0"/>
              <w:jc w:val="left"/>
              <w:rPr/>
            </w:pPr>
            <w:r>
              <w:rPr/>
            </w:r>
          </w:p>
        </w:tc>
      </w:tr>
      <w:tr>
        <w:trPr/>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2210" w:type="dxa"/>
            <w:tcBorders>
              <w:bottom w:val="single" w:sz="8" w:space="0" w:color="000000"/>
            </w:tcBorders>
            <w:vAlign w:val="center"/>
          </w:tcPr>
          <w:p>
            <w:pPr>
              <w:pStyle w:val="TableContents"/>
              <w:bidi w:val="0"/>
              <w:spacing w:lineRule="auto" w:line="273" w:before="0" w:after="283"/>
              <w:jc w:val="center"/>
              <w:rPr>
                <w:sz w:val="20"/>
              </w:rPr>
            </w:pPr>
            <w:r>
              <w:rPr>
                <w:sz w:val="20"/>
              </w:rPr>
              <w:t>/s/ Yixin (Shing) Pan</w:t>
            </w:r>
          </w:p>
        </w:tc>
        <w:tc>
          <w:tcPr>
            <w:tcW w:w="60" w:type="dxa"/>
            <w:tcBorders/>
            <w:tcMar>
              <w:bottom w:w="0" w:type="dxa"/>
            </w:tcMar>
            <w:vAlign w:val="center"/>
          </w:tcPr>
          <w:p>
            <w:pPr>
              <w:pStyle w:val="TableContents"/>
              <w:bidi w:val="0"/>
              <w:spacing w:before="0" w:after="283"/>
              <w:jc w:val="left"/>
              <w:rPr/>
            </w:pPr>
            <w:r>
              <w:rPr/>
              <w:t> </w:t>
            </w:r>
          </w:p>
        </w:tc>
        <w:tc>
          <w:tcPr>
            <w:tcW w:w="5885" w:type="dxa"/>
            <w:vMerge w:val="restart"/>
            <w:tcBorders/>
            <w:tcMar>
              <w:bottom w:w="0" w:type="dxa"/>
            </w:tcMar>
            <w:vAlign w:val="center"/>
          </w:tcPr>
          <w:p>
            <w:pPr>
              <w:pStyle w:val="TableContents"/>
              <w:bidi w:val="0"/>
              <w:spacing w:lineRule="auto" w:line="27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p>
            <w:pPr>
              <w:pStyle w:val="TableContents"/>
              <w:bidi w:val="0"/>
              <w:spacing w:lineRule="auto" w:line="273"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280" w:type="dxa"/>
            <w:vMerge w:val="restart"/>
            <w:tcBorders/>
            <w:tcMar>
              <w:bottom w:w="0" w:type="dxa"/>
            </w:tcMar>
            <w:vAlign w:val="center"/>
          </w:tcPr>
          <w:p>
            <w:pPr>
              <w:pStyle w:val="TableContents"/>
              <w:bidi w:val="0"/>
              <w:spacing w:lineRule="auto" w:line="273" w:before="0" w:after="283"/>
              <w:jc w:val="center"/>
              <w:rPr/>
            </w:pPr>
            <w:r>
              <w:rPr>
                <w:sz w:val="20"/>
              </w:rPr>
              <w:t>April 28</w:t>
            </w:r>
            <w:r>
              <w:rPr/>
              <w:t xml:space="preserve"> </w:t>
            </w:r>
            <w:r>
              <w:rPr>
                <w:sz w:val="20"/>
              </w:rPr>
              <w:t>, 2025</w:t>
            </w:r>
          </w:p>
        </w:tc>
      </w:tr>
      <w:tr>
        <w:trPr/>
        <w:tc>
          <w:tcPr>
            <w:tcW w:w="2210" w:type="dxa"/>
            <w:tcBorders/>
            <w:tcMar>
              <w:bottom w:w="0" w:type="dxa"/>
            </w:tcMar>
            <w:vAlign w:val="center"/>
          </w:tcPr>
          <w:p>
            <w:pPr>
              <w:pStyle w:val="TableContents"/>
              <w:bidi w:val="0"/>
              <w:spacing w:lineRule="auto" w:line="273" w:before="0" w:after="283"/>
              <w:jc w:val="center"/>
              <w:rPr>
                <w:b/>
                <w:sz w:val="20"/>
              </w:rPr>
            </w:pPr>
            <w:r>
              <w:rPr>
                <w:b/>
                <w:sz w:val="20"/>
              </w:rPr>
              <w:t>Yixin (Shing) Pan</w:t>
            </w:r>
          </w:p>
        </w:tc>
        <w:tc>
          <w:tcPr>
            <w:tcW w:w="60" w:type="dxa"/>
            <w:tcBorders/>
            <w:tcMar>
              <w:bottom w:w="0" w:type="dxa"/>
            </w:tcMar>
            <w:vAlign w:val="center"/>
          </w:tcPr>
          <w:p>
            <w:pPr>
              <w:pStyle w:val="TableContents"/>
              <w:bidi w:val="0"/>
              <w:spacing w:before="0" w:after="283"/>
              <w:jc w:val="left"/>
              <w:rPr/>
            </w:pPr>
            <w:r>
              <w:rPr/>
              <w:t> </w:t>
            </w:r>
          </w:p>
        </w:tc>
        <w:tc>
          <w:tcPr>
            <w:tcW w:w="588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1280" w:type="dxa"/>
            <w:vMerge w:val="continue"/>
            <w:tcBorders/>
            <w:tcMar>
              <w:bottom w:w="0" w:type="dxa"/>
            </w:tcMar>
            <w:vAlign w:val="center"/>
          </w:tcPr>
          <w:p>
            <w:pPr>
              <w:pStyle w:val="Normal"/>
              <w:bidi w:val="0"/>
              <w:jc w:val="left"/>
              <w:rPr/>
            </w:pPr>
            <w:r>
              <w:rPr/>
            </w:r>
          </w:p>
        </w:tc>
      </w:tr>
      <w:tr>
        <w:trPr/>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2210" w:type="dxa"/>
            <w:tcBorders>
              <w:bottom w:val="single" w:sz="8" w:space="0" w:color="000000"/>
            </w:tcBorders>
            <w:vAlign w:val="center"/>
          </w:tcPr>
          <w:p>
            <w:pPr>
              <w:pStyle w:val="TableContents"/>
              <w:bidi w:val="0"/>
              <w:spacing w:lineRule="auto" w:line="273" w:before="0" w:after="283"/>
              <w:jc w:val="center"/>
              <w:rPr>
                <w:sz w:val="20"/>
              </w:rPr>
            </w:pPr>
            <w:r>
              <w:rPr>
                <w:sz w:val="20"/>
              </w:rPr>
              <w:t>/s/ Ying Wei</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lineRule="auto" w:line="273"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80" w:type="dxa"/>
            <w:vMerge w:val="restart"/>
            <w:tcBorders/>
            <w:tcMar>
              <w:bottom w:w="0" w:type="dxa"/>
            </w:tcMar>
            <w:vAlign w:val="center"/>
          </w:tcPr>
          <w:p>
            <w:pPr>
              <w:pStyle w:val="TableContents"/>
              <w:bidi w:val="0"/>
              <w:spacing w:lineRule="auto" w:line="273" w:before="0" w:after="283"/>
              <w:jc w:val="center"/>
              <w:rPr/>
            </w:pPr>
            <w:r>
              <w:rPr>
                <w:sz w:val="20"/>
              </w:rPr>
              <w:t>April 28</w:t>
            </w:r>
            <w:r>
              <w:rPr/>
              <w:t xml:space="preserve"> </w:t>
            </w:r>
            <w:r>
              <w:rPr>
                <w:sz w:val="20"/>
              </w:rPr>
              <w:t>, 2025</w:t>
            </w:r>
          </w:p>
        </w:tc>
      </w:tr>
      <w:tr>
        <w:trPr/>
        <w:tc>
          <w:tcPr>
            <w:tcW w:w="2210" w:type="dxa"/>
            <w:tcBorders/>
            <w:tcMar>
              <w:bottom w:w="0" w:type="dxa"/>
            </w:tcMar>
            <w:vAlign w:val="center"/>
          </w:tcPr>
          <w:p>
            <w:pPr>
              <w:pStyle w:val="TableContents"/>
              <w:bidi w:val="0"/>
              <w:spacing w:lineRule="auto" w:line="273" w:before="0" w:after="283"/>
              <w:jc w:val="center"/>
              <w:rPr>
                <w:b/>
                <w:sz w:val="20"/>
              </w:rPr>
            </w:pPr>
            <w:r>
              <w:rPr>
                <w:b/>
                <w:sz w:val="20"/>
              </w:rPr>
              <w:t>Ying Wei</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vMerge w:val="continue"/>
            <w:tcBorders/>
            <w:tcMar>
              <w:bottom w:w="0" w:type="dxa"/>
            </w:tcMar>
            <w:vAlign w:val="center"/>
          </w:tcPr>
          <w:p>
            <w:pPr>
              <w:pStyle w:val="Normal"/>
              <w:bidi w:val="0"/>
              <w:jc w:val="left"/>
              <w:rPr/>
            </w:pPr>
            <w:r>
              <w:rPr/>
            </w:r>
          </w:p>
        </w:tc>
      </w:tr>
      <w:tr>
        <w:trPr/>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2210" w:type="dxa"/>
            <w:tcBorders>
              <w:bottom w:val="single" w:sz="8" w:space="0" w:color="000000"/>
            </w:tcBorders>
            <w:vAlign w:val="center"/>
          </w:tcPr>
          <w:p>
            <w:pPr>
              <w:pStyle w:val="TableContents"/>
              <w:bidi w:val="0"/>
              <w:spacing w:lineRule="auto" w:line="273" w:before="0" w:after="283"/>
              <w:jc w:val="center"/>
              <w:rPr>
                <w:sz w:val="20"/>
              </w:rPr>
            </w:pPr>
            <w:r>
              <w:rPr>
                <w:sz w:val="20"/>
              </w:rPr>
              <w:t>/s/ Arthur Wong</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lineRule="auto" w:line="273"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80" w:type="dxa"/>
            <w:vMerge w:val="restart"/>
            <w:tcBorders/>
            <w:tcMar>
              <w:bottom w:w="0" w:type="dxa"/>
            </w:tcMar>
            <w:vAlign w:val="center"/>
          </w:tcPr>
          <w:p>
            <w:pPr>
              <w:pStyle w:val="TableContents"/>
              <w:bidi w:val="0"/>
              <w:spacing w:lineRule="auto" w:line="273" w:before="0" w:after="283"/>
              <w:jc w:val="center"/>
              <w:rPr/>
            </w:pPr>
            <w:r>
              <w:rPr>
                <w:sz w:val="20"/>
              </w:rPr>
              <w:t>April 28</w:t>
            </w:r>
            <w:r>
              <w:rPr/>
              <w:t xml:space="preserve"> </w:t>
            </w:r>
            <w:r>
              <w:rPr>
                <w:sz w:val="20"/>
              </w:rPr>
              <w:t>, 2025</w:t>
            </w:r>
          </w:p>
        </w:tc>
      </w:tr>
      <w:tr>
        <w:trPr/>
        <w:tc>
          <w:tcPr>
            <w:tcW w:w="2210" w:type="dxa"/>
            <w:tcBorders/>
            <w:tcMar>
              <w:bottom w:w="0" w:type="dxa"/>
            </w:tcMar>
            <w:vAlign w:val="center"/>
          </w:tcPr>
          <w:p>
            <w:pPr>
              <w:pStyle w:val="TableContents"/>
              <w:bidi w:val="0"/>
              <w:spacing w:lineRule="auto" w:line="273" w:before="0" w:after="283"/>
              <w:jc w:val="center"/>
              <w:rPr>
                <w:b/>
                <w:sz w:val="20"/>
              </w:rPr>
            </w:pPr>
            <w:r>
              <w:rPr>
                <w:b/>
                <w:sz w:val="20"/>
              </w:rPr>
              <w:t>Arthur Wong</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vMerge w:val="continue"/>
            <w:tcBorders/>
            <w:tcMar>
              <w:bottom w:w="0" w:type="dxa"/>
            </w:tcMar>
            <w:vAlign w:val="center"/>
          </w:tcPr>
          <w:p>
            <w:pPr>
              <w:pStyle w:val="Normal"/>
              <w:bidi w:val="0"/>
              <w:jc w:val="left"/>
              <w:rPr/>
            </w:pPr>
            <w:r>
              <w:rPr/>
            </w:r>
          </w:p>
        </w:tc>
      </w:tr>
      <w:tr>
        <w:trPr/>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2210" w:type="dxa"/>
            <w:tcBorders>
              <w:bottom w:val="single" w:sz="8" w:space="0" w:color="000000"/>
            </w:tcBorders>
            <w:vAlign w:val="center"/>
          </w:tcPr>
          <w:p>
            <w:pPr>
              <w:pStyle w:val="TableContents"/>
              <w:bidi w:val="0"/>
              <w:spacing w:lineRule="auto" w:line="273" w:before="0" w:after="283"/>
              <w:jc w:val="center"/>
              <w:rPr>
                <w:sz w:val="20"/>
              </w:rPr>
            </w:pPr>
            <w:r>
              <w:rPr>
                <w:sz w:val="20"/>
              </w:rPr>
              <w:t>/s/ Isida Tushe</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lineRule="auto" w:line="273"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80" w:type="dxa"/>
            <w:vMerge w:val="restart"/>
            <w:tcBorders/>
            <w:tcMar>
              <w:bottom w:w="0" w:type="dxa"/>
            </w:tcMar>
            <w:vAlign w:val="center"/>
          </w:tcPr>
          <w:p>
            <w:pPr>
              <w:pStyle w:val="TableContents"/>
              <w:bidi w:val="0"/>
              <w:spacing w:lineRule="auto" w:line="273" w:before="0" w:after="283"/>
              <w:jc w:val="center"/>
              <w:rPr/>
            </w:pPr>
            <w:r>
              <w:rPr>
                <w:sz w:val="20"/>
              </w:rPr>
              <w:t>April 28</w:t>
            </w:r>
            <w:r>
              <w:rPr/>
              <w:t xml:space="preserve"> </w:t>
            </w:r>
            <w:r>
              <w:rPr>
                <w:sz w:val="20"/>
              </w:rPr>
              <w:t>, 2025</w:t>
            </w:r>
          </w:p>
        </w:tc>
      </w:tr>
      <w:tr>
        <w:trPr/>
        <w:tc>
          <w:tcPr>
            <w:tcW w:w="2210" w:type="dxa"/>
            <w:tcBorders/>
            <w:tcMar>
              <w:bottom w:w="0" w:type="dxa"/>
            </w:tcMar>
            <w:vAlign w:val="center"/>
          </w:tcPr>
          <w:p>
            <w:pPr>
              <w:pStyle w:val="TableContents"/>
              <w:bidi w:val="0"/>
              <w:spacing w:lineRule="auto" w:line="273" w:before="0" w:after="283"/>
              <w:jc w:val="center"/>
              <w:rPr>
                <w:b/>
                <w:sz w:val="20"/>
              </w:rPr>
            </w:pPr>
            <w:r>
              <w:rPr>
                <w:b/>
                <w:sz w:val="20"/>
              </w:rPr>
              <w:t>Isida Tushe</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vMerge w:val="continue"/>
            <w:tcBorders/>
            <w:tcMar>
              <w:bottom w:w="0" w:type="dxa"/>
            </w:tcMar>
            <w:vAlign w:val="center"/>
          </w:tcPr>
          <w:p>
            <w:pPr>
              <w:pStyle w:val="Normal"/>
              <w:bidi w:val="0"/>
              <w:jc w:val="left"/>
              <w:rPr/>
            </w:pPr>
            <w:r>
              <w:rPr/>
            </w:r>
          </w:p>
        </w:tc>
      </w:tr>
      <w:tr>
        <w:trPr/>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II-4</w:t>
      </w:r>
    </w:p>
    <w:p>
      <w:pPr>
        <w:pStyle w:val="TextBody"/>
        <w:bidi w:val="0"/>
        <w:spacing w:before="20" w:after="2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shd w:fill="FFFFFF" w:val="clear"/>
        <w:bidi w:val="0"/>
        <w:spacing w:lineRule="atLeast" w:line="360"/>
        <w:jc w:val="right"/>
        <w:rPr>
          <w:rFonts w:ascii="Roboto" w:hAnsi="Roboto"/>
          <w:b/>
          <w:i w:val="false"/>
          <w:caps w:val="false"/>
          <w:smallCaps w:val="false"/>
          <w:sz w:val="20"/>
        </w:rPr>
      </w:pPr>
      <w:bookmarkStart w:id="17" w:name="ss4672489_ex2302.htm"/>
      <w:bookmarkStart w:id="18" w:name="ksss4672489_ex2302"/>
      <w:bookmarkEnd w:id="17"/>
      <w:bookmarkEnd w:id="18"/>
      <w:r>
        <w:rPr>
          <w:rFonts w:ascii="Roboto" w:hAnsi="Roboto"/>
          <w:b/>
          <w:i w:val="false"/>
          <w:caps w:val="false"/>
          <w:smallCaps w:val="false"/>
          <w:sz w:val="20"/>
        </w:rPr>
        <w:t>Exhibit 23.2</w:t>
      </w:r>
      <w:r>
        <w:br w:type="page"/>
      </w:r>
    </w:p>
    <w:p>
      <w:pPr>
        <w:pStyle w:val="TextBody"/>
        <w:shd w:fill="FFFFFF" w:val="clear"/>
        <w:bidi w:val="0"/>
        <w:spacing w:lineRule="atLeast" w:line="360"/>
        <w:jc w:val="left"/>
        <w:rPr>
          <w:caps w:val="false"/>
          <w:smallCaps w:val="false"/>
        </w:rPr>
      </w:pPr>
      <w:r>
        <w:rPr>
          <w:caps w:val="false"/>
          <w:smallCaps w:val="false"/>
        </w:rPr>
        <w:t> </w:t>
      </w:r>
    </w:p>
    <w:p>
      <w:pPr>
        <w:pStyle w:val="TextBody"/>
        <w:shd w:fill="FFFFFF" w:val="clear"/>
        <w:bidi w:val="0"/>
        <w:spacing w:lineRule="atLeast" w:line="360"/>
        <w:jc w:val="left"/>
        <w:rPr>
          <w:caps w:val="false"/>
          <w:smallCaps w:val="false"/>
        </w:rPr>
      </w:pPr>
      <w:r>
        <w:rPr>
          <w:caps w:val="false"/>
          <w:smallCaps w:val="false"/>
        </w:rPr>
        <w:t> </w:t>
      </w:r>
    </w:p>
    <w:p>
      <w:pPr>
        <w:pStyle w:val="TextBody"/>
        <w:shd w:fill="FFFFFF" w:val="clear"/>
        <w:bidi w:val="0"/>
        <w:spacing w:lineRule="atLeast" w:line="360"/>
        <w:jc w:val="left"/>
        <w:rPr>
          <w:caps w:val="false"/>
          <w:smallCaps w:val="false"/>
        </w:rPr>
      </w:pPr>
      <w:r>
        <w:rPr>
          <w:caps w:val="false"/>
          <w:smallCaps w:val="false"/>
        </w:rPr>
        <w:t> </w:t>
      </w:r>
    </w:p>
    <w:p>
      <w:pPr>
        <w:pStyle w:val="TextBody"/>
        <w:shd w:fill="FFFFFF" w:val="clear"/>
        <w:bidi w:val="0"/>
        <w:spacing w:lineRule="atLeast" w: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shd w:fill="FFFFFF" w:val="clear"/>
        <w:bidi w:val="0"/>
        <w:spacing w:lineRule="atLeast" w:line="360"/>
        <w:jc w:val="left"/>
        <w:rPr>
          <w:caps w:val="false"/>
          <w:smallCaps w:val="false"/>
        </w:rPr>
      </w:pPr>
      <w:r>
        <w:rPr>
          <w:caps w:val="false"/>
          <w:smallCaps w:val="false"/>
        </w:rPr>
        <w:t> </w:t>
      </w:r>
    </w:p>
    <w:p>
      <w:pPr>
        <w:pStyle w:val="TextBody"/>
        <w:shd w:fill="FFFFFF" w:val="clear"/>
        <w:bidi w:val="0"/>
        <w:spacing w:lineRule="atLeast" w: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No. 333-284496 on Form S-3 of our reports dated March 31, 2025 relating to the financial statements of Microvast Holdings, Inc. and the effectiveness of Microvast Holdings, Inc.'s internal control over financial reporting, appearing in the Annual Report on Form 10-K of Microvast Holdings, Inc. for the year ended December 31, 2024. We also consent to the reference to us under the heading “Experts” in such Registration Statement.</w:t>
      </w:r>
    </w:p>
    <w:p>
      <w:pPr>
        <w:pStyle w:val="TextBody"/>
        <w:shd w:fill="FFFFFF" w:val="clear"/>
        <w:bidi w:val="0"/>
        <w:spacing w:lineRule="atLeast" w:line="360"/>
        <w:jc w:val="both"/>
        <w:rPr>
          <w:caps w:val="false"/>
          <w:smallCaps w:val="false"/>
        </w:rPr>
      </w:pPr>
      <w:r>
        <w:rPr>
          <w:caps w:val="false"/>
          <w:smallCaps w:val="false"/>
        </w:rPr>
        <w:t> </w:t>
      </w:r>
    </w:p>
    <w:p>
      <w:pPr>
        <w:pStyle w:val="TextBody"/>
        <w:shd w:fill="FFFFFF" w:val="clear"/>
        <w:bidi w:val="0"/>
        <w:spacing w:lineRule="atLeast" w:line="360"/>
        <w:jc w:val="left"/>
        <w:rPr>
          <w:caps w:val="false"/>
          <w:smallCaps w:val="false"/>
        </w:rPr>
      </w:pPr>
      <w:r>
        <w:rPr>
          <w:caps w:val="false"/>
          <w:smallCaps w:val="false"/>
        </w:rPr>
        <w:t> </w:t>
      </w:r>
    </w:p>
    <w:p>
      <w:pPr>
        <w:pStyle w:val="TextBody"/>
        <w:shd w:fill="FFFFFF" w:val="clear"/>
        <w:bidi w:val="0"/>
        <w:spacing w:lineRule="atLeast" w:line="360"/>
        <w:jc w:val="left"/>
        <w:rPr>
          <w:caps w:val="false"/>
          <w:smallCaps w:val="false"/>
        </w:rPr>
      </w:pPr>
      <w:r>
        <w:rPr>
          <w:caps w:val="false"/>
          <w:smallCaps w:val="false"/>
        </w:rPr>
        <w:t> </w:t>
      </w:r>
    </w:p>
    <w:p>
      <w:pPr>
        <w:pStyle w:val="TextBody"/>
        <w:shd w:fill="FFFFFF" w:val="clear"/>
        <w:bidi w:val="0"/>
        <w:spacing w:lineRule="atLeast" w: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Deloitte Touche Tohmatsu Certified Public Accountants LLP</w:t>
      </w:r>
    </w:p>
    <w:p>
      <w:pPr>
        <w:pStyle w:val="TextBody"/>
        <w:shd w:fill="FFFFFF" w:val="clear"/>
        <w:bidi w:val="0"/>
        <w:spacing w:lineRule="atLeast" w: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the People’s Republic of China</w:t>
      </w:r>
    </w:p>
    <w:p>
      <w:pPr>
        <w:pStyle w:val="TextBody"/>
        <w:shd w:fill="FFFFFF" w:val="clear"/>
        <w:bidi w:val="0"/>
        <w:spacing w:lineRule="atLeast" w: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28, 2025</w:t>
      </w:r>
    </w:p>
    <w:p>
      <w:pPr>
        <w:pStyle w:val="TextBody"/>
        <w:shd w:fill="FFFFFF" w:val="clear"/>
        <w:bidi w:val="0"/>
        <w:spacing w:lineRule="atLeast" w:line="360"/>
        <w:jc w:val="left"/>
        <w:rPr>
          <w:caps w:val="false"/>
          <w:smallCaps w:val="false"/>
        </w:rPr>
      </w:pPr>
      <w:r>
        <w:rPr>
          <w:caps w:val="false"/>
          <w:smallCaps w:val="false"/>
        </w:rPr>
        <w:t> </w:t>
      </w:r>
    </w:p>
    <w:p>
      <w:pPr>
        <w:pStyle w:val="TextBody"/>
        <w:shd w:fill="FFFFFF" w:val="clear"/>
        <w:bidi w:val="0"/>
        <w:spacing w:lineRule="atLeast" w:line="360"/>
        <w:jc w:val="left"/>
        <w:rPr>
          <w:caps w:val="false"/>
          <w:smallCaps w:val="false"/>
        </w:rPr>
      </w:pPr>
      <w:r>
        <w:rPr>
          <w:caps w:val="false"/>
          <w:smallCaps w:val="false"/>
        </w:rPr>
        <w:t> </w:t>
      </w:r>
    </w:p>
    <w:p>
      <w:pPr>
        <w:pStyle w:val="TextBody"/>
        <w:shd w:fill="FFFFFF" w:val="clear"/>
        <w:bidi w:val="0"/>
        <w:spacing w:lineRule="atLeast" w:line="360"/>
        <w:jc w:val="left"/>
        <w:rPr>
          <w:caps w:val="false"/>
          <w:smallCaps w:val="false"/>
        </w:rPr>
      </w:pPr>
      <w:r>
        <w:rPr>
          <w:caps w:val="false"/>
          <w:smallCaps w:val="false"/>
        </w:rPr>
        <w:t> </w:t>
      </w:r>
    </w:p>
    <w:p>
      <w:pPr>
        <w:pStyle w:val="TextBody"/>
        <w:shd w:fill="FFFFFF" w:val="clear"/>
        <w:bidi w:val="0"/>
        <w:spacing w:lineRule="atLeast" w:line="360"/>
        <w:jc w:val="left"/>
        <w:rPr>
          <w:caps w:val="false"/>
          <w:smallCaps w:val="false"/>
        </w:rPr>
      </w:pPr>
      <w:r>
        <w:rPr>
          <w:caps w:val="false"/>
          <w:smallCaps w:val="false"/>
        </w:rPr>
        <w:t> </w:t>
      </w:r>
    </w:p>
    <w:p>
      <w:pPr>
        <w:pStyle w:val="TextBody"/>
        <w:shd w:fill="FFFFFF" w:val="clear"/>
        <w:bidi w:val="0"/>
        <w:spacing w:lineRule="atLeast" w:line="360"/>
        <w:jc w:val="left"/>
        <w:rPr>
          <w:caps w:val="false"/>
          <w:smallCaps w:val="false"/>
        </w:rPr>
      </w:pPr>
      <w:r>
        <w:rPr>
          <w:caps w:val="false"/>
          <w:smallCaps w:val="false"/>
        </w:rPr>
        <w:t> </w:t>
      </w:r>
    </w:p>
    <w:p>
      <w:pPr>
        <w:pStyle w:val="TextBody"/>
        <w:shd w:fill="FFFFFF" w:val="clear"/>
        <w:bidi w:val="0"/>
        <w:spacing w:lineRule="atLeast" w:line="360"/>
        <w:jc w:val="left"/>
        <w:rPr>
          <w:caps w:val="false"/>
          <w:smallCaps w:val="false"/>
        </w:rPr>
      </w:pPr>
      <w:r>
        <w:rPr>
          <w:caps w:val="false"/>
          <w:smallCaps w:val="false"/>
        </w:rPr>
        <w:t> </w:t>
      </w:r>
    </w:p>
    <w:p>
      <w:pPr>
        <w:pStyle w:val="TextBody"/>
        <w:shd w:fill="FFFFFF" w:val="clear"/>
        <w:bidi w:val="0"/>
        <w:spacing w:lineRule="atLeast" w:line="360"/>
        <w:jc w:val="left"/>
        <w:rPr>
          <w:caps w:val="false"/>
          <w:smallCaps w:val="false"/>
        </w:rPr>
      </w:pPr>
      <w:r>
        <w:rPr>
          <w:caps w:val="false"/>
          <w:smallCaps w:val="false"/>
        </w:rPr>
        <w:t> </w:t>
      </w:r>
    </w:p>
    <w:p>
      <w:pPr>
        <w:pStyle w:val="TextBody"/>
        <w:shd w:fill="FFFFFF" w:val="clear"/>
        <w:bidi w:val="0"/>
        <w:spacing w:lineRule="atLeast" w:line="36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shd w:fill="FFFFFF" w:val="clear"/>
        <w:bidi w:val="0"/>
        <w:spacing w:lineRule="atLeast" w:line="360"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PS Std">
    <w:altName w:val="serif"/>
    <w:charset w:val="01"/>
    <w:family w:val="auto"/>
    <w:pitch w:val="default"/>
  </w:font>
  <w:font w:name="Arial Narrow">
    <w:altName w:val="Helvetica"/>
    <w:charset w:val="01"/>
    <w:family w:val="auto"/>
    <w:pitch w:val="default"/>
  </w:font>
  <w:font w:name="Symbol">
    <w:charset w:val="01"/>
    <w:family w:val="auto"/>
    <w:pitch w:val="default"/>
  </w:font>
  <w:font w:name="Roboto">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60689/000121390021035581/defm14a_tuscanholdings.htm" TargetMode="External"/><Relationship Id="rId3" Type="http://schemas.openxmlformats.org/officeDocument/2006/relationships/hyperlink" Target="https://www.sec.gov/Archives/edgar/data/1760689/000121390021039093/ea144448ex3-1_microvast.htm" TargetMode="External"/><Relationship Id="rId4" Type="http://schemas.openxmlformats.org/officeDocument/2006/relationships/hyperlink" Target="https://www.sec.gov/Archives/edgar/data/1760689/000121390021039093/ea144448ex3-2_microvast.htm" TargetMode="External"/><Relationship Id="rId5" Type="http://schemas.openxmlformats.org/officeDocument/2006/relationships/hyperlink" Target="https://www.sec.gov/Archives/edgar/data/1760689/000121390021039093/ea144448ex4-4_microvast.htm" TargetMode="External"/><Relationship Id="rId6" Type="http://schemas.openxmlformats.org/officeDocument/2006/relationships/hyperlink" Target="https://www.sec.gov/Archives/edgar/data/1760689/000094787125000070/ss4362647_ex0501.htm" TargetMode="External"/><Relationship Id="rId7" Type="http://schemas.openxmlformats.org/officeDocument/2006/relationships/hyperlink" Target="https://www.sec.gov/Archives/edgar/data/1760689/000094787125000070/ss4362647_ex0501.htm" TargetMode="External"/><Relationship Id="rId8" Type="http://schemas.openxmlformats.org/officeDocument/2006/relationships/hyperlink" Target="https://www.sec.gov/Archives/edgar/data/1760689/000094787125000070/ss4362647_ex107.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12180</Words>
  <Characters>65204</Characters>
  <CharactersWithSpaces>77476</CharactersWithSpaces>
  <Paragraphs>949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