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For the transition period from to________________</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Microvast Holdings, Inc.</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600" w:type="dxa"/>
            <w:vAlign w:val="bottom"/>
          </w:tcPr>
          <w:p>
            <w:pPr>
              <w:spacing w:after="0"/>
              <w:rPr>
                <w:sz w:val="20"/>
                <w:szCs w:val="20"/>
                <w:color w:val="auto"/>
              </w:rPr>
            </w:pPr>
          </w:p>
        </w:tc>
      </w:tr>
      <w:tr>
        <w:trPr>
          <w:trHeight w:val="453"/>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0"/>
              </w:rPr>
              <w:t>001-38826</w:t>
            </w:r>
          </w:p>
        </w:tc>
        <w:tc>
          <w:tcPr>
            <w:tcW w:w="2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83-2530757</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2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40" w:type="dxa"/>
            <w:vAlign w:val="bottom"/>
            <w:gridSpan w:val="6"/>
          </w:tcPr>
          <w:p>
            <w:pPr>
              <w:jc w:val="center"/>
              <w:ind w:right="2120"/>
              <w:spacing w:after="0"/>
              <w:rPr>
                <w:sz w:val="20"/>
                <w:szCs w:val="20"/>
                <w:color w:val="auto"/>
              </w:rPr>
            </w:pPr>
            <w:r>
              <w:rPr>
                <w:rFonts w:ascii="Arial" w:cs="Arial" w:eastAsia="Arial" w:hAnsi="Arial"/>
                <w:sz w:val="18"/>
                <w:szCs w:val="18"/>
                <w:b w:val="1"/>
                <w:bCs w:val="1"/>
                <w:color w:val="auto"/>
                <w:w w:val="88"/>
              </w:rPr>
              <w:t>12603 Southwest Freeway, Suite 210</w:t>
            </w:r>
          </w:p>
        </w:tc>
        <w:tc>
          <w:tcPr>
            <w:tcW w:w="3600" w:type="dxa"/>
            <w:vAlign w:val="bottom"/>
          </w:tcPr>
          <w:p>
            <w:pPr>
              <w:spacing w:after="0"/>
              <w:rPr>
                <w:sz w:val="24"/>
                <w:szCs w:val="24"/>
                <w:color w:val="auto"/>
              </w:rPr>
            </w:pPr>
          </w:p>
        </w:tc>
      </w:tr>
      <w:tr>
        <w:trPr>
          <w:trHeight w:val="241"/>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89"/>
              </w:rPr>
              <w:t>Stafford, Texas</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77477</w:t>
            </w:r>
          </w:p>
        </w:tc>
      </w:tr>
      <w:tr>
        <w:trPr>
          <w:trHeight w:val="230"/>
        </w:trPr>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r>
        <w:trPr>
          <w:trHeight w:val="403"/>
        </w:trPr>
        <w:tc>
          <w:tcPr>
            <w:tcW w:w="3620" w:type="dxa"/>
            <w:vAlign w:val="bottom"/>
          </w:tcPr>
          <w:p>
            <w:pPr>
              <w:spacing w:after="0"/>
              <w:rPr>
                <w:sz w:val="24"/>
                <w:szCs w:val="24"/>
                <w:color w:val="auto"/>
              </w:rPr>
            </w:pPr>
          </w:p>
        </w:tc>
        <w:tc>
          <w:tcPr>
            <w:tcW w:w="382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(281) 491-9505</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Tuscan Holdings Corp.</w:t>
      </w:r>
    </w:p>
    <w:p>
      <w:pPr>
        <w:ind w:left="4520"/>
        <w:spacing w:after="0" w:line="205" w:lineRule="auto"/>
        <w:rPr>
          <w:sz w:val="20"/>
          <w:szCs w:val="20"/>
          <w:color w:val="auto"/>
        </w:rPr>
      </w:pPr>
      <w:r>
        <w:rPr>
          <w:rFonts w:ascii="Arial" w:cs="Arial" w:eastAsia="Arial" w:hAnsi="Arial"/>
          <w:sz w:val="18"/>
          <w:szCs w:val="18"/>
          <w:b w:val="1"/>
          <w:bCs w:val="1"/>
          <w:color w:val="auto"/>
        </w:rPr>
        <w:t>135 E. 57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MVST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Redeemable warrants, exercisable for shares of</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rPr>
              <w:t>MVSTW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at an exercise price of $11.50 per</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2021, there were 300,522,394 shares of the Company’s common stock, par value $0.0001,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gridSpan w:val="7"/>
          </w:tcPr>
          <w:p>
            <w:pPr>
              <w:jc w:val="center"/>
              <w:ind w:right="2740"/>
              <w:spacing w:after="0"/>
              <w:rPr>
                <w:sz w:val="20"/>
                <w:szCs w:val="20"/>
                <w:color w:val="auto"/>
              </w:rPr>
            </w:pPr>
            <w:r>
              <w:rPr>
                <w:rFonts w:ascii="Arial" w:cs="Arial" w:eastAsia="Arial" w:hAnsi="Arial"/>
                <w:sz w:val="18"/>
                <w:szCs w:val="18"/>
                <w:b w:val="1"/>
                <w:bCs w:val="1"/>
                <w:color w:val="auto"/>
              </w:rPr>
              <w:t>MICROVAST HOLDINGS, INC.</w:t>
            </w:r>
          </w:p>
        </w:tc>
        <w:tc>
          <w:tcPr>
            <w:tcW w:w="10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2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w w:val="95"/>
              </w:rPr>
              <w:t>Form 10-Q</w:t>
            </w:r>
          </w:p>
        </w:tc>
        <w:tc>
          <w:tcPr>
            <w:tcW w:w="10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gridSpan w:val="7"/>
          </w:tcPr>
          <w:p>
            <w:pPr>
              <w:jc w:val="center"/>
              <w:ind w:right="2740"/>
              <w:spacing w:after="0"/>
              <w:rPr>
                <w:sz w:val="20"/>
                <w:szCs w:val="20"/>
                <w:color w:val="auto"/>
              </w:rPr>
            </w:pPr>
            <w:r>
              <w:rPr>
                <w:rFonts w:ascii="Arial" w:cs="Arial" w:eastAsia="Arial" w:hAnsi="Arial"/>
                <w:sz w:val="18"/>
                <w:szCs w:val="18"/>
                <w:b w:val="1"/>
                <w:bCs w:val="1"/>
                <w:color w:val="auto"/>
                <w:w w:val="91"/>
              </w:rPr>
              <w:t>For the Quarter Ended September 30, 2021</w:t>
            </w:r>
          </w:p>
        </w:tc>
        <w:tc>
          <w:tcPr>
            <w:tcW w:w="10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20" w:type="dxa"/>
            <w:vAlign w:val="bottom"/>
            <w:gridSpan w:val="5"/>
          </w:tcPr>
          <w:p>
            <w:pPr>
              <w:jc w:val="center"/>
              <w:ind w:right="3820"/>
              <w:spacing w:after="0"/>
              <w:rPr>
                <w:sz w:val="20"/>
                <w:szCs w:val="20"/>
                <w:color w:val="auto"/>
              </w:rPr>
            </w:pPr>
            <w:r>
              <w:rPr>
                <w:rFonts w:ascii="Arial" w:cs="Arial" w:eastAsia="Arial" w:hAnsi="Arial"/>
                <w:sz w:val="18"/>
                <w:szCs w:val="18"/>
                <w:b w:val="1"/>
                <w:bCs w:val="1"/>
                <w:color w:val="auto"/>
                <w:w w:val="89"/>
              </w:rPr>
              <w:t>Table of Contents</w:t>
            </w:r>
          </w:p>
        </w:tc>
        <w:tc>
          <w:tcPr>
            <w:tcW w:w="1000" w:type="dxa"/>
            <w:vAlign w:val="bottom"/>
          </w:tcPr>
          <w:p>
            <w:pPr>
              <w:spacing w:after="0"/>
              <w:rPr>
                <w:sz w:val="24"/>
                <w:szCs w:val="24"/>
                <w:color w:val="auto"/>
              </w:rPr>
            </w:pPr>
          </w:p>
        </w:tc>
      </w:tr>
      <w:tr>
        <w:trPr>
          <w:trHeight w:val="452"/>
        </w:trPr>
        <w:tc>
          <w:tcPr>
            <w:tcW w:w="8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0240" w:type="dxa"/>
            <w:vAlign w:val="bottom"/>
            <w:gridSpan w:val="20"/>
            <w:shd w:val="clear" w:color="auto" w:fill="CCEEFF"/>
          </w:tcPr>
          <w:p>
            <w:pPr>
              <w:spacing w:after="0" w:line="142" w:lineRule="exact"/>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216"/>
        </w:trPr>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 of Comprehensive Loss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Statements of Changes in Shareholders’ Equity</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Statements of Cash Flows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Notes to Unaudited Condensed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 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 from Registered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0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our industry and market sizes, future opportunities, our estimated future results and the Business Combination (as defined below).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important risks, uncertainties, events and factors that could cause our actual results or performance to differ materially from those in the forward-looking statements contained in this document, including:</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operations in the People’s Republic of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delay or failure to realize the expected benefits from the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related to disruption of management time from ongoing business operations due to the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highly competitive market in which we compete, including with respect to our competitive landscape, technology evolution or regulatory changes;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not be able to execute our growth strategies or achieve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are unable to secure or protect our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customers or third-party suppliers are unable to meet their obligations fully or in a timely manner;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customers will adjust, cancel or suspend their orders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 that we will need to raise additional capital to execute our business plan, which may not be available on acceptable terms or at all;</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product liability or regulatory lawsuits or proceedings relating to our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not be able to develop and maintain effective internal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us or any of our directors or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realize anticipated pro forma results and underlying assumptions.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list of factors is not exhaustive and new factors may emerge from time to time that could also affect actual performance and results. For more information, please see the risk factors included in our Annual Report on Form 10-K/A for the year ended December 31, 2020 in Part I, Item 1A and in the Registration Statement on Form S-1, (File No. 333-258978), which was initially filed on August 20, 2021, and as further amended, and subsequent filings with the SEC.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39,900</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$5,047 and $4,796 as of December 31, 2020 and</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 respectively)</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76,298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receivable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12,964</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189,323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750,924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Land use rights, net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 from customers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2,446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payables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borrowings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35,782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43,131</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Bonds payable</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29,915</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183,626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153,612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Deposit liability for series B2 convertible preferred shares (“Series B2 Preferred”)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bonds payable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73,147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Share-based compensation liability</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8,841</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110,597</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35,511</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389,162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273,572</w:t>
            </w:r>
          </w:p>
        </w:tc>
        <w:tc>
          <w:tcPr>
            <w:tcW w:w="100" w:type="dxa"/>
            <w:vAlign w:val="bottom"/>
            <w:tcBorders>
              <w:top w:val="single" w:sz="8" w:color="CCEEFF"/>
            </w:tcBorders>
          </w:tcPr>
          <w:p>
            <w:pPr>
              <w:spacing w:after="0"/>
              <w:rPr>
                <w:sz w:val="18"/>
                <w:szCs w:val="18"/>
                <w:color w:val="auto"/>
              </w:rPr>
            </w:pPr>
          </w:p>
        </w:tc>
      </w:tr>
      <w:tr>
        <w:trPr>
          <w:trHeight w:val="547"/>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Mezzanine Equity (Note 14 and Note 16)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C1  convertible  redeemable  preferred  shares  (“Series  C1  Preferred”)  (US$0.01  par  value;  26,757,258</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authorized, issued and outstanding as of December 31, 2020 and nil authorized,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80,581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Series  C2  convertible  redeemable  preferred  shares  (“Series  C2  Preferred”)  (US$0.01  par  value;  20,249,450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7"/>
              </w:rPr>
              <w:t>authorized, issued and outstanding as of December 31, 2020 and nil authorized, issued and outstanding as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September 30,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81,966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D1 convertible redeemable preferred shares (“Series D1 Preferred”) (US$0.01 par value; 22,311,516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authorized, issued and outstanding as of December 31, 2020 and nil authorized,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146,583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90,820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399,950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of US$0.0001 per share, 240,450,000 and 750,000,000 shares authorized as of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31, 2020 and September 30, 2021; 99,028,297 and 300,522,394 shares issued, and 99,028,297 and 298,834,894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shares outstanding as of December 31, 2020 and September 30, 2021)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1,291,199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Statutory reserves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6,032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6,032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(397,996)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7,356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4,983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716,784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Mezzanine Equity and Shareholders’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404,510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990,356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2380" w:right="2360" w:hanging="8"/>
        <w:spacing w:after="0" w:line="323" w:lineRule="auto"/>
        <w:rPr>
          <w:sz w:val="20"/>
          <w:szCs w:val="20"/>
          <w:color w:val="auto"/>
        </w:rPr>
      </w:pPr>
      <w:r>
        <w:rPr>
          <w:rFonts w:ascii="Arial" w:cs="Arial" w:eastAsia="Arial" w:hAnsi="Arial"/>
          <w:sz w:val="16"/>
          <w:szCs w:val="16"/>
          <w:b w:val="1"/>
          <w:bCs w:val="1"/>
          <w:color w:val="auto"/>
        </w:rPr>
        <w:t>UNAUDITED CONDENSED CONSOLIDATED STATEMENTS OF OPERATIONS (In thousands of U.S. dollars, except share and per share data, or as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85,204</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(27,075)</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(72,779)</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(50,950)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(129,100)</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(57,058)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(12,670)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(67,810)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(4,558)</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(13,518)</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(12,518)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(23,199)</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(3,456)</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(7,380)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(9,464)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(14,242)</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(12,735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(34,652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(105,251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(9,096)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(113,296)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(25,400)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(146,471)</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on changes in fair value of convertible notes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(3,018)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(9,861)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warrant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1,113</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(116,370)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Accretion of Series C1 Preferred</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2,257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Accretion of Series C2 Preferred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5,132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Accretion of Series D1 Preferred</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4,662</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1,190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13,986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10,708</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Accretion for noncontrolling interests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4,002</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11,924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9,523</w:t>
            </w:r>
          </w:p>
        </w:tc>
      </w:tr>
      <w:tr>
        <w:trPr>
          <w:trHeight w:val="171"/>
        </w:trPr>
        <w:tc>
          <w:tcPr>
            <w:tcW w:w="598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w w:val="92"/>
              </w:rPr>
              <w:t>Net loss attributable to common stock shareholders of Microvast Holdings,</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55"/>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Inc.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(21,944)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(120,003)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(64,557)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(187,464)</w:t>
            </w:r>
          </w:p>
        </w:tc>
      </w:tr>
      <w:tr>
        <w:trPr>
          <w:trHeight w:val="184"/>
        </w:trPr>
        <w:tc>
          <w:tcPr>
            <w:tcW w:w="5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2"/>
              </w:rPr>
              <w:t>Net loss per share attributable to common stock shareholders of Microvast</w:t>
            </w: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Holdings, Inc.</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(0.22)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(0.65)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used in calculating net loss per share of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99,028,297</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243,861,780</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99,028,297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147,836,650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10,867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6,223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(2,373)</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(162,217)</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jc w:val="center"/>
              <w:ind w:right="339"/>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restart"/>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79"/>
              <w:spacing w:after="0" w:line="126"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 Inc.</w:t>
            </w: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jc w:val="center"/>
              <w:ind w:right="179"/>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3"/>
          </w:tcPr>
          <w:p>
            <w:pPr>
              <w:jc w:val="center"/>
              <w:ind w:right="179"/>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Statutory</w:t>
            </w:r>
          </w:p>
        </w:tc>
        <w:tc>
          <w:tcPr>
            <w:tcW w:w="10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9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3"/>
                <w:szCs w:val="13"/>
                <w:color w:val="auto"/>
              </w:rPr>
            </w:pPr>
          </w:p>
        </w:tc>
        <w:tc>
          <w:tcPr>
            <w:tcW w:w="980" w:type="dxa"/>
            <w:vAlign w:val="bottom"/>
            <w:gridSpan w:val="2"/>
          </w:tcPr>
          <w:p>
            <w:pPr>
              <w:jc w:val="center"/>
              <w:ind w:right="359"/>
              <w:spacing w:after="0" w:line="149"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3"/>
                <w:szCs w:val="13"/>
                <w:color w:val="auto"/>
              </w:rPr>
            </w:pPr>
          </w:p>
        </w:tc>
        <w:tc>
          <w:tcPr>
            <w:tcW w:w="9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as of June 30, 2020</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99,028,297</w:t>
            </w:r>
          </w:p>
        </w:tc>
        <w:tc>
          <w:tcPr>
            <w:tcW w:w="760" w:type="dxa"/>
            <w:vAlign w:val="bottom"/>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(359,646)</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(13,910)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6,032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(367,518)</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(10,089)</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(10,089)</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C1 Preferred</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(975)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Accretion for Series C2 Preferred</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(2,216)</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D1 Preferred</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(4,662)</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Accretion for the exiting noncontrolling interests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(1,425)</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10,867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10,867</w:t>
            </w:r>
          </w:p>
        </w:tc>
        <w:tc>
          <w:tcPr>
            <w:tcW w:w="0" w:type="dxa"/>
            <w:vAlign w:val="bottom"/>
          </w:tcPr>
          <w:p>
            <w:pPr>
              <w:spacing w:after="0"/>
              <w:rPr>
                <w:sz w:val="1"/>
                <w:szCs w:val="1"/>
                <w:color w:val="auto"/>
              </w:rPr>
            </w:pPr>
          </w:p>
        </w:tc>
      </w:tr>
      <w:tr>
        <w:trPr>
          <w:trHeight w:val="155"/>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Accretion for redeemable noncontrolling interests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(2,577)</w:t>
            </w:r>
          </w:p>
        </w:tc>
        <w:tc>
          <w:tcPr>
            <w:tcW w:w="180" w:type="dxa"/>
            <w:vAlign w:val="bottom"/>
          </w:tcPr>
          <w:p>
            <w:pPr>
              <w:spacing w:after="0"/>
              <w:rPr>
                <w:sz w:val="13"/>
                <w:szCs w:val="13"/>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as of September 30, 2020</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99,028,297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(381,590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(3,043</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(378,595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0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ind w:right="319"/>
              <w:spacing w:after="0"/>
              <w:rPr>
                <w:sz w:val="20"/>
                <w:szCs w:val="20"/>
                <w:color w:val="auto"/>
              </w:rPr>
            </w:pPr>
            <w:r>
              <w:rPr>
                <w:rFonts w:ascii="Arial" w:cs="Arial" w:eastAsia="Arial" w:hAnsi="Arial"/>
                <w:sz w:val="14"/>
                <w:szCs w:val="14"/>
                <w:b w:val="1"/>
                <w:bCs w:val="1"/>
                <w:color w:val="auto"/>
                <w:w w:val="93"/>
              </w:rPr>
              <w:t>Nine Months Ended September 30, 2020</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restart"/>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 Inc.</w:t>
            </w: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jc w:val="center"/>
              <w:ind w:right="179"/>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3"/>
          </w:tcPr>
          <w:p>
            <w:pPr>
              <w:jc w:val="center"/>
              <w:ind w:right="179"/>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Statutory</w:t>
            </w:r>
          </w:p>
        </w:tc>
        <w:tc>
          <w:tcPr>
            <w:tcW w:w="10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9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3"/>
                <w:szCs w:val="13"/>
                <w:color w:val="auto"/>
              </w:rPr>
            </w:pPr>
          </w:p>
        </w:tc>
        <w:tc>
          <w:tcPr>
            <w:tcW w:w="980" w:type="dxa"/>
            <w:vAlign w:val="bottom"/>
            <w:gridSpan w:val="2"/>
          </w:tcPr>
          <w:p>
            <w:pPr>
              <w:jc w:val="center"/>
              <w:ind w:right="359"/>
              <w:spacing w:after="0" w:line="149"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3"/>
                <w:szCs w:val="13"/>
                <w:color w:val="auto"/>
              </w:rPr>
            </w:pPr>
          </w:p>
        </w:tc>
        <w:tc>
          <w:tcPr>
            <w:tcW w:w="9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as of January 1, 2020</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99,028,297</w:t>
            </w:r>
          </w:p>
        </w:tc>
        <w:tc>
          <w:tcPr>
            <w:tcW w:w="760" w:type="dxa"/>
            <w:vAlign w:val="bottom"/>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(320,760)</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(9,266)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6,032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(320,261)</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(29,074)</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(29,074)</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C1 Preferred</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(2,923)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Accretion for Series C2 Preferred</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(804)</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(5,846)</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(6,650)</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D1 Preferred</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(13,986)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(13,986)</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Accretion for the exiting noncontrolling interests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(4,243)</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(4,243)</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6,223</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6,223</w:t>
            </w:r>
          </w:p>
        </w:tc>
        <w:tc>
          <w:tcPr>
            <w:tcW w:w="0" w:type="dxa"/>
            <w:vAlign w:val="bottom"/>
          </w:tcPr>
          <w:p>
            <w:pPr>
              <w:spacing w:after="0"/>
              <w:rPr>
                <w:sz w:val="1"/>
                <w:szCs w:val="1"/>
                <w:color w:val="auto"/>
              </w:rPr>
            </w:pPr>
          </w:p>
        </w:tc>
      </w:tr>
      <w:tr>
        <w:trPr>
          <w:trHeight w:val="169"/>
        </w:trPr>
        <w:tc>
          <w:tcPr>
            <w:tcW w:w="3500" w:type="dxa"/>
            <w:vAlign w:val="bottom"/>
            <w:gridSpan w:val="2"/>
          </w:tcPr>
          <w:p>
            <w:pPr>
              <w:spacing w:after="0"/>
              <w:rPr>
                <w:sz w:val="20"/>
                <w:szCs w:val="20"/>
                <w:color w:val="auto"/>
              </w:rPr>
            </w:pPr>
            <w:r>
              <w:rPr>
                <w:rFonts w:ascii="Arial" w:cs="Arial" w:eastAsia="Arial" w:hAnsi="Arial"/>
                <w:sz w:val="14"/>
                <w:szCs w:val="14"/>
                <w:color w:val="auto"/>
              </w:rPr>
              <w:t>Accretion for redeemable noncontrolling interests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4"/>
                <w:szCs w:val="14"/>
                <w:color w:val="auto"/>
              </w:rPr>
              <w:t>(7,681)</w:t>
            </w:r>
          </w:p>
        </w:tc>
        <w:tc>
          <w:tcPr>
            <w:tcW w:w="180" w:type="dxa"/>
            <w:vAlign w:val="bottom"/>
          </w:tcPr>
          <w:p>
            <w:pPr>
              <w:spacing w:after="0"/>
              <w:rPr>
                <w:sz w:val="14"/>
                <w:szCs w:val="14"/>
                <w:color w:val="auto"/>
              </w:rPr>
            </w:pPr>
          </w:p>
        </w:tc>
        <w:tc>
          <w:tcPr>
            <w:tcW w:w="9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4"/>
                <w:szCs w:val="14"/>
                <w:color w:val="auto"/>
              </w:rPr>
              <w:t>(7,681)</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as of September 30, 2020</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99,028,297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(381,590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(3,043</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(378,595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SHAREHOLDERS’ (DEFICIT)/EQUITY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Three Months Ended September 30, 2021</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40" w:type="dxa"/>
            <w:vAlign w:val="bottom"/>
            <w:gridSpan w:val="3"/>
            <w:vMerge w:val="restart"/>
          </w:tcPr>
          <w:p>
            <w:pPr>
              <w:jc w:val="right"/>
              <w:ind w:right="30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jc w:val="center"/>
              <w:ind w:right="179"/>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Statutory</w:t>
            </w:r>
          </w:p>
        </w:tc>
        <w:tc>
          <w:tcPr>
            <w:tcW w:w="10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11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9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2"/>
              </w:rPr>
              <w:t>deficit</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reserves</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(Deficit)/Equity</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June 30, 2021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99,028,297</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(465,457)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6,032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(451,306)</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(116,476)</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(116,476)</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C1 Preferred</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(251)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Accretion for Series C2 Preferred</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(570)</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D1 Preferred</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(1,190)</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Accretion for redeemable noncontrolling interests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(658)</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the exiting noncontrolling interests</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(858)</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30"/>
        </w:trPr>
        <w:tc>
          <w:tcPr>
            <w:tcW w:w="346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the reverse</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80"/>
              <w:spacing w:after="0" w:line="149" w:lineRule="exact"/>
              <w:rPr>
                <w:sz w:val="20"/>
                <w:szCs w:val="20"/>
                <w:color w:val="auto"/>
              </w:rPr>
            </w:pPr>
            <w:r>
              <w:rPr>
                <w:rFonts w:ascii="Arial" w:cs="Arial" w:eastAsia="Arial" w:hAnsi="Arial"/>
                <w:sz w:val="14"/>
                <w:szCs w:val="14"/>
                <w:color w:val="auto"/>
              </w:rPr>
              <w:t>recapitalization, net of issuance costs of $42.8</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180"/>
              <w:spacing w:after="0"/>
              <w:rPr>
                <w:sz w:val="20"/>
                <w:szCs w:val="20"/>
                <w:color w:val="auto"/>
              </w:rPr>
            </w:pPr>
            <w:r>
              <w:rPr>
                <w:rFonts w:ascii="Arial" w:cs="Arial" w:eastAsia="Arial" w:hAnsi="Arial"/>
                <w:sz w:val="14"/>
                <w:szCs w:val="14"/>
                <w:color w:val="auto"/>
              </w:rPr>
              <w:t>million (Note 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191,254,950</w:t>
            </w:r>
          </w:p>
        </w:tc>
        <w:tc>
          <w:tcPr>
            <w:tcW w:w="72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1,241,648</w:t>
            </w:r>
          </w:p>
        </w:tc>
        <w:tc>
          <w:tcPr>
            <w:tcW w:w="160" w:type="dxa"/>
            <w:vAlign w:val="bottom"/>
          </w:tcPr>
          <w:p>
            <w:pPr>
              <w:spacing w:after="0"/>
              <w:rPr>
                <w:sz w:val="14"/>
                <w:szCs w:val="14"/>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1,241,671</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8,551,647</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49,551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49,552</w:t>
            </w:r>
          </w:p>
        </w:tc>
        <w:tc>
          <w:tcPr>
            <w:tcW w:w="0" w:type="dxa"/>
            <w:vAlign w:val="bottom"/>
          </w:tcPr>
          <w:p>
            <w:pPr>
              <w:spacing w:after="0"/>
              <w:rPr>
                <w:sz w:val="1"/>
                <w:szCs w:val="1"/>
                <w:color w:val="auto"/>
              </w:rPr>
            </w:pPr>
          </w:p>
        </w:tc>
      </w:tr>
      <w:tr>
        <w:trPr>
          <w:trHeight w:val="156"/>
        </w:trPr>
        <w:tc>
          <w:tcPr>
            <w:tcW w:w="34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(3,130)</w:t>
            </w:r>
          </w:p>
        </w:tc>
        <w:tc>
          <w:tcPr>
            <w:tcW w:w="10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156"/>
        </w:trPr>
        <w:tc>
          <w:tcPr>
            <w:tcW w:w="346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as of September 30, 2021</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298,834,894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1,291,199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(585,460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4,983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716,784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rPr>
              <w:t>Nine Months Ended September 30, 2021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40" w:type="dxa"/>
            <w:vAlign w:val="bottom"/>
            <w:gridSpan w:val="3"/>
            <w:vMerge w:val="restart"/>
          </w:tcPr>
          <w:p>
            <w:pPr>
              <w:jc w:val="right"/>
              <w:ind w:right="30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jc w:val="center"/>
              <w:ind w:right="179"/>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Statutory</w:t>
            </w:r>
          </w:p>
        </w:tc>
        <w:tc>
          <w:tcPr>
            <w:tcW w:w="10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1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9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3"/>
                <w:szCs w:val="13"/>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reserves</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(Deficit)/Equity</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January 1, 2021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99,028,297</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(397,996)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6,032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(384,602)</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(159,844)</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(159,844)</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C1 Preferred</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(2,257)</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Accretion for Series C2 Preferred</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(5,132)</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Series D1 Preferred</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(10,708)</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Accretion for redeemable noncontrolling interests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(5,841)</w:t>
            </w: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(5,841)</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the exiting noncontrolling interests</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(3,682)</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30"/>
        </w:trPr>
        <w:tc>
          <w:tcPr>
            <w:tcW w:w="346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the reverse</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180"/>
              <w:spacing w:after="0" w:line="149" w:lineRule="exact"/>
              <w:rPr>
                <w:sz w:val="20"/>
                <w:szCs w:val="20"/>
                <w:color w:val="auto"/>
              </w:rPr>
            </w:pPr>
            <w:r>
              <w:rPr>
                <w:rFonts w:ascii="Arial" w:cs="Arial" w:eastAsia="Arial" w:hAnsi="Arial"/>
                <w:sz w:val="14"/>
                <w:szCs w:val="14"/>
                <w:color w:val="auto"/>
              </w:rPr>
              <w:t>recapitalization, net of issuance costs of $42.8</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180"/>
              <w:spacing w:after="0"/>
              <w:rPr>
                <w:sz w:val="20"/>
                <w:szCs w:val="20"/>
                <w:color w:val="auto"/>
              </w:rPr>
            </w:pPr>
            <w:r>
              <w:rPr>
                <w:rFonts w:ascii="Arial" w:cs="Arial" w:eastAsia="Arial" w:hAnsi="Arial"/>
                <w:sz w:val="14"/>
                <w:szCs w:val="14"/>
                <w:color w:val="auto"/>
              </w:rPr>
              <w:t>million (Note 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191,254,950</w:t>
            </w:r>
          </w:p>
        </w:tc>
        <w:tc>
          <w:tcPr>
            <w:tcW w:w="72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1,241,648</w:t>
            </w:r>
          </w:p>
        </w:tc>
        <w:tc>
          <w:tcPr>
            <w:tcW w:w="160" w:type="dxa"/>
            <w:vAlign w:val="bottom"/>
          </w:tcPr>
          <w:p>
            <w:pPr>
              <w:spacing w:after="0"/>
              <w:rPr>
                <w:sz w:val="14"/>
                <w:szCs w:val="14"/>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1,241,671</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8,551,647</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49,551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49,552</w:t>
            </w:r>
          </w:p>
        </w:tc>
        <w:tc>
          <w:tcPr>
            <w:tcW w:w="0" w:type="dxa"/>
            <w:vAlign w:val="bottom"/>
          </w:tcPr>
          <w:p>
            <w:pPr>
              <w:spacing w:after="0"/>
              <w:rPr>
                <w:sz w:val="1"/>
                <w:szCs w:val="1"/>
                <w:color w:val="auto"/>
              </w:rPr>
            </w:pPr>
          </w:p>
        </w:tc>
      </w:tr>
      <w:tr>
        <w:trPr>
          <w:trHeight w:val="155"/>
        </w:trPr>
        <w:tc>
          <w:tcPr>
            <w:tcW w:w="34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(2,373)</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as of September 30, 2021</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298,834,894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1,291,199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(585,460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4,983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716,784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2380" w:right="2340" w:hanging="18"/>
        <w:spacing w:after="0" w:line="323" w:lineRule="auto"/>
        <w:rPr>
          <w:sz w:val="20"/>
          <w:szCs w:val="20"/>
          <w:color w:val="auto"/>
        </w:rPr>
      </w:pPr>
      <w:r>
        <w:rPr>
          <w:rFonts w:ascii="Arial" w:cs="Arial" w:eastAsia="Arial" w:hAnsi="Arial"/>
          <w:sz w:val="16"/>
          <w:szCs w:val="16"/>
          <w:b w:val="1"/>
          <w:bCs w:val="1"/>
          <w:color w:val="auto"/>
        </w:rPr>
        <w:t>UNAUDITED CONDENSED CONSOLIDATED STATEMENTS OF CASH FLOWS (In thousands of U.S. dollars, except share and per share data, or as otherwise noted)</w:t>
      </w:r>
    </w:p>
    <w:p>
      <w:pPr>
        <w:spacing w:after="0" w:line="134"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(159,844)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11,384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14,398</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 and intangible assets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499</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58,290</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fair value of warrant liability</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Changes in fair value of convertible notes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9,861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 allowance of doubtful accounts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261</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Provision for obsolete inventories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12,667</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867</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Product warranty</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2,468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44,610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10,630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10,782</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11,782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9,425</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6,021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(15,127)</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Amount due from/to related parties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(8,612)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6,868</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Advance from customers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(6,371)</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2,292</w:t>
            </w: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payables</w:t>
            </w:r>
          </w:p>
        </w:tc>
        <w:tc>
          <w:tcPr>
            <w:tcW w:w="3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generated from/(used in) operating activities</w:t>
            </w:r>
          </w:p>
        </w:tc>
        <w:tc>
          <w:tcPr>
            <w:tcW w:w="3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(24,653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5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(15,375)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(40,718)</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Proceeds on disposal of property, plant and equipment</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2,946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15,230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26,603</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bank borrowings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(17,590)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(15,665)</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Loans borrowing from related parties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18,063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8,426</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related party loans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(8,426)</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Merger and Private Investment in Public Equity (“PIPE”) financing</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747,791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transaction fee in connection with the merger</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(42,821)</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Payment to exited noncontrolling interests (Note 14)</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(139,038)</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convertible notes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57,500</w:t>
            </w:r>
          </w:p>
        </w:tc>
      </w:tr>
      <w:tr>
        <w:trPr>
          <w:trHeight w:val="216"/>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in)/generated from financing activities</w:t>
            </w:r>
          </w:p>
        </w:tc>
        <w:tc>
          <w:tcPr>
            <w:tcW w:w="3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(2,360)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634,370</w:t>
            </w:r>
          </w:p>
        </w:tc>
      </w:tr>
      <w:tr>
        <w:trPr>
          <w:trHeight w:val="203"/>
        </w:trPr>
        <w:tc>
          <w:tcPr>
            <w:tcW w:w="5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Effect of exchange rate changes</w:t>
            </w:r>
          </w:p>
        </w:tc>
        <w:tc>
          <w:tcPr>
            <w:tcW w:w="3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2,314</w:t>
            </w:r>
          </w:p>
        </w:tc>
        <w:tc>
          <w:tcPr>
            <w:tcW w:w="100" w:type="dxa"/>
            <w:vAlign w:val="bottom"/>
            <w:tcBorders>
              <w:top w:val="single" w:sz="8" w:color="CCEEFF"/>
            </w:tcBorders>
          </w:tcPr>
          <w:p>
            <w:pPr>
              <w:spacing w:after="0"/>
              <w:rPr>
                <w:sz w:val="17"/>
                <w:szCs w:val="17"/>
                <w:color w:val="auto"/>
              </w:rPr>
            </w:pPr>
          </w:p>
        </w:tc>
      </w:tr>
      <w:tr>
        <w:trPr>
          <w:trHeight w:val="24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3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(10,452)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571,313</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Cash, cash equivalents and restricted cash at beginning of the period</w:t>
            </w:r>
          </w:p>
        </w:tc>
        <w:tc>
          <w:tcPr>
            <w:tcW w:w="3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41,196</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3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34"/>
        </w:trPr>
        <w:tc>
          <w:tcPr>
            <w:tcW w:w="55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29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572,609</w:t>
            </w: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8,233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39,900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Microvast Holdings, Inc.(“Microvast” or the “Company”) and its subsidiaries (collectively, the “Group”) are primarily engaged in developing, manufacturing, and selling electronic power products for electric vehicles primarily in the People’s Republic of China (“PRC”) and Europe.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The unaudited condensed consolidated financial statements have been prepared in accordance with the rules and regulations of the Security and Exchange Commission and U.S. generally accepted accounting standards (“U.S. GAAP”) for interim financial reporting. Accordingly, certain information and disclosures normally included in the notes to the annual financial statements prepared in accordance with U.S. GAAP have been omitted from these interim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audited consolidated financial statements for the period ended December 31, 2020 included in the Company’s Current Report on Form 8-K filed with the SEC on July 28, 2021 and as amended and filed with the SEC on August 16, 2021, which provides a more complete discussion of the Company’s accounting policies and certain other information. In the opinion of the management, the accompanying unaudited condensed consolidated financial statements reflect all adjustments (which include normal recurring adjustments) necessary for a fair statement of financial results for the interim periods presented. The Company believes that the disclosures are adequate to make the information presented not misleading.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2021 are not necessarily indicative of the results to be expected for any subsequent quarter or for the fiscal year ending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information as of December 31, 2020 included on the condensed consolidated balance sheets is derived from the Group’s audited consolidated financial statements for the year ended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policies noted below, there have been no significant changes to the significant accounting policies disclosed in Note 2 of the audited consolidated financial statements as of December 31, 2020 and 2019 and for the years ended December 31, 2020, 2019, and 2018.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accounting estimates reflected in the Group’s financial statements include allowance for doubtful accounts, provision for obsolete inventories, impairment of long-lived assets, valuation allowance for deferred tax assets, product warranties, fair value measurement of the convertible promissory notes, fair value measurement of warrant liability and share 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upon consolidation.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estimates-continued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23, 2021 (the “Closing Date”), Tuscan Holdings Corp. (“Tuscan”), consummated the previously announced merger with Microvast, Inc., a Delaware corporation, pursuant to the Agreement and Plan of Merger (the “Merger Agreement”) dated February 1, 2021, between Tuscan, Microvast, Inc. and TSCN Merger Sub Inc., a Delaware corporation (“Merger Sub”), pursuant to which the Merger Sub merged with and into Microvast, Inc., with Microvast, Inc. surviving the merger (the “Merger,” and, collectively with the other transactions described in the Merger Agreement, the “Reverse Recapitalization”). As a result of the Merger, Tuscan was renamed “Microvast Holdings, Inc.” The Merger is accounted for as a reverse recapitalization as Microvast, Inc. was determined to be the accounting acquirer under Financial Accounting Standards Board’s Accounting Standards Codification Topic 805, Business Combinations (“ASC 805”).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3 “Reverse Recapitalization” for further details of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Group’s revenue consists primarily of sales of lithium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2020 and 2021, the Group derived revenues of $23,945 and $31,792 from the Asia &amp; Pacific region, $6,446 and $4,908 from Europe and $362 and $194 from other geographic regions where the customers are located,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2020 and 2021, the Group derived revenues of $42,632 and $73,360 from the Asia &amp; Pacific region, $16,376 and $11,466 from Europe and $392 and $378 from other geographic regions where the customers are located,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Contract balances include accounts receivable and advances from customers. Accounts receivable represent cash not received from customers and are recorded when the rights to consideration is unconditional. The allowance for doubtful accounts reflects the best estimate of probable losses inherent to the accounts receivable balance. Contract liabilities, recorded in advance from customers in the consolidated balance sheet, represent payment received in advance or payment received related to a material right provided to a customer to acquire additional goods or services at a discount in a future period. During the three months ended September 30, 2020 and 2021, the Group recognized $13 and $60 of revenue previously included in advance from customers as of July 1, 2020 and July 1, 2021, respectively. During the nine months ended September 30, 2020 and 2021, the Group recognized $459 and $1,381 of revenue previously included in advance from customers as of January 1, 2020 and January 1, 2021, respectively, which consist of payments received in advance related to its sales of lithium batteries.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 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 Liability-classified awards are remeasured at their fair-value-based measurement as of each reporting date until settlement.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warrants in accordance with the guidance contained in ASC 815-40 under which the warrants do not meet the criteria for equity treatment and must be recorded as liabilities. As the Private Warrants (as defined below) meet the definition of a derivative as contemplated in ASC 815, the Company classifies the Private Warrants as liabilities. This liability is subject to re-measurement at each balance sheet date until exercised, and any change in fair value is recognized in the condensed statements of operations. The Private Warrants are valued using a Monte Carlo simulation model on the basis of the quoted market price of Public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RECAPITALIZATION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23, 2021, Tuscan merged with Microvast, Inc., with Microvast, Inc. surviving the merger. As a result of the Merger, Tuscan was renamed “Microvast Holdings, Inc.” On the Closing Date, pursuant to the terms of the Merger Agreement, the Framework Agreement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subscription agreements entered into with the holders of an aggregate of $57.5 million outstanding convertible notes issued by Microvast (the “Bridge Notes,” refer to Note 11) and the investors in the PIPE Financing:</w:t>
      </w:r>
    </w:p>
    <w:p>
      <w:pPr>
        <w:spacing w:after="0" w:line="202" w:lineRule="exact"/>
        <w:rPr>
          <w:sz w:val="20"/>
          <w:szCs w:val="20"/>
          <w:color w:val="auto"/>
        </w:rPr>
      </w:pPr>
    </w:p>
    <w:p>
      <w:pPr>
        <w:jc w:val="both"/>
        <w:ind w:left="9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issued 209,999,991 shares of Common Stock of the Company (“Common Stock”) to the former owners of Microvast, Inc. pursuant to the Merger Agreement, which number is inclusive of the shares being issued to the CL Investors and MPS minority investors pursuant to the Framework Agreement;</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issued 6,736,106 shares of Common Stock to the holders of the Bridge Notes;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 for a purchase price of $10.00 per share and an aggregate purchase price of $482.5 million;</w:t>
      </w:r>
    </w:p>
    <w:p>
      <w:pPr>
        <w:jc w:val="both"/>
        <w:ind w:left="9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issued 150,000 private placement units to Tuscan Holdings Acquisition LLC (the “Sponsor”) upon conversion of notes payable by the Company in the amount of $1.5 million; such private placement units consist of (i) 150,000 shares of Common Stock and (ii) warrants to purchase 150,000 shares of Common Stock at an exercise price of $11.50 per share; and</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Merger Agreement, the former owners of Microvast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options to purchase Microvast, Inc.’s common stock that was outstanding before the Merger was converted into options to acquire Common Stock by computing the number of shares and converting the exercise price based on the exchange ratio of 160.3 (the “Common Exchange Ratio”). Refer to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both"/>
        <w:ind w:left="340" w:hanging="332"/>
        <w:spacing w:after="0" w:line="235" w:lineRule="auto"/>
        <w:tabs>
          <w:tab w:leader="none" w:pos="34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In connection with the Merger Agreement, Tuscan, Microvast Power System (Huzhou) Co., Ltd., a majority owned subsidiary of Microvast, Inc. (“MPS”), certain MPS convertible loan investors (the “CL Investors”, refer to Note 11), some MPS minority investors, and certain other parties entered into a framework agreement (the “Framework Agreement”), pursuant to which, (1) the CL Investors waived their convertible loans issued on November 2, 2018, by MPS, in exchange for 6,719,845 shares of Common Stock of the Company and (2) the MPS minority investors waived their rights in MPS's equity in exchange for 17,253,182 shares of Common Stock of the Company (refer to Note 14).</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RECAPITALIZATION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capped non-vested share unit of Microvast, Inc. that was outstanding before the Merger was converted into a non-vested share unit of the Company by computing the number of shares and converting the capped price based on the Common Exchange Ratio. Refer to Note 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the Closing Date and following the completion of the Merger, the ownership interests of the Company’s stockholders were as follows:</w:t>
      </w:r>
    </w:p>
    <w:p>
      <w:pPr>
        <w:spacing w:after="0" w:line="235" w:lineRule="exact"/>
        <w:rPr>
          <w:sz w:val="20"/>
          <w:szCs w:val="20"/>
          <w:color w:val="auto"/>
        </w:rPr>
      </w:pPr>
    </w:p>
    <w:p>
      <w:pPr>
        <w:ind w:left="1032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15" w:lineRule="auto"/>
        <w:rPr>
          <w:sz w:val="20"/>
          <w:szCs w:val="20"/>
          <w:color w:val="auto"/>
        </w:rPr>
      </w:pPr>
      <w:r>
        <w:rPr>
          <w:rFonts w:ascii="Arial" w:cs="Arial" w:eastAsia="Arial" w:hAnsi="Arial"/>
          <w:sz w:val="18"/>
          <w:szCs w:val="18"/>
          <w:color w:val="auto"/>
        </w:rPr>
        <w:t>Existing Microvast Equity Holders</w:t>
      </w:r>
      <w:r>
        <w:rPr>
          <w:rFonts w:ascii="Arial" w:cs="Arial" w:eastAsia="Arial" w:hAnsi="Arial"/>
          <w:sz w:val="29"/>
          <w:szCs w:val="29"/>
          <w:color w:val="auto"/>
          <w:vertAlign w:val="superscript"/>
        </w:rPr>
        <w:t>(a)</w:t>
      </w:r>
    </w:p>
    <w:p>
      <w:pPr>
        <w:spacing w:after="0"/>
        <w:rPr>
          <w:sz w:val="20"/>
          <w:szCs w:val="20"/>
          <w:color w:val="auto"/>
        </w:rPr>
      </w:pPr>
      <w:r>
        <w:rPr>
          <w:rFonts w:ascii="Arial" w:cs="Arial" w:eastAsia="Arial" w:hAnsi="Arial"/>
          <w:sz w:val="16"/>
          <w:szCs w:val="16"/>
          <w:color w:val="auto"/>
        </w:rPr>
        <w:t>Existing Microvast Convertible Noteholders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Tuscan public stockholders</w:t>
      </w:r>
    </w:p>
    <w:p>
      <w:pPr>
        <w:spacing w:after="0" w:line="192" w:lineRule="auto"/>
        <w:rPr>
          <w:sz w:val="20"/>
          <w:szCs w:val="20"/>
          <w:color w:val="auto"/>
        </w:rPr>
      </w:pPr>
      <w:r>
        <w:rPr>
          <w:rFonts w:ascii="Arial" w:cs="Arial" w:eastAsia="Arial" w:hAnsi="Arial"/>
          <w:sz w:val="18"/>
          <w:szCs w:val="18"/>
          <w:color w:val="auto"/>
        </w:rPr>
        <w:t>Sponsor Group</w:t>
      </w:r>
      <w:r>
        <w:rPr>
          <w:rFonts w:ascii="Arial" w:cs="Arial" w:eastAsia="Arial" w:hAnsi="Arial"/>
          <w:sz w:val="29"/>
          <w:szCs w:val="29"/>
          <w:color w:val="auto"/>
          <w:vertAlign w:val="superscript"/>
        </w:rPr>
        <w:t>(b)(c)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EarlyBirdCapital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PIPE investors immediately after Merger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209,999,991</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6,736,106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27,493,140</w:t>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7,608,589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428,411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48,250,000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300,516,237</w:t>
      </w:r>
    </w:p>
    <w:p>
      <w:pPr>
        <w:spacing w:after="0" w:line="209" w:lineRule="exact"/>
        <w:rPr>
          <w:sz w:val="20"/>
          <w:szCs w:val="20"/>
          <w:color w:val="auto"/>
        </w:rPr>
      </w:pPr>
    </w:p>
    <w:p>
      <w:pPr>
        <w:sectPr>
          <w:pgSz w:w="11900" w:h="16838" w:orient="portrait"/>
          <w:cols w:equalWidth="0" w:num="2">
            <w:col w:w="9520" w:space="720"/>
            <w:col w:w="1000"/>
          </w:cols>
          <w:pgMar w:left="320" w:top="769" w:right="339" w:bottom="1440" w:gutter="0" w:footer="0" w:header="0"/>
          <w:type w:val="continuous"/>
        </w:sectPr>
      </w:pPr>
    </w:p>
    <w:p>
      <w:pPr>
        <w:spacing w:after="0" w:line="70"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the Earn-Out Shares, but is inclusive of the shares being issued pursuant to the Framework Agreement to the CL Investors and MPS minority investors.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Sponsor Group includes Common Stock owned by the Sponsor, Stefan M. Selig, Richard O. Rieger and Amy Butte.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1,687,500 shares that may be subject to cancellation in accordance with the amended escrow agreement.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Merger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the Company raised approximately $708.4 million of proceeds including the contribution of $281.7 million of cash held in Tuscan’s trust account from its initial public offering, net of redemptions of Tuscan public stockholders of $0.9 million, and $482.5 million of cash in connection with the PIPE financing. The total transaction costs was $58.3 million, consisting of banking, legal, and other professional fees, among which $42.8 million was recorded as a reduction to additional paid-in-capital and the remaining $15.5 million was recorded as expense by Tuscan immediately prior to the merger.</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 30-trading day period prior to the fifth anniversary of the Closing. In accordance with ASC 815-40, the Escrow Shares were indexed to the Common Stock and were classified as equity.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4. ACCOUNTS RECEIVABLE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(5,047)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(4,796)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76,298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67,243</w:t>
            </w:r>
          </w:p>
        </w:tc>
        <w:tc>
          <w:tcPr>
            <w:tcW w:w="80" w:type="dxa"/>
            <w:vAlign w:val="bottom"/>
            <w:shd w:val="clear" w:color="auto" w:fill="CCEEFF"/>
          </w:tcPr>
          <w:p>
            <w:pPr>
              <w:spacing w:after="0"/>
              <w:rPr>
                <w:sz w:val="18"/>
                <w:szCs w:val="18"/>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Movement of allowance for doubtful accounts was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4,534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Charge to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Exchange difference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84"/>
              </w:rPr>
              <w:t>4,709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5980" w:type="dxa"/>
            <w:vAlign w:val="bottom"/>
          </w:tcPr>
          <w:p>
            <w:pPr>
              <w:spacing w:after="0"/>
              <w:rPr>
                <w:sz w:val="20"/>
                <w:szCs w:val="20"/>
                <w:color w:val="auto"/>
              </w:rPr>
            </w:pPr>
            <w:r>
              <w:rPr>
                <w:rFonts w:ascii="Arial" w:cs="Arial" w:eastAsia="Arial" w:hAnsi="Arial"/>
                <w:sz w:val="18"/>
                <w:szCs w:val="18"/>
                <w:b w:val="1"/>
                <w:bCs w:val="1"/>
                <w:color w:val="auto"/>
              </w:rPr>
              <w:t>5. INVENTORIES,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17,451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20,725</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8,873</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44,968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47,820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Provision for obsolete inventories at $680 and $6,569 were recognized for the three months ended September 30, 2020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Provision for obsolete inventory at $1,326 and $12,667 were recognized for the nine months ended September 30, 2020 and 2021,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color w:val="auto"/>
                <w:w w:val="96"/>
              </w:rPr>
              <w:t>The balance of the VAT receivables represented the amount available for future deduction against VAT payable.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Payables to exiting investors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13,017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welfare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tax payable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payables to exiting investors represents the amount due in a year for the redemption of the shares owned by certain noncontrolling shareholders of a subsidiary. See Note 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8. PRODUCT WARRANTY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Movement of product warranty was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Provided for new sales during the period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Provided for pre-existing legacy product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40,849</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Utilized during the period</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(9,229)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(2,322)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(12,099)</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end of the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Warranty provisions are based upon historical experience. Changes in provisions related to pre-existing legacy products were made based on actual claims and intensive testing and analysis on the legacy products. In 2021, as a result of the increases in the repairing cost and frequency of claims with respect to a legacy product sold in 2017 and 2018, the Company conducted intensive experiments and a root cause analysis, which was completed in October 2021. The Company concluded that a component purchased from a supplier was not meeting the Company’s performance standards. As a result, the Company expects that the impacted legacy products sold will need to be replaced before the expiration of the warranty term. This reassessment resulted in a change in estimate for additional accrual of $34.1 million for such legacy product sold. As the component was not incorporated into other products, no additional accrual was made to other existing products sold. The Company is in negotiation with the supplier for compensation and will take legal action if necessary.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8. PRODUCT WARRANTY - continued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 current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18,690</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15,060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33,177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entered into loan agreements and bank facilities with Chinese banks and a German bank.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original terms of the loans from Chinese banks range from 6 to 12 months and the interest rates range from 5.00% to 6.00% per annum. As of September 30, 2021, the balance of the loans from Chinese bank was $13,191.</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facility agreement with the German bank includes a $13.0 million (EUR11 million) 8-year maturity term loan and a $4.7 million (EUR4 million) revolving facility (“German Bank Facility Agreement”). The interest rate of the 8-year maturity term loan is EURIBOR plus a margin rate determined by the financial leverage ratio of the Group. The $4.7 million (EUR4 million) revolving facility at 6.00% annual interest, needs to be renewed every year (60 days in advance). During the nine months ended September 30, 2021, the Group drew down the 8-year maturity term loan to the amount of $9,660. On October 1, 2021, the Company had entered into the termination agreement with the German Bank to cancel the German Bank Facility Agreement. All outstanding amounts under the loan were repaid on October 8,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Changes in bank borrowings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Proceeds from bank borrowings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5,757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15,230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principal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(15,665)</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Exchange difference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balance of bank borrowings as of September 30, 2021 and December 31, 2020 are current borrowings.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 BORROWINGS - continued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2020 and September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22,732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19,297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17,173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w w:val="83"/>
              </w:rPr>
              <w:t>44,818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53,100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Group’s related parties Ochem Chemical Co., Ltd (“Ochem”) and Ochemate Material Technologies Co., Ltd (“Ochemate”) provided $20,874 of guarantees to secure certain bank facilities granted to the Group as of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10. OTHER NON-CURRENT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Payable to exiting investors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33,177</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subsidy income-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110,597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35,511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payable to exiting investors represents the amount to be paid for the redemption of the shares owned by certain noncontrolling interest holders of a subsidiary. See Note 14. The balance was paid out as of September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11. BONDS PAYABLE</w:t>
            </w:r>
          </w:p>
        </w:tc>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37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Bonds payable</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Third-party investors</w:t>
            </w:r>
          </w:p>
        </w:tc>
        <w:tc>
          <w:tcPr>
            <w:tcW w:w="5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29,915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7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49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w w:val="83"/>
              </w:rPr>
              <w:t>29,915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7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Long–term bonds payable</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Huzhou Saiyuan</w:t>
            </w:r>
          </w:p>
        </w:tc>
        <w:tc>
          <w:tcPr>
            <w:tcW w:w="5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73,147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73,147</w:t>
            </w:r>
          </w:p>
        </w:tc>
      </w:tr>
      <w:tr>
        <w:trPr>
          <w:trHeight w:val="210"/>
        </w:trPr>
        <w:tc>
          <w:tcPr>
            <w:tcW w:w="3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w w:val="83"/>
              </w:rPr>
              <w:t>73,147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73,147</w:t>
            </w:r>
          </w:p>
        </w:tc>
        <w:tc>
          <w:tcPr>
            <w:tcW w:w="100" w:type="dxa"/>
            <w:vAlign w:val="bottom"/>
            <w:tcBorders>
              <w:top w:val="single" w:sz="8" w:color="CCEEFF"/>
            </w:tcBorders>
          </w:tcPr>
          <w:p>
            <w:pPr>
              <w:spacing w:after="0"/>
              <w:rPr>
                <w:sz w:val="18"/>
                <w:szCs w:val="18"/>
                <w:color w:val="auto"/>
              </w:rPr>
            </w:pPr>
          </w:p>
        </w:tc>
      </w:tr>
      <w:tr>
        <w:trPr>
          <w:trHeight w:val="547"/>
        </w:trPr>
        <w:tc>
          <w:tcPr>
            <w:tcW w:w="37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BONDS PAYABLE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29, 2018, MPS signed an agreement with Huzhou Saiyuan, an entity established by the local government, to issue convertible bonds to Huzhou Saiyuan for a total consideration of $87,776 (RMB600 million), of which $29,259 (RMB200 million) was converted from the existing non-interest-bearing loan with Huzhou Saiyuan as of December 31, 2018. The Company pledged its 12.39% equity holding over MPS to Huzhou Saiyuan to facilitate the issuance of convertible bonds. Besides the previous converted bond $29,259 (RMB200 million), Huzhou Saiyuan further subscribed for $14,629 (RMB100 million) on January 9, 2019 and $29,259 (RMB200 million) on February 1, 2019, respectively.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41"/>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Subscribed Amount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2340" w:type="dxa"/>
            <w:vAlign w:val="bottom"/>
            <w:gridSpan w:val="3"/>
          </w:tcPr>
          <w:p>
            <w:pPr>
              <w:ind w:left="340"/>
              <w:spacing w:after="0"/>
              <w:rPr>
                <w:sz w:val="20"/>
                <w:szCs w:val="20"/>
                <w:color w:val="auto"/>
              </w:rPr>
            </w:pPr>
            <w:r>
              <w:rPr>
                <w:rFonts w:ascii="Arial" w:cs="Arial" w:eastAsia="Arial" w:hAnsi="Arial"/>
                <w:sz w:val="18"/>
                <w:szCs w:val="18"/>
                <w:b w:val="1"/>
                <w:bCs w:val="1"/>
                <w:color w:val="auto"/>
              </w:rPr>
              <w:t>Repayment Amount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16"/>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 2019</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$29,259 (RMB200 million)</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June 30, 2023</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$29,259</w:t>
            </w: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(RMB200 million)</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$29,259 (RMB200 million)</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28, 2024</w:t>
            </w:r>
          </w:p>
        </w:tc>
        <w:tc>
          <w:tcPr>
            <w:tcW w:w="740" w:type="dxa"/>
            <w:vAlign w:val="bottom"/>
          </w:tcPr>
          <w:p>
            <w:pPr>
              <w:jc w:val="right"/>
              <w:spacing w:after="0"/>
              <w:rPr>
                <w:sz w:val="20"/>
                <w:szCs w:val="20"/>
                <w:color w:val="auto"/>
              </w:rPr>
            </w:pPr>
            <w:r>
              <w:rPr>
                <w:rFonts w:ascii="Arial" w:cs="Arial" w:eastAsia="Arial" w:hAnsi="Arial"/>
                <w:sz w:val="18"/>
                <w:szCs w:val="18"/>
                <w:color w:val="auto"/>
              </w:rPr>
              <w:t>$14,629</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(RMB100 million)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0%~4%</w:t>
            </w: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11, 2024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(RMB50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October 1, 2024</w:t>
            </w:r>
          </w:p>
        </w:tc>
        <w:tc>
          <w:tcPr>
            <w:tcW w:w="740" w:type="dxa"/>
            <w:vAlign w:val="bottom"/>
          </w:tcPr>
          <w:p>
            <w:pPr>
              <w:jc w:val="right"/>
              <w:spacing w:after="0"/>
              <w:rPr>
                <w:sz w:val="20"/>
                <w:szCs w:val="20"/>
                <w:color w:val="auto"/>
              </w:rPr>
            </w:pPr>
            <w:r>
              <w:rPr>
                <w:rFonts w:ascii="Arial" w:cs="Arial" w:eastAsia="Arial" w:hAnsi="Arial"/>
                <w:sz w:val="18"/>
                <w:szCs w:val="18"/>
                <w:color w:val="auto"/>
              </w:rPr>
              <w:t>$7,315</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(RMB50 million)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0%~4%</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$14,629 (RMB100 million)</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13, 2026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additional one-year extension could be granted to the Group if the Group submits a written application before the extended maturity date. As of September 30, 2021, the outstanding balance of the convertible bonds to Huzhou Saiyuan totaled at $73,147 (RMB500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Bonds issued to third-party investors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2, 2018, MPS signed a convertible bond agreement with two third-party investors (the “CL Investors”), through which the CL Investors agreed to provide a non-interest bearing loan in an aggregate amount of $58,516 (RMB400 million) or up to $73,147 (RMB500 million) to MPS, and the CL Investors could convert the bonds into a number of Series D2 preferred shares of the Company (the “Series D2 Preferred”) once approvals from the PRC and US government were obtained. As of December 31, 2020, $29,915 (RMB204.5 million) was subscribed by the CL Investors.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23, 2021, upon the completion of the Merger between Microvast, Inc. and Tuscan, the convertible bonds were settled and converted into 6,719,845 shares of Common Stock of the combined company. Refer to Note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promissory notes was contingent upon the occurrence of a Private Investment in Public Equity (“PIPE”) financing, a Liquidity Event or a new financing after June 30, 2022 but before the maturity date (“Next Financing”). The first tranche and second tranche of the convertible promissory notes were issued in January 2021 and February 2021 at amounts of $25,000 and $32,500, respectively. A discounted rate of 80% or 90% was required to be applied upon conversion, depending on the circumstances of PIPE financing, Liquidity Event or Next Financing.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BONDS PAYABLE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option was elected for the measurement of the convertible notes. Changes in fair value, a loss of $3,018 and $9,861 were recorded in the unaudited condensed consolidated statements of operations for the three and nine months ended September 30, 2021,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23, 2021, upon the completion of the Merger between Microvast, Inc. and Tuscan, the convertible promissory notes were converted into 6,736,106 shares of Common Stock of the combined company as disclosed in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assumed 27,600,000 publicly-traded warrants (“Public Warrants”) and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and entitle the holder to purchase one share of the Company’s Common Stock at an exercise price of $11.50 per share. During the three and nine months ended September 30, 2021, none of Public Warrants and Private Warrants were exercised.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Public Warrants became exercisable 30 days after the completion of the Merger. No Warrants will be exercisable for cash unless the Company registered Common Stock issuable upon exercise of the Warrants with the SEC. Since the registration of shares was not completed within 90 days following the Merger, warrant holders may exercise Warrants on a net-share settlement basis. The Public Warrants will expire five years after the completion of the Merger or earlier upon redemption or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the warrants.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net-share settlement basis.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 -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Private Warrants were initially recognized as a liability on July 23, 2021 at a fair value of $3,574 and the private warrant liability was remeasured to fair value based upon the market price as of September 30, 2021, resulting in a gain of $1.1 million for the three months ended September 30, 2021, classified within change in fair value of warrant liabilities in the condensed consolidated statements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Private Warrants were valued using the following assumptions under the Monte Carlo Model that assumes optimal exercise of the Company’s redemption option at the earliest possible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July 23,</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8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54.14%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52.80%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measured its financial assets and liabilities, including cash and cash equivalents, restricted cash, warrants and convertible notes at fair value on a recurring basis as of December 31, 2020 and September 30, 2021. Cash and cash equivalents, restricted cash and convertible notes are classified within Level 1 of the fair value hierarchy because they are valued based on the quoted market price in an active market. The fair value of the warrant liability is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12.</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and September 30, 2021, information about inputs for the fair value measurements of the Group’s assets and liabilities that are measured at fair value on a recurring basis in periods subsequent to their initial recognition is as follow: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9"/>
          </w:tcPr>
          <w:p>
            <w:pPr>
              <w:ind w:left="560"/>
              <w:spacing w:after="0"/>
              <w:rPr>
                <w:sz w:val="20"/>
                <w:szCs w:val="20"/>
                <w:color w:val="auto"/>
              </w:rPr>
            </w:pPr>
            <w:r>
              <w:rPr>
                <w:rFonts w:ascii="Arial" w:cs="Arial" w:eastAsia="Arial" w:hAnsi="Arial"/>
                <w:sz w:val="18"/>
                <w:szCs w:val="18"/>
                <w:b w:val="1"/>
                <w:bCs w:val="1"/>
                <w:color w:val="auto"/>
              </w:rPr>
              <w:t>Fair Value Measurement as of December 31, 2020</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Quoted Prices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Market for</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19,700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9"/>
          </w:tcPr>
          <w:p>
            <w:pPr>
              <w:ind w:left="540"/>
              <w:spacing w:after="0"/>
              <w:rPr>
                <w:sz w:val="20"/>
                <w:szCs w:val="20"/>
                <w:color w:val="auto"/>
              </w:rPr>
            </w:pPr>
            <w:r>
              <w:rPr>
                <w:rFonts w:ascii="Arial" w:cs="Arial" w:eastAsia="Arial" w:hAnsi="Arial"/>
                <w:sz w:val="18"/>
                <w:szCs w:val="18"/>
                <w:b w:val="1"/>
                <w:bCs w:val="1"/>
                <w:color w:val="auto"/>
              </w:rPr>
              <w:t>Fair Value Measurement as of September 30, 2021</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Quoted Prices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Market for</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572,609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39,900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39,900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liability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balances for Level 3 convertible notes during the nine months ended September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2"/>
              </w:rPr>
              <w:t>Convertible</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7"/>
              </w:rPr>
              <w:t>Notes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Issuance of convertible notes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57,500</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convertible notes</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9,861</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Conversion as of Merger</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(67,361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beginning and ending balances for Level 3 warrant liability during the nine months ended September 30, 2021:</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Assumed warrant liability upon Merger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30, 2021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Warrant</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Liability</w:t>
      </w:r>
    </w:p>
    <w:p>
      <w:pPr>
        <w:spacing w:after="0" w:line="22" w:lineRule="exact"/>
        <w:rPr>
          <w:sz w:val="20"/>
          <w:szCs w:val="20"/>
          <w:color w:val="auto"/>
        </w:rPr>
      </w:pPr>
    </w:p>
    <w:p>
      <w:pPr>
        <w:ind w:left="1060" w:hanging="105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3,574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(1,113)</w:t>
      </w:r>
    </w:p>
    <w:p>
      <w:pPr>
        <w:spacing w:after="0" w:line="35" w:lineRule="exact"/>
        <w:rPr>
          <w:sz w:val="20"/>
          <w:szCs w:val="20"/>
          <w:color w:val="auto"/>
        </w:rPr>
      </w:pPr>
    </w:p>
    <w:p>
      <w:pPr>
        <w:ind w:left="700" w:hanging="69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769" w:right="33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measured the long-lived assets using the income approach—discounted cash flow method, when events or changes in circumstances indicate that the carrying amount of an asset may no longer be recoverable.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interests of MPS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Microvast, Inc. sold 17.39% equity interest of its wholly-owned subsidiary, MPS, to eight third-party investors (the “Investors”) for total cash consideration of $400,000, which was received in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Microvast, Inc. signed a series of repurchase and redemption agreements with six out of the eight investors of MPS which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an extension agreement signed in September 2020, $30,000 was paid to the Exiting Investors in March 2021, and the remaining repayments are scheduled in 2023 and thereafter, depending on the completion of financing in 2022 or 2023. On August 31, 2021, an early repayment agreement was entered into between MPS and the Exiting Investors, pursuant to which the remaining amount of $99,038 was fully repaid as of September 30, 2021 to the Exiting Investors.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800,000,000 shares to be issued at $0.0001 par value, with 750,000,000 shares designated as Common Stock and 50,000,000 shares of redeemable convertible preferred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following the Merger, there were 300,516,237 shares of Common Stock issued with a par value of $0.0001 as disclosed in Note 3. The holder of each share of Common Stock is entitled to one vote. The Company has retroactively adjusted the shares issued and outstanding prior to July 23, 2021 to give effect to the Common Exchange Ratio of 160.3 established in the Merger Agreement. As of September 30, 2021, there were 300,522,394 shares of Common Stock issued and 298,834,894 shares outstanding.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PREFERRED SHARES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December 31, 2020, the Company had preferred shares issued and outstanding as follows (share number of the Company’s preferred shares prior to the Merger have been retroactively restated to reflect the Common Exchange Ratio of 160.3 established in the Merger as described in Note 3):</w:t>
      </w:r>
    </w:p>
    <w:p>
      <w:pPr>
        <w:sectPr>
          <w:pgSz w:w="11900" w:h="16838" w:orient="portrait"/>
          <w:cols w:equalWidth="0" w:num="1">
            <w:col w:w="11240"/>
          </w:cols>
          <w:pgMar w:left="320" w:top="769" w:right="339" w:bottom="144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Shares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Series C1 Preferred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Series C2 Preferred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D1 Preferred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41"/>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700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Shareholders</w:t>
            </w:r>
          </w:p>
        </w:tc>
      </w:tr>
      <w:tr>
        <w:trPr>
          <w:trHeight w:val="202"/>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5"/>
              </w:rPr>
              <w:t>Ashmore Global Special Situations Fund 4 Limited Partnership and Ashmore Global Special</w:t>
            </w: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8"/>
              </w:rPr>
              <w:t>Situations Fund 5 Limited Partnership (“Ashmore”) and International Finance Corporation</w:t>
            </w:r>
          </w:p>
        </w:tc>
      </w:tr>
      <w:tr>
        <w:trPr>
          <w:trHeight w:val="216"/>
        </w:trPr>
        <w:tc>
          <w:tcPr>
            <w:tcW w:w="1120" w:type="dxa"/>
            <w:vAlign w:val="bottom"/>
          </w:tcPr>
          <w:p>
            <w:pPr>
              <w:ind w:left="300"/>
              <w:spacing w:after="0"/>
              <w:rPr>
                <w:sz w:val="20"/>
                <w:szCs w:val="20"/>
                <w:color w:val="auto"/>
              </w:rPr>
            </w:pPr>
            <w:r>
              <w:rPr>
                <w:rFonts w:ascii="Arial" w:cs="Arial" w:eastAsia="Arial" w:hAnsi="Arial"/>
                <w:sz w:val="18"/>
                <w:szCs w:val="18"/>
                <w:color w:val="auto"/>
                <w:w w:val="88"/>
              </w:rPr>
              <w:t>26,757,258</w:t>
            </w:r>
          </w:p>
        </w:tc>
        <w:tc>
          <w:tcPr>
            <w:tcW w:w="2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(“IFC”)</w:t>
            </w:r>
          </w:p>
        </w:tc>
      </w:tr>
      <w:tr>
        <w:trPr>
          <w:trHeight w:val="216"/>
        </w:trPr>
        <w:tc>
          <w:tcPr>
            <w:tcW w:w="1120" w:type="dxa"/>
            <w:vAlign w:val="bottom"/>
          </w:tcPr>
          <w:p>
            <w:pPr>
              <w:ind w:left="300"/>
              <w:spacing w:after="0"/>
              <w:rPr>
                <w:sz w:val="20"/>
                <w:szCs w:val="20"/>
                <w:color w:val="auto"/>
              </w:rPr>
            </w:pPr>
            <w:r>
              <w:rPr>
                <w:rFonts w:ascii="Arial" w:cs="Arial" w:eastAsia="Arial" w:hAnsi="Arial"/>
                <w:sz w:val="18"/>
                <w:szCs w:val="18"/>
                <w:color w:val="auto"/>
                <w:w w:val="88"/>
              </w:rPr>
              <w:t>20,249,450</w:t>
            </w:r>
          </w:p>
        </w:tc>
        <w:tc>
          <w:tcPr>
            <w:tcW w:w="2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Ashmore Cayman SPC Limited (“Ashmore Cayman”) and IFC</w:t>
            </w:r>
          </w:p>
        </w:tc>
      </w:tr>
      <w:tr>
        <w:trPr>
          <w:trHeight w:val="251"/>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8"/>
              </w:rPr>
              <w:t>22,311,516</w:t>
            </w:r>
          </w:p>
        </w:tc>
        <w:tc>
          <w:tcPr>
            <w:tcW w:w="200" w:type="dxa"/>
            <w:vAlign w:val="bottom"/>
          </w:tcPr>
          <w:p>
            <w:pPr>
              <w:spacing w:after="0"/>
              <w:rPr>
                <w:sz w:val="21"/>
                <w:szCs w:val="21"/>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Evergreen Ever Limited (“EEL”)</w:t>
            </w:r>
          </w:p>
        </w:tc>
      </w:tr>
      <w:tr>
        <w:trPr>
          <w:trHeight w:val="250"/>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69,318,224</w:t>
            </w:r>
          </w:p>
        </w:tc>
        <w:tc>
          <w:tcPr>
            <w:tcW w:w="200" w:type="dxa"/>
            <w:vAlign w:val="bottom"/>
          </w:tcPr>
          <w:p>
            <w:pPr>
              <w:spacing w:after="0"/>
              <w:rPr>
                <w:sz w:val="21"/>
                <w:szCs w:val="21"/>
                <w:color w:val="auto"/>
              </w:rPr>
            </w:pPr>
          </w:p>
        </w:tc>
        <w:tc>
          <w:tcPr>
            <w:tcW w:w="7000" w:type="dxa"/>
            <w:vAlign w:val="bottom"/>
          </w:tcPr>
          <w:p>
            <w:pPr>
              <w:spacing w:after="0"/>
              <w:rPr>
                <w:sz w:val="21"/>
                <w:szCs w:val="21"/>
                <w:color w:val="auto"/>
              </w:rPr>
            </w:pP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-359410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-925195</wp:posOffset>
            </wp:positionV>
            <wp:extent cx="7132320"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720"/>
            <w:col w:w="8320"/>
          </w:cols>
          <w:pgMar w:left="320" w:top="769" w:right="339" w:bottom="1440" w:gutter="0" w:footer="0" w:header="0"/>
          <w:type w:val="continuous"/>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23, 2021, upon the completion of the Merger between Microvast, Inc. and Tuscan, all preferred shares were converted into Common Stock of the combined company at the Common Exchange Ratio of 160.3 as disclosed in Note 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balance of Series Preferred and redeemable noncontrolling interests included in the mezzanine equity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2021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Redeemable</w:t>
            </w:r>
          </w:p>
        </w:tc>
      </w:tr>
      <w:tr>
        <w:trPr>
          <w:trHeight w:val="216"/>
        </w:trPr>
        <w:tc>
          <w:tcPr>
            <w:tcW w:w="4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Series C1</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Series C2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Series D1</w:t>
            </w:r>
          </w:p>
        </w:tc>
        <w:tc>
          <w:tcPr>
            <w:tcW w:w="13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noncontrolling</w:t>
            </w:r>
          </w:p>
        </w:tc>
      </w:tr>
      <w:tr>
        <w:trPr>
          <w:trHeight w:val="241"/>
        </w:trPr>
        <w:tc>
          <w:tcPr>
            <w:tcW w:w="43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Preferred</w:t>
            </w: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Preferred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Preferred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interests</w:t>
            </w:r>
          </w:p>
        </w:tc>
      </w:tr>
      <w:tr>
        <w:trPr>
          <w:trHeight w:val="216"/>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Accretion</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2,923</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7,681</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September 30, 2020</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80,581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81,966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146,583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90,820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Accretion from January 1 to July 23</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Conversion as of Merger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(82,838)</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(87,098)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(157,291)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(96,661)</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September 30, 2021</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547"/>
        </w:trPr>
        <w:tc>
          <w:tcPr>
            <w:tcW w:w="4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2012, Microvast, Inc. adopted a Share Incentive Plan (the “2012 Plan”). The 2012 Plan permits the grant of options to purchase common stock, share appreciation rights, non-vested shares and non-vested share units. The maximum aggregate number of shares of common stock that may be issued pursuant to all awards under the share incentive plan is 17 percent of the total issued and outstanding company shares on a fully-diluted basis. The share options, non-vested shares and non-vested share units granted to the employees or nonemployees shall vest and become non-forfeitable with respect to one-third of the total number of the non-vested share and non-vested share units immediately upon the occurrence of initial public offering, sale or transfer of all or substantially all of the business, operations or assets of Microvast, Inc. or its subsidiaries, taken as a whole, to a third party, or such other sale or transfer of common stock in Microvast, Inc. as determined, in each case, by Microvast, Inc. pursuant to legal documents and other obligations binding upon it (the “Initial Vesting Date”), and on each of the first and second anniversaries of the Initial Vesting Date; provided that through each applicable vesting date, the employee or nonemployee is employed. The Merger in 2021 did not constitute the satisfaction of a performance condition that would trigger the vesting of equity awards as stipulated in the 2012 Plan.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Merger, all outstanding share awards granted under the 2012 Plan, 209,906 options and 143,652 capped non-vested share units, were converted into 33,647,927 options and 23,027,399 capped non-vested share units of the Company, respectively, using the Common Exchange Ratio of 160.3 as described in Note 3. Upon conversion, the Company modified the terms of the equity awards by removing the performance condition of the occurrence of an initial public offering and similar transaction under the 2012 Plan, and adopted a new vesting schedule of one-third of the total number on each of the first, second and third anniversaries of the Closing Date (the “Modification”). The Modification was considered a Type III modification under the Accounting for Share-Based Payments (Topic 718), in which the original awards were canceled, and the modified awards were considered granted on the modification date. Post-modification stock-based compensation expense related to these new awards will be recognized over the remaining service period using modification date fair values. Following the Merger, no further awards will be granted under the 2012 Plan. All stock award activity was retroactively restated to reflect the conversion.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21, 2021, the stockholders of the Company approved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The 2021 Plan reserves 5% of the fully-diluted shares of Common Stock outstanding immediately following the Closing Date (not including the shares underlying awards rolled over from the 2012 Plan) for issuance in accordance with the 2021 Plan’s terms. As of September 30, 2021, 76,956,754 shares of Common Stock was available under the 2021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and nine months ended September 30, 2021, the Company recorded stock-based compensation expense of $10.2 million related to the option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modification date fair value of the stock options was determined using the Binomial-Lattice Model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After</w:t>
            </w:r>
          </w:p>
        </w:tc>
      </w:tr>
      <w:tr>
        <w:trPr>
          <w:trHeight w:val="241"/>
        </w:trPr>
        <w:tc>
          <w:tcPr>
            <w:tcW w:w="998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modification</w:t>
            </w:r>
          </w:p>
        </w:tc>
      </w:tr>
      <w:tr>
        <w:trPr>
          <w:trHeight w:val="216"/>
        </w:trPr>
        <w:tc>
          <w:tcPr>
            <w:tcW w:w="9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(1)</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lives (years) (2)</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4.5-9.4</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Volatility (3)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47.6%-53.1%</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Risk-free interest rate (4)</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1.26-1.87%</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yields (5)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Weighted average fair value of options modified</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4.70-5.36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Exercise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was extracted from option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Expected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lives was derived from option agreements.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Volatility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volatility of the underlying common shares during the lives of the options was estimated based on the historical stock price volatility of comparable listed companies over a period comparable to the expected term of the options and the implied volatility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Risk-free interest rate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Risk-free interest rate was estimated based on the market yield of US Government Bond with maturity close to the expected term of the options, plus country risk spread.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  Expected dividend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dividend yield was estimated by the Company based on its expected dividend policy over the expected term of the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options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 options activity for the nine months ended September 30, 2020 and 2021 was as follows (all stock award activity was retroactively restated to reflect the conversion in July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Share options life</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7,578,503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2.14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Grant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27,874,727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3.06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(1,196,158)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2.04</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as of September 30, 2020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34,257,072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2.90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to vest and exercisable as of September 30,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34,257,072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as of January 1,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34,737,967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2.92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(1,186,220)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3.13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as of September 30,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33,551,747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4.95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to vest and exercisable as of September 30,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33,551,747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unrecognized equity-based compensation costs as of September 30, 2021 related to the stock options was $150.2 million, which is expected to be recognized over a weighted-average period of 8.2 years. The aggregate intrinsic value of the share options as of September 30, 2021 was $68,267.</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capped non-vested shares units represent rights for the holder to receive cash determined by the number of shares granted multiplied by the lower of the fair market value and the capped price, which will be settled in the form of cash payments. The capped non-vested shares units were accounted for as liability classified awards. Upon conversion, the Company adjusted the terms of capped non-vested shares units outstanding as described above. The Company recorded stock-based compensation expense of $8.8 million related to these non-vested share units awards based on the fair value determined by the lower of stock market price and the capped price as of September 30, 2021.</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Non-vested share units activity for the nine months ended September 30, 2020 and 2021 was as follows (all award activity was retroactively restated to reflect the conversion in July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Number on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(US$)</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19,809,056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(71,494)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non-vested shares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3,289,837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Outstanding as of September 30, 2020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23,027,399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23,027,399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Outstanding as of September 30, 2021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23,027,399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unrecognized equity-based compensation costs as of September 30, 2021 related to the non-vested share units was $135.7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the Merger, the Company granted 133,981 restricted stock units (“RSUs”) and 63,959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is based on the Company’s TSR. For RSU awards with performance conditions, stock-based compensation expense is only recognized if the performance conditions become probable to be satisfied.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these awards is recognized based on the grant date fair value which is recognized over the vesting period on a straight-line basis. Accordingly, the Company recorded stock-based compensation expense of $135 related to these RSU awards and $31 related to these PSU awards during the nine months ended September 30,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assumptions were used for respective period to calculate the fair value of common shares to be issued under TSR awards on the date of grant using the Monte Carlo pricing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99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 (1)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r>
      <w:tr>
        <w:trPr>
          <w:trHeight w:val="237"/>
        </w:trPr>
        <w:tc>
          <w:tcPr>
            <w:tcW w:w="9980" w:type="dxa"/>
            <w:vAlign w:val="bottom"/>
          </w:tcPr>
          <w:p>
            <w:pPr>
              <w:spacing w:after="0"/>
              <w:rPr>
                <w:sz w:val="20"/>
                <w:szCs w:val="20"/>
                <w:color w:val="auto"/>
              </w:rPr>
            </w:pPr>
            <w:r>
              <w:rPr>
                <w:rFonts w:ascii="Arial" w:cs="Arial" w:eastAsia="Arial" w:hAnsi="Arial"/>
                <w:sz w:val="18"/>
                <w:szCs w:val="18"/>
                <w:color w:val="auto"/>
              </w:rPr>
              <w:t>Volatility (2)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63.06%</w:t>
            </w:r>
          </w:p>
        </w:tc>
      </w:tr>
      <w:tr>
        <w:trPr>
          <w:trHeight w:val="216"/>
        </w:trPr>
        <w:tc>
          <w:tcPr>
            <w:tcW w:w="9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correlation coefficient of peer companies (3)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Risk-free interest rate (4)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yields (5)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Expected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term was derived from award agreements.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Volatility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volatility of the underlying common shares during the lives of the awards was estimated based on the historical stock price volatility of comparable listed companies over a period comparable to the expected term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Average correlation coefficient of peer companies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correlation coefficients are calculated based upon the price data used to calculate the historical volatilities and is used to model the way in which each entity tends to move in relation to its peers.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Risk-free interest 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Risk-free interest rate was estimated based on the market yield of US Government Bond with maturity close to the expected term of the options, plus country risk spread.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 Expected dividend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dividend yield was estimated by the Company based on its expected dividend policy over the expected term of the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non-vested shares activity for the nine months ended September 30, 2020 and 2021 was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(US$)</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3,289,837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Transfer to non-vested share units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(3,289,837)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Outstanding as of January 1, 2021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Grant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unrecognized equity-based compensation costs as of September 30, 2021 related to the non-vested shares was $1.6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B2 Preferred subscribed by employees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30, 2015, the Company issued 79,107 Series B2 Preferred to certain employees of the Company. The Series B2 Preferred were issued for cash consideration of $366.00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B2 Preferred subscribed by employees-continued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53,319 shares were legally issued and outstanding and the Company recorded a deposit liability of $21,792 at the per share price equal to the original Series B2 Preferred subscription price.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the Merger, the Series B2 Preferred were converted into 8,546,502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the Topic 718, in which the original awards were canceled, and the modified awards were considered granted on the modification date. Post-modification stock-based compensation expense related to these new awards of $39.2 million was recognized using modification date fair values determined based on the difference between the exercise price and Common Stock price on the modification date. Accordingly, the deposit liability was reclassified to equity upon the vesting.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summarizes the classification of stock-based compensation: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rPr>
              <w:t>Ended</w:t>
            </w:r>
          </w:p>
        </w:tc>
      </w:tr>
      <w:tr>
        <w:trPr>
          <w:trHeight w:val="216"/>
        </w:trPr>
        <w:tc>
          <w:tcPr>
            <w:tcW w:w="1002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100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44,164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3,518</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58,394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MAINLAND CHINA CONTRIBUTION PLAN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$618 and $708 for three months ended September 30, 2020 and 2021, respectively. The total provisions for such employee benefits were $1,572 and $1,989 for nine months ended September 30, 2020 and 2021, respectively.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76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rPr>
              <w:t>MICROVAST HOLDINGS, INC.</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00" w:type="dxa"/>
            <w:vAlign w:val="bottom"/>
            <w:gridSpan w:val="12"/>
          </w:tcPr>
          <w:p>
            <w:pPr>
              <w:jc w:val="center"/>
              <w:ind w:left="187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76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95"/>
              </w:rPr>
              <w:t>SEPTEMBER 30, 2021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668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(In thousands of U.S. dollars, except share and per share data, or as otherwise noted)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19. RELATED PARTY BALANCES AND TRANSACTIONS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b w:val="1"/>
                <w:bCs w:val="1"/>
                <w:color w:val="auto"/>
                <w:w w:val="90"/>
              </w:rPr>
              <w:t>Relationship with the Group</w:t>
            </w:r>
          </w:p>
        </w:tc>
      </w:tr>
      <w:tr>
        <w:trPr>
          <w:trHeight w:val="216"/>
        </w:trPr>
        <w:tc>
          <w:tcPr>
            <w:tcW w:w="22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Ochem</w:t>
            </w: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3"/>
              </w:rPr>
              <w:t>Controlled by CEO</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Ochemate</w:t>
            </w: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color w:val="auto"/>
                <w:w w:val="93"/>
              </w:rPr>
              <w:t>Controlled by CEO</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w w:val="96"/>
              </w:rPr>
              <w:t>(1)  Related party transaction</w:t>
            </w: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2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22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36"/>
        </w:trPr>
        <w:tc>
          <w:tcPr>
            <w:tcW w:w="2260" w:type="dxa"/>
            <w:vAlign w:val="bottom"/>
            <w:tcBorders>
              <w:bottom w:val="single" w:sz="8" w:color="CCEEFF"/>
            </w:tcBorders>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9"/>
              </w:rPr>
              <w:t>Raw material sold to Ochem</w:t>
            </w: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  Interest-free loans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MPS received certain interest-free loans from related parties, Ochemate and Ochem, for the three months and nine months ended September 30, 2020 and 2021 with accumulative amounts of $7,607 and nil, $18,063 and $8,426, respectively.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outstanding balance for the amount due from Ochem was nil as of December 31, 2020 and $128 as of September 30, 2021, respectively. Also, Ochem and Ochemate provided certain pledges and credit guarantees for the Group to secure bank facilities. Please refer to Note 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(21,944)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(187,464)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ordinary shares outstanding used in computing basic and</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99,028,297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243,861,780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99,028,297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147,836,650</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533"/>
        </w:trPr>
        <w:tc>
          <w:tcPr>
            <w:tcW w:w="5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2020 and 2021, the following shares outstanding were excluded from the calculation of diluted net loss per ordinary share, as their inclusion would have been anti-dilutive for the periods prescribed.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160" w:type="dxa"/>
            <w:vAlign w:val="bottom"/>
            <w:tcBorders>
              <w:right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6820" w:type="dxa"/>
            <w:vAlign w:val="bottom"/>
          </w:tcPr>
          <w:p>
            <w:pPr>
              <w:spacing w:after="0"/>
              <w:rPr>
                <w:sz w:val="20"/>
                <w:szCs w:val="20"/>
                <w:color w:val="auto"/>
              </w:rPr>
            </w:pPr>
          </w:p>
        </w:tc>
        <w:tc>
          <w:tcPr>
            <w:tcW w:w="2160" w:type="dxa"/>
            <w:vAlign w:val="bottom"/>
            <w:tcBorders>
              <w:right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68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share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26,228,125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33,641,132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16,854,262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33,869,470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Shares issuable upon vesting of non-vested shares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98,094</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365,484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33,093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warrants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21,327,750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7,187,374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Shares issuable upon conversion of Series B2 Preferred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8,545,490</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7,153,219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8,545,490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8,076,300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C1 Preferred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26,757,258</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6,398,475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26,757,258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19,896,422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Shares issuable upon conversion of Series C2 Preferred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20,249,450</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4,842,260</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20,249,450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15,057,284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D1 Preferred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22,311,516</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5,335,362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22,311,516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16,590,614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Shares issuable upon conversion of Series D2 Preferred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6,719,845</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1,606,919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6,719,845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4,996,808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non-controlling interests of a subsidiary</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17,253,182</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4,125,761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17,253,182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12,829,289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Shares issuable upon vesting of Earn-out shares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14,999,991</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5,054,942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that may be subject to cancellation</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1,265,625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426,511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Mr. Smith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5, 2018, Mr. Smith filed suit against the Company asserting claims for breach of contract and asserting discrimination and retaliation claims. In this action, Mr. Smith seeks the following relief: (1) a declaration that he owns 2,600 ordinary shares and (2) various damages and other equitable remedies over $1,000. The Company has denied all allegations and wrongful conduct. On November 11, 2021, the case was reset on the court’s docket, which will postpone the trial from November 2021 until early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outcome of any litigation is inherently uncertain and the amount of potential loss if any, associated with the resolution of such litigation, cannot be reasonably estimated. As such, no accrual for contingency loss was recorded in the consolidated financial statements for the three and nine months ended September 30, 2020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commitments for construction of property and purchase of property, plant and equipment were $46,144 as of September 30, 2021, which is mainly for the construction of the lithium battery production line.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21. COMMITMENTS AND CONTINGENCIES - continued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Lease commitments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color w:val="auto"/>
              </w:rPr>
              <w:t>Future minimum payments under lease commitments as of September 30, 2021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1420" w:type="dxa"/>
            <w:vAlign w:val="bottom"/>
            <w:tcBorders>
              <w:bottom w:val="single" w:sz="8" w:color="CCEEFF"/>
            </w:tcBorders>
          </w:tcPr>
          <w:p>
            <w:pPr>
              <w:spacing w:after="0"/>
              <w:rPr>
                <w:sz w:val="24"/>
                <w:szCs w:val="24"/>
                <w:color w:val="auto"/>
              </w:rPr>
            </w:pPr>
          </w:p>
        </w:tc>
        <w:tc>
          <w:tcPr>
            <w:tcW w:w="8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period ending December 31,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2022</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3,865</w:t>
            </w:r>
          </w:p>
        </w:tc>
        <w:tc>
          <w:tcPr>
            <w:tcW w:w="80" w:type="dxa"/>
            <w:vAlign w:val="bottom"/>
          </w:tcPr>
          <w:p>
            <w:pPr>
              <w:spacing w:after="0"/>
              <w:rPr>
                <w:sz w:val="18"/>
                <w:szCs w:val="18"/>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w:t>
            </w:r>
          </w:p>
        </w:tc>
        <w:tc>
          <w:tcPr>
            <w:tcW w:w="8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2024</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2,535</w:t>
            </w:r>
          </w:p>
        </w:tc>
        <w:tc>
          <w:tcPr>
            <w:tcW w:w="80" w:type="dxa"/>
            <w:vAlign w:val="bottom"/>
          </w:tcPr>
          <w:p>
            <w:pPr>
              <w:spacing w:after="0"/>
              <w:rPr>
                <w:sz w:val="18"/>
                <w:szCs w:val="18"/>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2026</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2,111</w:t>
            </w:r>
          </w:p>
        </w:tc>
        <w:tc>
          <w:tcPr>
            <w:tcW w:w="80" w:type="dxa"/>
            <w:vAlign w:val="bottom"/>
          </w:tcPr>
          <w:p>
            <w:pPr>
              <w:spacing w:after="0"/>
              <w:rPr>
                <w:sz w:val="18"/>
                <w:szCs w:val="18"/>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Lease Liabilities</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34,036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RSU and PSU Grants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2021, the Company granted 265,399 RSUs and 265,399 PSUs to employees, subject to service and market conditions. The service condition requires the participant’s continued employment with the Company through the applicable vesting date, and the market condition requires that the Company’s Common Stock subsequent to the grant date above a specified level for a defined period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October 2021, the Group acquired a building in Florida, United States, at the cost of $11.0 million for research and development projects.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References in this report </w:t>
      </w:r>
      <w:r>
        <w:rPr>
          <w:rFonts w:ascii="Arial" w:cs="Arial" w:eastAsia="Arial" w:hAnsi="Arial"/>
          <w:sz w:val="18"/>
          <w:szCs w:val="18"/>
          <w:color w:val="auto"/>
        </w:rPr>
        <w:t>(the “Report”)</w:t>
      </w:r>
      <w:r>
        <w:rPr>
          <w:rFonts w:ascii="Arial" w:cs="Arial" w:eastAsia="Arial" w:hAnsi="Arial"/>
          <w:sz w:val="18"/>
          <w:szCs w:val="18"/>
          <w:i w:val="1"/>
          <w:iCs w:val="1"/>
          <w:color w:val="auto"/>
        </w:rPr>
        <w:t xml:space="preserve"> to the “Company,” “Microvast Holdings, Inc.,” “Microvast,” “our,” “us” or “we” refer to Microvast Holdings, Inc.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Business Combination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23, 2021 (the “Closing Date”), Microvast Holdings, Inc. (formerly known as Tuscan Holdings Corp.) consummated the previously announced acquisition of Microvast, Inc., a Delaware corporation (“Microvast”), pursuant to the Agreement and Plan of Merger (the “Merger Agreement”) dated February 1, 2021, between Tuscan Holdings Corp. (“Tuscan”), Microvast and TSCN Merger Sub Inc., a Delaware corporation (“Merger Sub”), pursuant to which Merger Sub merged with and into Microvast, with Microvast surviving the merger (the “Merger”).</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Merger Agreement, Tuscan, MVST SPV LLC, a wholly owned subsidiary of Tuscan (“MVST SPV”), Microvast Power System (Huzhou) Co., Ltd., Microvast’s majority owned subsidiary (“MPS”), certain MPS convertible loan investors (the “CL Investors”) and certain minority equity investors in MPS (the “Minority Investors” and, together with the CL Investors, the “MPS Investors”) and certain other parties entered into a framework agreement (the “Framework Agreement”), pursuant to which, among other things, (1) the CL Investors waived certain rights with respect to the convertible loans (the “Convertible Loans”) held by such CL Investors that were issued under that certain Convertible Loan Agreement, dated November 2, 2018, among Microvast, MPS, such CL Investors and the MPS Investors (the “Convertible Loan Agreement”) and, in connection therewith, certain affiliates of the CL Investors (“CL Affiliates”) subscribed for 6,719,845 shares of common stock, $0.0001 par value per share (“Common Stock”), of Tuscan in a private placement in exchange for MPS convertible loans (the “CL Private Placement”).</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Merger Agreement, Tuscan entered into subscription agreements with (a) the holders of an aggregate of $57,500,000 outstanding promissory notes issued by Microvast (the “Bridge Notes”) pursuant to which Tuscan agreed to issue an aggregate of 6,736,106 shares of common stock upon conversion of the Bridge Notes (the “Bridge Notes Conversion”), and (b) a number of outside investors who agreed to purchase an aggregate of 48,250,000 shares of common stock at a price of $10.00 per share, for an aggregate purchase price of $482,500,000 (the “PIPE Financing”).</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 Private Placement, the Bridge Notes Conversion and the PIPE Financing closed contemporaneously with the closing under the Merger Agreement (collectively, the “Closing”). Upon the Closing of the Merger, the CL Private Placement, the Bridge Notes Conversion, the PIPE Financing and related transactions (collectively, the “Business Combination”), Microvast became a wholly-owned subsidiary of the Company, with the stockholders of Microvast becoming stockholders of the Company, and with the Company renamed “Microvast Holdings,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Business following the Business Combination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technology innovator for lithium batteries. We design, develop and manufacture battery systems for electric vehicles and energy storage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our customers a broad range of cell chemistries: LTO, LFP, NMC-1 and NMC-2.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trucks, buses, trains, mining trucks, marine applications, automated guided and specialty vehicles. For energy storage applications, we focus on high-performance applications such grid management and frequency regulation.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will also market our FCG cathode and polyaramid separator to passenger car original equipment manufacturers (“OEMs”) and consumer electronics manufacturers.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we launched our first ultra-fast battery system in 2009, we have sold and delivered approximately 2,422.3 MWh of battery systems. As of September 30, 2021, we had a backlog order of approximately $52.7 million for our battery systems equivalent to approximately 214.6 MWh, compared to the backlog order of approximately $31.9 million for our battery systems equivalent to approximately 90.8 MWh as of September 30, 2020. Our revenue for the three months ended September 30, 2021 increased $6.1 million, or 20.0%, compared to the same period in 2020.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initially focusing on the PRC and Asia &amp; Pacific region, we have expanded our presence and product promotion to Europe and the United States to capitalize on their rapidly growing electrification markets.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Europe, we have delivered over 1,500 units of ultra-fast charging battery systems to bus OEMs and operators as of September 30, 2021. Small-scale prototype projects are ongoing with regard to sports cars, commercial vehicles, trucks, port equipment and marine applications. In addition, we are jointly developing electric power-train solutions with leading commercial vehicle OEMs and a first-tier automotive supplier using LTO, NMC1 and NMC2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Product Innovation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performance is driven by development and sales of new products with innovative technology. Our ability to develop innovative technology has been and will continue to be dependent on our dedicated research team. In the future, we intend to continue to invest in R&amp;D in order to continually develop and introduce innovative products. We expect our results of operations will continue to be impacted by our ability to develop new products with improved performance and reduced ownership cost, as well as the cost of our R&amp;D efforts.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Demand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electric vehicles sector, including product innovation, general economic and political conditions, environmental concerns, energy demand, government support and economic incentives. While governmental economic incentives and mandates can drive market demand for electric vehicles, and as a result, battery systems and components, governmental economic incentives are being gradually reduced or eliminated, any reduction or elimination of governmental economic incentives may result in reduced demand for our products and adversely affect our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Capacity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depends on being able to meet anticipated demand for our products. In order to do this, we will need to increase our manufacturing capacity. We expect to use some of the proceeds from the Business Combination to expand our manufacturing facilities to increase our manufacturing output to address our backlog and to capture growing market opportunities. The capacity expansion will be carried out in a measured manner based on our ongoing assessment of medium- and long-term demand for our solutions. Our planned capacity expansion will require significant capital expenditures and will require corresponding expansion of our supporting infrastructure, further development of our sales and marketing team, expansion of our customer base and strengthened quality control.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Sales Geographic Mix</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primarily being focused on the PRC and Asia &amp; Pacific region, we are expanding our presence and product promotion to Europe and the United States to capitalize on the rapidly growing elective vehicle markets in those geographies. As we expand our geographic focus to Europe and the United States, we believe sales of our products in Europe and the United States will generate higher gross margins. It has been our experience that buyers in Europe and the United States are more motivated by the technologies, quality and total cost ownership of our products than are buyers in the PRC, making them less sensitive to the price of our products than are similarly situated buyers in the PRC. Therefore, the geographic source of our revenue will have an impact on our revenue and gross margins.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Costs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and economic penalties that may apply to a car manufacturer based on its fleet-wide emissions. Each of these regulations may expand the market size of electric vehicles, which would in turn benefit us. We have operations and sales in the PRC, the Asia &amp; Pacific region, Europe and the United States and, as a result, changes in trade restrictions and tariffs could impact our ability to meet projected sales or margins.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date, COVID-19 has had an adverse impact on our sales, operations, supply chains, and distribution systems, and has resulted in a one-month shutdown of our factories and in delivery delays. During the nine months ended September 30, 2021, we faced unanticipated challenges caused by the continued impact of global pandemic. Certain customers deferred their purchases due to the pandemic. Due to precautionary measures related to COVID-19 and resulting global economic impacts, we may experience further reductions in demand for certain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currently conduct our business through one operating segment. Our historical results are reported in accordance with U.S. GAAP and in U.S. dollars.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Since inception, we have financed our operations primarily from capital contributions from equity holders, issuance of convertible notes and bank borrowings. As of September 30, 2021, our principal sources of liquidity were our cash and cash equivalents in the amount of $572.6 million.</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2021, we had bank borrowings of $22.9 million, the terms of which range from 6 months to 12 months. The interest rates of our bank borrowings ranged from 5% to 6.31% per annum. As of September 30, 2021, we had convertible bonds of $73.1 million, with interest rates ranging from 0% to 4%. The convertible bonds are due as follows: $29.2 million in 2023; $29.2 million in 2024; and $14.7 million in 2026. As of September 30, 2021, we were in compliance with all material terms and covenants of our loan agreements, credit agreements, bonds and notes.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The consolidated net cash position as of September 30, 2021 included cash, cash equivalents and restricted cash of $80.7 million held by our PRC subsidiaries that is not available to fund domestic operations unless funds are repatriated. Should we need to repatriate to the U.S. part or all of the funds held by our PRC subsidiaries, we would need to accrue and pay withholding taxes equivalent to 10% of the funds repatriated. We do not intend to pay any cash dividends on our common stock in the foreseeable future and intend to retain all of the available funds and any future earnings for use in the operation and expansion of our business in the PRC, the EU and the United States.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23, 2021, the Business Combination was completed. The net proceeds from the Merger include $708.4 million cash to be retained for the purposes of working capital, business expansion and capital expenditure. We believe we will be able to meet our working capital requirements for at least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 data for the periods indicated:</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Amount in thousands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(14,425)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(40,718)</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634,370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nine months ended September 30, 2021, our operating activities used $24.7 million in cash. This decrease in cash consisted of (1) $19.5 million in cash paid after adjusting our net loss for non-cash and non-operating items, of which $14.4 million is depreciation of property, plant and equipment, $9.9 million loss on change in fair value of convertible notes, and $1.1 million gain on change in fair value of warrant; (2) $5.2 million decrease in cash flows from operating assets and liabilities including $20.2 million cash inflow due to collection of accounts receivable and notes receivable.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2021, cash used in investing activities totaled $40.7 million. This cash outflow primarily consisted of capital expenditures related to purchase of property and equipment in connection with our expansion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2021, cash provided by financing activities totaled $634.4 million. This cash inflow was a result of $26.6 million proceeds from bank borrowings, $57.5 million proceeds from the issuance of convertible notes to new investors and $708.4 million from Merger and PIPE financing, partially offset by $15.7 million repayment on bank borrowings and $139.0 payment to exited noncontrolling interests and $3.4 million payment for transaction fee.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derive revenue from the sales of our electric battery products, including LpTO, LpCO, MpCo and HnCo battery power systems. While we have historically marketed and sold our products primarily in the PRC, we are also expanding our sales presence internationally. The following table sets forth a breakdown of our revenue by major geographic regions in which our customers are located,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8"/>
                <w:szCs w:val="18"/>
                <w:b w:val="1"/>
                <w:bCs w:val="1"/>
                <w:color w:val="auto"/>
                <w:w w:val="91"/>
              </w:rPr>
              <w:t>Three Months Ended 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Asia &amp; Pacific Region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6,446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4,908</w:t>
            </w:r>
          </w:p>
        </w:tc>
        <w:tc>
          <w:tcPr>
            <w:tcW w:w="2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r>
      <w:tr>
        <w:trPr>
          <w:trHeight w:val="24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37"/>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36,894</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91"/>
              </w:rPr>
              <w:t>Nine Months Ended 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Amt</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Asia &amp; Pacific Region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16,376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11,466</w:t>
            </w:r>
          </w:p>
        </w:tc>
        <w:tc>
          <w:tcPr>
            <w:tcW w:w="2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r>
      <w:tr>
        <w:trPr>
          <w:trHeight w:val="25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7"/>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59,400</w:t>
            </w: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85,204</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historically derived a portion of our revenue in a given reporting period from a limited number of key customers, which varied from period to period. The following table summarizes net revenues from customers that accounted for over 10% of our net revenues for the periods indicated:</w:t>
      </w:r>
    </w:p>
    <w:p>
      <w:pPr>
        <w:spacing w:after="0" w:line="142"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B</w:t>
            </w:r>
          </w:p>
        </w:tc>
        <w:tc>
          <w:tcPr>
            <w:tcW w:w="1380" w:type="dxa"/>
            <w:vAlign w:val="bottom"/>
            <w:gridSpan w:val="3"/>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88"/>
              </w:rPr>
              <w:t>17%</w:t>
            </w:r>
          </w:p>
        </w:tc>
      </w:tr>
      <w:tr>
        <w:trPr>
          <w:trHeight w:val="399"/>
        </w:trPr>
        <w:tc>
          <w:tcPr>
            <w:tcW w:w="8600" w:type="dxa"/>
            <w:vAlign w:val="bottom"/>
          </w:tcPr>
          <w:p>
            <w:pPr>
              <w:spacing w:after="0"/>
              <w:rPr>
                <w:sz w:val="24"/>
                <w:szCs w:val="24"/>
                <w:color w:val="auto"/>
              </w:rPr>
            </w:pPr>
          </w:p>
        </w:tc>
        <w:tc>
          <w:tcPr>
            <w:tcW w:w="22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8600" w:type="dxa"/>
            <w:vAlign w:val="bottom"/>
          </w:tcPr>
          <w:p>
            <w:pPr>
              <w:spacing w:after="0"/>
              <w:rPr>
                <w:sz w:val="20"/>
                <w:szCs w:val="20"/>
                <w:color w:val="auto"/>
              </w:rPr>
            </w:pPr>
          </w:p>
        </w:tc>
        <w:tc>
          <w:tcPr>
            <w:tcW w:w="22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86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w:t>
            </w: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138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8"/>
              </w:rPr>
              <w:t>12%</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B</w:t>
            </w:r>
          </w:p>
        </w:tc>
        <w:tc>
          <w:tcPr>
            <w:tcW w:w="1380" w:type="dxa"/>
            <w:vAlign w:val="bottom"/>
            <w:gridSpan w:val="3"/>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88"/>
              </w:rPr>
              <w:t>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revenues includes the cost of manufacturer costs of finished goods, salaries and related personnel expenses, including stock-based compensation, warranty costs and depreciation and related expenses that are directly attributable to the manufacturing of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is equal to revenue less cost of revenues. Gross profit margin is equal to gross profit divided by revenue.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 of selling and marketing, general and administrative and research and development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Selling and marketing expenses consist primarily of personnel-related costs associated with our sales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including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consist primarily of personnel-related expenses associated with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consist primarily of personnel-related expenses,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and expenses consist primarily of interest expense associated with our debt financing arrangements, interest income earned on our cash balances, gains and losses from foreign exchange conversion, and gains and losses on disposal of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income taxes in the United States and foreign jurisdictions in which we do business, namely the PRC, Germany and the United Kingdom. These foreign jurisdictions have statutory tax rates different from those in the United States.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“IRS”),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in the PRC is generally calculated at 25% of the estimated assessable profit of our subsidiaries in the PRC, except that two of our PRC subsidiaries were qualified as “High and New Tech Enterprises” and thus enjoyed a preferential income tax rate of 15%. Federal corporate income tax rate of 21% is applied for our U.S. entity. Income tax in the United Kingdom is calculated at an average tax rate of 19% of the estimated assessable profit of our subsidiary in the United Kingdom. German enterprise income tax, which is a combination of corporate income tax and trade tax, is calculated at 31.9% of the estimated assessable profit of our subsidiary in Germany.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to the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0" w:type="dxa"/>
            <w:vAlign w:val="bottom"/>
          </w:tcPr>
          <w:p>
            <w:pPr>
              <w:spacing w:after="0"/>
              <w:rPr>
                <w:sz w:val="20"/>
                <w:szCs w:val="20"/>
                <w:color w:val="auto"/>
              </w:rPr>
            </w:pPr>
          </w:p>
        </w:tc>
        <w:tc>
          <w:tcPr>
            <w:tcW w:w="280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(27,075)</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(72,779)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(45,704)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Arial" w:cs="Arial" w:eastAsia="Arial" w:hAnsi="Arial"/>
                <w:sz w:val="18"/>
                <w:szCs w:val="18"/>
                <w:color w:val="auto"/>
              </w:rPr>
              <w:t>12.0%</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(97.3)%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(4,721)</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(57,058)</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(52,337)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(4,558)</w:t>
            </w:r>
          </w:p>
        </w:tc>
        <w:tc>
          <w:tcPr>
            <w:tcW w:w="1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(13,518)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(3,456)</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(7,380)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(3,924)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2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(77,956)</w:t>
            </w:r>
          </w:p>
        </w:tc>
        <w:tc>
          <w:tcPr>
            <w:tcW w:w="3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(65,221)</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r>
              <w:rPr>
                <w:rFonts w:ascii="Arial" w:cs="Arial" w:eastAsia="Arial" w:hAnsi="Arial"/>
                <w:sz w:val="18"/>
                <w:szCs w:val="18"/>
                <w:color w:val="auto"/>
              </w:rPr>
              <w:t>Subsidy income</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(39)</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545</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584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(1,497.4)%</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(113,296</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66</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97</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(1,397)</w:t>
            </w:r>
          </w:p>
        </w:tc>
        <w:tc>
          <w:tcPr>
            <w:tcW w:w="1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(1,247)</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68</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Loss on changes in fair value of convertible notes</w:t>
            </w:r>
          </w:p>
        </w:tc>
        <w:tc>
          <w:tcPr>
            <w:tcW w:w="13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(3,018)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Gain on change in fair value of warrant liability</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1,113</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1,113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(10,359)</w:t>
            </w:r>
          </w:p>
        </w:tc>
        <w:tc>
          <w:tcPr>
            <w:tcW w:w="1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(116,370)</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(106,011)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tax benefit (expense)</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w:t>
            </w:r>
          </w:p>
        </w:tc>
        <w:tc>
          <w:tcPr>
            <w:tcW w:w="2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(139.3</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 increased from approximately $30.8 million for three months ended September 30, 2020 to approximately $36.9 million for the same period in 2021 primarily driven by the increase in sales of battery cell products to new customers and the increase in sales to existing customers in the Asia &amp; Pacific region.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cost of sales for the three months ended September 30, 2021 increased $45.7 million, or 168.8%, compared to the same period in 2020.</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gross profit margin decreased from 12.0% for the three months ended September 30, 2020 to (97.3%) for the same period in 2021. The increase in cost of sales and the decrease in gross margin was primarily due to (i) increase in product warranty cost, (ii) increases in material prices since the end of 2020,</w:t>
      </w:r>
    </w:p>
    <w:p>
      <w:pPr>
        <w:jc w:val="both"/>
        <w:ind w:firstLine="8"/>
        <w:spacing w:after="0" w:line="255" w:lineRule="auto"/>
        <w:tabs>
          <w:tab w:leader="none" w:pos="3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disposal of some legacy product at or below their original costs to produce, (iv) an increase in the share-based compensation expense recorded since the third quarter of 2021, and (v) a lower volume of orders placed for a specific manufacturing line as a result of the industry-wide semiconductor shortage, which resulted in a higher manufacturing cost per unit.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legacy products that were sold during 2017 and 2018 to our PRC-based customers did not meet our high standards and experienced performance issues. Following a rigorous root cause analysis completed in October 2021, we determined that a component sourced from a third-party supplier was not meeting the Company’s performance standards. It is our expectation that these legacy products will need to be replaced before the expiration of the product warranty in their respective sales contracts with our customers.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this issue is limited to this legacy product which we ceased selling in late 2018, as the component was not incorporated into any other products. Accordingly, we feel it is prudent to take an additional warranty reserve and the accrued cost of $35.6 million for the three months ended September 30, 2021.</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for the three months ended September 30, 2021 increased $3.9 million, or 113.5%, compared to the same period in 2020. The increase in selling and marketing expenses was primarily due to increased personnel-related expenses as we increased headcount of our sales and marketing team and the increased share-based compensation expense recorded during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for the three months ended September 30, 2021 increased $52.3 million, or 1,108.6%, compared to the same period in 2020. The increase in General and Administrative expenses was primarily due to increased administrative headcount to support our overall growth and the increased share-based compensation expense recorded during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for the three months ended September 30, 2021 increased $9.0 million, or 196.6%, compared to the same period in 2020. The increase in Research and Development expenses was primarily due to (i) increased costs of materials used for experiments due to more testing activities; (ii) increased personnel-related expenses as we increased headcount of our research team as a result of our efforts to further develop and enhance our products; and (iii) the increased share-based compensation expense recorded during the third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changes in fair value of convertible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September 30, 2021, we incurred a loss of $3.0 million due to changes in fair value of convertible notes in connection with the issuance of convertible notes in January and February 2021 to new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2021, we incurred gain of $1.1 million due to change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to the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60" w:type="dxa"/>
            <w:vAlign w:val="bottom"/>
            <w:gridSpan w:val="4"/>
          </w:tcPr>
          <w:p>
            <w:pPr>
              <w:jc w:val="right"/>
              <w:ind w:right="581"/>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60" w:type="dxa"/>
            <w:vAlign w:val="bottom"/>
            <w:gridSpan w:val="4"/>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Cost of revenues</w:t>
            </w:r>
          </w:p>
        </w:tc>
        <w:tc>
          <w:tcPr>
            <w:tcW w:w="2720" w:type="dxa"/>
            <w:vAlign w:val="bottom"/>
            <w:gridSpan w:val="3"/>
          </w:tcPr>
          <w:p>
            <w:pPr>
              <w:jc w:val="right"/>
              <w:ind w:right="81"/>
              <w:spacing w:after="0"/>
              <w:rPr>
                <w:sz w:val="20"/>
                <w:szCs w:val="20"/>
                <w:color w:val="auto"/>
              </w:rPr>
            </w:pPr>
            <w:r>
              <w:rPr>
                <w:rFonts w:ascii="Arial" w:cs="Arial" w:eastAsia="Arial" w:hAnsi="Arial"/>
                <w:sz w:val="18"/>
                <w:szCs w:val="18"/>
                <w:color w:val="auto"/>
              </w:rPr>
              <w:t>(50,950)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(129,100)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(78,150)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profit/(loss)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gridSpan w:val="3"/>
          </w:tcPr>
          <w:p>
            <w:pPr>
              <w:jc w:val="right"/>
              <w:ind w:right="81"/>
              <w:spacing w:after="0"/>
              <w:rPr>
                <w:sz w:val="20"/>
                <w:szCs w:val="20"/>
                <w:color w:val="auto"/>
              </w:rPr>
            </w:pPr>
            <w:r>
              <w:rPr>
                <w:rFonts w:ascii="Arial" w:cs="Arial" w:eastAsia="Arial" w:hAnsi="Arial"/>
                <w:sz w:val="18"/>
                <w:szCs w:val="18"/>
                <w:color w:val="auto"/>
              </w:rPr>
              <w:t>(12,670)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(67,810)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(55,140)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(12,518)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(23,199)</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(10,681)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38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(9,464)</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(14,242)</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(4,778)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456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(105,251)</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(70,599)</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Subsidy income</w:t>
            </w:r>
          </w:p>
        </w:tc>
        <w:tc>
          <w:tcPr>
            <w:tcW w:w="2720" w:type="dxa"/>
            <w:vAlign w:val="bottom"/>
            <w:gridSpan w:val="3"/>
          </w:tcPr>
          <w:p>
            <w:pPr>
              <w:jc w:val="right"/>
              <w:ind w:right="141"/>
              <w:spacing w:after="0"/>
              <w:rPr>
                <w:sz w:val="20"/>
                <w:szCs w:val="20"/>
                <w:color w:val="auto"/>
              </w:rPr>
            </w:pPr>
            <w:r>
              <w:rPr>
                <w:rFonts w:ascii="Arial" w:cs="Arial" w:eastAsia="Arial" w:hAnsi="Arial"/>
                <w:sz w:val="18"/>
                <w:szCs w:val="18"/>
                <w:color w:val="auto"/>
              </w:rPr>
              <w:t>802</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2,676</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1,874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2720" w:type="dxa"/>
            <w:vAlign w:val="bottom"/>
            <w:gridSpan w:val="3"/>
          </w:tcPr>
          <w:p>
            <w:pPr>
              <w:jc w:val="right"/>
              <w:ind w:right="141"/>
              <w:spacing w:after="0"/>
              <w:rPr>
                <w:sz w:val="20"/>
                <w:szCs w:val="20"/>
                <w:color w:val="auto"/>
              </w:rPr>
            </w:pPr>
            <w:r>
              <w:rPr>
                <w:rFonts w:ascii="Arial" w:cs="Arial" w:eastAsia="Arial" w:hAnsi="Arial"/>
                <w:sz w:val="18"/>
                <w:szCs w:val="18"/>
                <w:color w:val="auto"/>
              </w:rPr>
              <w:t>502</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304</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(4,234)</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(4,630)</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income, net</w:t>
            </w:r>
          </w:p>
        </w:tc>
        <w:tc>
          <w:tcPr>
            <w:tcW w:w="2720" w:type="dxa"/>
            <w:vAlign w:val="bottom"/>
            <w:gridSpan w:val="3"/>
          </w:tcPr>
          <w:p>
            <w:pPr>
              <w:jc w:val="right"/>
              <w:ind w:right="141"/>
              <w:spacing w:after="0"/>
              <w:rPr>
                <w:sz w:val="20"/>
                <w:szCs w:val="20"/>
                <w:color w:val="auto"/>
              </w:rPr>
            </w:pPr>
            <w:r>
              <w:rPr>
                <w:rFonts w:ascii="Arial" w:cs="Arial" w:eastAsia="Arial" w:hAnsi="Arial"/>
                <w:sz w:val="18"/>
                <w:szCs w:val="18"/>
                <w:color w:val="auto"/>
              </w:rPr>
              <w:t>63</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on changes in fair value of convertible notes</w:t>
            </w:r>
          </w:p>
        </w:tc>
        <w:tc>
          <w:tcPr>
            <w:tcW w:w="27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(9,861)</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(9,861)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Gain on change in fair value of warrant liability</w:t>
            </w:r>
          </w:p>
        </w:tc>
        <w:tc>
          <w:tcPr>
            <w:tcW w:w="27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1,113</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1,113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7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(29,069)</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(159,520)</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(130,451)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tax expense</w:t>
            </w:r>
          </w:p>
        </w:tc>
        <w:tc>
          <w:tcPr>
            <w:tcW w:w="13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6,380.0</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534"/>
        </w:trPr>
        <w:tc>
          <w:tcPr>
            <w:tcW w:w="4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 increased from approximately $59.4 million for the nine months ended September 30, 2020 to approximately $85.2 million for the same period in 2021 primarily driven by the increase in sales of battery cell products to new customers and the increase in sales to existing customers in the Asia &amp; Pacific region.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cost of sales for the nine months ended September 30, 2021 increased $78.2 million, or 153.4%, compared to the same period in 2020.</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gross profit margin decreased from 14.2% for the nine months ended September 30, 2020 to (51.5)% for the same period in 2021. The increase in cost of sales and the decrease in gross margin was primarily due to (i) increases in product warranty cost, (ii) increases in material prices since the end of 2020,</w:t>
      </w:r>
    </w:p>
    <w:p>
      <w:pPr>
        <w:jc w:val="both"/>
        <w:ind w:firstLine="8"/>
        <w:spacing w:after="0" w:line="253" w:lineRule="auto"/>
        <w:tabs>
          <w:tab w:leader="none" w:pos="2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disposal of some legacy product at or below their original costs to produce, (iv) an increase in the share-based compensation expense recorded since the third quarter of 2021, (v) the proportionally higher sales to PRC customers with lower average selling price compared with the price to customers outside PRC, and (vi) a lower volume of orders placed for a specific manufacturing line as a result of the industry-wide semiconductor chip shortage, which resulted in a higher manufacturing cost per unit.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products we sold during 2017 and 2018 to our PRC based customers recently experienced performance that does not meet our high standards. Following a rigorous root cause analysis completed in the third quarter of 2021, we determined that a component sourced from a third-party supplier was not meeting the Company’s performance standards. It is our expectation that these legacy products will need to be replaced before the expiration of the product warranty in their respective sales contracts with our customers.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this issue is limited to this legacy product which we ceased selling in late 2018, as the component was not incorporated into any other products. Accordingly, we feel it is prudent to take an additional warranty reserve and the accrued cost for nine months ended September 30, 2021 was $44.6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for the nine months ended September 30, 2021 increased $4.8 million, or 50.5%, compared to the same period in 2020. The increase in selling and marketing expenses was primarily due to the expansion into Europe and the share-based compensation expense recorded during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for the nine months ended September 30, 2021 increased $55.1 million, or 435.2%, compared to the same period in 2020. The increase in General and Administrative expenses was primarily due to increased administrative headcount to support our overall growth and the share-based compensation expense recorded during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for the nine months ended September 30, 2021 increased $10.7 million, or 85.3%, compared to the same period in 2020. The increase in Research and Development expenses was primarily due to (i) increased costs of materials used for experiments due to more testing activities; (ii) increased personnel-related expenses as we increased headcount of our research team as a result of our efforts to further develop and enhance our products; and (iii) the increased share-based compensation expense recorded during the third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Subsidy income increased from $0.8 million in the nine months ended September 30, 2020 to $2.7 million in the same period in 2021, primarily due to a one-time award granted by local governments in the PRC in the first quarter of 2021.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Loss on Changes in Fair Value of Convertible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nine months ended September 30, 2021, we incurred a loss of $9.9 million due to changes in fair value of convertible notes in connection with the issuance of convertible notes in January and February 2021 to new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2021, we incurred a gain of $1.1 million due to change in fair value of warrant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capital expenditures amounted to $18.6 million and $40.7 million for the nine months ended September 30, 2020 and 2021, respectively. Our capital expenditures for the nine months ended September 30, 2020 and 2021 related primarily to the construction of manufacturing facilities under our expansion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2021, we started our capacity expansion plans in Huzhou, China, Berlin, Germany and Clarkesville, Tennessee. Both projects are expected to be completed by Q2 2023 to increase our existing production capacity by 4 GWH. We expect the total capital expenditures related to the capacity expansion to be approximately $420 million, which we plan to finance primarily through the proceeds from the Business Combination.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planned capital expenditure amounts are based on management’s current estimates and may be subject to change. There can be no assurance that we will execute our capital expenditure plans as contemplated at or below estimated costs, and we may also from time to time determine to undertake additional capital projects and incur additional capital expenditures. As a result, actual capital expenditures in future years may be more or less than the amounts shown.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for cash expenditures as of December 31, 2020 and the years in which these obligations are due: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1 – 3 Years</w:t>
            </w:r>
          </w:p>
        </w:tc>
        <w:tc>
          <w:tcPr>
            <w:tcW w:w="1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4"/>
              </w:rPr>
              <w:t>3 – 5 Years</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auto"/>
              </w:rPr>
              <w:t>Amount in thousands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Bond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9"/>
              </w:rPr>
              <w:t>Deposit liability for series B2 convertible preferred shares*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21,792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21,792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24,976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 Short-term bank borrowings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 Bond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 Payable for redemption of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33,533</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9,473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20,057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commitments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34,042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8,396</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8,396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167,031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104,204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32,795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19,840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convertible bond and deposit liability for series B2 convertible preferred shares were convert to equity in connection with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sales revenue consists primarily of sales of lithium batteries. Our obligation is providing electronic power products. Revenue is recognized at the point of time when control of the promised goods or services is transferred to the customer, in an amount that reflects the consideration we expect to be entitled to in exchange for the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and the nine months ended September 30, 2021, we derived revenues of $82.7 million and $73.4 million from the Asia &amp; Pacific region, $24.3 million and $11.5 million from Europe, and $0.5 million and $0.4 million from other geographic regions where the customers are located,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Incentive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we provided sales incentives to some of our customers, which mainly relates the reduced sales prices. The sales incentives are discounts to be applied to future sales to the customer which cannot be exchanged for cash. To the extent that the sales incentives represent a material right or option to acquire additional goods or services at a discount in the future period, the material right is recognized as a separate performance obligation at the outset of the arrangement based on the most likely amount of incentive to be provided to the customer. Amounts allocated to a material right are recognized as revenue when those future goods are sold to the customers. During 2020 and the nine months ended September 30, 2021, no such sales incentives were granted to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 balances include accounts receivable and advance from customers. Accounts receivable represent cash not received from customers and are recorded when the right to consideration is unconditional. The allowance for doubtful accounts reflects the best estimate of probable losses inherent to the account receivable balance. Contract liabilities, recorded in advance from customers in the consolidated balance sheet, represent payment received in advance or payment received related to a material right provided to a customer to acquire additional goods or services at a discount in a future period. During the year ended December 31, 2020 and the nine months ended September 30, 2021, we recognized $0.6 million and $1.4 million of revenue previously included in advance from customers as of January 1, 2020 and 2021, respectively, which consist of payments received in advance related to our sales of lithium batteries.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provide product warranties, which entail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product warranties generally range from one to eight years. We established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2021, as a result of the increases in the repairing cost and frequency of claims with respect to a legacy product sold in 2017 and 2018, we conducted intensive experiments and a root cause analysis, which was completed in October 2021. We concluded that a component purchased from a supplier was not meeting the Company’s performance standards. As a result, we expect that the impacted legacy products sold will need to be replaced before the expiration of warranty term. This reassessment resulted in a change in estimate for additional accrual of $34.1 million for such legacy product sold in the third quarter of 2021. As the component was not incorporated into other products, no additional accrual was made to other existing products sold. We are in negotiation with the supplier for compensation and will take legal action if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inventories consist of raw materials, work in process and finished goods. Inventories are stated at the lower of cost or net realizable value. Inventory costs include expenses that are directly or indirectly incurred in the acquisition, including shipping and handling costs charged to us by suppliers, and production of manufactured product for sale. Costs of materials and supplies used in production, direct labor costs and allocated overhead costs are all included in the inventory costs. The allocated overhead cost includes the depreciation, insurance, employee benefits, and indirect labor. Cost is determined using the weighted average method. Inventories are written down to net realizable value taking into consideration estimates of future demand, technology developments, market conditions and reasonably predicative costs of completion or disposal.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inventory impairment losses of $1.3 million and $12.7 million during the nine months ended September 30, 2020 and 2021, respectively as we had to sell certain products that did not qualify for the revised subsidies at lower prices. We monitor the inventory impairments periodically and since battery technology continues to advance, we may incur inventory impairment losses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 likely than not that the tax position will be sustained on examination by the taxing authorities based on the technical merits of the position. We recognize interest and penalties, if any, related to unrecognized tax benefits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their fair-value-based measurement as of each reporting date until settlement.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and cash equivalents consist of cash and money market accounts. Such interest-earning instruments carry a degree of interest rate risk. To date, fluctuations in interest income have not been significant. Our borrowings under our line of credit carry variable interest rates so such risks are limited as it relates to our current borrowings.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major operational activities are carried out in the PRC and a majority of the transactions are denominated in Renminbi.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Renminbi. The effect of an immediate 10% adverse change in foreign exchange rates on Renminbi-denominated accounts as of September 30, 2021, including intercompany balances, would result in a foreign currency loss of $1.7 million. In the event our foreign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credit risk primarily relates to our trade and other receivables, restricted cash, cash equivalents and amounts due from related parties. We generally grant credit only to clients and related parties with good credit ratings and also closely monitor overdue debts. In this regard, we consider that the credit risk arising from our balances with counterparties is significantly reduced.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typically experience higher sales during our third and fourth fiscal quarters as compared to our first and second fiscal quarters due to reduced purchases from our customers, who are mainly Chinese bus OEMs, during the Chinese Spring Festival holiday season in our first fiscal quarter. However, our limited operational history makes it difficult for us to judge the exact nature or extent of the seasonality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supervision and with the participation of our management, including our Chief Executive Officer and Chief Financial Officer, we evaluated the effectiveness of our disclosure controls and procedures (as defined in Rules 13a-15(e) and 15d-15(e) under the Securities Exchange Act of 1934, as amended (the “Exchange Act”)) as of September 30, 2021. Based upon that evaluation, our Chief Executive Officer and Chief Financial Officer concluded that our disclosure controls and procedures were not effective as of September 30, 2021, based on two material weaknesses identified below. In light of these material weaknesses, we performed additional analysis as deemed necessary to ensure that our financial statements were prepared in accordance with U.S. GAAP. Based on such analysis and notwithstanding the identified material weaknesses, management, including our Chief Executive Officer and Chief Financial Officer, believe the condensed consolidated financial statements included in this Report fairly represent in all material respects our financial condition, results of operations and cash flows at and for the periods presented in accordance with U.S. GAAP.</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Material Weakness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course of auditing our consolidated financial statements as of and for the years ended December 31, 2018, 2019 and 2020 in accordance with PCAOB auditing standards, Microvast and its independent registered public accounting firm identified two material weaknesses and certain information technology related deficiencies in our internal control over financial reporting. As defined in the standards established by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One material weakness that has been identified related to the insufficient financial reporting and accounting personnel with appropriate U.S. GAAP knowledge and SEC reporting requirements to properly address complex U.S. GAAP technical accounting issues and to prepare and review financial statements and related disclosures in accordance with U.S. GAAP and financial reporting requirements set forth by the SEC. The other material weakness that has been identified related to the lack of comprehensive accounting policies and procedures manual including comprehensive book closing procedures in accordance with U.S. GAAP. Either of these material weaknesses, if not timely remedied, may lead to significant misstatements in our consolidated financial statements in the future. For example, due to the lack of comprehensive book closing procedures, a cutoff error was rectified by restatement of the consolidated balance sheet and statement of operations as of and for the year ended December 31, 2019.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Microvast nor its independent registered public accounting firm undertook a comprehensive assessment of our internal control for purposes of identifying and reporting material weakness and other control deficiencies in its internal control over financial reporting. Had Microvast performed a formal assessment of its internal control over financial reporting or had its independent registered public accounting firm performed an audit of its internal control over financial reporting, additional deficiencies may have been identified. We continue to evaluate steps to remediate the material weaknesses. While we have processes to identify and appropriately apply applicable accounting requirements, we plan to enhance our system of evaluating and implementing the complex accounting standards that apply to our financial statements. Our plans at this time include hiring additional qualified accounting personnel, streamlining the reporting processes, developing compliance processes, and documenting key controls identified through risk assessments and walkthroughs.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 Following the identification of the material weakness, we have taken measures and plans to continue to take measures to remediate these control deficiencies. However, the implementation of these measures may not fully address the material weaknesses in our internal control over financial reporting, and we cannot conclude that they have been fully remediated. Our failure to correct the material weaknesses or our failure to discover and address any other deficiencies could result in inaccuracies in our financial statements and impair our ability to comply with applicable financial reporting requirements and related regulatory filings on a timely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elsewhere in this Report, we completed the Business Combination on July 23, 2021. Prior to the Business Combination, we have been a private company with limited accounting personnel and other resources with which to address our internal control and procedures over financial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jc w:val="both"/>
        <w:spacing w:after="0" w:line="272" w:lineRule="auto"/>
        <w:rPr>
          <w:sz w:val="20"/>
          <w:szCs w:val="20"/>
          <w:color w:val="auto"/>
        </w:rPr>
      </w:pPr>
      <w:r>
        <w:rPr>
          <w:rFonts w:ascii="Arial" w:cs="Arial" w:eastAsia="Arial" w:hAnsi="Arial"/>
          <w:sz w:val="17"/>
          <w:szCs w:val="17"/>
          <w:color w:val="auto"/>
        </w:rPr>
        <w:t>The Company’s operations prior to the Business Combination were materially different compared to the Company post-Business Combination. The design and implementation of internal control over financial reporting for the post-Business Combination Company has required and will continue to require significant time and resources from management and other personnel. In connection with the Business Combination consummated during the three months ended September 30, 2021, we began establishing standards and procedures at the acquired subsidiaries, controls over accounting systems and over the preparation of financial statements in accordance with generally accepted accounting principles to ensure that we have in place appropriate internal control over financial reporting at the acquired subsidiaries. We are continuing to integrate the acquired operations of each subsidiary into our overall internal control over financial reporting process.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implement a number of measures to address the material weaknesses that have been identified in connection with the audits of our consolidated financial statements as of and for the years ended December 31, 2018, 2019 and 2020 under PCAOB standards. We have hired and will continue to hire additional qualified financial and accounting staff with working experience of U.S. GAAP and SEC reporting requirements. We have established a comprehensive manual of accounting policies and procedures and have trained our accounting staff to follow these policies and procedures in order to allow early detection, prevention and correction of financial reporting errors. We have also done with risk assessments and evaluated entity level of controls and established a sub-certification process for SOX 302. To mitigate the deficiencies in IT general controls, we have implemented IT policies, implemented access right controls, rigorous password protection controls companywide. We will formally document internal control activities for 404(a) and 404(b) compliance. We intend to conduct regular and continuous U.S. GAAP accounting and financial reporting programs and send our financial staff to attend external U.S. GAAP training courses. We also intend to hire additional resources to strengthen the financial reporting function and set up a financial and system control framework. These changes to the Company’s internal control over financial reporting are reasonably likely to materially affect, the Company’s internal control over financial reporting.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 emerging growth company, we may take advantage of an exemption from the auditor attestation requirement under Section 404 of the Sarbanes-Oxley Act of 2002 with respect to management’s assessment of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However, the results of litigation and claims are inherently unpredictable. Regardless of the outcome, litigation has the potential to have an adverse impact on us because of defense and settlement costs, diversion of management resources and other factors. See Note 21 to the consolidated financial statements, which is incorporated in Item 1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closing of the Business Combination on July 23, 2021, certain of the risk factors previously disclosed in Part I, Item 1A of our Annual Report on Form 10-K for the fiscal year ended December 31, 2020, may no longer apply. For risk factors relating to our business following the Business Combination, please refer to the section entitled “Risk Factors” in the Registration Statement on Form S-1 (File No. 333-258978), which was subsequently amended, filed on August 20, 2021, and as further amended, including the risk factors incorporated by reference therein.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regarding all equity securities of the registrant sold by the Company during the period covered by this Report that were not registered under the Securities Act were included in a Current Report on Form 8-K filed by the Company, and therefore is not required to be furnished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or incorporated by reference into, this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gridSpan w:val="6"/>
          </w:tcPr>
          <w:p>
            <w:pPr>
              <w:ind w:left="800"/>
              <w:spacing w:after="0"/>
              <w:rPr>
                <w:sz w:val="20"/>
                <w:szCs w:val="20"/>
                <w:color w:val="auto"/>
              </w:rPr>
            </w:pPr>
            <w:r>
              <w:rPr>
                <w:rFonts w:ascii="Arial" w:cs="Arial" w:eastAsia="Arial" w:hAnsi="Arial"/>
                <w:sz w:val="18"/>
                <w:szCs w:val="18"/>
                <w:b w:val="1"/>
                <w:bCs w:val="1"/>
                <w:color w:val="auto"/>
              </w:rPr>
              <w:t>Exhibit Title</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Agreement and Plan of Merger, dated as of February 1, 2021, by and among Tuscan Holdings Corp., TSCN Merger Sub Inc., and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6"/>
            <w:shd w:val="clear" w:color="auto" w:fill="CCEEFF"/>
          </w:tcPr>
          <w:p>
            <w:pPr>
              <w:ind w:left="20"/>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Microvast, Inc. (incorporated by reference to the Company’s definitive proxy statement on Schedule 14A, filed with the SEC on July 2,</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0000EE"/>
            </w:tcBorders>
            <w:shd w:val="clear" w:color="auto" w:fill="CCEEFF"/>
          </w:tcPr>
          <w:p>
            <w:pPr>
              <w:ind w:left="20"/>
              <w:spacing w:after="0" w:line="196" w:lineRule="exact"/>
              <w:rPr>
                <w:rFonts w:ascii="Arial" w:cs="Arial" w:eastAsia="Arial" w:hAnsi="Arial"/>
                <w:sz w:val="18"/>
                <w:szCs w:val="18"/>
                <w:color w:val="0000EE"/>
                <w:w w:val="86"/>
              </w:rPr>
            </w:pPr>
            <w:hyperlink r:id="rId68">
              <w:r>
                <w:rPr>
                  <w:rFonts w:ascii="Arial" w:cs="Arial" w:eastAsia="Arial" w:hAnsi="Arial"/>
                  <w:sz w:val="18"/>
                  <w:szCs w:val="18"/>
                  <w:color w:val="0000EE"/>
                  <w:w w:val="86"/>
                </w:rPr>
                <w:t>2021).</w:t>
              </w:r>
            </w:hyperlink>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Second Amended and Restated Certificate of Incorporation of Microvast Holdings, Inc. (incorporated by reference from Exhibit 3.1 to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Company’s Current Report on Form 8-K, filed with the SEC on July 28,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Amended and Restated Bylaws of Microvast Holdings, Inc. (incorporated by reference from Exhibit 3.2 to the Company’s Current Report</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ind w:left="20"/>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on Form 8-K, filed with the SEC on July 28,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Specimen Common Stock Certificate (incorporated by reference from Exhibit 4.4 to the Company’s Current Report on Form 8-K, filed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with the SEC on July 28,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4"/>
              </w:rPr>
            </w:pPr>
            <w:hyperlink r:id="rId72">
              <w:r>
                <w:rPr>
                  <w:rFonts w:ascii="Arial" w:cs="Arial" w:eastAsia="Arial" w:hAnsi="Arial"/>
                  <w:sz w:val="18"/>
                  <w:szCs w:val="18"/>
                  <w:color w:val="0000EE"/>
                  <w:w w:val="94"/>
                </w:rPr>
                <w:t>Registration Rights and Lock-Up Agreement dated as of July 26, 2021, by and among (a) Microvast Holdings, Inc., (b) the Microvast</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6"/>
            <w:shd w:val="clear" w:color="auto" w:fill="CCEEFF"/>
          </w:tcPr>
          <w:p>
            <w:pPr>
              <w:ind w:left="20"/>
              <w:spacing w:after="0" w:line="196" w:lineRule="exact"/>
              <w:rPr>
                <w:rFonts w:ascii="Arial" w:cs="Arial" w:eastAsia="Arial" w:hAnsi="Arial"/>
                <w:sz w:val="18"/>
                <w:szCs w:val="18"/>
                <w:color w:val="0000EE"/>
                <w:w w:val="97"/>
              </w:rPr>
            </w:pPr>
            <w:hyperlink r:id="rId72">
              <w:r>
                <w:rPr>
                  <w:rFonts w:ascii="Arial" w:cs="Arial" w:eastAsia="Arial" w:hAnsi="Arial"/>
                  <w:sz w:val="18"/>
                  <w:szCs w:val="18"/>
                  <w:color w:val="0000EE"/>
                  <w:w w:val="97"/>
                </w:rPr>
                <w:t>Equity Holders, (c) the CL Holders, (d) Tuscan Holdings Acquisition LLC, Stefan M. Selig, Richard O. Rieger and Amy Butte, and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6"/>
            <w:shd w:val="clear" w:color="auto" w:fill="CCEEFF"/>
          </w:tcPr>
          <w:p>
            <w:pPr>
              <w:ind w:left="20"/>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(e) EarlyBirdCapital, Inc. (incorporated by reference from Exhibit 4.1 to the Company’s Current Report on Form 8-K, filed with the SEC</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0000EE"/>
            </w:tcBorders>
            <w:gridSpan w:val="4"/>
            <w:shd w:val="clear" w:color="auto" w:fill="CCEEFF"/>
          </w:tcPr>
          <w:p>
            <w:pPr>
              <w:ind w:left="20"/>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on July 28, 2021).</w:t>
              </w:r>
            </w:hyperlink>
          </w:p>
        </w:tc>
        <w:tc>
          <w:tcPr>
            <w:tcW w:w="8680" w:type="dxa"/>
            <w:vAlign w:val="bottom"/>
            <w:tcBorders>
              <w:bottom w:val="single" w:sz="8" w:color="CCEEFF"/>
            </w:tcBorders>
            <w:gridSpan w:val="12"/>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8"/>
              </w:rPr>
            </w:pPr>
            <w:hyperlink r:id="rId73">
              <w:r>
                <w:rPr>
                  <w:rFonts w:ascii="Arial" w:cs="Arial" w:eastAsia="Arial" w:hAnsi="Arial"/>
                  <w:sz w:val="18"/>
                  <w:szCs w:val="18"/>
                  <w:color w:val="0000EE"/>
                  <w:w w:val="98"/>
                </w:rPr>
                <w:t>Stockholders Agreement dated July 26, 2021 by and among (a) Microvast Holdings, Inc., (b) Yang Wu and (c) Tuscan Holdings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Acquisition LLC. (incorporated by reference from Exhibit 4.2 to the Company’s Current Report on Form 8-K, filed with the SEC on July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ind w:left="2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28, 2021).</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Form of Indemnity Agreement (incorporated by reference from Exhibit 10.1 to the Company’s Current Report on Form 8-K, filed with the</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ind w:left="20"/>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SEC on July 28,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Employment Agreement, dated as of February 1, 2021, by and between Microvast, Inc. and Yang Wu (incorporated by reference from</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Exhibit 10.2 to the Company’s Current Report on Form 8-K, filed with the SEC on July 28,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Employment Agreement, dated as of February 1, 2021, by and between Microvast, Inc. and Yanzhuan Zheng (incorporated by reference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0000EE"/>
            </w:tcBorders>
            <w:gridSpan w:val="13"/>
            <w:shd w:val="clear" w:color="auto" w:fill="CCEEFF"/>
          </w:tcPr>
          <w:p>
            <w:pPr>
              <w:ind w:left="20"/>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from Exhibit 10.3 to the Company’s Current Report on Form 8-K, filed with the SEC on July 28, 2021).</w:t>
              </w:r>
            </w:hyperlink>
          </w:p>
        </w:tc>
        <w:tc>
          <w:tcPr>
            <w:tcW w:w="250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Employment Agreement, dated as of February 1, 2021, by and between Microvast, Inc. and Wenjuan Mattis, Ph.D. (incorporated by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reference from Exhibit 10.4 to the Company’s Current Report on Form 8-K, filed with the SEC on July 28,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10000" w:type="dxa"/>
            <w:vAlign w:val="bottom"/>
            <w:gridSpan w:val="16"/>
            <w:shd w:val="clear" w:color="auto" w:fill="CCEEFF"/>
          </w:tcPr>
          <w:p>
            <w:pPr>
              <w:ind w:left="20"/>
              <w:spacing w:after="0" w:line="176" w:lineRule="exact"/>
              <w:rPr>
                <w:rFonts w:ascii="Arial" w:cs="Arial" w:eastAsia="Arial" w:hAnsi="Arial"/>
                <w:sz w:val="18"/>
                <w:szCs w:val="18"/>
                <w:color w:val="0000EE"/>
                <w:w w:val="96"/>
              </w:rPr>
            </w:pPr>
            <w:hyperlink r:id="rId78">
              <w:r>
                <w:rPr>
                  <w:rFonts w:ascii="Arial" w:cs="Arial" w:eastAsia="Arial" w:hAnsi="Arial"/>
                  <w:sz w:val="18"/>
                  <w:szCs w:val="18"/>
                  <w:color w:val="0000EE"/>
                  <w:w w:val="96"/>
                </w:rPr>
                <w:t>Employment Agreement, dated as of June 1, 2017, by and between Microvast, Inc. and Sascha Rene Kelterborn (incorporated by</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20" w:type="dxa"/>
            <w:vAlign w:val="bottom"/>
            <w:tcBorders>
              <w:top w:val="single" w:sz="8" w:color="0000EE"/>
              <w:bottom w:val="single" w:sz="8" w:color="0000EE"/>
            </w:tcBorders>
            <w:gridSpan w:val="14"/>
            <w:shd w:val="clear" w:color="auto" w:fill="CCEEFF"/>
          </w:tcPr>
          <w:p>
            <w:pPr>
              <w:ind w:left="20"/>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reference from Exhibit 10.5 to the Company’s Current Report on Form 8-K, filed with the SEC on July 28, 2021).</w:t>
              </w:r>
            </w:hyperlink>
          </w:p>
        </w:tc>
        <w:tc>
          <w:tcPr>
            <w:tcW w:w="17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4"/>
              </w:rPr>
            </w:pPr>
            <w:hyperlink r:id="rId79">
              <w:r>
                <w:rPr>
                  <w:rFonts w:ascii="Arial" w:cs="Arial" w:eastAsia="Arial" w:hAnsi="Arial"/>
                  <w:sz w:val="18"/>
                  <w:szCs w:val="18"/>
                  <w:color w:val="0000EE"/>
                  <w:w w:val="94"/>
                </w:rPr>
                <w:t>Microvast Holdings, Inc. 2021 Equity Incentive Plan (incorporated by reference from Exhibit 10.6 to the Company’s Current Report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Form 8-K, filed with the SEC on July 28,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Amendment No. 1 to Escrow Agreement, between the Registrant, Continental Stock Transfer &amp; Trust Company and the Company’s Initial</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6"/>
            <w:shd w:val="clear" w:color="auto" w:fill="CCEEFF"/>
          </w:tcPr>
          <w:p>
            <w:pPr>
              <w:ind w:left="20"/>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Stockholder (incorporated by reference from Exhibit 10.13 to the Company’s Current Report on Form 8-K, filed with the SEC on July 28,</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0000EE"/>
            </w:tcBorders>
            <w:shd w:val="clear" w:color="auto" w:fill="CCEEFF"/>
          </w:tcPr>
          <w:p>
            <w:pPr>
              <w:ind w:left="20"/>
              <w:spacing w:after="0" w:line="196" w:lineRule="exact"/>
              <w:rPr>
                <w:rFonts w:ascii="Arial" w:cs="Arial" w:eastAsia="Arial" w:hAnsi="Arial"/>
                <w:sz w:val="18"/>
                <w:szCs w:val="18"/>
                <w:color w:val="0000EE"/>
                <w:w w:val="86"/>
              </w:rPr>
            </w:pPr>
            <w:hyperlink r:id="rId80">
              <w:r>
                <w:rPr>
                  <w:rFonts w:ascii="Arial" w:cs="Arial" w:eastAsia="Arial" w:hAnsi="Arial"/>
                  <w:sz w:val="18"/>
                  <w:szCs w:val="18"/>
                  <w:color w:val="0000EE"/>
                  <w:w w:val="86"/>
                </w:rPr>
                <w:t>2021).</w:t>
              </w:r>
            </w:hyperlink>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Principal Executive Officer Pursuant to Securities Exchange Act Rules 13a-14(a) and 15(d)-14(a), as adopted Pursuant to</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Financial Officer Pursuant to Securities Exchange Act Rules 13a-14(a) and 15(d)-14(a), as adopted Pursuant to</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6"/>
            <w:shd w:val="clear" w:color="auto" w:fill="CCEEFF"/>
          </w:tcPr>
          <w:p>
            <w:pPr>
              <w:ind w:left="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Section 302 of the Sarbanes-Oxley Act of 2002.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Certification of Principal Executive Officer Pursuant to 18 U.S.C. Section 1350, as adopted Pursuant to Section 906 of the Sarbanes-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Oxley Act of 2002.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0000EE"/>
            </w:tcBorders>
            <w:gridSpan w:val="3"/>
            <w:shd w:val="clear" w:color="auto" w:fill="CCEEFF"/>
          </w:tcPr>
          <w:p>
            <w:pPr>
              <w:ind w:left="20"/>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Act of 2002.</w:t>
              </w:r>
            </w:hyperlink>
          </w:p>
        </w:tc>
        <w:tc>
          <w:tcPr>
            <w:tcW w:w="9080" w:type="dxa"/>
            <w:vAlign w:val="bottom"/>
            <w:tcBorders>
              <w:bottom w:val="single" w:sz="8" w:color="CCEEFF"/>
            </w:tcBorders>
            <w:gridSpan w:val="13"/>
            <w:shd w:val="clear" w:color="auto" w:fill="CCEEFF"/>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Definitions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3420" w:firstLine="8"/>
        <w:spacing w:after="0" w:line="492" w:lineRule="auto"/>
        <w:tabs>
          <w:tab w:leader="none" w:pos="1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225" w:lineRule="exact"/>
        <w:rPr>
          <w:sz w:val="20"/>
          <w:szCs w:val="20"/>
          <w:color w:val="auto"/>
        </w:rPr>
      </w:pPr>
    </w:p>
    <w:p>
      <w:pPr>
        <w:ind w:left="34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Certain schedules to this Exhibit have been omitted in accordance with Item 601(b)(2) of Regulation S-K. The Company hereby agrees to hereby furnish supplementally a copy of all omitted schedules to the SEC upon request.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8"/>
          <w:szCs w:val="18"/>
          <w:b w:val="1"/>
          <w:bCs w:val="1"/>
          <w:color w:val="auto"/>
        </w:rPr>
        <w:t>MICROVAST HOLDINGS,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Yanzhuan Zheng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Yang Wu,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Microvast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760" w:hanging="428"/>
        <w:spacing w:after="0" w:line="308" w:lineRule="auto"/>
        <w:tabs>
          <w:tab w:leader="none" w:pos="7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428"/>
        <w:spacing w:after="0" w:line="263"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428"/>
        <w:spacing w:after="0" w:line="277"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428"/>
        <w:spacing w:after="0" w:line="277"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Yang Wu</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Yanzhuan Zheng,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Microvast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760" w:hanging="428"/>
        <w:spacing w:after="0" w:line="308" w:lineRule="auto"/>
        <w:tabs>
          <w:tab w:leader="none" w:pos="7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428"/>
        <w:spacing w:after="0" w:line="263"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428"/>
        <w:spacing w:after="0" w:line="277"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428"/>
        <w:spacing w:after="0" w:line="277"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Yanzhuan Zheng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Microvast Holdings, Inc. (the “Company”) on Form 10-Q for the quarter ended September 30, 2021, as filed with the Securities and Exchange Commission on the date hereof (the “Report”), I, Yang Wu, Chief Executive Officer and Director, certify, pursuant to 18 U.S.C. Section 1350, as adopted pursuant to Section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15,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Yang Wu</w:t>
      </w:r>
    </w:p>
    <w:p>
      <w:pPr>
        <w:spacing w:after="0" w:line="23" w:lineRule="exact"/>
        <w:rPr>
          <w:sz w:val="20"/>
          <w:szCs w:val="20"/>
          <w:color w:val="auto"/>
        </w:rPr>
      </w:pPr>
    </w:p>
    <w:p>
      <w:pPr>
        <w:jc w:val="center"/>
        <w:ind w:left="54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Microvast Holdings, Inc. (the “Company”) on Form 10-Q for the quarter ended September 30, 2021, as filed with the Securities and Exchange Commission on the date hereof (the “Report”), I, Yanzhuan Zheng, Chief Financial Officer, certify, pursuant to 18 U.S.C. Section 1350, as adopted pursuant to Section 906 of the Sarbanes-Oxley Act of 2002, that, to my knowledge:</w:t>
      </w:r>
    </w:p>
    <w:p>
      <w:pPr>
        <w:spacing w:after="0" w:line="18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15,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Yanzhuan Zheng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3"/>
    </w:lvl>
  </w:abstractNum>
  <w:abstractNum w:abstractNumId="11">
    <w:nsid w:val="41A7C4C9"/>
    <w:multiLevelType w:val="hybridMultilevel"/>
    <w:lvl w:ilvl="0">
      <w:lvlJc w:val="left"/>
      <w:lvlText w:val="(%1)"/>
      <w:numFmt w:val="lowerRoman"/>
      <w:start w:val="5"/>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68" Type="http://schemas.openxmlformats.org/officeDocument/2006/relationships/hyperlink" Target="http://www.sec.gov/Archives/edgar/data/1760689/000121390021035581/defm14a_tuscanholdings.htm" TargetMode="External"/><Relationship Id="rId69" Type="http://schemas.openxmlformats.org/officeDocument/2006/relationships/hyperlink" Target="http://www.sec.gov/Archives/edgar/data/1760689/000121390021039093/ea144448ex3-1_microvast.htm" TargetMode="External"/><Relationship Id="rId70" Type="http://schemas.openxmlformats.org/officeDocument/2006/relationships/hyperlink" Target="http://www.sec.gov/Archives/edgar/data/1760689/000121390021039093/ea144448ex3-2_microvast.htm" TargetMode="External"/><Relationship Id="rId71" Type="http://schemas.openxmlformats.org/officeDocument/2006/relationships/hyperlink" Target="http://www.sec.gov/Archives/edgar/data/1760689/000121390021039093/ea144448ex4-4_microvast.htm" TargetMode="External"/><Relationship Id="rId72" Type="http://schemas.openxmlformats.org/officeDocument/2006/relationships/hyperlink" Target="http://www.sec.gov/Archives/edgar/data/1760689/000121390021039093/ea144448ex4-1_microvast.htm" TargetMode="External"/><Relationship Id="rId73" Type="http://schemas.openxmlformats.org/officeDocument/2006/relationships/hyperlink" Target="http://www.sec.gov/Archives/edgar/data/1760689/000121390021039093/ea144448ex4-2_microvast.htm" TargetMode="External"/><Relationship Id="rId74" Type="http://schemas.openxmlformats.org/officeDocument/2006/relationships/hyperlink" Target="http://www.sec.gov/Archives/edgar/data/1760689/000121390021039093/ea144448ex10-1_microvast.htm" TargetMode="External"/><Relationship Id="rId75" Type="http://schemas.openxmlformats.org/officeDocument/2006/relationships/hyperlink" Target="http://www.sec.gov/Archives/edgar/data/1760689/000121390021039093/ea144448ex10-2_microvast.htm" TargetMode="External"/><Relationship Id="rId76" Type="http://schemas.openxmlformats.org/officeDocument/2006/relationships/hyperlink" Target="http://www.sec.gov/Archives/edgar/data/1760689/000121390021039093/ea144448ex10-3_microvast.htm" TargetMode="External"/><Relationship Id="rId77" Type="http://schemas.openxmlformats.org/officeDocument/2006/relationships/hyperlink" Target="http://www.sec.gov/Archives/edgar/data/1760689/000121390021039093/ea144448ex10-4_microvast.htm" TargetMode="External"/><Relationship Id="rId78" Type="http://schemas.openxmlformats.org/officeDocument/2006/relationships/hyperlink" Target="http://www.sec.gov/Archives/edgar/data/1760689/000121390021039093/ea144448ex10-5_microvast.htm" TargetMode="External"/><Relationship Id="rId79" Type="http://schemas.openxmlformats.org/officeDocument/2006/relationships/hyperlink" Target="http://www.sec.gov/Archives/edgar/data/1760689/000121390021039093/ea144448ex10-6_microvast.htm" TargetMode="External"/><Relationship Id="rId80" Type="http://schemas.openxmlformats.org/officeDocument/2006/relationships/hyperlink" Target="http://www.sec.gov/Archives/edgar/data/1760689/000121390021039093/ea144448ex10-13_microva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2021-11-15T15:51:55Z</dcterms:created>
  <dcterms:modified xsi:type="dcterms:W3CDTF">2021-11-15T15:51:55Z</dcterms:modified>
</cp:coreProperties>
</file>