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591185</wp:posOffset>
            </wp:positionH>
            <wp:positionV relativeFrom="paragraph">
              <wp:posOffset>412750</wp:posOffset>
            </wp:positionV>
            <wp:extent cx="6609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9715" cy="825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437515</wp:posOffset>
            </wp:positionV>
            <wp:extent cx="6609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97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color w:val="auto"/>
        </w:rPr>
        <w:t>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32"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color w:val="auto"/>
        </w:rPr>
        <w:t>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6" w:lineRule="exact"/>
        <w:rPr>
          <w:sz w:val="24"/>
          <w:szCs w:val="24"/>
          <w:color w:val="auto"/>
        </w:rPr>
      </w:pPr>
    </w:p>
    <w:p>
      <w:pPr>
        <w:jc w:val="center"/>
        <w:ind w:left="4000" w:right="1360" w:hanging="2623"/>
        <w:spacing w:after="0" w:line="496" w:lineRule="auto"/>
        <w:tabs>
          <w:tab w:leader="none" w:pos="1571"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7"/>
          <w:szCs w:val="17"/>
          <w:color w:val="auto"/>
        </w:rPr>
      </w:pPr>
    </w:p>
    <w:p>
      <w:pPr>
        <w:ind w:left="55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OR</w:t>
      </w:r>
    </w:p>
    <w:p>
      <w:pPr>
        <w:spacing w:after="0" w:line="217" w:lineRule="exact"/>
        <w:rPr>
          <w:rFonts w:ascii="MS PGothic" w:cs="MS PGothic" w:eastAsia="MS PGothic" w:hAnsi="MS PGothic"/>
          <w:sz w:val="17"/>
          <w:szCs w:val="17"/>
          <w:color w:val="auto"/>
        </w:rPr>
      </w:pPr>
    </w:p>
    <w:p>
      <w:pPr>
        <w:jc w:val="center"/>
        <w:ind w:left="3500" w:right="1140" w:hanging="2348"/>
        <w:spacing w:after="0" w:line="506" w:lineRule="auto"/>
        <w:tabs>
          <w:tab w:leader="none" w:pos="135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from___________to___________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001-38826</w:t>
      </w:r>
    </w:p>
    <w:p>
      <w:pPr>
        <w:spacing w:after="0" w:line="32"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color w:val="auto"/>
        </w:rPr>
        <w:t>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color w:val="auto"/>
        </w:rPr>
        <w:t>____________________________________________________</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80" w:type="dxa"/>
            <w:vAlign w:val="bottom"/>
          </w:tcPr>
          <w:p>
            <w:pPr>
              <w:spacing w:after="0"/>
              <w:rPr>
                <w:sz w:val="20"/>
                <w:szCs w:val="20"/>
                <w:color w:val="auto"/>
              </w:rPr>
            </w:pPr>
          </w:p>
        </w:tc>
        <w:tc>
          <w:tcPr>
            <w:tcW w:w="5580" w:type="dxa"/>
            <w:vAlign w:val="bottom"/>
            <w:tcBorders>
              <w:bottom w:val="single" w:sz="8" w:color="auto"/>
            </w:tcBorders>
          </w:tcPr>
          <w:p>
            <w:pPr>
              <w:jc w:val="right"/>
              <w:ind w:right="2294"/>
              <w:spacing w:after="0"/>
              <w:rPr>
                <w:sz w:val="20"/>
                <w:szCs w:val="20"/>
                <w:color w:val="auto"/>
              </w:rPr>
            </w:pPr>
            <w:r>
              <w:rPr>
                <w:rFonts w:ascii="Times New Roman" w:cs="Times New Roman" w:eastAsia="Times New Roman" w:hAnsi="Times New Roman"/>
                <w:sz w:val="17"/>
                <w:szCs w:val="17"/>
                <w:b w:val="1"/>
                <w:bCs w:val="1"/>
                <w:color w:val="auto"/>
              </w:rPr>
              <w:t>83-2530757</w:t>
            </w:r>
          </w:p>
        </w:tc>
      </w:tr>
      <w:tr>
        <w:trPr>
          <w:trHeight w:val="224"/>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7"/>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559"/>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12603 Southwest Freeway, Suite 300</w:t>
            </w:r>
          </w:p>
        </w:tc>
        <w:tc>
          <w:tcPr>
            <w:tcW w:w="5580" w:type="dxa"/>
            <w:vAlign w:val="bottom"/>
          </w:tcPr>
          <w:p>
            <w:pPr>
              <w:spacing w:after="0"/>
              <w:rPr>
                <w:sz w:val="24"/>
                <w:szCs w:val="24"/>
                <w:color w:val="auto"/>
              </w:rPr>
            </w:pPr>
          </w:p>
        </w:tc>
      </w:tr>
      <w:tr>
        <w:trPr>
          <w:trHeight w:val="246"/>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Stafford, Texas</w:t>
            </w:r>
          </w:p>
        </w:tc>
        <w:tc>
          <w:tcPr>
            <w:tcW w:w="80" w:type="dxa"/>
            <w:vAlign w:val="bottom"/>
          </w:tcPr>
          <w:p>
            <w:pPr>
              <w:spacing w:after="0"/>
              <w:rPr>
                <w:sz w:val="21"/>
                <w:szCs w:val="21"/>
                <w:color w:val="auto"/>
              </w:rPr>
            </w:pPr>
          </w:p>
        </w:tc>
        <w:tc>
          <w:tcPr>
            <w:tcW w:w="5580" w:type="dxa"/>
            <w:vAlign w:val="bottom"/>
            <w:tcBorders>
              <w:bottom w:val="single" w:sz="8" w:color="auto"/>
            </w:tcBorders>
          </w:tcPr>
          <w:p>
            <w:pPr>
              <w:jc w:val="right"/>
              <w:ind w:right="2494"/>
              <w:spacing w:after="0"/>
              <w:rPr>
                <w:sz w:val="20"/>
                <w:szCs w:val="20"/>
                <w:color w:val="auto"/>
              </w:rPr>
            </w:pPr>
            <w:r>
              <w:rPr>
                <w:rFonts w:ascii="Times New Roman" w:cs="Times New Roman" w:eastAsia="Times New Roman" w:hAnsi="Times New Roman"/>
                <w:sz w:val="17"/>
                <w:szCs w:val="17"/>
                <w:b w:val="1"/>
                <w:bCs w:val="1"/>
                <w:color w:val="auto"/>
              </w:rPr>
              <w:t>77477</w:t>
            </w:r>
          </w:p>
        </w:tc>
      </w:tr>
      <w:tr>
        <w:trPr>
          <w:trHeight w:val="232"/>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(Zip Code)</w:t>
            </w:r>
          </w:p>
        </w:tc>
      </w:tr>
    </w:tbl>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(281) 491-9505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00" w:type="dxa"/>
            <w:vAlign w:val="bottom"/>
            <w:tcBorders>
              <w:bottom w:val="single" w:sz="8" w:color="CCEEFF"/>
            </w:tcBorders>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100" w:type="dxa"/>
            <w:vAlign w:val="bottom"/>
            <w:tcBorders>
              <w:bottom w:val="single" w:sz="8" w:color="CCEEFF"/>
            </w:tcBorders>
          </w:tcPr>
          <w:p>
            <w:pPr>
              <w:spacing w:after="0"/>
              <w:rPr>
                <w:sz w:val="20"/>
                <w:szCs w:val="20"/>
                <w:color w:val="auto"/>
              </w:rPr>
            </w:pP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44"/>
        </w:trPr>
        <w:tc>
          <w:tcPr>
            <w:tcW w:w="4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Common stock, par value $0.0001 per share</w:t>
            </w:r>
          </w:p>
        </w:tc>
        <w:tc>
          <w:tcPr>
            <w:tcW w:w="3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MVST</w:t>
            </w:r>
          </w:p>
        </w:tc>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03"/>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Redeemable warrants, exercisable for shares of common</w:t>
            </w: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223"/>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stock at an exercise price of $11.50 per share</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MVSTW</w:t>
            </w:r>
          </w:p>
        </w:tc>
        <w:tc>
          <w:tcPr>
            <w:tcW w:w="4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32"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color w:val="auto"/>
        </w:rPr>
        <w:t>____________________________________________________</w:t>
      </w:r>
    </w:p>
    <w:p>
      <w:pPr>
        <w:spacing w:after="0" w:line="160" w:lineRule="exact"/>
        <w:rPr>
          <w:sz w:val="24"/>
          <w:szCs w:val="24"/>
          <w:color w:val="auto"/>
        </w:rPr>
      </w:pPr>
    </w:p>
    <w:p>
      <w:pPr>
        <w:ind w:left="6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7" w:lineRule="exact"/>
        <w:rPr>
          <w:sz w:val="24"/>
          <w:szCs w:val="24"/>
          <w:color w:val="auto"/>
        </w:rPr>
      </w:pPr>
    </w:p>
    <w:p>
      <w:pPr>
        <w:ind w:left="6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7" w:lineRule="exact"/>
        <w:rPr>
          <w:sz w:val="24"/>
          <w:szCs w:val="24"/>
          <w:color w:val="auto"/>
        </w:rPr>
      </w:pPr>
    </w:p>
    <w:p>
      <w:pPr>
        <w:ind w:right="20" w:firstLine="619"/>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ind w:right="140" w:firstLine="619"/>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20" w:type="dxa"/>
        <w:tblCellMar>
          <w:top w:w="0" w:type="dxa"/>
          <w:left w:w="0" w:type="dxa"/>
          <w:bottom w:w="0" w:type="dxa"/>
          <w:right w:w="0" w:type="dxa"/>
        </w:tblCellMar>
      </w:tblPr>
      <w:tr>
        <w:trPr>
          <w:trHeight w:val="245"/>
        </w:trPr>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100" w:type="dxa"/>
            <w:vAlign w:val="bottom"/>
          </w:tcPr>
          <w:p>
            <w:pPr>
              <w:ind w:left="880"/>
              <w:spacing w:after="0" w:line="171" w:lineRule="exact"/>
              <w:rPr>
                <w:sz w:val="20"/>
                <w:szCs w:val="20"/>
                <w:color w:val="auto"/>
              </w:rPr>
            </w:pPr>
            <w:r>
              <w:rPr>
                <w:rFonts w:ascii="MS PGothic" w:cs="MS PGothic" w:eastAsia="MS PGothic" w:hAnsi="MS PGothic"/>
                <w:sz w:val="17"/>
                <w:szCs w:val="17"/>
                <w:color w:val="auto"/>
              </w:rPr>
              <w:t>☐</w:t>
            </w:r>
          </w:p>
        </w:tc>
        <w:tc>
          <w:tcPr>
            <w:tcW w:w="468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Accelerated filer</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45"/>
        </w:trPr>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100" w:type="dxa"/>
            <w:vAlign w:val="bottom"/>
          </w:tcPr>
          <w:p>
            <w:pPr>
              <w:ind w:left="880"/>
              <w:spacing w:after="0" w:line="171" w:lineRule="exact"/>
              <w:rPr>
                <w:sz w:val="20"/>
                <w:szCs w:val="20"/>
                <w:color w:val="auto"/>
              </w:rPr>
            </w:pPr>
            <w:r>
              <w:rPr>
                <w:rFonts w:ascii="MS PGothic" w:cs="MS PGothic" w:eastAsia="MS PGothic" w:hAnsi="MS PGothic"/>
                <w:sz w:val="17"/>
                <w:szCs w:val="17"/>
                <w:color w:val="auto"/>
              </w:rPr>
              <w:t>☐</w:t>
            </w:r>
          </w:p>
        </w:tc>
        <w:tc>
          <w:tcPr>
            <w:tcW w:w="468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9"/>
        </w:trPr>
        <w:tc>
          <w:tcPr>
            <w:tcW w:w="2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8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Emerging growth company</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bl>
    <w:p>
      <w:pPr>
        <w:sectPr>
          <w:pgSz w:w="11900" w:h="16838" w:orient="portrait"/>
          <w:cols w:equalWidth="0" w:num="1">
            <w:col w:w="11240"/>
          </w:cols>
          <w:pgMar w:left="320" w:top="222" w:right="339" w:bottom="0" w:gutter="0" w:footer="0" w:header="0"/>
        </w:sectPr>
      </w:pPr>
    </w:p>
    <w:bookmarkStart w:id="1" w:name="page2"/>
    <w:bookmarkEnd w:id="1"/>
    <w:p>
      <w:pPr>
        <w:ind w:right="40" w:firstLine="619"/>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4" w:lineRule="exact"/>
        <w:rPr>
          <w:sz w:val="20"/>
          <w:szCs w:val="20"/>
          <w:color w:val="auto"/>
        </w:rPr>
      </w:pPr>
    </w:p>
    <w:p>
      <w:pPr>
        <w:jc w:val="both"/>
        <w:ind w:right="380" w:firstLine="619"/>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25" w:lineRule="exact"/>
        <w:rPr>
          <w:sz w:val="20"/>
          <w:szCs w:val="20"/>
          <w:color w:val="auto"/>
        </w:rPr>
      </w:pPr>
    </w:p>
    <w:p>
      <w:pPr>
        <w:ind w:left="6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7" w:lineRule="exact"/>
        <w:rPr>
          <w:sz w:val="20"/>
          <w:szCs w:val="20"/>
          <w:color w:val="auto"/>
        </w:rPr>
      </w:pPr>
    </w:p>
    <w:p>
      <w:pPr>
        <w:ind w:right="2580" w:firstLine="619"/>
        <w:spacing w:after="0" w:line="228"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51" w:lineRule="exact"/>
        <w:rPr>
          <w:sz w:val="20"/>
          <w:szCs w:val="20"/>
          <w:color w:val="auto"/>
        </w:rPr>
      </w:pPr>
    </w:p>
    <w:p>
      <w:pPr>
        <w:ind w:right="620" w:firstLine="619"/>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ind w:firstLine="619"/>
        <w:spacing w:after="0" w:line="265" w:lineRule="auto"/>
        <w:rPr>
          <w:sz w:val="20"/>
          <w:szCs w:val="20"/>
          <w:color w:val="auto"/>
        </w:rPr>
      </w:pPr>
      <w:r>
        <w:rPr>
          <w:rFonts w:ascii="Times New Roman" w:cs="Times New Roman" w:eastAsia="Times New Roman" w:hAnsi="Times New Roman"/>
          <w:sz w:val="17"/>
          <w:szCs w:val="17"/>
          <w:color w:val="auto"/>
        </w:rPr>
        <w:t>The aggregate market value of the common voting stock held by non-affiliates of the registrant as of June 30, 2025, based on the closing price on that date of $3.63, was $683.1 million.</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March 9, 2026, the registrant had 332,032,946 shares of the Company’s common stock, par value $0.0001,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814705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180975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20" w:type="dxa"/>
            <w:vAlign w:val="bottom"/>
            <w:gridSpan w:val="9"/>
          </w:tcPr>
          <w:p>
            <w:pPr>
              <w:ind w:left="4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0" w:type="dxa"/>
            <w:vAlign w:val="bottom"/>
          </w:tcPr>
          <w:p>
            <w:pPr>
              <w:spacing w:after="0"/>
              <w:rPr>
                <w:sz w:val="19"/>
                <w:szCs w:val="19"/>
                <w:color w:val="auto"/>
              </w:rPr>
            </w:pPr>
          </w:p>
        </w:tc>
      </w:tr>
      <w:tr>
        <w:trPr>
          <w:trHeight w:val="470"/>
        </w:trPr>
        <w:tc>
          <w:tcPr>
            <w:tcW w:w="10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11"/>
        </w:trPr>
        <w:tc>
          <w:tcPr>
            <w:tcW w:w="1040" w:type="dxa"/>
            <w:vAlign w:val="bottom"/>
            <w:shd w:val="clear" w:color="auto" w:fill="CCEEFF"/>
          </w:tcPr>
          <w:p>
            <w:pPr>
              <w:spacing w:after="0"/>
              <w:rPr>
                <w:sz w:val="18"/>
                <w:szCs w:val="18"/>
                <w:color w:val="auto"/>
              </w:rPr>
            </w:pPr>
          </w:p>
        </w:tc>
        <w:tc>
          <w:tcPr>
            <w:tcW w:w="9400" w:type="dxa"/>
            <w:vAlign w:val="bottom"/>
            <w:gridSpan w:val="27"/>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FF"/>
              </w:rPr>
              <w:t>PART I</w:t>
            </w:r>
          </w:p>
        </w:tc>
        <w:tc>
          <w:tcPr>
            <w:tcW w:w="800" w:type="dxa"/>
            <w:vAlign w:val="bottom"/>
            <w:shd w:val="clear" w:color="auto" w:fill="CCEEFF"/>
          </w:tcPr>
          <w:p>
            <w:pPr>
              <w:spacing w:after="0"/>
              <w:rPr>
                <w:sz w:val="18"/>
                <w:szCs w:val="18"/>
                <w:color w:val="auto"/>
              </w:rPr>
            </w:pPr>
          </w:p>
        </w:tc>
      </w:tr>
      <w:tr>
        <w:trPr>
          <w:trHeight w:val="297"/>
        </w:trPr>
        <w:tc>
          <w:tcPr>
            <w:tcW w:w="10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193"/>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Business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1</w:t>
            </w:r>
          </w:p>
        </w:tc>
      </w:tr>
      <w:tr>
        <w:trPr>
          <w:trHeight w:val="32"/>
        </w:trPr>
        <w:tc>
          <w:tcPr>
            <w:tcW w:w="10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93"/>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1A.</w:t>
            </w:r>
          </w:p>
        </w:tc>
        <w:tc>
          <w:tcPr>
            <w:tcW w:w="9400" w:type="dxa"/>
            <w:vAlign w:val="bottom"/>
            <w:gridSpan w:val="27"/>
          </w:tcPr>
          <w:p>
            <w:pPr>
              <w:spacing w:after="0" w:line="194" w:lineRule="exact"/>
              <w:rPr>
                <w:sz w:val="20"/>
                <w:szCs w:val="20"/>
                <w:color w:val="auto"/>
              </w:rPr>
            </w:pPr>
            <w:r>
              <w:rPr>
                <w:rFonts w:ascii="Times New Roman" w:cs="Times New Roman" w:eastAsia="Times New Roman" w:hAnsi="Times New Roman"/>
                <w:sz w:val="17"/>
                <w:szCs w:val="17"/>
                <w:color w:val="0000FF"/>
              </w:rPr>
              <w:t>Risk Factors</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12</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1B.</w:t>
            </w:r>
          </w:p>
        </w:tc>
        <w:tc>
          <w:tcPr>
            <w:tcW w:w="1960" w:type="dxa"/>
            <w:vAlign w:val="bottom"/>
            <w:tcBorders>
              <w:bottom w:val="single" w:sz="8" w:color="0000FF"/>
            </w:tcBorders>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Unresolved Staff Comments</w:t>
            </w:r>
          </w:p>
        </w:tc>
        <w:tc>
          <w:tcPr>
            <w:tcW w:w="7440" w:type="dxa"/>
            <w:vAlign w:val="bottom"/>
            <w:tcBorders>
              <w:bottom w:val="single" w:sz="8" w:color="CCEEFF"/>
            </w:tcBorders>
            <w:gridSpan w:val="12"/>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53</w:t>
            </w:r>
          </w:p>
        </w:tc>
      </w:tr>
      <w:tr>
        <w:trPr>
          <w:trHeight w:val="193"/>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1C.</w:t>
            </w:r>
          </w:p>
        </w:tc>
        <w:tc>
          <w:tcPr>
            <w:tcW w:w="9400" w:type="dxa"/>
            <w:vAlign w:val="bottom"/>
            <w:gridSpan w:val="27"/>
          </w:tcPr>
          <w:p>
            <w:pPr>
              <w:spacing w:after="0" w:line="194" w:lineRule="exact"/>
              <w:rPr>
                <w:sz w:val="20"/>
                <w:szCs w:val="20"/>
                <w:color w:val="auto"/>
              </w:rPr>
            </w:pPr>
            <w:r>
              <w:rPr>
                <w:rFonts w:ascii="Times New Roman" w:cs="Times New Roman" w:eastAsia="Times New Roman" w:hAnsi="Times New Roman"/>
                <w:sz w:val="17"/>
                <w:szCs w:val="17"/>
                <w:color w:val="0000FF"/>
              </w:rPr>
              <w:t>Cybersecurity</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53</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700" w:type="dxa"/>
            <w:vAlign w:val="bottom"/>
            <w:tcBorders>
              <w:bottom w:val="single" w:sz="8" w:color="0000FF"/>
            </w:tcBorders>
            <w:gridSpan w:val="6"/>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w w:val="98"/>
              </w:rPr>
              <w:t>Properties</w:t>
            </w:r>
          </w:p>
        </w:tc>
        <w:tc>
          <w:tcPr>
            <w:tcW w:w="8700" w:type="dxa"/>
            <w:vAlign w:val="bottom"/>
            <w:tcBorders>
              <w:bottom w:val="single" w:sz="8" w:color="CCEEFF"/>
            </w:tcBorders>
            <w:gridSpan w:val="21"/>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55</w:t>
            </w:r>
          </w:p>
        </w:tc>
      </w:tr>
      <w:tr>
        <w:trPr>
          <w:trHeight w:val="193"/>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3.</w:t>
            </w:r>
          </w:p>
        </w:tc>
        <w:tc>
          <w:tcPr>
            <w:tcW w:w="9400" w:type="dxa"/>
            <w:vAlign w:val="bottom"/>
            <w:gridSpan w:val="27"/>
          </w:tcPr>
          <w:p>
            <w:pPr>
              <w:spacing w:after="0" w:line="194" w:lineRule="exact"/>
              <w:rPr>
                <w:sz w:val="20"/>
                <w:szCs w:val="20"/>
                <w:color w:val="auto"/>
              </w:rPr>
            </w:pPr>
            <w:r>
              <w:rPr>
                <w:rFonts w:ascii="Times New Roman" w:cs="Times New Roman" w:eastAsia="Times New Roman" w:hAnsi="Times New Roman"/>
                <w:sz w:val="17"/>
                <w:szCs w:val="17"/>
                <w:color w:val="0000FF"/>
              </w:rPr>
              <w:t>Legal Proceedings</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55</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4.</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Mine Safety Disclosures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56</w:t>
            </w:r>
          </w:p>
        </w:tc>
      </w:tr>
      <w:tr>
        <w:trPr>
          <w:trHeight w:val="297"/>
        </w:trPr>
        <w:tc>
          <w:tcPr>
            <w:tcW w:w="10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25"/>
        </w:trPr>
        <w:tc>
          <w:tcPr>
            <w:tcW w:w="1040" w:type="dxa"/>
            <w:vAlign w:val="bottom"/>
            <w:shd w:val="clear" w:color="auto" w:fill="CCEEFF"/>
          </w:tcPr>
          <w:p>
            <w:pPr>
              <w:spacing w:after="0"/>
              <w:rPr>
                <w:sz w:val="19"/>
                <w:szCs w:val="19"/>
                <w:color w:val="auto"/>
              </w:rPr>
            </w:pP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PART II</w:t>
            </w:r>
          </w:p>
        </w:tc>
        <w:tc>
          <w:tcPr>
            <w:tcW w:w="800" w:type="dxa"/>
            <w:vAlign w:val="bottom"/>
            <w:shd w:val="clear" w:color="auto" w:fill="CCEEFF"/>
          </w:tcPr>
          <w:p>
            <w:pPr>
              <w:spacing w:after="0"/>
              <w:rPr>
                <w:sz w:val="19"/>
                <w:szCs w:val="19"/>
                <w:color w:val="auto"/>
              </w:rPr>
            </w:pPr>
          </w:p>
        </w:tc>
      </w:tr>
      <w:tr>
        <w:trPr>
          <w:trHeight w:val="297"/>
        </w:trPr>
        <w:tc>
          <w:tcPr>
            <w:tcW w:w="10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25"/>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5.</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Market for the Registrant’s Common Equity and Related Matters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57</w:t>
            </w:r>
          </w:p>
        </w:tc>
      </w:tr>
      <w:tr>
        <w:trPr>
          <w:trHeight w:val="193"/>
        </w:trPr>
        <w:tc>
          <w:tcPr>
            <w:tcW w:w="104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6.</w:t>
            </w:r>
          </w:p>
        </w:tc>
        <w:tc>
          <w:tcPr>
            <w:tcW w:w="4460" w:type="dxa"/>
            <w:vAlign w:val="bottom"/>
            <w:tcBorders>
              <w:top w:val="single" w:sz="8" w:color="0000FF"/>
            </w:tcBorders>
            <w:gridSpan w:val="21"/>
          </w:tcPr>
          <w:p>
            <w:pPr>
              <w:spacing w:after="0" w:line="194" w:lineRule="exact"/>
              <w:rPr>
                <w:sz w:val="20"/>
                <w:szCs w:val="20"/>
                <w:color w:val="auto"/>
              </w:rPr>
            </w:pPr>
            <w:r>
              <w:rPr>
                <w:rFonts w:ascii="Times New Roman" w:cs="Times New Roman" w:eastAsia="Times New Roman" w:hAnsi="Times New Roman"/>
                <w:sz w:val="17"/>
                <w:szCs w:val="17"/>
                <w:color w:val="0000FF"/>
              </w:rPr>
              <w:t>[Reserved]</w:t>
            </w:r>
          </w:p>
        </w:tc>
        <w:tc>
          <w:tcPr>
            <w:tcW w:w="4940" w:type="dxa"/>
            <w:vAlign w:val="bottom"/>
            <w:tcBorders>
              <w:top w:val="single" w:sz="8" w:color="CCEEFF"/>
            </w:tcBorders>
            <w:gridSpan w:val="6"/>
          </w:tcPr>
          <w:p>
            <w:pPr>
              <w:spacing w:after="0"/>
              <w:rPr>
                <w:sz w:val="16"/>
                <w:szCs w:val="16"/>
                <w:color w:val="auto"/>
              </w:rPr>
            </w:pPr>
          </w:p>
        </w:tc>
        <w:tc>
          <w:tcPr>
            <w:tcW w:w="800" w:type="dxa"/>
            <w:vAlign w:val="bottom"/>
            <w:tcBorders>
              <w:top w:val="single" w:sz="8" w:color="CCEEFF"/>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rPr>
              <w:t>58</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7.</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58</w:t>
            </w:r>
          </w:p>
        </w:tc>
      </w:tr>
      <w:tr>
        <w:trPr>
          <w:trHeight w:val="193"/>
        </w:trPr>
        <w:tc>
          <w:tcPr>
            <w:tcW w:w="104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7A.</w:t>
            </w:r>
          </w:p>
        </w:tc>
        <w:tc>
          <w:tcPr>
            <w:tcW w:w="6160" w:type="dxa"/>
            <w:vAlign w:val="bottom"/>
            <w:tcBorders>
              <w:top w:val="single" w:sz="8" w:color="0000FF"/>
            </w:tcBorders>
            <w:gridSpan w:val="25"/>
          </w:tcPr>
          <w:p>
            <w:pPr>
              <w:spacing w:after="0" w:line="194"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240" w:type="dxa"/>
            <w:vAlign w:val="bottom"/>
            <w:tcBorders>
              <w:top w:val="single" w:sz="8" w:color="CCEEFF"/>
            </w:tcBorders>
            <w:gridSpan w:val="2"/>
          </w:tcPr>
          <w:p>
            <w:pPr>
              <w:spacing w:after="0"/>
              <w:rPr>
                <w:sz w:val="16"/>
                <w:szCs w:val="16"/>
                <w:color w:val="auto"/>
              </w:rPr>
            </w:pPr>
          </w:p>
        </w:tc>
        <w:tc>
          <w:tcPr>
            <w:tcW w:w="800" w:type="dxa"/>
            <w:vAlign w:val="bottom"/>
            <w:tcBorders>
              <w:top w:val="single" w:sz="8" w:color="CCEEFF"/>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rPr>
              <w:t>69</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8.</w:t>
            </w:r>
          </w:p>
        </w:tc>
        <w:tc>
          <w:tcPr>
            <w:tcW w:w="3180" w:type="dxa"/>
            <w:vAlign w:val="bottom"/>
            <w:tcBorders>
              <w:bottom w:val="single" w:sz="8" w:color="0000FF"/>
            </w:tcBorders>
            <w:gridSpan w:val="1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6220" w:type="dxa"/>
            <w:vAlign w:val="bottom"/>
            <w:tcBorders>
              <w:bottom w:val="single" w:sz="8" w:color="CCEEFF"/>
            </w:tcBorders>
            <w:gridSpan w:val="9"/>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71</w:t>
            </w:r>
          </w:p>
        </w:tc>
      </w:tr>
      <w:tr>
        <w:trPr>
          <w:trHeight w:val="193"/>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9.</w:t>
            </w:r>
          </w:p>
        </w:tc>
        <w:tc>
          <w:tcPr>
            <w:tcW w:w="9400" w:type="dxa"/>
            <w:vAlign w:val="bottom"/>
            <w:gridSpan w:val="27"/>
          </w:tcPr>
          <w:p>
            <w:pPr>
              <w:spacing w:after="0" w:line="194" w:lineRule="exact"/>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124</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9A.</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Controls and Procedures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124</w:t>
            </w:r>
          </w:p>
        </w:tc>
      </w:tr>
      <w:tr>
        <w:trPr>
          <w:trHeight w:val="193"/>
        </w:trPr>
        <w:tc>
          <w:tcPr>
            <w:tcW w:w="104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9B.</w:t>
            </w:r>
          </w:p>
        </w:tc>
        <w:tc>
          <w:tcPr>
            <w:tcW w:w="1680" w:type="dxa"/>
            <w:vAlign w:val="bottom"/>
            <w:tcBorders>
              <w:top w:val="single" w:sz="8" w:color="0000FF"/>
            </w:tcBorders>
            <w:gridSpan w:val="13"/>
          </w:tcPr>
          <w:p>
            <w:pPr>
              <w:spacing w:after="0" w:line="194" w:lineRule="exact"/>
              <w:rPr>
                <w:sz w:val="20"/>
                <w:szCs w:val="20"/>
                <w:color w:val="auto"/>
              </w:rPr>
            </w:pPr>
            <w:r>
              <w:rPr>
                <w:rFonts w:ascii="Times New Roman" w:cs="Times New Roman" w:eastAsia="Times New Roman" w:hAnsi="Times New Roman"/>
                <w:sz w:val="17"/>
                <w:szCs w:val="17"/>
                <w:color w:val="0000FF"/>
              </w:rPr>
              <w:t>Other Information</w:t>
            </w:r>
          </w:p>
        </w:tc>
        <w:tc>
          <w:tcPr>
            <w:tcW w:w="7720" w:type="dxa"/>
            <w:vAlign w:val="bottom"/>
            <w:tcBorders>
              <w:top w:val="single" w:sz="8" w:color="CCEEFF"/>
            </w:tcBorders>
            <w:gridSpan w:val="14"/>
          </w:tcPr>
          <w:p>
            <w:pPr>
              <w:spacing w:after="0"/>
              <w:rPr>
                <w:sz w:val="16"/>
                <w:szCs w:val="16"/>
                <w:color w:val="auto"/>
              </w:rPr>
            </w:pPr>
          </w:p>
        </w:tc>
        <w:tc>
          <w:tcPr>
            <w:tcW w:w="800" w:type="dxa"/>
            <w:vAlign w:val="bottom"/>
            <w:tcBorders>
              <w:top w:val="single" w:sz="8" w:color="CCEEFF"/>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rPr>
              <w:t>127</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9C.</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127</w:t>
            </w:r>
          </w:p>
        </w:tc>
      </w:tr>
      <w:tr>
        <w:trPr>
          <w:trHeight w:val="297"/>
        </w:trPr>
        <w:tc>
          <w:tcPr>
            <w:tcW w:w="10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25"/>
        </w:trPr>
        <w:tc>
          <w:tcPr>
            <w:tcW w:w="1040" w:type="dxa"/>
            <w:vAlign w:val="bottom"/>
            <w:shd w:val="clear" w:color="auto" w:fill="CCEEFF"/>
          </w:tcPr>
          <w:p>
            <w:pPr>
              <w:spacing w:after="0"/>
              <w:rPr>
                <w:sz w:val="19"/>
                <w:szCs w:val="19"/>
                <w:color w:val="auto"/>
              </w:rPr>
            </w:pP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PART III</w:t>
            </w:r>
          </w:p>
        </w:tc>
        <w:tc>
          <w:tcPr>
            <w:tcW w:w="800" w:type="dxa"/>
            <w:vAlign w:val="bottom"/>
            <w:shd w:val="clear" w:color="auto" w:fill="CCEEFF"/>
          </w:tcPr>
          <w:p>
            <w:pPr>
              <w:spacing w:after="0"/>
              <w:rPr>
                <w:sz w:val="19"/>
                <w:szCs w:val="19"/>
                <w:color w:val="auto"/>
              </w:rPr>
            </w:pPr>
          </w:p>
        </w:tc>
      </w:tr>
      <w:tr>
        <w:trPr>
          <w:trHeight w:val="297"/>
        </w:trPr>
        <w:tc>
          <w:tcPr>
            <w:tcW w:w="10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25"/>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10.</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128</w:t>
            </w:r>
          </w:p>
        </w:tc>
      </w:tr>
      <w:tr>
        <w:trPr>
          <w:trHeight w:val="193"/>
        </w:trPr>
        <w:tc>
          <w:tcPr>
            <w:tcW w:w="104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11.</w:t>
            </w:r>
          </w:p>
        </w:tc>
        <w:tc>
          <w:tcPr>
            <w:tcW w:w="3900" w:type="dxa"/>
            <w:vAlign w:val="bottom"/>
            <w:tcBorders>
              <w:top w:val="single" w:sz="8" w:color="0000FF"/>
            </w:tcBorders>
            <w:gridSpan w:val="19"/>
          </w:tcPr>
          <w:p>
            <w:pPr>
              <w:spacing w:after="0" w:line="194" w:lineRule="exact"/>
              <w:rPr>
                <w:sz w:val="20"/>
                <w:szCs w:val="20"/>
                <w:color w:val="auto"/>
              </w:rPr>
            </w:pPr>
            <w:r>
              <w:rPr>
                <w:rFonts w:ascii="Times New Roman" w:cs="Times New Roman" w:eastAsia="Times New Roman" w:hAnsi="Times New Roman"/>
                <w:sz w:val="17"/>
                <w:szCs w:val="17"/>
                <w:color w:val="0000FF"/>
              </w:rPr>
              <w:t>Executive Compensation</w:t>
            </w:r>
          </w:p>
        </w:tc>
        <w:tc>
          <w:tcPr>
            <w:tcW w:w="5500" w:type="dxa"/>
            <w:vAlign w:val="bottom"/>
            <w:tcBorders>
              <w:top w:val="single" w:sz="8" w:color="CCEEFF"/>
            </w:tcBorders>
            <w:gridSpan w:val="8"/>
          </w:tcPr>
          <w:p>
            <w:pPr>
              <w:spacing w:after="0"/>
              <w:rPr>
                <w:sz w:val="16"/>
                <w:szCs w:val="16"/>
                <w:color w:val="auto"/>
              </w:rPr>
            </w:pPr>
          </w:p>
        </w:tc>
        <w:tc>
          <w:tcPr>
            <w:tcW w:w="800" w:type="dxa"/>
            <w:vAlign w:val="bottom"/>
            <w:tcBorders>
              <w:top w:val="single" w:sz="8" w:color="CCEEFF"/>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rPr>
              <w:t>131</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3"/>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12.</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Security Ownership of Certain Beneficial Owners and Management</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139</w:t>
            </w:r>
          </w:p>
        </w:tc>
      </w:tr>
      <w:tr>
        <w:trPr>
          <w:trHeight w:val="32"/>
        </w:trPr>
        <w:tc>
          <w:tcPr>
            <w:tcW w:w="10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93"/>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13.</w:t>
            </w:r>
          </w:p>
        </w:tc>
        <w:tc>
          <w:tcPr>
            <w:tcW w:w="9400" w:type="dxa"/>
            <w:vAlign w:val="bottom"/>
            <w:gridSpan w:val="27"/>
          </w:tcPr>
          <w:p>
            <w:pPr>
              <w:spacing w:after="0" w:line="194" w:lineRule="exact"/>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141</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14.</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Principal Accountant Fees and Services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142</w:t>
            </w:r>
          </w:p>
        </w:tc>
      </w:tr>
      <w:tr>
        <w:trPr>
          <w:trHeight w:val="297"/>
        </w:trPr>
        <w:tc>
          <w:tcPr>
            <w:tcW w:w="10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25"/>
        </w:trPr>
        <w:tc>
          <w:tcPr>
            <w:tcW w:w="1040" w:type="dxa"/>
            <w:vAlign w:val="bottom"/>
            <w:shd w:val="clear" w:color="auto" w:fill="CCEEFF"/>
          </w:tcPr>
          <w:p>
            <w:pPr>
              <w:spacing w:after="0"/>
              <w:rPr>
                <w:sz w:val="19"/>
                <w:szCs w:val="19"/>
                <w:color w:val="auto"/>
              </w:rPr>
            </w:pP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PART IV</w:t>
            </w:r>
          </w:p>
        </w:tc>
        <w:tc>
          <w:tcPr>
            <w:tcW w:w="800" w:type="dxa"/>
            <w:vAlign w:val="bottom"/>
            <w:shd w:val="clear" w:color="auto" w:fill="CCEEFF"/>
          </w:tcPr>
          <w:p>
            <w:pPr>
              <w:spacing w:after="0"/>
              <w:rPr>
                <w:sz w:val="19"/>
                <w:szCs w:val="19"/>
                <w:color w:val="auto"/>
              </w:rPr>
            </w:pPr>
          </w:p>
        </w:tc>
      </w:tr>
      <w:tr>
        <w:trPr>
          <w:trHeight w:val="297"/>
        </w:trPr>
        <w:tc>
          <w:tcPr>
            <w:tcW w:w="10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25"/>
        </w:trPr>
        <w:tc>
          <w:tcPr>
            <w:tcW w:w="10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15.</w:t>
            </w:r>
          </w:p>
        </w:tc>
        <w:tc>
          <w:tcPr>
            <w:tcW w:w="3020" w:type="dxa"/>
            <w:vAlign w:val="bottom"/>
            <w:tcBorders>
              <w:bottom w:val="single" w:sz="8" w:color="0000FF"/>
            </w:tcBorders>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6380" w:type="dxa"/>
            <w:vAlign w:val="bottom"/>
            <w:tcBorders>
              <w:bottom w:val="single" w:sz="8" w:color="CCEEFF"/>
            </w:tcBorders>
            <w:gridSpan w:val="10"/>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144</w:t>
            </w:r>
          </w:p>
        </w:tc>
      </w:tr>
      <w:tr>
        <w:trPr>
          <w:trHeight w:val="193"/>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16.</w:t>
            </w:r>
          </w:p>
        </w:tc>
        <w:tc>
          <w:tcPr>
            <w:tcW w:w="148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7"/>
                <w:szCs w:val="17"/>
                <w:color w:val="0000FF"/>
                <w:w w:val="99"/>
              </w:rPr>
              <w:t>Form 10-K Summary</w:t>
            </w:r>
          </w:p>
        </w:tc>
        <w:tc>
          <w:tcPr>
            <w:tcW w:w="7920" w:type="dxa"/>
            <w:vAlign w:val="bottom"/>
            <w:gridSpan w:val="15"/>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146</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34"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7"/>
          <w:szCs w:val="17"/>
          <w:color w:val="auto"/>
        </w:rPr>
        <w:t>The discussions in this annual report on Form 10-K (the “Annual Report”) contain “forward-looking statements” within the meaning of the Private Securities Litigation Reform Act of 1995. Forward-looking statements are based on assumptions with respect to the future and management's current expectations, involve certain risks and uncertainties and are not guarantees. These forward-looking statements include, but are not limited to, statements about our future results of operations and financial position, our operational performance, our anticipated growth and business strategy, our future capital expenditures and debt service obligations, the projected costs, prospects and plans and objectives of management for future operations, including regarding expected growth and demand for our batteries and energy storage solutions and introduction of new batteries and energy storage solutions, the adoption of such offerings by customers, our expectations relating to backlog, pipeline and contracted backlog, current expectations relating to legal proceedings and anticipated impacts and benefits from the Inflation Reduction Act of 2022 as well as any other proposed or recently enacted legislation. In some cases, you may also identify forward-looking statements by words such as “anticipate,” “believe,”, “can,” “continue,” “could,” “estimate,” “expect,” “intend,” “may,” “might,” “objective,” “plan,” “project,” “predict,” “outlook” “should,” “will,” “would,” or the negative of these terms, or other comparable terminology intended to identify statements about the future.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 We do not assume any obligation to update any forward-looking statements.</w:t>
      </w:r>
    </w:p>
    <w:p>
      <w:pPr>
        <w:spacing w:after="0" w:line="185"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In addition to factors identified elsewhere in this Annual Report, the following factors, among others, could cause actual results and the timing of events to differ materially from the anticipated results or other expectations expressed in the forward-looking statements:</w:t>
      </w:r>
    </w:p>
    <w:p>
      <w:pPr>
        <w:spacing w:after="0" w:line="151" w:lineRule="exact"/>
        <w:rPr>
          <w:sz w:val="20"/>
          <w:szCs w:val="20"/>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remain a going concern;</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we may not be able to accurately project and manage our growth and effectively execute our growth strategies or achieve profitability;</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we may be unable to meet our future capital requirements and we may require additional capital to support our business growth, and this capital might not be available on acceptable terms, or at all;</w:t>
      </w:r>
    </w:p>
    <w:p>
      <w:pPr>
        <w:spacing w:after="0" w:line="17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difficulties in maintaining manufacturing capacity and establishing expected mass manufacturing capacity in the future;</w:t>
      </w:r>
    </w:p>
    <w:p>
      <w:pPr>
        <w:spacing w:after="0" w:line="242"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issues or delays, disruptions and quality control problems in our manufacturing operations;</w:t>
      </w:r>
    </w:p>
    <w:p>
      <w:pPr>
        <w:spacing w:after="0" w:line="242"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being unable to control our manufacturing costs;</w:t>
      </w:r>
    </w:p>
    <w:p>
      <w:pPr>
        <w:spacing w:after="0" w:line="242"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that we may be unable to meet our projected construction timelines, costs and production ramps, or we may experience difficulties in generating and maintaining demand for products manufactured there and related services;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in our existing and any future credit facilities;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of operations in China;</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mechanics liens filed by contractors that we do not have sufficient funds to pay;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existing and future litigation;</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including increases in interest rates and associated Federal Reserve policies, a potential economic recession, and the impact of inflation on our business;</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highly competitive market in which we compete, including with respect to our competitive landscape, technology evolution or regulatory changes;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availability and price of raw materials;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40" w:hanging="318"/>
        <w:spacing w:after="0" w:line="287"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that our suppliers may fail to deliver components according to schedules, prices, quality and volumes that are acceptable to us, or we may be unable to manage these components effectively;</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relations, including the ability to attract, hire and retain key employees and contract personnel;</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heightened awareness of environmental issues and concern about global warming and climate change;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we are unable to secure or protect our intellectual property;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our customers or third-party suppliers are unable to meet their obligations fully or in a timely manner;</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possible future reductions in pricing or order volume or loss of one or more of our significant customers;</w:t>
      </w:r>
    </w:p>
    <w:p>
      <w:pPr>
        <w:spacing w:after="0" w:line="242"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status as a relatively low-volume purchaser as well as from supplier concentration and limited supplier capacity;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our customers will adjust, cancel or suspend their orders for our products;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ability to attract new customers and retain existing customers;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lengthy sales cycle for our products;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product liability or regulatory lawsuits or proceedings relating to our products or services;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enhance our reputation and brand recognition;</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facing strong competition for our products and services from a growing list of established and new competitors;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information technology and operational technology systems and practices to detect and defend against evolving cyberattacks;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laws regarding cybersecurity and data privacy, and any cybersecurity threat or event;</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and associated cost of compliance with existing and future laws and governmental regulations, such as the IRA;</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whether renewable energy technologies are suitable for widespread adoption or if sufficient demand for our offerings does not develop or takes longer to develop than we anticipate;</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financial and other impacts such as a pandemic, including global supply chain disruptions;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geopolitical events, such as the ongoing conflicts in the Middle East, including hostilities with Iran, the war between Russia and Ukraine, and other current or future conflicts;</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risks associated with maintaining and expanding our international operations, including unfavorable and uncertain regulatory, political, economic, tax, and labor conditions; and</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tariffs imposed on products of the PRC into the United States may lead to increased costs and impact our business.</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estimates and assumptions that are inherently subject to various significant risks, uncertainties and other factors, many of which are beyond our control.</w:t>
      </w:r>
    </w:p>
    <w:p>
      <w:pPr>
        <w:spacing w:after="0" w:line="21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w:t>
      </w:r>
    </w:p>
    <w:p>
      <w:pPr>
        <w:spacing w:after="0" w:line="375"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All references to the “Company,” “we,” “us” or “our” refer to Microvast Holdings, Inc. and its consolidated subsidiaries other than certain historical information which refers to the business of Microvast prior to the consummation of the Business Combination.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b w:val="1"/>
          <w:bCs w:val="1"/>
          <w:color w:val="auto"/>
        </w:rPr>
        <w:t>GLOSSARY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Industry Specific Defined Terms</w:t>
      </w:r>
    </w:p>
    <w:p>
      <w:pPr>
        <w:spacing w:after="0" w:line="234"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“Ah” refers to ampere hour;</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refers to degrees measured in Celsius;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“BMS” refers to the battery management system;</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“ESS” refers to energy storage systems;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 refers to an electric vehicle;</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“FCG” refers to the full concentration gradient;</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“GHG” refers to greenhouse gas;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“GWh” refers to gigawatt hours;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“LFP” refers to lithium iron phosphate;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“LTO” refers to lithium titanate oxide;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“MWh” refers to megawatt hours;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“NMC” refers to nickel manganese cobalt-based products generally;</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“NMC-1” refers to nickel manganese cobalt version 1;</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“NMC-2” refers to nickel manganese cobalt version 2;</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“OEMs” refers to original equipment manufacturers;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“Wh/l” refers to watt hours per liter; and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“Wh/kg” refers to watt hours per kilogram.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General Defined Terms</w:t>
      </w:r>
    </w:p>
    <w:p>
      <w:pPr>
        <w:spacing w:after="0" w:line="221" w:lineRule="exact"/>
        <w:rPr>
          <w:sz w:val="20"/>
          <w:szCs w:val="20"/>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Report” refers to this annual report for the year ended December 31, 2025 filed on Form 10-K;</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RSUs” refers to an annual award of restricted stock units;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"ASC" refers to Accounting Standards Codifications;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"ASU" refers to Accounting Standards Updates;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"ASU 2023-07" refers to the ASU titled "Improvements to Reportable Segment Disclosures";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"Aurora" refers to Aurora Sheen Limited;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refers to the board of directors of Microvast Holdings, Inc.;</w:t>
      </w:r>
    </w:p>
    <w:p>
      <w:pPr>
        <w:spacing w:after="0" w:line="229"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 refers to the business combination pursuant to the Agreement and Plan of Merger dated February 1, 2021, between Tuscan, Microvast, Inc. and TSCN Merger Sub Inc.;</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"CDH Investment" refers to CDH Investment Management Company Limited;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"CEO" refers to our chief executive officer;</w:t>
      </w:r>
    </w:p>
    <w:p>
      <w:pPr>
        <w:sectPr>
          <w:pgSz w:w="11900" w:h="16838" w:orient="portrait"/>
          <w:cols w:equalWidth="0" w:num="1">
            <w:col w:w="10820"/>
          </w:cols>
          <w:pgMar w:left="320" w:top="119"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20"/>
          </w:cols>
          <w:pgMar w:left="320" w:top="119" w:right="7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620" w:right="580" w:hanging="307"/>
        <w:spacing w:after="0" w:line="271"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"Circular 43" refers to the CSRC release titled "Trial Measures for the Administration of Overseas Issuance and Listing of Securities by Domestic Enterprises";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"Clarksville Property" refers to our property in Clarksville, Tennessee;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"Closing Date" refers to July 23, 2021, the date of the merger between Microvast, Inc. and Tuscan;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refers to Microvast Holdings, Inc. and its subsidiaries;</w:t>
      </w:r>
    </w:p>
    <w:p>
      <w:pPr>
        <w:spacing w:after="0" w:line="225" w:lineRule="exact"/>
        <w:rPr>
          <w:rFonts w:ascii="Times New Roman" w:cs="Times New Roman" w:eastAsia="Times New Roman" w:hAnsi="Times New Roman"/>
          <w:sz w:val="17"/>
          <w:szCs w:val="17"/>
          <w:color w:val="auto"/>
        </w:rPr>
      </w:pPr>
    </w:p>
    <w:p>
      <w:pPr>
        <w:ind w:left="620" w:right="300" w:hanging="307"/>
        <w:spacing w:after="0" w:line="27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"Consolidated Derivative Action" refers to the litigation captioned </w:t>
      </w:r>
      <w:r>
        <w:rPr>
          <w:rFonts w:ascii="Times New Roman" w:cs="Times New Roman" w:eastAsia="Times New Roman" w:hAnsi="Times New Roman"/>
          <w:sz w:val="17"/>
          <w:szCs w:val="17"/>
          <w:i w:val="1"/>
          <w:iCs w:val="1"/>
          <w:color w:val="auto"/>
        </w:rPr>
        <w:t>In re Microvast Holdings, Inc. Derivative Litigation</w:t>
      </w:r>
      <w:r>
        <w:rPr>
          <w:rFonts w:ascii="Times New Roman" w:cs="Times New Roman" w:eastAsia="Times New Roman" w:hAnsi="Times New Roman"/>
          <w:sz w:val="17"/>
          <w:szCs w:val="17"/>
          <w:color w:val="auto"/>
        </w:rPr>
        <w:t>, Lead Case No. 4:24-cv-00372 (S.D. Tex.);</w:t>
      </w:r>
    </w:p>
    <w:p>
      <w:pPr>
        <w:spacing w:after="0" w:line="16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“COVID-19” refers to the coronavirus pandemic;</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 refers to the PRC's Cybersecurity Review Office;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“CSRC” refers to the China Securities Regulatory Commission;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"Dinghui Equity" refers to Dinghui Equity Investment Management (Tianjin) Company Limited;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 refers to the U.S. Department of Energy;</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“DOT” refers to the U.S. Department of Transportation;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"EarlyBird Capital" refers to EarlyBird Capital, Inc.;</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Agreement" refers to the written employee arrangement between the Company and Mr. Yang Wu;</w:t>
      </w:r>
    </w:p>
    <w:p>
      <w:pPr>
        <w:spacing w:after="0" w:line="1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“EPA” refers to the U.S. Environmental Protection Agency;</w:t>
      </w:r>
    </w:p>
    <w:p>
      <w:pPr>
        <w:spacing w:after="0" w:line="2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“E.U.” refers to the European Union;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“Elective RSUs” refers to non-employee directors annual cash retainer;</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“Escrow Agent” refers to Continental Stock Transfer &amp; Trust Company as escrow agent;</w:t>
      </w:r>
    </w:p>
    <w:p>
      <w:pPr>
        <w:spacing w:after="0" w:line="229" w:lineRule="exact"/>
        <w:rPr>
          <w:rFonts w:ascii="Times New Roman" w:cs="Times New Roman" w:eastAsia="Times New Roman" w:hAnsi="Times New Roman"/>
          <w:sz w:val="17"/>
          <w:szCs w:val="17"/>
          <w:color w:val="auto"/>
        </w:rPr>
      </w:pPr>
    </w:p>
    <w:p>
      <w:pPr>
        <w:ind w:left="620" w:right="480" w:hanging="307"/>
        <w:spacing w:after="0" w:line="255"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"Escrow Agreement" refers to the Escrow Agreement between Tuscan, the Company, Continental Stock Transfer &amp; Trust Company and the Tuscan Group;</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"Evergreen" refers to Evergreen Ever Limited;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refers to the Securities Exchange Act of 1934, as amended;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“FCPA” refers to the Foreign Corrupt Practices Act;</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"FERC" refers to the Federal Energy Regulatory Commission;</w:t>
      </w:r>
    </w:p>
    <w:p>
      <w:pPr>
        <w:spacing w:after="0" w:line="229" w:lineRule="exact"/>
        <w:rPr>
          <w:rFonts w:ascii="Times New Roman" w:cs="Times New Roman" w:eastAsia="Times New Roman" w:hAnsi="Times New Roman"/>
          <w:sz w:val="17"/>
          <w:szCs w:val="17"/>
          <w:color w:val="auto"/>
        </w:rPr>
      </w:pPr>
    </w:p>
    <w:p>
      <w:pPr>
        <w:jc w:val="both"/>
        <w:ind w:left="620" w:hanging="307"/>
        <w:spacing w:after="0" w:line="254"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refers to the Company's related consolidated balance sheets, statements of operations, comprehensive loss, changes in stockholders’ equity, and cash flows, for each of the three years in the period ended December 31, 2025, and the related notes and the schedule listed in Schedule I of this Annual Report on Form 10-K;</w:t>
      </w:r>
    </w:p>
    <w:p>
      <w:pPr>
        <w:spacing w:after="0" w:line="191"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Earn-Out Target" refers to the date on which the last sale price of our common stock equals or exceeds $12.00 per share for any 20 trading days within any 30-trading day period following the closing of the Business Combination;</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"Founders" refers to Stefan M. Selig, Richard O. Rieger, Amy Butte and Tuscan Holdings Acquisition LLC;</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“Founder Shares” refers to the 6,900,000 founder shares purchased by the Tuscan Group for a purchase price of $25,000 in connection with the IPO;</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“G&amp;A” refers to general and administrative;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GAAP” refers to U.S. Generally Accepted Accounting Principles;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"GITC" refers to information technology general controls;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"Griffin Holdings" refers to CDH Griffin Holdings Company Limited;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"HFCAA" refers to the Holding Foreign Companies Accountable Act of 2020;</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"HF Holdings" refers to CDH China HF Holdings Company Limited;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“HMR” refers to the DOT’s Hazardous Materials Regulations;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"IATA" refers to the International Air Transport Association;</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"ICAO" refers to the International Civil Aviation Organization;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“ICE” refers to an internal combustion engine;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Committee” refers to the members of the investment committee of New Trend;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refers to Tuscan Holdings Corp.’s initial public offering;</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“IRA” refers to the Inflation Reduction Act of 2022;</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 Committee” refers to the investment and risk committee of Evergreen and Aurora;</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"ISO" refers to the International Organization for Standardization;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 Agreement" refers to the convertible loan agreement between the Company and Mr. Yang Wu;</w:t>
      </w:r>
    </w:p>
    <w:p>
      <w:pPr>
        <w:spacing w:after="0" w:line="229"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refers to the business combination pursuant to the Agreement and Plan of Merger dated February 1, 2021, between Tuscan, Microvast, Inc. and TSCN Merger Sub Inc.;</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Agreement" refers to the Agreement and Plan of Merger dated February 1, 2021, between Tuscan, Microvast, Inc. and TSCN Merger Sub Inc.;</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 GmbH" refers to Microvast GmbH, our majority-owned subsidiary incorporated in Germany;</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“MPS” refers to Microvast Power Systems Co. Ltd., our majority-owned subsidiary incorporated in Huzhou, China;</w:t>
      </w:r>
    </w:p>
    <w:p>
      <w:pPr>
        <w:spacing w:after="0" w:line="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“NASDAQ“ refers to the NASDAQ stock exchange;</w:t>
      </w:r>
    </w:p>
    <w:p>
      <w:pPr>
        <w:spacing w:after="0" w:line="2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“NEOs” refers to our named executive officers for the year ended December 31, 2025 as defined by the Securities Act;</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Trend" refers to Hangzhou CDH New Trend Equity Investment Partnership (Limited Partnership);</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"NHTE" refers to a New and High Tech Enterprise, as defined under PRC law;</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refers to bank acceptance notes;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“NPDES” refers to the EPA’s National Pollutant Discharge Elimination System;</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"OFAC" refers to the U.S. Department of Treasury's Office of Foreign Assets Control;</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“OSHA” refers to the U.S. Occupational Safety and Health Administration;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“PCAOB” refers to the Public Company Accounting Oversight Board;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"PHMSA" refers to the U.S. DOT's Pipeline and Hazardous Materials Safety Administration;</w:t>
      </w:r>
    </w:p>
    <w:p>
      <w:pPr>
        <w:sectPr>
          <w:pgSz w:w="11900" w:h="16838" w:orient="portrait"/>
          <w:cols w:equalWidth="0" w:num="1">
            <w:col w:w="11140"/>
          </w:cols>
          <w:pgMar w:left="320" w:top="119"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"Piccadilly" refers to Piccadilly, L.P.;</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“PRC” refers to the People’s Republic of China;</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Warrants" refer to the private placement warrants issued to the Sponsor and EarlyBird Capital;</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“PSUs” refers to performance stock units;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Warrants" refers to the publicly-traded warrants issued in connection with Tuscan's IPO;</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"PURPA" refers to the Public Utility Regulatory Policies Act;</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“R&amp;D” refers to research and development;</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“RMB" refers to the Chinese Renminbi;</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“RSUs” refers to restricted stock units;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refers to the U.S. Securities and Exchange Commission;</w:t>
      </w:r>
    </w:p>
    <w:p>
      <w:pPr>
        <w:spacing w:after="0" w:line="229"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Earn-Out Target" refers to the date on which the last sale price of our common stock equals or exceeds $15.00 per share for any 20 trading days within any 30-trading day period following the closing of the Business Combination;</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Act” refers to the Securities Act of 1933, as amended;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"SCT" refers to the summary compensation table;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"Shanghai Baifu" refers to CDH Shanghai Baifu Wealth Management Company;</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"Shanghai Dinghui" refers to Shanghai Dinghui Pingxun Investment Partnership (LLP);</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"SOFR" refers to the Secured Overnight Financing Rate;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 refers to Tuscan Holdings Acquisition LLC;</w:t>
      </w:r>
    </w:p>
    <w:p>
      <w:pPr>
        <w:spacing w:after="0" w:line="229"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Agreement” refers to the agreement, entered into on July 23, 2021, by and among Microvast Holdings, Inc., Tuscan Holdings Acquisition LLC and Mr. Yang Wu;</w:t>
      </w:r>
    </w:p>
    <w:p>
      <w:pPr>
        <w:spacing w:after="0" w:line="16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Incentive Plan" refers to the Microvast, Inc. Stock Incentive Plan;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“TCO” refers to the total cost of ownership;</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“TSR” refers to total stockholder return;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“Tuscan Director” refers to Stephen Vogel as the director nominated by the Tuscan Group under the terms of the Stockholders Agreement;</w:t>
      </w:r>
    </w:p>
    <w:p>
      <w:pPr>
        <w:spacing w:after="0" w:line="15" w:lineRule="exact"/>
        <w:rPr>
          <w:rFonts w:ascii="Times New Roman" w:cs="Times New Roman" w:eastAsia="Times New Roman" w:hAnsi="Times New Roman"/>
          <w:sz w:val="17"/>
          <w:szCs w:val="17"/>
          <w:color w:val="auto"/>
        </w:rPr>
      </w:pPr>
    </w:p>
    <w:p>
      <w:pPr>
        <w:ind w:left="620" w:right="300" w:hanging="307"/>
        <w:spacing w:after="0" w:line="249"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“Tuscan” refers to Tuscan Holdings Corp, a Delaware corporation established in November 2018 for the purpose of effecting a merger, capital stock exchange, asset acquisition, stock purchase, reorganization, or similar business combination with one or more businesses;</w:t>
      </w:r>
    </w:p>
    <w:p>
      <w:pPr>
        <w:spacing w:after="0" w:line="19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“Tuscan Group” refers to Stefan M. Selig, Richard O. Rieger, Amy Butte and Tuscan Holdings Acquisition LLC;</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“U.K.” refers to the United Kingdom;</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refers to the United States of America;</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Dollar" refers to the United States Dollar;</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 Act" refers to the U.S. Worker Adjustment and Notification Act of 1988;</w:t>
      </w:r>
    </w:p>
    <w:p>
      <w:pPr>
        <w:sectPr>
          <w:pgSz w:w="11900" w:h="16838" w:orient="portrait"/>
          <w:cols w:equalWidth="0" w:num="1">
            <w:col w:w="11100"/>
          </w:cols>
          <w:pgMar w:left="320" w:top="119" w:right="47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19" w:right="4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refers to both the Public and Private Warrants;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“WFOE” or “wholly foreign owned enterprises” refers to a company incorporated in China and wholly-owned by one or more foreign investors; and</w:t>
      </w:r>
    </w:p>
    <w:p>
      <w:pPr>
        <w:spacing w:after="0" w:line="229"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“Wu Directors” refers to the directors Yang Wu has nominated under the terms of the Stockholders Agreement, which currently include Yang Wu and Arthur Wong.</w:t>
      </w: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0"/>
          </w:cols>
          <w:pgMar w:left="320" w:top="119"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234"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Founded in 2006 and headquartered in Stafford, Texas, Microvast Holdings, Inc. (NASDAQ: MVST) is a global leader in advanced specialized battery technologies. Since our public listing in 2021, we have focused on delivering high-performance lithium-ion battery solutions for the next generation of commercial and industrial electrification. We specialize in the design, development, and manufacturing of battery components and systems primarily for electric commercial vehicles and energy storage systems (“ESS”). Our guiding principle is to innovate lithium-ion battery designs from the ground up without relying on legacy technologies. We believe that this approach allows us to create purpose-built solutions for new markets, rather than repurposing existing ones.</w:t>
      </w:r>
    </w:p>
    <w:p>
      <w:pPr>
        <w:spacing w:after="0" w:line="21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Our mission is to become a leader in U.S. domestic battery production, reducing reliance on overseas suppliers, and strengthening national energy independence. We believe that this mission, along with our engineering expertise, vertically integrated business model, and our focus on continuous investment in our research and development and operations, differentiates us from competitors and positions us for long-term revenue and income growth.</w:t>
      </w:r>
    </w:p>
    <w:p>
      <w:pPr>
        <w:spacing w:after="0" w:line="20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We employ a vertically integrated approach, which we believe provides a competitive advantage in optimizing performance and cost. Our proprietary technology stack spans the entire battery system, including core cell materials (cathode, anode, electrolyte, and separator), cells, modules, packs, thermal management systems, and intelligent battery management systems. This end-to-end expertise has driven critical advancements in ultra-fast charging, high energy density, long cycle life, and safety, all critical factors for commercial transportation and ESS applications. With significant in-house capabilities in design, testing, and R&amp;D, we continue to build an industry-leading body of knowledge in battery chemistry and performance.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234"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Our objective is to drive long-term stakeholder value by scaling our proprietary battery technologies across high-growth sectors. Since 2008, our research and development efforts have been dedicated to pioneering cutting-edge battery technologies that offer ultra-fast charging, extended cycle life, high energy density, and enhanced safety. Our commitment to innovation has well positioned us developing the next-generation lithium-ion batteries. We are focused on designing battery technologies for electric commercial vehicles and ESS. Our solutions empower industries to transition to cleaner, more efficient power sources, unlocking new levels of performance, longevity, and cost efficiency. Historically, demand for electric commercial vehicle batteries was concentrated in the Asia &amp; Pacific regions. We are now working towards a balanced global strategy throughout EMEA and North America. As customer demand for our products and services has grown in Europe and the U.S., we have expanded to meet these growth opportunities. We continue to invest in our operations in Asia-Pacific to capitalize on regional growth. This provides a balanced global strategy while maintaining strong partnerships with OEMs in high-demand markets. We have primarily supplied our battery solutions to OEMs for use in electric commercial and specialty vehicles. We are continuously advancing our battery technologies to improve performance, efficiency, and reliability in commercial applications.</w:t>
      </w:r>
    </w:p>
    <w:p>
      <w:pPr>
        <w:spacing w:after="0" w:line="190"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We believe the energy storage industry is positioned for continued expansion. In 2025, third-party industry data shows that global power capacity grew by approximately 90 gigawatts, an estimated 23% increase from the previous year. Industry projections indicate expected further expansion, with an average CAGR in deployed gigawatts of 23% between 2025 and 2035. The U.S. and China are expected to lead this growth, with U.S. power capacity projected to increase from approximately 45 gigawatts in 2025 to approximately 125 gigawatts by 2030. By refining our technology, we aim to advance our ESS solutions to meet the evolving demand of power sector and complement existing resources in meeting growing global demand for reliable and flexible power. We are leveraging many of the component-level technologies from our commercial vehicle segment to develop our energy storage products.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 and Services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believe the commercial vehicle market represents a continued growth opportunity. Our technology is currently deployed across a wide variety of platforms, including buses, heavy-duty trucks, port equipment, and heavy mining equipment. We have supported the deployment of the IVECO eDaily and various bus platforms (Citybus, Intercity, and Crossway). We also maintain active collaborations with leading OEMs including BAIC Truck, Higer Bus, and JBM Electric Vehicles. In the port and mining sectors, we have supplied Kalmar Corp., XCMG, and LGMG.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In November 5, 2025 we announced a partnership with Škoda Group to develop “Made in Europe” battery systems. The current solution under development utilizes Microvast's 37Ah LTO cell platform. This platform provides an energy density of approximately 95 Wh/kg at the cell level and is designed for high-rate charge and discharge capability. Under defined test conditions, the cell platform has demonstrated cycle life durability exceeding 20,000 cycles with approximately 80% capacity retention. The LTO chemistry is recognized for its rapid charge acceptance, long cycle life characteristics, and strong thermal stability, making it suitable for heavy-duty and high-cycle rail applications. The first prototype vehicles integrating the jointly developed battery electric multiple units are expected to be completed by the end of 2026 and are anticipated to be deployed starting in 2027.</w:t>
      </w:r>
    </w:p>
    <w:p>
      <w:pPr>
        <w:spacing w:after="0" w:line="196"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We provide service and repairs to our customers, including under warranty where applicable. We generally provide manufacturer's limited warranties with our products and offer certain extended limited warranties that are available at the time of product purchase.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Battery Solutions for Electric Commercial Vehicles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design, develop, and manufacture high-performance battery solutions for light, medium, and heavy-duty trucks, buses, trains, mining trucks, marine and port vehicles, automated guided vehicles, and specialty vehicles. Our advanced lithium-ion battery systems integrate ultra-fast charging, high energy density, improved cycle life, and industry-exceeding safety standards.</w:t>
      </w:r>
    </w:p>
    <w:p>
      <w:pPr>
        <w:spacing w:after="0" w:line="178"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Our battery technology can achieve rapid charging from 10% to 80% in just 10 to 30 minutes under suitable conditions, significantly reducing vehicle downtime. This ultra-fast charging capability is critical for industries requiring continuous fleet operation, such as logistics, ports, warehouses, and mass transit systems, where substantial downtime is not an option.</w:t>
      </w:r>
    </w:p>
    <w:p>
      <w:pPr>
        <w:spacing w:after="0" w:line="21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Microvast batteries are engineered to align with the operational lifespan of commercial vehicles. They are designed for high durability and longevity, with performance validated for extended service life in the field. Our advanced cell chemistry and proprietary thermal management system can allow for a longer product lifespan than many other competing products.</w:t>
      </w:r>
    </w:p>
    <w:p>
      <w:pPr>
        <w:spacing w:after="0" w:line="18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The extended cycle life of Microvast battery solutions, as compared to our competitors, can translate into lower long-term costs for fleet operators, reducing the frequency of battery replacements and minimizing total system expenditures. This advantage can be particularly significant in applications where high energy throughput and continuous operation are required, such as public transportation, heavy-duty trucking, and port electrification.</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commercial EV customers, total cost of ownership (“TCO”) is an important criterion. To remain competitive, Microvast is committed to:</w:t>
      </w:r>
    </w:p>
    <w:p>
      <w:pPr>
        <w:spacing w:after="0" w:line="243" w:lineRule="exact"/>
        <w:rPr>
          <w:sz w:val="20"/>
          <w:szCs w:val="20"/>
          <w:color w:val="auto"/>
        </w:rPr>
      </w:pPr>
    </w:p>
    <w:p>
      <w:pPr>
        <w:ind w:left="620" w:hanging="153"/>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R&amp;D to continuously improve battery technology and lower costs.</w:t>
      </w:r>
    </w:p>
    <w:p>
      <w:pPr>
        <w:spacing w:after="0" w:line="2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new battery cells and modules with higher energy densities to enhance efficiency.</w:t>
      </w:r>
    </w:p>
    <w:p>
      <w:pPr>
        <w:ind w:left="620" w:hanging="153"/>
        <w:spacing w:after="0" w:line="237"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Integrating advanced materials and next-generation designs to optimize performance, durability, and cost-effectiveness.</w:t>
      </w:r>
    </w:p>
    <w:p>
      <w:pPr>
        <w:ind w:left="620" w:hanging="153"/>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Strengthening our focus on material innovation, so that improvements in base components translate to benefits across all battery solutions.</w:t>
      </w:r>
    </w:p>
    <w:p>
      <w:pPr>
        <w:spacing w:after="0" w:line="225"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Fleet operators prioritize total cost of ownership metrics when evaluating battery solutions as an alternative to internal combustion engines (“ICE”). Our combination of ultra-fast charging, extended cycle life, and high energy density can provide a significant TCO advantage compared to traditional batteries.</w:t>
      </w:r>
    </w:p>
    <w:p>
      <w:pPr>
        <w:spacing w:after="0" w:line="17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By reducing charging downtime, replacement cycles, and overall maintenance costs, Microvast batteries can enable fleet operators to achieve a lower cost per mile compared to both ICE vehicles and traditional lithium-ion battery solutions. This operational advantage positions Microvast battery systems as a strategic long-term investment for commercial fleets transitioning to electrification.</w:t>
      </w:r>
    </w:p>
    <w:p>
      <w:pPr>
        <w:spacing w:after="0" w:line="18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We internally develop our own BMS technology to control, design, optimize battery performance, improve safety, and enhance longevity. The latest BMS 5.0 platform meets ISO 26262 functional safety and ISO 21434 cybersecurity standards, integrating digital twin technology to better optimize the batteries for real-time monitoring and predictive diagnostics.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BMS technology enhances operational efficiency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Optimizing battery performance through advanced cell balancing algorithms</w:t>
      </w:r>
    </w:p>
    <w:p>
      <w:pPr>
        <w:spacing w:after="0" w:line="1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addressing safety risks, including thermal runaway detection and mitigation</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predictive analytics to extend battery cycle life and minimize unplanned downtime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Energy Storage Systems</w:t>
      </w:r>
    </w:p>
    <w:p>
      <w:pPr>
        <w:spacing w:after="0" w:line="234"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We believe energy storage is now a critical component of grid infrastructure. This demand is accelerated by rising electricity consumption from AI, high-performance computing, and data center expansion. To meet this need, we are leveraging our core advancements in performance and reliability to provide capacity support and grid resiliency. We believe the market is positioned for meaningful expansion over the next decade. Governmental policies, subsidies, and incentives in certain countries are further supporting the development and deployment of energy storage solutions.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Battery Components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a vertically integrated battery company, Microvast develops and owns proprietary intellectual property and know-how relating to the design, development, and manufacture of the four critical components of lithium-ion batteries: cathode, anode, electrolyte, and separator. This vertical integration allows us to use these components in our products and market the individual components to other manufacturers.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Technologies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latest innovations in cathode and separator technology represent major advancements in battery performance and safety. We believe that our FCG cathode and polyaramid separator technologies are industry-leading innovations that provide higher energy density, enhanced safety, and longer battery cycle life compared to conventional materials. Below are key highlights from our technology portfolio: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Battery Cell Materials</w:t>
      </w:r>
    </w:p>
    <w:p>
      <w:pPr>
        <w:spacing w:after="0" w:line="221" w:lineRule="exact"/>
        <w:rPr>
          <w:sz w:val="20"/>
          <w:szCs w:val="20"/>
          <w:color w:val="auto"/>
        </w:rPr>
      </w:pPr>
    </w:p>
    <w:p>
      <w:pPr>
        <w:jc w:val="both"/>
        <w:ind w:left="620" w:hanging="307"/>
        <w:spacing w:after="0" w:line="244"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Polyaramid Separator: Our proprietary polyaramid separator is designed for safety and durability, offering improved thermal stability and mechanical strength compared to traditional polyethylene or polypropylene separators. Made from polyaramid, the same high-performance material used in bulletproof vests, it provides exceptional chemical, electrochemical, and thermal resistance, and is intended to provide long-term reliability. Unlike conventional separators that can melt around 138°C (280°F), our polyaramid separator maintains its structural integrity at temperatures up to 300°C (572°F), significantly enhancing battery safety. Additionally, it is intrinsically highly flame resistant, reducing the risk of thermal runaway, a critical factor in improving lithium-ion battery performance and reliability.</w:t>
      </w:r>
    </w:p>
    <w:p>
      <w:pPr>
        <w:spacing w:after="0" w:line="212" w:lineRule="exact"/>
        <w:rPr>
          <w:rFonts w:ascii="Times New Roman" w:cs="Times New Roman" w:eastAsia="Times New Roman" w:hAnsi="Times New Roman"/>
          <w:sz w:val="17"/>
          <w:szCs w:val="17"/>
          <w:color w:val="auto"/>
        </w:rPr>
      </w:pPr>
    </w:p>
    <w:p>
      <w:pPr>
        <w:jc w:val="both"/>
        <w:ind w:left="620" w:hanging="307"/>
        <w:spacing w:after="0" w:line="254"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Lithium Titanate Oxide (“LTO”) Powder: Our LTO powder enhances high-power operation, making it ideal for ultra-fast charging applications. Unlike traditional anode materials, LTO is inherently stable with conventional lithium-ion electrolytes, which can offer improved safety and longevity when compared to traditional graphite anodes.</w:t>
      </w:r>
    </w:p>
    <w:p>
      <w:pPr>
        <w:spacing w:after="0" w:line="204" w:lineRule="exact"/>
        <w:rPr>
          <w:rFonts w:ascii="Times New Roman" w:cs="Times New Roman" w:eastAsia="Times New Roman" w:hAnsi="Times New Roman"/>
          <w:sz w:val="17"/>
          <w:szCs w:val="17"/>
          <w:color w:val="auto"/>
        </w:rPr>
      </w:pPr>
    </w:p>
    <w:p>
      <w:pPr>
        <w:jc w:val="both"/>
        <w:ind w:left="620" w:hanging="307"/>
        <w:spacing w:after="0" w:line="24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Concentration Gradient (“FCG”) Cathode: Licensed from Argonne National Laboratory in 2017, our FCG cathode technology is now produced with flexible and cost-effective manufacturing techniques, significantly improving affordability compared to standard NMC materials. We have found that by controlling the concentration of metals within each particle, we enhance battery safety and performance. Additionally, the cobalt content is reduced to less than 2% by weight, significantly lowering material costs while addressing the environmental and ethical concerns associated with cobalt mining. This versatile cathode can be customized for specific end-use applications, making it well-suited for ultra-fast charging and cost-efficient advanced lithium-ion cells. Additionally, this technology is especially well suited going forward for the development of materials that significantly reduce or eliminate cobalt.</w:t>
      </w:r>
    </w:p>
    <w:p>
      <w:pPr>
        <w:spacing w:after="0" w:line="19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Electrolyte Formulation: Our proprietary electrolyte formulation can significantly reduce the risk of lithium-ion cell fires. Reducing the flammability of lithium-ion cells is an important safety feature that we believe will become more valued as the industry shifts toward higher energy density batteries.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Cell Chemistries</w:t>
      </w:r>
    </w:p>
    <w:p>
      <w:pPr>
        <w:spacing w:after="0" w:line="234" w:lineRule="exact"/>
        <w:rPr>
          <w:sz w:val="20"/>
          <w:szCs w:val="20"/>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Lithium Titanate Oxide: LTO replaces traditional graphite anodes, which can significantly enhance safety and fast-charging capabilities while supporting a longer cycle life. Although it has slightly lower energy density, our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20"/>
        <w:spacing w:after="0" w:line="271" w:lineRule="auto"/>
        <w:rPr>
          <w:sz w:val="20"/>
          <w:szCs w:val="20"/>
          <w:color w:val="auto"/>
        </w:rPr>
      </w:pPr>
      <w:r>
        <w:rPr>
          <w:rFonts w:ascii="Times New Roman" w:cs="Times New Roman" w:eastAsia="Times New Roman" w:hAnsi="Times New Roman"/>
          <w:sz w:val="17"/>
          <w:szCs w:val="17"/>
          <w:color w:val="auto"/>
        </w:rPr>
        <w:t>LTO cells can last up to 20 times longer than standard lithium-ion cells due to mitigation of cell gassing, a major factor in battery degradation, which can provide greater durability.</w:t>
      </w:r>
    </w:p>
    <w:p>
      <w:pPr>
        <w:spacing w:after="0" w:line="190" w:lineRule="exact"/>
        <w:rPr>
          <w:sz w:val="20"/>
          <w:szCs w:val="20"/>
          <w:color w:val="auto"/>
        </w:rPr>
      </w:pPr>
    </w:p>
    <w:p>
      <w:pPr>
        <w:jc w:val="both"/>
        <w:ind w:left="620" w:hanging="307"/>
        <w:spacing w:after="0" w:line="254"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Nickel Manganese Cobalt Oxide (“NMC”): For applications demanding higher energy density, our NMC-based cells are known for long-term cycle performance, sustaining up to thousands of charge cycles before significant degradation occurs. Our expertise in cathode and separator technology, enabled by our vertical integration, allows our NMC cells to offer lower TCO potential and enhanced safety compared to competitors. Third-party evaluations from U.S. National Labs and Technischer Überwachungsverein (“TÜV”) have validated our performance claims.</w:t>
      </w:r>
    </w:p>
    <w:p>
      <w:pPr>
        <w:spacing w:after="0" w:line="190"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Lithium Iron Phosphate (“LFP”): LFP is one of the safest and most cost-effective cathode materials, widely used in both commercial vehicle and ESS applications. While LFP uses higher lithium quantities than NMC, its lower-cost raw materials can contribute to its affordability.</w:t>
      </w:r>
    </w:p>
    <w:p>
      <w:pPr>
        <w:spacing w:after="0" w:line="190" w:lineRule="exact"/>
        <w:rPr>
          <w:rFonts w:ascii="Times New Roman" w:cs="Times New Roman" w:eastAsia="Times New Roman" w:hAnsi="Times New Roman"/>
          <w:sz w:val="17"/>
          <w:szCs w:val="17"/>
          <w:color w:val="auto"/>
        </w:rPr>
      </w:pPr>
    </w:p>
    <w:p>
      <w:pPr>
        <w:jc w:val="both"/>
        <w:ind w:left="620" w:hanging="307"/>
        <w:spacing w:after="0" w:line="254"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Solid-State Battery Development: Since 2015, we have been working towards developing a 100% solid-state battery technology that eliminates the need for liquid electrolytes. This approach aims to replace conventional designs with a fully solid framework, enhancing safety, energy density, and longevity. Currently, the energy density of the cell reaches 320 Wh/kg in bench scale validation. Prototype, bench-scale results may not be indicative of mass production performance.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Highlights</w:t>
      </w:r>
    </w:p>
    <w:p>
      <w:pPr>
        <w:spacing w:after="0" w:line="221" w:lineRule="exact"/>
        <w:rPr>
          <w:sz w:val="20"/>
          <w:szCs w:val="20"/>
          <w:color w:val="auto"/>
        </w:rPr>
      </w:pPr>
    </w:p>
    <w:p>
      <w:pPr>
        <w:jc w:val="both"/>
        <w:ind w:left="620" w:hanging="307"/>
        <w:spacing w:after="0" w:line="248" w:lineRule="auto"/>
        <w:tabs>
          <w:tab w:leader="none" w:pos="616"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One of our innovations is our high-energy NMC 53.5Ah battery cell, which offers an energy density of approximately 235 Wh/kg and supports up to 6,000 cycles at room temperature at a 1C rate while maintaining over 80% state of health (“SOH”). We believe these characteristics make it well suited for long-range commercial vehicle and ESS applications. To bring this product to market, we made substantial investments in fully automated production capacity in Huzhou, China.</w:t>
      </w:r>
    </w:p>
    <w:p>
      <w:pPr>
        <w:spacing w:after="0" w:line="197" w:lineRule="exact"/>
        <w:rPr>
          <w:rFonts w:ascii="Times New Roman" w:cs="Times New Roman" w:eastAsia="Times New Roman" w:hAnsi="Times New Roman"/>
          <w:sz w:val="17"/>
          <w:szCs w:val="17"/>
          <w:i w:val="1"/>
          <w:iCs w:val="1"/>
          <w:color w:val="auto"/>
        </w:rPr>
      </w:pPr>
    </w:p>
    <w:p>
      <w:pPr>
        <w:jc w:val="both"/>
        <w:ind w:left="620" w:hanging="307"/>
        <w:spacing w:after="0" w:line="254"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48Ah cell is engineered for high-power, fast-charging use cases, capable of sustaining up to 3C continuous charge and discharge at room temperature and delivering up to 8,000 cycles with a SOH above 80%. This makes it a preferred solution for mission-critical applications such as buses or logistics fleets requiring operational uptime.</w:t>
      </w:r>
    </w:p>
    <w:p>
      <w:pPr>
        <w:spacing w:after="0" w:line="191" w:lineRule="exact"/>
        <w:rPr>
          <w:rFonts w:ascii="Times New Roman" w:cs="Times New Roman" w:eastAsia="Times New Roman" w:hAnsi="Times New Roman"/>
          <w:sz w:val="17"/>
          <w:szCs w:val="17"/>
          <w:color w:val="auto"/>
        </w:rPr>
      </w:pPr>
    </w:p>
    <w:p>
      <w:pPr>
        <w:jc w:val="both"/>
        <w:ind w:left="620" w:hanging="307"/>
        <w:spacing w:after="0" w:line="254"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55Ah cell strikes a balance between energy and power density, offering an energy density of approximately 250 Wh/kg and supporting up to 3C operation with up to 6,000 cycles at room temperature with a SOH above 80%. Its dual-optimized profile enables deployment across a variety of demanding commercial and specialty vehicle platforms.</w:t>
      </w:r>
    </w:p>
    <w:p>
      <w:pPr>
        <w:spacing w:after="0" w:line="178" w:lineRule="exact"/>
        <w:rPr>
          <w:rFonts w:ascii="Times New Roman" w:cs="Times New Roman" w:eastAsia="Times New Roman" w:hAnsi="Times New Roman"/>
          <w:sz w:val="17"/>
          <w:szCs w:val="17"/>
          <w:color w:val="auto"/>
        </w:rPr>
      </w:pPr>
    </w:p>
    <w:p>
      <w:pPr>
        <w:jc w:val="both"/>
        <w:ind w:left="620" w:hanging="307"/>
        <w:spacing w:after="0" w:line="245"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applications where extended range and high energy density are paramount, we have introduced the 120Ah cell with an energy density of approximately 270 Wh/kg. At room temperature, under 1C charge/discharge conditions, the 120Ah cell can last up to 5,000 cycles with a SOH above 80%. With the integration of the high-voltage control box and thermal management systems, our complete power solution achieves a system-level energy density of approximately 200 Wh/kg. It is ideal for heavy-duty vehicles operating in long-haul scenarios where volumetric and gravimetric energy constraints are critical.</w:t>
      </w:r>
    </w:p>
    <w:p>
      <w:pPr>
        <w:spacing w:after="0" w:line="201"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565Ah LFP cell adopts an aqueous-based slurry system for both cathode and anode production, which avoids the use of costly NMP (N-Methyl-2-Pyrrolidone) solvents and aligns better with regulatory and environmental conditions in North America.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Benefits of our Technology and Applications</w:t>
      </w:r>
    </w:p>
    <w:p>
      <w:pPr>
        <w:spacing w:after="0" w:line="23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Our advanced battery technologies and systems provide what we believe to be numerous advantages including ultra-fast charging, high energy density, longer cycle life, and industry-exceeding safety standards.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Tailored Battery Solutions</w:t>
      </w:r>
    </w:p>
    <w:p>
      <w:pPr>
        <w:spacing w:after="0" w:line="23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Our research in lithium-ion battery technology has enabled us to develop and commercialize a diverse range of cell chemistries, including LTO, LFP, NMC-1, and NMC-2. This broad portfolio allows us to customize solutions to meet specific customer requirements. By integrating their preferred chemistry into our modules and packs, we optimize the performance of each of our battery systems.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serve a diverse range of commercial vehicle markets, including:</w:t>
      </w:r>
    </w:p>
    <w:p>
      <w:pPr>
        <w:spacing w:after="0" w:line="230"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Light, medium, and heavy-duty trucks.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Buses and trains.</w:t>
      </w:r>
    </w:p>
    <w:p>
      <w:pPr>
        <w:ind w:left="620" w:hanging="307"/>
        <w:spacing w:after="0" w:line="237"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Mining trucks, port vehicles, and leisure boats.</w:t>
      </w: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Automated guided vehicles and specialty vehicles.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Ultra-Fast Charging Capability</w:t>
      </w:r>
    </w:p>
    <w:p>
      <w:pPr>
        <w:spacing w:after="0" w:line="23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Depending on battery chemistry, Microvast's battery solutions can achieve a full charge in as little as 10 to 30 minutes, far exceeding conventional systems. Ultra-fast charging is a critical differentiator for our commercial vehicle solutions, while higher energy density cells are particularly beneficial for both electric commercial vehicles and ESS customers.</w:t>
      </w:r>
    </w:p>
    <w:p>
      <w:pPr>
        <w:spacing w:after="0" w:line="185" w:lineRule="exact"/>
        <w:rPr>
          <w:sz w:val="20"/>
          <w:szCs w:val="20"/>
          <w:color w:val="auto"/>
        </w:rPr>
      </w:pPr>
    </w:p>
    <w:p>
      <w:pPr>
        <w:ind w:left="620" w:hanging="307"/>
        <w:spacing w:after="0" w:line="255"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LTO cells: Under appropriate conditions, full charge can be achieved within 10 minutes, offering an energy density of up to 180 watt-hours per liter (“Wh/L”) and 95 watt-hours per kilogram (“Wh/kg”).</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NMC-2 products: Under appropriate conditions, full charge can be achieved within 30 minutes, providing an energy density of over 220 Wh/kg.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Long Battery Cycle Life</w:t>
      </w:r>
    </w:p>
    <w:p>
      <w:pPr>
        <w:spacing w:after="0" w:line="23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Our battery systems have been tested to last between up to 2,500 to 20,000 full charge cycles, better aligning with the lifespan of commercial vehicles and energy storage projects. Our LTO-based batteries have the potential to retain 90% of their initial capacity after up to 10,300 full charge/discharge cycles, as validated by the Warwick Manufacturing Group at the University of Warwick.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Enhanced Safety and Reliability</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Built on more than a decade of research, our battery technologies are designed to provide higher safety margins than conventional lithium-ion systems.</w:t>
      </w:r>
    </w:p>
    <w:p>
      <w:pPr>
        <w:spacing w:after="0" w:line="230"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LTO batteries can provide exceptional thermal stability and operate across a wide temperature range, minimizing fire risks.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High-energy applications can utilize our polyaramid separator, flame-resistant electrolyte, and FCG cathode, further improving safety and durability.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Capacity</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measure our battery manufacturing capacity in GWh, which represents the energy capacity of all batteries produced for a single complete discharge, rather than the number of batteries we produce per year.</w:t>
      </w:r>
    </w:p>
    <w:p>
      <w:pPr>
        <w:spacing w:after="0" w:line="164"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As of December 31, 2025, we had an annual manufacturing capacity of approximately 3.5 GWh of cell, module and pack capacity, 600 tons of annual cathode capacity, 3,000 tons of annual electrolyte capacity and 5 million square meters of annual separator material capacity on a pilot line. All of this capacity currently originates from our Huzhou, China facility.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Huzhou, China Facility</w:t>
      </w:r>
    </w:p>
    <w:p>
      <w:pPr>
        <w:spacing w:after="0" w:line="23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Our primary battery manufacturing capacity is currently via our Huzhou Phase 3.1 line. We are expanding our annual manufacturing capacity with the addition of the Phase 3.2 line.</w:t>
      </w:r>
    </w:p>
    <w:p>
      <w:pPr>
        <w:spacing w:after="0" w:line="177"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Phase 3.1: In 2023, we completed a 2 GWh production line supporting our 53.5Ah, 48Ah, and 55Ah cell technologies. This line is fully operational and serves as our primary manufacturing source for high volume products.</w:t>
      </w:r>
    </w:p>
    <w:p>
      <w:pPr>
        <w:spacing w:after="0" w:line="17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Phase 3.2: We are currently finalizing construction of a second 2 GWh line. While primarily configured for our next-generation 120Ah high-energy cells, the line features flexible architecture to accommodate multiple formats. As of December 31, 2025, clean room and utility installations are complete and in operation. We expect equipment installation to conclude in 2026, followed by commissioning and pilot production.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Ludwigsfelde, Germany Facility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We have a 170,000-square-foot manufacturing facility near Berlin, Germany which has been primarily utilized for module production since 2021. We continuously evaluate the European market and E.U regulations to assess future investments into our Ludwigsfelde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Tennessee, United States Facility</w:t>
      </w:r>
    </w:p>
    <w:p>
      <w:pPr>
        <w:spacing w:after="0" w:line="234"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In 2021, we purchased an existing building in Clarksville, Tennessee and began renovating it to support up to 2 GWh of cell, module, and pack capacity which we initially expected to be in operation by the third quarter of 2023. Due to delays in securing additional financing, progress of this project started to be impacted towards the end of the fourth quarter of 2023 and certain construction work streams could not be progressed on the timeframes we had originally planned. In the second quarter of 2024, we suspended construction on the Clarksville facility due to insufficient funding. We made a strategic decision to pivot from the originally planned production of NMC cells to LFP cells. We also consolidated our ESS operations from Colorado to Clarksville, Tennessee in order to streamline operations. Until financing is secured, this will limit our growth opportunities in the U.S. market. The Clarksville site serves as our main hub of operations in the U.S., where to better support our U.S. customer needs we have been providing warehousing, logistics, and servicing to our customers. These services defray the overall costs of maintaining the facility. Towards the end of 2025, we made a targeted investment in our Clarksville facility to establish a pack assembly line, expanding our domestic capabilities and supporting anticipated customer demand. We financed this investment through cash generated from our operating activities. Customer deliveries are expected from the pack line in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Supply Chain</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manufacturing operations depend upon the timely delivery of high quality components and raw materials sourced from different suppliers. We utilize a global supply chain to source parts that are often standardized across our product lines, allowing us to take advantage of pricing efficiencies through economics of scale.</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While we aim to maintain a diversified supplier base, we currently procure certain key components and specialized manufacturing equipment from single-source or limited-source suppliers. Where multiple sources are available for certain key components, we work to qualify multiple suppliers where possible to minimize potential production risks due to disruptions in their supply.</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products use various raw materials including lithium, nickel, manganese, and copper. Pricing for these materials is governed by market conditions and may fluctuate due to various factors outside our control, such as supply and demand and market speculation.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Patents and Other Intellectual Property</w:t>
      </w:r>
    </w:p>
    <w:p>
      <w:pPr>
        <w:spacing w:after="0" w:line="23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Over the past 19 years, Microvast has built a comprehensive intellectual property portfolio, encompassing patents, licenses, and proprietary know-how that support our battery technology. We place a strong emphasis on our innovative proprietary designs to bring value and differentiation to our product portfolio.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Key Proprietary Material Technologies</w:t>
      </w:r>
    </w:p>
    <w:p>
      <w:pPr>
        <w:spacing w:after="0" w:line="234" w:lineRule="exact"/>
        <w:rPr>
          <w:sz w:val="20"/>
          <w:szCs w:val="20"/>
          <w:color w:val="auto"/>
        </w:rPr>
      </w:pPr>
    </w:p>
    <w:p>
      <w:pPr>
        <w:ind w:left="620" w:hanging="307"/>
        <w:spacing w:after="0" w:line="255"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Polyaramid Separator: Our high-thermal polyaramid separator features a melting point above 300°C, which can significantly improve battery safety by reducing thermal runaway risks.</w:t>
      </w:r>
    </w:p>
    <w:p>
      <w:pPr>
        <w:spacing w:after="0" w:line="1" w:lineRule="exact"/>
        <w:rPr>
          <w:rFonts w:ascii="Times New Roman" w:cs="Times New Roman" w:eastAsia="Times New Roman" w:hAnsi="Times New Roman"/>
          <w:sz w:val="17"/>
          <w:szCs w:val="17"/>
          <w:color w:val="auto"/>
        </w:rPr>
      </w:pPr>
    </w:p>
    <w:p>
      <w:pPr>
        <w:ind w:left="620" w:hanging="307"/>
        <w:spacing w:after="0" w:line="238"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Concentration Gradient Cathode: Licensed from Argonne National Laboratory in 2017, this cathode technology is distinguished by a gradual gradient in transition metal content, enhancing energy density, stability, and longevity.</w:t>
      </w:r>
    </w:p>
    <w:p>
      <w:pPr>
        <w:jc w:val="both"/>
        <w:ind w:left="620" w:hanging="307"/>
        <w:spacing w:after="0" w:line="24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High/Low-Temperature Electrolyte: Our proprietary electrolyte remains stable at high temperatures (up to approximately 70°C) while maintaining approximately 70% energy efficiency at extreme cold temperatures (down to approximately -30°C). It can support full charge cycles from 0% to 100% in just one hour, providing high performance in diverse environmental conditions.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4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Lithium Titanate Oxide Anode: Our LTO anode technology enables higher volumetric density, while maintaining ultra-fast charging properties. It mitigates solid-electrolyte interphase degradation and dendrite formation, which can lead to short circuits and fire hazards. Additionally, our proprietary LTO powder minimizes volume expansion, providing battery stability and extending cycle life.</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1"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Advanced Anode Materials: We continue to experiment with and develop novel anode materials, including porous carbon-based anodes that allow higher charging rates than conventional materials. The porous structure enhances lithium-ion transport, contributing to faster charging without compromising safety or durability.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Intellectual Property Protection and Strategy</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commercial success relies, in part, on securing and maintaining intellectual property protection for our designs and proprietary technologies.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Safeguarding our intellectual property assets is critical, given that it is a key driver of profitability.</w:t>
      </w:r>
    </w:p>
    <w:p>
      <w:pPr>
        <w:spacing w:after="0" w:line="213"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To mitigate technology infringement risks, we employ strict data compartmentalization, ensuring that U.S. trade secrets and proprietary know-how remain isolated. We actively pursue patent protections and implement internal safeguards to protect both current and future proprietary innovations. For a detailed discussion on intellectual property risks, refer to "Risk Factors - Risks Related to Our Intellectual Property."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Trademarks and Branding</w:t>
      </w:r>
    </w:p>
    <w:p>
      <w:pPr>
        <w:spacing w:after="0" w:line="23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To reinforce brand recognition and market positioning, we apply trademarks to our batteries and battery-related technologies. We consider distinctive trademarks crucial for marketing and brand differentiation.</w:t>
      </w:r>
    </w:p>
    <w:p>
      <w:pPr>
        <w:spacing w:after="0" w:line="16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Microvast has registered its corporate trademarks, including our logo and product marks, across China, the U.S. and key international markets. Our trademark portfolio includes:</w:t>
      </w:r>
    </w:p>
    <w:p>
      <w:pPr>
        <w:spacing w:after="0" w:line="190"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Microvast®</w:t>
      </w:r>
    </w:p>
    <w:p>
      <w:pPr>
        <w:spacing w:after="0" w:line="15" w:lineRule="exact"/>
        <w:rPr>
          <w:rFonts w:ascii="Times New Roman" w:cs="Times New Roman" w:eastAsia="Times New Roman" w:hAnsi="Times New Roman"/>
          <w:sz w:val="17"/>
          <w:szCs w:val="17"/>
          <w:color w:val="auto"/>
        </w:rPr>
      </w:pPr>
    </w:p>
    <w:p>
      <w:pPr>
        <w:ind w:left="620" w:hanging="307"/>
        <w:spacing w:after="0" w:line="237"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LpTO®, LpCO®, MpCO®, HpCO®</w:t>
      </w: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Clean City Transit®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34"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At Microvast, our R&amp;D and engineering teams are dedicated to innovation. We focus on the design of new battery solutions and enhancing performance of existing systems. Our battery systems are designed to meet specific performance metrics such as energy density, power density, charge rate capability, cycle life, throughput energy, and safety. Through innovating, we aim to develop higher-performing, more efficient, and safer batteries for a wide range of applications.</w:t>
      </w:r>
    </w:p>
    <w:p>
      <w:pPr>
        <w:spacing w:after="0" w:line="21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We recognize that our ability to deliver high-performance batteries depends on the seamless transfer of R&amp;D into large-scale production. To bridge this gap, we allocate part of our manufacturing capacity to pilot plants, enabling structured experimentation for process refinement and scalability. While experimental results at the bench or pilot scale may not always translate directly to mass production, we integrate R&amp;D with our manufacturing processes to facilitate the transition of lab-based innovations to full-scale commercialization.</w:t>
      </w:r>
    </w:p>
    <w:p>
      <w:pPr>
        <w:spacing w:after="0" w:line="20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Our Huzhou, China manufacturing facility includes a technology center consisting of several buildings and is equipped with advanced scientific instruments such as X-ray powder diffraction machines, scanning electron microscopes, gas chromatograph/mass spectrometers, laser particle size analyzers and electrochemical test analyzers. These tools enable in-depth material analysis, safety testing, and process optimization.</w:t>
      </w:r>
    </w:p>
    <w:p>
      <w:pPr>
        <w:spacing w:after="0" w:line="19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In August 2024, we introduced to the market the Mega Energizer 6 (“ME6”), a 6 megawatt-hour (“MWh”) ESS container featuring our proprietary 565Ah LFP battery. The shift toward LFP technology for the U.S. ESS market is a strategic decision, offering lower costs, enhanced safety, and improved environmental performance compared to NMC technology.</w:t>
      </w:r>
    </w:p>
    <w:p>
      <w:pPr>
        <w:spacing w:after="0" w:line="179" w:lineRule="exact"/>
        <w:rPr>
          <w:sz w:val="20"/>
          <w:szCs w:val="20"/>
          <w:color w:val="auto"/>
        </w:rPr>
      </w:pPr>
    </w:p>
    <w:p>
      <w:pPr>
        <w:jc w:val="both"/>
        <w:ind w:firstLine="619"/>
        <w:spacing w:after="0" w:line="242" w:lineRule="auto"/>
        <w:rPr>
          <w:sz w:val="20"/>
          <w:szCs w:val="20"/>
          <w:color w:val="auto"/>
        </w:rPr>
      </w:pPr>
      <w:r>
        <w:rPr>
          <w:rFonts w:ascii="Times New Roman" w:cs="Times New Roman" w:eastAsia="Times New Roman" w:hAnsi="Times New Roman"/>
          <w:sz w:val="17"/>
          <w:szCs w:val="17"/>
          <w:color w:val="auto"/>
        </w:rPr>
        <w:t>In January 2025, we announced what we believe is an important milestone in all-solid-state battery (“ASSB”) technology. Our architecture eliminates liquid and gel electrolytes through a proprietary non-porous solid electrolyte membrane and a bipolar stacking configuration. This can enable single-cell voltages beyond conventional limits, potentially allowing outputs of tens to hundreds of volts. We have demonstrated functional prototypes in both 48-volt and 72-volt monolithic cells, with potential scalability to higher voltages. The current ASSB design includes fault tolerance, unlike conventional cells, which can prevent a single point of failure from taking down an entire system. This cell design, if able to be commercialized, could have potential use cases in emerging high-growth sectors. The bipolar design reduces the need for interconnects at the module and pack level, resulting in improved energy density, simplified system architecture, and enhanced safety. We are evaluating industrialization paths and planning to establish a pilot line for production study. Prototype, bench-scale results may not be indicative of mass production performance.</w:t>
      </w:r>
    </w:p>
    <w:p>
      <w:pPr>
        <w:spacing w:after="0" w:line="215"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Our continued dedication to cutting-edge battery technology is reflected in our annual R&amp;D expenditures, totaling $34.1 million in 2025. These investments underscore our commitment to research excellence, ensuring that Microvast remains at the forefront of battery innovation, safety, and performance.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products are marketed and sold through a direct sales force across three regions: Europe, Middle East and Africa; North and South America; and Asia</w:t>
      </w:r>
    </w:p>
    <w:p>
      <w:pPr>
        <w:spacing w:after="0" w:line="28" w:lineRule="exact"/>
        <w:rPr>
          <w:sz w:val="20"/>
          <w:szCs w:val="20"/>
          <w:color w:val="auto"/>
        </w:rPr>
      </w:pPr>
    </w:p>
    <w:p>
      <w:pPr>
        <w:jc w:val="both"/>
        <w:ind w:firstLine="3"/>
        <w:spacing w:after="0" w:line="243" w:lineRule="auto"/>
        <w:tabs>
          <w:tab w:leader="none" w:pos="17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Pacific. Some of our key marketing attributes are our innovative technology and our commitment to quality and customer satisfaction. Microvast utilizes digital marketing and social media to reach audiences and engage with customers. Microvast also participates in industry trade shows and events to showcase its products and technologies, network with potential customers, and generate leads. After-sales service and support are critical components of Microvast’s sales strategy. We offer maintenance services, technical support, and training programs to ensure that customers are satisfied with their products and receive ongoing assistance as needed. By utilizing a combination of direct sales, online channels, and trade shows, Microvast is able to effectively reach customers across various industries and geographies. This diverse sales approach enables the Company to maximize its market potential and drive continued growth in the battery industry.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Battery Solutions for Electric Commercial Vehicles</w:t>
      </w:r>
    </w:p>
    <w:p>
      <w:pPr>
        <w:spacing w:after="0" w:line="234"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We directly engage with EV and drivetrain manufacturers to highlight our technology and product benefits. Sales cycles differ by market segment and geographic region and usually involve an extensive development and qualification period before commercial production. We expect the total time from customer introduction to commercial manufacturing to range from 2 to 4 years depending on the specific solution and market segment. For example, total time in the transportation market includes a customer’s preliminary technology review, which generally ranges from 3 to 9 months, followed by test and evaluation, which generally ranges from 12 to 18 months. We also offer off-the-shelf packs that can significantly shorten our customers' time to market. Such off-the-shelf opportunities have become more and more relevant for small and medium size new market players whose prime objective is to disrupt established markets, especially in the light and medium duty vehicle sector by offering new vehicle concepts.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Energy Storage Systems</w:t>
      </w:r>
    </w:p>
    <w:p>
      <w:pPr>
        <w:spacing w:after="0" w:line="23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target audience for Microvast includes commercial and industrial scale customers. The sales cycle, involving a request for proposal process, typically spans 6 to 12 months from initiation to manufacturing. A key advantage of the ESS business is the shorter sales cycle, as project owners and developers face fewer testing requirements than those for EV batteries.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Battery Components</w:t>
      </w:r>
    </w:p>
    <w:p>
      <w:pPr>
        <w:spacing w:after="0" w:line="23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Our promotion of battery components begins with engaging R&amp;D engineers from passenger car OEMs and consumer electronics manufacturers. We may provide select customers with material samples or prototypes for evaluation to facilitate component sales.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Battery Materials</w:t>
      </w:r>
    </w:p>
    <w:p>
      <w:pPr>
        <w:spacing w:after="0" w:line="243" w:lineRule="exact"/>
        <w:rPr>
          <w:sz w:val="20"/>
          <w:szCs w:val="20"/>
          <w:color w:val="auto"/>
        </w:rPr>
      </w:pPr>
    </w:p>
    <w:p>
      <w:pPr>
        <w:ind w:left="620" w:hanging="307"/>
        <w:spacing w:after="0" w:line="266"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Anode</w:t>
      </w:r>
      <w:r>
        <w:rPr>
          <w:rFonts w:ascii="Times New Roman" w:cs="Times New Roman" w:eastAsia="Times New Roman" w:hAnsi="Times New Roman"/>
          <w:sz w:val="17"/>
          <w:szCs w:val="17"/>
          <w:color w:val="auto"/>
        </w:rPr>
        <w:t>: Our anode is selected historically from LTO or graphite in our production cells. In the coming years, we anticipate that we will develop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a new product that contains silicon or silicon oxide.</w:t>
      </w:r>
    </w:p>
    <w:p>
      <w:pPr>
        <w:jc w:val="both"/>
        <w:ind w:left="620" w:hanging="307"/>
        <w:spacing w:after="0" w:line="253"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Cathode</w:t>
      </w:r>
      <w:r>
        <w:rPr>
          <w:rFonts w:ascii="Times New Roman" w:cs="Times New Roman" w:eastAsia="Times New Roman" w:hAnsi="Times New Roman"/>
          <w:sz w:val="17"/>
          <w:szCs w:val="17"/>
          <w:color w:val="auto"/>
        </w:rPr>
        <w:t>: For NMC, our existing products are made using commercially supplied materials, and our future cell products may utilize FCG or other cathode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technologies. For NMC-based cathodes, the sourcing and availability of cobalt is a key issue for many OEM buyers. As such, we are actively engaged in research to greatly reduce or eliminate the use of cobalt from our material stream. LFP cells include raw materials sourced from a commercial supplier.</w:t>
      </w:r>
    </w:p>
    <w:p>
      <w:pPr>
        <w:spacing w:after="0" w:line="5" w:lineRule="exact"/>
        <w:rPr>
          <w:rFonts w:ascii="Times New Roman" w:cs="Times New Roman" w:eastAsia="Times New Roman" w:hAnsi="Times New Roman"/>
          <w:sz w:val="17"/>
          <w:szCs w:val="17"/>
          <w:color w:val="auto"/>
        </w:rPr>
      </w:pPr>
    </w:p>
    <w:p>
      <w:pPr>
        <w:ind w:left="620" w:hanging="307"/>
        <w:spacing w:after="0" w:line="230"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Electrolyte</w:t>
      </w:r>
      <w:r>
        <w:rPr>
          <w:rFonts w:ascii="Times New Roman" w:cs="Times New Roman" w:eastAsia="Times New Roman" w:hAnsi="Times New Roman"/>
          <w:sz w:val="17"/>
          <w:szCs w:val="17"/>
          <w:color w:val="auto"/>
        </w:rPr>
        <w:t>: Our current lithium-ion cells utilize liquid-based electrolyte formulations. We often purchase base solvents for carbonate-based electrolytes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commercial suppliers to leverage cost benefits of scale, blending them in-house to protect our proprietary formulations.</w:t>
      </w:r>
    </w:p>
    <w:p>
      <w:pPr>
        <w:spacing w:after="0" w:line="6" w:lineRule="exact"/>
        <w:rPr>
          <w:rFonts w:ascii="Arial" w:cs="Arial" w:eastAsia="Arial" w:hAnsi="Arial"/>
          <w:sz w:val="21"/>
          <w:szCs w:val="21"/>
          <w:color w:val="auto"/>
        </w:rPr>
      </w:pPr>
    </w:p>
    <w:p>
      <w:pPr>
        <w:jc w:val="both"/>
        <w:ind w:left="620" w:hanging="307"/>
        <w:spacing w:after="0" w:line="231"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Separator</w:t>
      </w:r>
      <w:r>
        <w:rPr>
          <w:rFonts w:ascii="Times New Roman" w:cs="Times New Roman" w:eastAsia="Times New Roman" w:hAnsi="Times New Roman"/>
          <w:sz w:val="17"/>
          <w:szCs w:val="17"/>
          <w:color w:val="auto"/>
        </w:rPr>
        <w:t>: The separator is another key material in our lithium-ion cells. While we have in the past used the industry standard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polyethylene/polypropylene materials, we are now working so that in the future we can produce cells with our proprietary polyaramid technology. We are also leveraging our polyaramid expertise in developing a solid electrolyte battery system incorporating polyaramid material. If the solid electrolyte approach is successful, not only will it eliminate the use of liquid electrolytes, but it could potentially enable new anode chemistries such as lithium metal, which is required to produce cells with over 1,000 Wh/l energy densities.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Suppliers and Supply Arrangements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We source key electrode raw materials and various components exclusively from a select few third-party suppliers. Purchasing raw materials in bulk has enabled us to secure long-term supply agreements, improving cost and payment terms with suppliers. We have also increased the sources of supply for some of our key raw materials. Our suppliers may adjust prices based on fluctuations in benchmark prices for raw materials or their base metals. See “</w:t>
      </w:r>
      <w:r>
        <w:rPr>
          <w:rFonts w:ascii="Times New Roman" w:cs="Times New Roman" w:eastAsia="Times New Roman" w:hAnsi="Times New Roman"/>
          <w:sz w:val="17"/>
          <w:szCs w:val="17"/>
          <w:i w:val="1"/>
          <w:iCs w:val="1"/>
          <w:color w:val="auto"/>
        </w:rPr>
        <w:t>Risk Factors — 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to our Business and Industry — We currently purchase certain key raw materials and components from third parties, some of which we only source from one supplier or from a limited number of suppliers.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234"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We have established various arrangements with leading global EV manufacturers to develop batteries and systems, primarily for the commercial vehicle market. Our battery systems are used in the plug-in hybrid EV, battery EV, and hybrid EV markets. In the electric commercial vehicle market, we typically engage in long-term supply or framework agreements without imposing minimum purchase obligations on the customer. Customers under these agreements issue purchase orders for specific quantities of battery systems, which serve as their contractual commitments.</w:t>
      </w:r>
    </w:p>
    <w:p>
      <w:pPr>
        <w:spacing w:after="0" w:line="20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sales cycle of our solutions and a relatively small customer base result in significant customer concentration. In 2025, our top five customers accounted for 58.4% of our revenue. See “</w:t>
      </w:r>
      <w:r>
        <w:rPr>
          <w:rFonts w:ascii="Times New Roman" w:cs="Times New Roman" w:eastAsia="Times New Roman" w:hAnsi="Times New Roman"/>
          <w:sz w:val="17"/>
          <w:szCs w:val="17"/>
          <w:i w:val="1"/>
          <w:iCs w:val="1"/>
          <w:color w:val="auto"/>
        </w:rPr>
        <w:t>Risk Factors — Risks Related to our Business and Industry — Our revenue heavily depends on a limited customer base,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 trend likely to continue."</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2025, our battery systems had an order backlog worth approximately $196.1 million. We expect to fulfill most of our backlog within 2026 and 2027.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2025, Microvast employed 1,908 full-time employees and 266 independent contractors. Our senior management team and key decision-making processes are centralized in the U.S., ensuring strategic alignment across our global operations.</w:t>
      </w:r>
    </w:p>
    <w:p>
      <w:pPr>
        <w:spacing w:after="0" w:line="164"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Our human capital resource strategy is centered on attracting, developing, and retaining top talent while fostering a culture rooted in integrity, transparency, safety, diversity, open-mindedness, and teamwork. We understand that our commitment to technological innovation and exceptional customer service is driven by the dedication and contributions of our employees. A versatile workforce—encompassing various backgrounds, skills, and perspectives—fuels innovation, enhances problem-solving, and strengthens our ability to meet customer needs.</w:t>
      </w:r>
    </w:p>
    <w:p>
      <w:pPr>
        <w:spacing w:after="0" w:line="19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Our results-oriented culture is dedicated to delivering differentiated solutions faster than our competitors, reinforcing our competitive edge. To support this, we provide full-time employees with competitive benefits packages, including annual performance-based bonuses and equity-based compensation opportunities for eligible employees. These programs help us attract, engage, and retain high-caliber professionals who are invested in our company’s growth.</w:t>
      </w:r>
    </w:p>
    <w:p>
      <w:pPr>
        <w:spacing w:after="0" w:line="20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Employee safety remains a top priority at all Microvast locations. Our health and safety programs are built on global safety standards, and performance is measured, evaluated, and reported to leadership on a monthly basis. To date, we have not experienced any work stoppages due to labor disputes, health or safety issues, and we consider our employee relations to be strong. By continuously investing in workplace safety, employee well-being and professional growth, we aim to cultivate a dynamic and high-performing workforce that drives long-term success.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3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battery industry is highly competitive and rapidly evolving, driven by technological advancements, shifting customer demands and, the continuous introduction of new innovations. To maintain a competitive edge, battery manufacturers must adapt to changing market dynamics while delivering high-performance, cost-effective, and reliable solutions.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the primary competitive factors in our industry include:</w:t>
      </w:r>
    </w:p>
    <w:p>
      <w:pPr>
        <w:spacing w:after="0" w:line="217"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performance, reliability, and safety;</w:t>
      </w:r>
    </w:p>
    <w:p>
      <w:pPr>
        <w:spacing w:after="0" w:line="15" w:lineRule="exact"/>
        <w:rPr>
          <w:rFonts w:ascii="Times New Roman" w:cs="Times New Roman" w:eastAsia="Times New Roman" w:hAnsi="Times New Roman"/>
          <w:sz w:val="17"/>
          <w:szCs w:val="17"/>
          <w:color w:val="auto"/>
        </w:rPr>
      </w:pPr>
    </w:p>
    <w:p>
      <w:pPr>
        <w:ind w:left="620" w:hanging="307"/>
        <w:spacing w:after="0" w:line="23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integrated solutions;</w:t>
      </w:r>
    </w:p>
    <w:p>
      <w:pPr>
        <w:ind w:left="620" w:hanging="307"/>
        <w:spacing w:after="0" w:line="23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cost of ownership;</w:t>
      </w:r>
    </w:p>
    <w:p>
      <w:pPr>
        <w:ind w:left="620" w:hanging="307"/>
        <w:spacing w:after="0" w:line="23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regional and industrial regulations;</w:t>
      </w: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and payment terms;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balance sheet strength and access to financing;</w:t>
      </w:r>
    </w:p>
    <w:p>
      <w:pPr>
        <w:spacing w:after="0" w:line="15" w:lineRule="exact"/>
        <w:rPr>
          <w:rFonts w:ascii="Times New Roman" w:cs="Times New Roman" w:eastAsia="Times New Roman" w:hAnsi="Times New Roman"/>
          <w:sz w:val="17"/>
          <w:szCs w:val="17"/>
          <w:color w:val="auto"/>
        </w:rPr>
      </w:pPr>
    </w:p>
    <w:p>
      <w:pPr>
        <w:ind w:left="620" w:hanging="307"/>
        <w:spacing w:after="0" w:line="237"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and pricing of raw materials;</w:t>
      </w:r>
    </w:p>
    <w:p>
      <w:pPr>
        <w:ind w:left="620" w:hanging="307"/>
        <w:spacing w:after="0" w:line="237"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to market for new technologies; and</w:t>
      </w: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capabilities.</w:t>
      </w:r>
    </w:p>
    <w:p>
      <w:pPr>
        <w:spacing w:after="0" w:line="22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Our competitors range from large, well-established battery manufacturers to emerging technology startups focused on disruptive battery innovations. The global battery market is dominated by manufacturers from China, Japan, and South Korea, who leverage economies of scale and aggressive pricing strategies to maintain market share. See “Risk Factors — Risks Related to Our Business and Industry.” Our ability to differentiate through superior technology, operational efficiency, and market adaptability will be critical to sustaining long-term growth and competitiveness in this rapidly evolving landscape.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Governmental Regulation and Environmental Compliance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Health and Safety Matters — Our China Facility</w:t>
      </w:r>
    </w:p>
    <w:p>
      <w:pPr>
        <w:spacing w:after="0" w:line="236"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7"/>
          <w:szCs w:val="17"/>
          <w:color w:val="auto"/>
        </w:rPr>
        <w:t>Our manufacturing activities in China are subject to Chinese environmental laws and regulations governing air emissions, wastewater discharge, solid waste, noise, and the generation, handling, storage, use, transportation, and disposal of hazardous materials. Our Environmental Management system is certified to ISO 14001:2015 and our Occupational Health and Safety system is certified to ISO 45001:2018. Our management systems support our commitment to ensuring</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that we are in compliance with applicable environmental, health and safety laws and regulations in all material aspects. Concurrently with the construction of our manufacturing facilities, we constructed treatment facilities designed to treat their emissions, water discharges, and solid waste we generate in accordance with applicable requirements. We have outsourced the disposal of hazardous waste we generate to a third-party contractor, who is responsible for ensuring compliance with related environmental requirements. While we believe we have maintained pollutant emission levels at each of our facilities in material compliance with levels prescribed by the relevant governmental authorities, and that we are in material compliance with applicable environmental laws, we cannot rule out to the possibility that we could incur fines or penalties for violations of Chinese law, or that costs of complying with applicable laws might significantly increase.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 Health and Safety Matters — Our Germany Facility</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Operations at our German facility are subject to a variety of environmental, health and safety regulations. Quality Management system is certified to IATF</w:t>
      </w:r>
    </w:p>
    <w:p>
      <w:pPr>
        <w:spacing w:after="0" w:line="205" w:lineRule="auto"/>
        <w:rPr>
          <w:sz w:val="20"/>
          <w:szCs w:val="20"/>
          <w:color w:val="auto"/>
        </w:rPr>
      </w:pPr>
      <w:r>
        <w:rPr>
          <w:rFonts w:ascii="Times New Roman" w:cs="Times New Roman" w:eastAsia="Times New Roman" w:hAnsi="Times New Roman"/>
          <w:sz w:val="17"/>
          <w:szCs w:val="17"/>
          <w:color w:val="auto"/>
        </w:rPr>
        <w:t>16949:2016 and ISO 9001:2015. The environmental certification to ISO 14001:2015 was achieved in 2025. All our machines and production lines are delivered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Conformitè Europëenne, European Quality Standard label according to the Machinery Directive 2006/42/EG.</w:t>
      </w:r>
    </w:p>
    <w:p>
      <w:pPr>
        <w:spacing w:after="0" w:line="21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Transportation of lithium-ion batteries requires compliance with Germany and EU rules governing the transportation of “dangerous goods.” We only use carriers that meet applicable legal requirements. Beginning in the third quarter of 2025, the shipment of used and waste batteries became subject to the new EU Battery Regulation 2023/1542, requiring us to keep documentation on hand to allow authorities to distinguish between the shipments of used and waste batteries. We have implemented policies and programs designed to assure compliance with our obligations such as machine guarding, laser welding, hazardous material management, and transportation. Furthermore, to maintain existing building permits, we are obligated to perform environmental compliance and fire protection concept requirements under German regulations. All these standards and certificates are designed to comply with applicable government regulations and laws, as well as the standards of the automotive industry.</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conduct routine employee trainings and system audits to promote and assure environmental compliance, and track regulatory developments and trends to ensure that we are prepared to comply with any new battery requirements that may be imposed. We also continue to emphasize the importance of environmental sustainability in our operations, as demonstrated most recently by our pilot project for “Sustainable Battery Production” with TÜV SÜD Germany.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Health and Safety Matters — Our U.S. Facility</w:t>
      </w:r>
    </w:p>
    <w:p>
      <w:pPr>
        <w:spacing w:after="0" w:line="23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Federal, state, and local regulations impose significant environmental, health, and safety requirements on the manufacture, storage, transportation and disposal of various components as currently used or that will be used in our U.S. battery cell manufacturing and ESS container assembly operations. On the federal level, various agencies regulate the manufacture, storage, transportation, and disposal of batteries, including the U.S. Environmental Protection Agency (“EPA”), the Occupational Safety and Health Administration (“OSHA”), and the U.S. Department of Transportation (“DOT”). Battery manufacturing facilities must follow the EPA’s Battery Manufacturing Effluent Guidelines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Standards, which are incorporated into the EPA’s National Pollutant Discharge Elimination System’s (“NPDES”) permitting regulations. NPDES permits are required for direct dischargers of certain battery manufacturing waste. Further, the EPA is expected to finalize newly-proposed Resource Conservation and Recovery Act (“RCRA”) regulations for lithium batteries finalized this year, and become effective in 2027. These new regulations would create a new waste category specifically for lithium batteries and establish new requirements for battery transportation, handling and storage.</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to providing general industrial safety regulations, OSHA also dictates specific safety requirements for workers in the battery manufacturing and battery charging industries. On the transportation side, lithium batteries are regulated as a hazardous material under the DOT’s Hazardous Materials Regulations (“HMR”) and must conform to all applicable HMR requirements when transported by air, highway, rail, or water. U.S. state and local laws can impose additional regulations, particularly in the areas of safety, recycling, and proper handling of batteries.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Federal, state, and local governments may in the future enact additional regulations relating to the manufacture, storage, transportation, and disposal of components of advanced ESS. Compliance with such additional regulations could require us to devote significant time and resources and could adversely affect demand for our products.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we continue to develop our operations in the U.S. we are following international standards and guidelines as we develop our Environmental and Occupational Health and Safety Management systems. Although we believe that our operations are in material compliance with current applicable environmental regulations, there can be no assurance that changes in such laws and regulations will not impose costly compliance requirements on us or otherwise subject us to future liabilities.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Environmental Matters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not aware of any pending or threatened government or private investigations, proceedings, or other matters against us alleging a violation or liability under environmental laws that could reasonably be expected to adversely affect our business. However, we cannot rule out the possibility that we could become subject to such proceedings in the future. See “</w:t>
      </w:r>
      <w:r>
        <w:rPr>
          <w:rFonts w:ascii="Times New Roman" w:cs="Times New Roman" w:eastAsia="Times New Roman" w:hAnsi="Times New Roman"/>
          <w:sz w:val="17"/>
          <w:szCs w:val="17"/>
          <w:i w:val="1"/>
          <w:iCs w:val="1"/>
          <w:color w:val="auto"/>
        </w:rPr>
        <w:t>Risk Factors — Risks Related to our Business and Industry — Compliance with environmental regulations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can be expensive, and failure to comply with these regulations may result in monetary damages and fines, adverse publicity and have a material adverse effect on our business.</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Workers’ Health and Production Safety Compliance</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are subject to numerous laws and regulations related to the health of our employees and production safety of our facilities in each jurisdiction in which we operate.</w:t>
      </w:r>
    </w:p>
    <w:p>
      <w:pPr>
        <w:spacing w:after="0" w:line="177"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In some jurisdictions, these laws and regulations include a requirement to engage a qualified engineering firm to conduct a safety evaluation report on our work safety conditions and to file such safety evaluation report with the local work safety authority for the use of hazardous chemicals in our manufacturing process.</w:t>
      </w:r>
    </w:p>
    <w:p>
      <w:pPr>
        <w:spacing w:after="0" w:line="39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are not aware of any pending or threatened government or private investigations, proceedings, or other matters against us alleging a violation or liability under applicable worker health and safety laws that could reasonably be expected to adversely affect our business. However, we cannot rule out the possibility that we could become subject to such proceedings in the future. See “</w:t>
      </w:r>
      <w:r>
        <w:rPr>
          <w:rFonts w:ascii="Times New Roman" w:cs="Times New Roman" w:eastAsia="Times New Roman" w:hAnsi="Times New Roman"/>
          <w:sz w:val="17"/>
          <w:szCs w:val="17"/>
          <w:i w:val="1"/>
          <w:iCs w:val="1"/>
          <w:color w:val="auto"/>
        </w:rPr>
        <w:t>Risk Factors — Risks Related to our Business and Industry — We may fail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comply with certain health and production safety laws and regulations governing hazardous materials.</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have historically experienced higher sales during our third and fourth fiscal quarters as compared to our first and second fiscal quarters. However, our limited operating history makes it difficult for us to judge the exact nature or extent of the seasonality of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3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Microvast, Inc. was initially incorporated in Texas in 2006, then re-incorporated as a Delaware corporation in December 2015. On July 23, 2021, Tuscan Holdings Corp. ("Tuscan") a Delaware corporation established in November 2018 for the purpose of effecting a merger, capital stock exchange, asset acquisition, stock purchase, reorganization, 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similar business combination with one or more businesses, consummated the acquisition of Microvast, Inc. pursuant to an Agreement and Plan of Merger dated February 1, 2021, between Tuscan, Microvast, Inc. and TSCN Merger Sub Inc. (the “Business Combination”). Following the Business Combination, we changed our name from Tuscan to “Microvast Holdings, Inc.” Our principal executive offices are located at 12603 Southwest Freeway, Suite 300, Stafford, Texas 77477, and our telephone number is (281) 491-9505. Our website is </w:t>
      </w:r>
      <w:r>
        <w:rPr>
          <w:rFonts w:ascii="Times New Roman" w:cs="Times New Roman" w:eastAsia="Times New Roman" w:hAnsi="Times New Roman"/>
          <w:sz w:val="17"/>
          <w:szCs w:val="17"/>
          <w:i w:val="1"/>
          <w:iCs w:val="1"/>
          <w:color w:val="auto"/>
        </w:rPr>
        <w:t>https://www.microvast.com</w:t>
      </w:r>
      <w:r>
        <w:rPr>
          <w:rFonts w:ascii="Times New Roman" w:cs="Times New Roman" w:eastAsia="Times New Roman" w:hAnsi="Times New Roman"/>
          <w:sz w:val="17"/>
          <w:szCs w:val="17"/>
          <w:color w:val="auto"/>
        </w:rPr>
        <w:t>. The information posted on our website is not incorporated by reference into this Annual Report.</w:t>
      </w:r>
    </w:p>
    <w:p>
      <w:pPr>
        <w:spacing w:after="0" w:line="21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We make available on or through our website certain reports and amendments to those reports that we file with or furnish to the U.S. Securities and Exchange Commission (“SEC”) in accordance with the Securities Exchange Act of 1934, as amended (the “Exchange Act”). These include our annual reports on Form 10-K, our quarterly reports on Form 10-Q, and our current reports on Form 8-K, amendments to those reports and our Proxy Statement for our annual meeting of stockholders. These filings are available for download free of charge on our investor relations website located at </w:t>
      </w:r>
      <w:r>
        <w:rPr>
          <w:rFonts w:ascii="Times New Roman" w:cs="Times New Roman" w:eastAsia="Times New Roman" w:hAnsi="Times New Roman"/>
          <w:sz w:val="17"/>
          <w:szCs w:val="17"/>
          <w:i w:val="1"/>
          <w:iCs w:val="1"/>
          <w:color w:val="auto"/>
        </w:rPr>
        <w:t>https://www.ir.microvast.com/financials-filings/sec-filings</w:t>
      </w:r>
      <w:r>
        <w:rPr>
          <w:rFonts w:ascii="Times New Roman" w:cs="Times New Roman" w:eastAsia="Times New Roman" w:hAnsi="Times New Roman"/>
          <w:sz w:val="17"/>
          <w:szCs w:val="17"/>
          <w:color w:val="auto"/>
        </w:rPr>
        <w:t>. The SEC also maintains a website that contains reports, proxy statements and other information about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issuers that file electronically at </w:t>
      </w:r>
      <w:r>
        <w:rPr>
          <w:rFonts w:ascii="Times New Roman" w:cs="Times New Roman" w:eastAsia="Times New Roman" w:hAnsi="Times New Roman"/>
          <w:sz w:val="17"/>
          <w:szCs w:val="17"/>
          <w:i w:val="1"/>
          <w:iCs w:val="1"/>
          <w:color w:val="auto"/>
        </w:rPr>
        <w:t>https://www.sec.gov</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You should carefully consider the risk factors discussed below, as well as all other information, as an investment in the Company involves a high degree of risk.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securities could decline.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 is a summary of material factors that make an investment in our common stock speculative or risky: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17" w:lineRule="exact"/>
        <w:rPr>
          <w:sz w:val="20"/>
          <w:szCs w:val="20"/>
          <w:color w:val="auto"/>
        </w:rPr>
      </w:pPr>
    </w:p>
    <w:p>
      <w:pPr>
        <w:ind w:left="620" w:hanging="307"/>
        <w:spacing w:after="0" w:line="245" w:lineRule="auto"/>
        <w:tabs>
          <w:tab w:leader="none" w:pos="616"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7"/>
          <w:szCs w:val="17"/>
          <w:color w:val="auto"/>
        </w:rPr>
        <w:t>The restatement of our previously issued quarterly financial statements has subjected us to additional costs, risks and uncertainty and may also affect investor confidence and harm our reputation.</w:t>
      </w:r>
    </w:p>
    <w:p>
      <w:pPr>
        <w:spacing w:after="0" w:line="1" w:lineRule="exact"/>
        <w:rPr>
          <w:rFonts w:ascii="Arial" w:cs="Arial" w:eastAsia="Arial" w:hAnsi="Arial"/>
          <w:sz w:val="17"/>
          <w:szCs w:val="17"/>
          <w:color w:val="auto"/>
        </w:rPr>
      </w:pPr>
    </w:p>
    <w:p>
      <w:pPr>
        <w:jc w:val="both"/>
        <w:ind w:left="620" w:hanging="307"/>
        <w:spacing w:after="0" w:line="242"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design and maintain proper and effective internal control over financial reporting in the future, or our internal control over financial reporting is determined by us or our auditors to not be operating effectively, we may be exposed to additional risks and investor confidence in us and the value of our common stock could be adversely affected.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44"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December 31, 2025, we no longer qualify as a "smaller reporting company" and, commencing with our Quarterly Report on Form 10-Q for the fiscal quarter ending March 31, 2026, we may no longer take advantage of reduced disclosure and reporting requirements applicable to smaller reporting companies.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32"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continue as a going concern.</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meet our current capital requirements and will require additional capital to meet our outstanding accounts payable and current liabilities.</w:t>
      </w:r>
    </w:p>
    <w:p>
      <w:pPr>
        <w:ind w:left="620" w:hanging="307"/>
        <w:spacing w:after="0" w:line="253"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meet our future capital requirements and we may require additional capital to support business growth, and this capital might not be available on acceptable terms, or at all.</w:t>
      </w:r>
    </w:p>
    <w:p>
      <w:pPr>
        <w:jc w:val="both"/>
        <w:ind w:left="620" w:hanging="307"/>
        <w:spacing w:after="0" w:line="242"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substantially all of our revenues are currently derived from outside of the U.S. and the significant costs and restrictions associated with the repatriation of cash from our non-U.S. operations, we may not have sufficient cash flow to cover our liabilities, which may result in a material adverse effect on the Company's business.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a limited operating history and ongoing losses, achieving or sustaining profitability remains uncertain.</w:t>
      </w:r>
    </w:p>
    <w:p>
      <w:pPr>
        <w:ind w:left="620" w:hanging="307"/>
        <w:spacing w:after="0" w:line="244"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and our ability to complete the Clarksville expansion could be adversely affected by mechanics liens filed by contractors that we do not have sufficient funds to pay.</w:t>
      </w:r>
    </w:p>
    <w:p>
      <w:pPr>
        <w:spacing w:after="0" w:line="1" w:lineRule="exact"/>
        <w:rPr>
          <w:rFonts w:ascii="Times New Roman" w:cs="Times New Roman" w:eastAsia="Times New Roman" w:hAnsi="Times New Roman"/>
          <w:sz w:val="17"/>
          <w:szCs w:val="17"/>
          <w:color w:val="auto"/>
        </w:rPr>
      </w:pPr>
    </w:p>
    <w:p>
      <w:pPr>
        <w:ind w:left="620" w:hanging="307"/>
        <w:spacing w:after="0" w:line="23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growth depends upon the willingness of commercial-vehicle and specialty-vehicle operators and consumers to adopt EVs, and the availability of alternative technology.</w:t>
      </w: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heavily depends on a limited customer base, a trend likely to continue.</w:t>
      </w:r>
    </w:p>
    <w:p>
      <w:pPr>
        <w:spacing w:after="0" w:line="9" w:lineRule="exact"/>
        <w:rPr>
          <w:rFonts w:ascii="Times New Roman" w:cs="Times New Roman" w:eastAsia="Times New Roman" w:hAnsi="Times New Roman"/>
          <w:sz w:val="17"/>
          <w:szCs w:val="17"/>
          <w:color w:val="auto"/>
        </w:rPr>
      </w:pPr>
    </w:p>
    <w:p>
      <w:pPr>
        <w:jc w:val="both"/>
        <w:ind w:left="620" w:hanging="307"/>
        <w:spacing w:after="0" w:line="244"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primarily produce and sell lithium-based battery systems. Should a viable alternative to lithium-based batteries emerge and gain market acceptance, it could significantly harm our business, financial health, and operational results. Furthermore, our failure to keep up with rapid technological changes and evolving industry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20"/>
        <w:spacing w:after="0" w:line="255" w:lineRule="auto"/>
        <w:rPr>
          <w:sz w:val="20"/>
          <w:szCs w:val="20"/>
          <w:color w:val="auto"/>
        </w:rPr>
      </w:pPr>
      <w:r>
        <w:rPr>
          <w:rFonts w:ascii="Times New Roman" w:cs="Times New Roman" w:eastAsia="Times New Roman" w:hAnsi="Times New Roman"/>
          <w:sz w:val="17"/>
          <w:szCs w:val="17"/>
          <w:color w:val="auto"/>
        </w:rPr>
        <w:t>standards within the lithium-based battery market may cause our products to become obsolete and less marketable, resulting in loss of market share to our competitors.</w:t>
      </w:r>
    </w:p>
    <w:p>
      <w:pPr>
        <w:spacing w:after="0" w:line="1" w:lineRule="exact"/>
        <w:rPr>
          <w:sz w:val="20"/>
          <w:szCs w:val="20"/>
          <w:color w:val="auto"/>
        </w:rPr>
      </w:pPr>
    </w:p>
    <w:p>
      <w:pPr>
        <w:ind w:left="620" w:hanging="307"/>
        <w:spacing w:after="0" w:line="23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manufacture chargers and charging poles and to build charging stations that are necessary for using our products, and our ability to market our products depends on the establishment of charging station networks that meet the needs of our products.</w:t>
      </w:r>
    </w:p>
    <w:p>
      <w:pPr>
        <w:ind w:left="620" w:hanging="307"/>
        <w:spacing w:after="0" w:line="245"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purchase certain key raw materials and components from third parties, some of which we only source from one supplier or from a limited number of suppliers primarily located in Asia.</w:t>
      </w:r>
    </w:p>
    <w:p>
      <w:pPr>
        <w:ind w:left="620" w:hanging="307"/>
        <w:spacing w:after="0" w:line="237"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Losing our senior executives or key personnel could severely disrupt our business.</w:t>
      </w: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Cyberattacks or risks related to cybersecurity could have a material effect on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China</w:t>
      </w:r>
    </w:p>
    <w:p>
      <w:pPr>
        <w:spacing w:after="0" w:line="20" w:lineRule="exact"/>
        <w:rPr>
          <w:sz w:val="20"/>
          <w:szCs w:val="20"/>
          <w:color w:val="auto"/>
        </w:rPr>
      </w:pPr>
    </w:p>
    <w:p>
      <w:pPr>
        <w:ind w:left="620" w:hanging="307"/>
        <w:spacing w:after="0" w:line="244"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the PRC's political, economic, and other policies could materially affect China’s economic growth and negatively impact our business growth and competitiveness, as well as adverse trade relations with the United States.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42"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PRC government regulations significantly impact our Chinese operations, with changes potentially increasing costs or limiting activities. We could become subject to regulations issued by the Cyberspace Administration of China (the “CAC”) and the requirements of the PRC government’s cyber or data security laws, which could impact our activities in China.</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42"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future revocation of approvals or any future failure to obtain approvals applicable to our business or any adverse changes in foreign investment policies of the PRC government, including restrictions on the foreign ownership of companies, may have a material adverse impact on our business, financial condition and results of operations.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PRC government may exert substantial influence over the manner in which we conduct our business operations in China.</w:t>
      </w:r>
    </w:p>
    <w:p>
      <w:pPr>
        <w:ind w:left="620" w:hanging="307"/>
        <w:spacing w:after="0" w:line="237"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China’s legal and judicial system may not adequately protect our business and operations and the rights of our investors.</w:t>
      </w:r>
    </w:p>
    <w:p>
      <w:pPr>
        <w:ind w:left="620" w:hanging="307"/>
        <w:spacing w:after="0" w:line="245"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under PRC law on our China subsidiaries’ ability to make dividends and other distributions could materially and adversely affect our ability to grow, make investments or acquisitions that could benefit our business, pay dividends to you, and otherwise fund and conduct our business.</w:t>
      </w:r>
    </w:p>
    <w:p>
      <w:pPr>
        <w:jc w:val="both"/>
        <w:ind w:left="620" w:hanging="307"/>
        <w:spacing w:after="0" w:line="242"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securities may be prohibited from trading in the United States under the Holding Foreign Companies Accountable Act (the “HFCAA”) in the future if the PCAOB is unable to fully inspect or investigate our China-based auditors under the HFCAA. The delisting of our securities, or the threat of their being delisted, may materially and adversely affect the value of your investment.</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42"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policies of the PRC government, including more oversight and control over offerings that are conducted overseas and/or foreign investment in China-based issuers, could have a significant impact on the business we may be able to conduct in China, the profitability of our business and the value of our common stock.</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42"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become subject to the recent scrutiny, criticism and negative publicity involving U.S.-listed companies with significant operations in China, and we have and we may continue to expend significant resources to investigate and resolve the matter which could harm our business operations, stock price and reputation, especially if such matter cannot be addressed and resolved favorably.</w:t>
      </w:r>
    </w:p>
    <w:p>
      <w:pPr>
        <w:spacing w:after="0" w:line="1" w:lineRule="exact"/>
        <w:rPr>
          <w:rFonts w:ascii="Times New Roman" w:cs="Times New Roman" w:eastAsia="Times New Roman" w:hAnsi="Times New Roman"/>
          <w:sz w:val="17"/>
          <w:szCs w:val="17"/>
          <w:color w:val="auto"/>
        </w:rPr>
      </w:pPr>
    </w:p>
    <w:p>
      <w:pPr>
        <w:ind w:left="620" w:hanging="307"/>
        <w:spacing w:after="0" w:line="237"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Tariffs imposed on products of the PRC into the United States may lead to increased costs and impact our business.</w:t>
      </w: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ability of U.S. companies to invest in the PRC may impact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8"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Protecting our intellectual property rights, especially in China, may be challenging, and infringement claims could result in substantial costs.</w:t>
      </w:r>
    </w:p>
    <w:p>
      <w:pPr>
        <w:ind w:left="620" w:hanging="307"/>
        <w:spacing w:after="0" w:line="237"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unpatented proprietary technologies is significant.</w:t>
      </w: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Infringement claims against us could lead to substantial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Common Stock</w:t>
      </w:r>
    </w:p>
    <w:p>
      <w:pPr>
        <w:spacing w:after="0" w:line="17" w:lineRule="exact"/>
        <w:rPr>
          <w:sz w:val="20"/>
          <w:szCs w:val="20"/>
          <w:color w:val="auto"/>
        </w:rPr>
      </w:pPr>
    </w:p>
    <w:p>
      <w:pPr>
        <w:jc w:val="both"/>
        <w:ind w:left="620" w:hanging="307"/>
        <w:spacing w:after="0" w:line="247" w:lineRule="auto"/>
        <w:tabs>
          <w:tab w:leader="none" w:pos="616" w:val="left"/>
        </w:tabs>
        <w:numPr>
          <w:ilvl w:val="0"/>
          <w:numId w:val="30"/>
        </w:numPr>
        <w:rPr>
          <w:rFonts w:ascii="Arial" w:cs="Arial" w:eastAsia="Arial" w:hAnsi="Arial"/>
          <w:sz w:val="17"/>
          <w:szCs w:val="17"/>
          <w:color w:val="auto"/>
        </w:rPr>
      </w:pPr>
      <w:r>
        <w:rPr>
          <w:rFonts w:ascii="Times New Roman" w:cs="Times New Roman" w:eastAsia="Times New Roman" w:hAnsi="Times New Roman"/>
          <w:sz w:val="17"/>
          <w:szCs w:val="17"/>
          <w:color w:val="auto"/>
        </w:rPr>
        <w:t>We may issue additional shares of common stock or other equity or convertible securities, which may depress the market price of our common stock. We may sell shares from time to time in “at-the-market” offerings or other private placements to use for general corporate purposes, which may include, among other things, paying or refinancing all or a portion of the Company's indebtedness, capital expenditures, and working capital. Any issuance of additional shares would result in dilution to existing stockholders.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20" w:hanging="307"/>
        <w:spacing w:after="0" w:line="270" w:lineRule="auto"/>
        <w:tabs>
          <w:tab w:leader="none" w:pos="616"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7"/>
          <w:szCs w:val="17"/>
          <w:color w:val="auto"/>
        </w:rPr>
        <w:t>Our lengthy and variable sales cycle makes it difficult for us to accurately forecast our revenue and other operating results. As a result, we expect our results of the operation to fluctuate on a quarterly and annual basis, which could cause our stock price to fluctuate or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2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restatement of our previously issued quarterly financial statements has subjected us to additional costs, risks and uncertainty and may also affect investor confidence and harm our reputation.</w:t>
      </w:r>
    </w:p>
    <w:p>
      <w:pPr>
        <w:spacing w:after="0" w:line="185"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We determined that our previously reported financial statements as of and for the quarterly periods ended June 30, 2024 and September 30, 2024, required restatement primarily to correct an error we identified relating to the previously recorded impairment associated with the Company’s industrial facility located in Clarksville, Tennessee. Assessment of the error and the effectiveness of the Company’s disclosure controls and procedures and its internal control over financial reporting, the resulting restatement of our reported financial statements for the impacted periods, and the process of remediating the material weakness in our internal control over financial reporting diverted management’s attention and caused us to incur unanticipated expenses for legal, audit and other professional services fees.</w:t>
      </w:r>
    </w:p>
    <w:p>
      <w:pPr>
        <w:spacing w:after="0" w:line="211"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The restatement and the associated non-reliance on our previously issued quarterly financial statements and other related financial information could also cause investors to lose confidence in our financial reporting and harm our reputation, which in turn, could have a material adverse effect on our business, financial condition, results of operations, cash flows and prospects. We may also face the potential for litigation or regulatory inquiries in connection with or related to the restatement and associated material weakness, including claims involving the U.S. federal securities laws. Litigation and any regulatory inquiries are likely to divert management’s time and attention and, regardless of the outcome of such litigation, we will incur legal and other costs of defense, which could be significant. Further, if we do not prevail in the litigation, we could be required to pay substantial damages or settlement costs, which could have a material adverse effect on our financial condition, results of operations and cash flows.</w:t>
      </w:r>
    </w:p>
    <w:p>
      <w:pPr>
        <w:spacing w:after="0" w:line="1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design and maintain proper and effective internal control over financial reporting in the future, or our internal control over financial reporting is determined by us or our auditors to not be operating effectively, we may be exposed to additional risks and investor confidence in us and the value of our common stock could be adversely affected.</w:t>
      </w:r>
    </w:p>
    <w:p>
      <w:pPr>
        <w:spacing w:after="0" w:line="184"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(“U.S. GAAP”). We are required, pursuant to Section 404 of the Sarbanes-Oxley Act, to furnish a report by management on, among other things, the effectiveness of our internal control over financial reporting. This assessment must be made yearly and must include disclosure of any material weaknesses identified by our management in our internal control over financial reporting. We also must disclose changes made in our internal control and procedures on a quarterly basis. Further, our independent registered public accounting firm must report on the effectiveness of our internal control over financial reporting pursuant to Section 404 of the Sarbanes-Oxley Act.</w:t>
      </w:r>
    </w:p>
    <w:p>
      <w:pPr>
        <w:spacing w:after="0" w:line="197"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As noted above and further disclosed in Part II, Item 9A, "Controls and Procedures" of this Annual Report, we identified a material weakness in our internal control over financial reporting as of December 31, 2024, and as a result, our management concluded that our disclosure controls and procedures and internal control over financial reporting were not effective as of December 31, 2024. Management completed testing of the design and operating effectiveness of these remediated controls. Based on this testing, our management believes the steps taken have improved the effectiveness of our internal control over financial reporting and we have determined that these new or redesigned controls are operating effectively, and we consider the material weakness previously identified remediated as of December 31, 2025. However, there can be no assurance that there will not be additional material weakness in our internal control over financial reporting in the future. If we are unable to maintain effective internal control over financial reporting in the future, our ability to record, process and report financial information accurately, and to comply with our financial reporting obligations, could be adversely impacted. If this occurs, it could jeopardize our ability to comply with our financial reporting obligations, including under SEC rules and regulations, NASDAQ listing standards and potential financial covenants under our financing arrangements, which, in turn, could subject us to regulatory enforcement actions or stockholder litigation, cause us to breach the potential covenants under our financing agreements, limit our ability to access the credit and capital markets, adversely affect investor confidence in us and the value of our common stock, and harm our reputation, which may make it more difficult for us to market and sell products and services to new and existing customers.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Effective December 31, 2025, we no longer qualify as a “smaller reporting company” and commencing with our Quarterly Report on Form 10-Q for the fiscal quarter ending March 31, 2026, we may no longer take advantage of reduced disclosure and reporting requirements applicable to smaller reporting companies.</w:t>
      </w:r>
    </w:p>
    <w:p>
      <w:pPr>
        <w:spacing w:after="0" w:line="385"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Based on the market value of our common stock held by our non-affiliates as of the last business day of the fiscal quarter ended June 30, 2025, we no longer qualify as a “smaller reporting company” as defined in the Exchange Act effective December 31, 2025. Therefore, beginning with our Quarterly Report on Form 10-Q for the fiscal quarter ending March 31, 2026, we will no longer be eligible to rely on the reduced disclosure and reporting requirements applicable to smaller reporting companies which may increase costs and regulatory burdens. Any failure to comply with the increased disclosure and the reporting requirements could have an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continue as a going concern.</w:t>
      </w:r>
    </w:p>
    <w:p>
      <w:pPr>
        <w:spacing w:after="0" w:line="236"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In prior periods, we disclosed that substantial doubt as to our ability to continue as a going concern existed due to liquidity constraint and recurring operating losses.</w:t>
      </w:r>
    </w:p>
    <w:p>
      <w:pPr>
        <w:spacing w:after="0" w:line="17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the years ended December 31, 2025, 2024, and 2023, the Company incurred net losses of $29.2 million, $195.5 million, and $106.4 million, and generated cash flows from operating activities of $75.9 million, $2.8 million, and used cash flow in operating activities of $75.3 million, respectively.</w:t>
      </w:r>
    </w:p>
    <w:p>
      <w:pPr>
        <w:spacing w:after="0" w:line="164"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7"/>
          <w:szCs w:val="17"/>
          <w:color w:val="auto"/>
        </w:rPr>
        <w:t>As of December 31, 2025, the Company had stockholders’ equity of $410.5 million, including an accumulated deficit of $1,122.2 million, cash and cash equivalents of $105.0 million, restricted cash of $64.3 million and other current assets of $279.5 million. As of December 31, 2025, the Company had outstanding bank borrowings of $106.3 million, with $93.1 million due within the next 12 months, a bond payable of $41.7 million that matures in January 2027, a convertible loan with repayment amount of $26.5 million that matures in May 2026, and other current liabilities of $254.4 million. Additionally, as of December 31, 2025, the Company had $37.2 million in purchase commitments primarily related to inventory, and $16.4 million in capital commitments with $14.2 million due within the next 12 months.</w:t>
      </w:r>
    </w:p>
    <w:p>
      <w:pPr>
        <w:spacing w:after="0" w:line="2" w:lineRule="exact"/>
        <w:rPr>
          <w:sz w:val="20"/>
          <w:szCs w:val="20"/>
          <w:color w:val="auto"/>
        </w:rPr>
      </w:pPr>
    </w:p>
    <w:p>
      <w:pPr>
        <w:ind w:right="120" w:firstLine="619"/>
        <w:spacing w:after="0" w:line="241" w:lineRule="auto"/>
        <w:rPr>
          <w:sz w:val="20"/>
          <w:szCs w:val="20"/>
          <w:color w:val="auto"/>
        </w:rPr>
      </w:pPr>
      <w:r>
        <w:rPr>
          <w:rFonts w:ascii="Times New Roman" w:cs="Times New Roman" w:eastAsia="Times New Roman" w:hAnsi="Times New Roman"/>
          <w:sz w:val="17"/>
          <w:szCs w:val="17"/>
          <w:color w:val="auto"/>
        </w:rPr>
        <w:t>Based on the Company's current business plan, the existing cash and assets held for sale may not be sufficient to fund operations through the next twelve months. These conditions and events raise substantial doubt about the Company's ability to continue as a going concern. These plans are subject to significant uncertainties, including our ability to increase cash flow, the accuracy of our cash flow projections and the fact that our revenues are highly concentrated on a few customers, all of which could have a material adverse effect on our ability to remain a going concern.</w:t>
      </w:r>
    </w:p>
    <w:p>
      <w:pPr>
        <w:spacing w:after="0" w:line="177"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The Company plans to alleviate the substantial doubt by obtaining sufficient funding through operations, sales of common stock, and refinancing short-term borrowings. The Company has concluded it is probable that the execution of these plans will alleviate the substantial doubt about the Company's ability to continue as a going concern. However, there is no assurance that the Company will be able to alleviate these concerns. For more information, please see Note 1. Background and Basis of Presentation, to the consolidated financial statements included elsewhere in this Annual Report.</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meet our current capital requirements and will require additional capital to meet our outstanding accounts payable and current liabilities.</w:t>
      </w:r>
    </w:p>
    <w:p>
      <w:pPr>
        <w:spacing w:after="0" w:line="200" w:lineRule="exact"/>
        <w:rPr>
          <w:sz w:val="20"/>
          <w:szCs w:val="20"/>
          <w:color w:val="auto"/>
        </w:rPr>
      </w:pPr>
    </w:p>
    <w:p>
      <w:pPr>
        <w:spacing w:after="0" w:line="214"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As of December 31, 2025, we had outstanding bank borrowings of $106.3 million of which the amount to be paid in the next 12 months is $93.1 million, convertible loan of $26.5 million (including the paid in kind interest amount) and other current liabilities of $254.4 million, which include accounts payable, notes payable, accrued expenses and others. We also had purchase commitments for non-cancelable contractual obligations primarily related to purchases of inventory of $37.2 million as of December 31, 2025.</w:t>
      </w:r>
    </w:p>
    <w:p>
      <w:pPr>
        <w:spacing w:after="0" w:line="20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We expect that additional funding will be needed to complete the Clarksville expansion, including payment for certain accounts payable owed to suppliers in relation to assets and services provided for this expansion. As of December 31, 2025, we had made capital commitments for construction and purchase of property, plant and equipment amounting to $16.4 million, $14.2 million of which is payable within one year.</w:t>
      </w:r>
    </w:p>
    <w:p>
      <w:pPr>
        <w:spacing w:after="0" w:line="19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As of December 31, 2025, the Company had outstanding payables of $3.1 million related to the Tennessee facility. The Company is actively working with suppliers. Some of those suppliers have filed liens while others have filed lawsuits and we have entered into settlement agreements that include stays of proceedings, payment adjustments and lien releases.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There can be no assurance that we will be successful in obtaining sufficient funding. Should sufficient funding not be secured through the plans, or should there be a delay in the timing of securing funds through these funding initiatives, this would have adverse implications for our Company and its stockholders and could have a material adverse effect on our business and results of operations. In these scenarios, we would need to seek other options, including delaying or reducing operating and capital expenditure and the possibility of an alternative transaction or fundraising.</w:t>
      </w:r>
    </w:p>
    <w:p>
      <w:pPr>
        <w:spacing w:after="0" w:line="20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meet our future capital requirements and we may require additional capital to support business growth, and this capital might not be available on acceptable terms, or at all.</w:t>
      </w:r>
    </w:p>
    <w:p>
      <w:pPr>
        <w:spacing w:after="0" w:line="17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development, design, manufacture, and sale of batteries is a capital-intensive business, which we currently finance through various types of financings. As a result of the capital-intensive nature of our business, we expect to sustain substantial operating expenses without generating sufficient revenues to cover these expenditures for a number of years.</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addition, we intend to continue to make investments to support our business growth and may require additional funds to respond to business challenges, including the need to develop new features or enhance our products, improve our operating infrastructure or acquire complementary businesses and technologies. Our capital requirements will depend on many factors, including, but not limited to: technological advancements; market acceptance of our products and product enhancements; the overall level of sales of our products; R&amp;D expenses; our relationships with our customers and suppliers; our ability to control costs; sales and marketing expenses; enhancements to our infrastructure and systems and any capital improvements to our facilities; our ability to maintain existing manufacturing equipment; potential acquisitions of businesses and product lines; and general economic conditions, including the effects of international conflicts and their impact on the automotive industry in particular.</w:t>
      </w:r>
    </w:p>
    <w:p>
      <w:pPr>
        <w:spacing w:after="0" w:line="20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Moreover, rising interest rates may further increase the costs of obtaining additional capital to meet our requirements.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Because substantially all of our revenues are currently derived from outside of the U.S. and the significant costs and restrictions associated with the repatriation of cash from our non-U.S. operations, we may not have sufficient cash flow to cover our liabilities, which may result in a material adverse effect on the Company’s business.</w:t>
      </w:r>
    </w:p>
    <w:p>
      <w:pPr>
        <w:spacing w:after="0" w:line="175"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Our cash and cash equivalents balances are concentrated in a few locations around the world, with approximately 59% of those balances held outside of the U.S. as of December 31, 2025. Cash repatriation costs and restrictions limit our ability to repatriate cash held by our foreign subsidiaries and intercompany dividends. Additionally, the repatriation of cash held by our foreign subsidiaries may result in adverse tax consequences. Any repatriation of cash may be restricted or may result in our incurring substantial costs. For instance, we may be unable to repatriate cash from China and Germany to pay our accounts payable in the U.S. and fund the continued expansion of our U.S. operations. As a result, we must currently, and may in the future be required to, seek sources of cash to fund our operations outside of our subsidiaries, including through the issuance of equity securities, which may be dilutive to existing stockholders, or by incurring additional indebtedness. There can be no assurance that we will be able to secure sources of financing on terms favorable to us, or at all.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With a limited operating history and ongoing losses, achieving or sustaining profitability remains uncertain.</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incurred a net loss of approximately $29.2 million for the year ended December 31, 2025, and an accumulated deficit of approximately $1,122.2 million since our inception in 2006 through the year ended December 31, 2025. We expect to continue to incur significant expenses in connection with the design, development and manufacturing of our batteries, as we expand our R&amp;D activities, invest in manufacturing capabilities, build up inventories of components for our batteries, increase our sales and marketing activities, develop our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and our ability to complete the Clarksville expansion could be adversely affected by mechanics liens filed by contractors that we do not have sufficient funds to pay.</w:t>
      </w:r>
    </w:p>
    <w:p>
      <w:pPr>
        <w:spacing w:after="0" w:line="159"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Our inability to timely pay certain contractors at our Clarksville, Tennessee facility resulted in the filing of mechanics liens against the Clarksville facility project. The effect of mechanics liens is to secure a contractor's right to payment of past due amounts by using our real property as collateral for such amounts. We have outstanding payables in relation to assets and services provided for the Clarksville expansion amounting to $3.1 million that are related to our suppliers as of December 31, 2025. Further, there are several suppliers which have filed liens, most of which are with the county in which the Tennessee project is situated, with a total amount of $23.6 million being claimed against us as of December 31, 2025. We are currently in certain lawsuits with suppliers alleging that we failed to pay for the services performed or equipment or materials delivered. For more information on our pending legal proceedings, please see Note 27. Commitments and Contingencies, to the consolidated financial statements included elsewhere in this Annual Report.</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are working to resolve these matters but there is no guarantee that we will be successful in doing so at all or on favorable terms. The filing of mechanics liens and/or litigation could delay the financing or construction project while the matters are resolved, increase the overall cost of the project due to legal fees and potential settlements, limit our ability to obtain financing for our Clarksville, Tennessee expansion project, and/or have a material adverse impact on our business, financial condition, and operating results.</w:t>
      </w:r>
    </w:p>
    <w:p>
      <w:pPr>
        <w:spacing w:after="0" w:line="1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future growth depends upon the willingness of commercial-vehicle and specialty-vehicle operators and consumers to adopt EVs, and the availability of alternative technology.</w:t>
      </w:r>
    </w:p>
    <w:p>
      <w:pPr>
        <w:spacing w:after="0" w:line="159"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Our growth is highly dependent upon the adoption of EVs by commercial-vehicle and specialty-vehicle operators and consumers. If the markets for EVs in China, Europe, or the U.S. do not develop as we expect or develop more slowly than we expect, our business, prospects, financial condition, and operating results will be harmed, because demand for our products and services will not increase as expected or may even be reduced. The market for alternative fuel vehicles is relatively new, rapidly evolving, characterized by rapidly changing technologies, price competition, numerous competitors, evolving government regulation and industry standards, frequent new vehicle announcements and changing consumer demands and behaviors.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factors may influence the adoption of electric vehicles, including, but not limited to:</w:t>
      </w:r>
    </w:p>
    <w:p>
      <w:pPr>
        <w:spacing w:after="0" w:line="28" w:lineRule="exact"/>
        <w:rPr>
          <w:sz w:val="20"/>
          <w:szCs w:val="20"/>
          <w:color w:val="auto"/>
        </w:rPr>
      </w:pPr>
    </w:p>
    <w:p>
      <w:pPr>
        <w:ind w:left="620" w:hanging="307"/>
        <w:spacing w:after="0" w:line="253"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perceptions about electric vehicle quality, design, performance, and cost, especially if adverse events or accidents occur that are linked to the quality or safety of electric vehicles;</w:t>
      </w:r>
    </w:p>
    <w:p>
      <w:pPr>
        <w:ind w:left="620" w:hanging="307"/>
        <w:spacing w:after="0" w:line="253"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perceptions about electric vehicle quality, safety (in particular with respect to lithium-ion battery packs), design, performance, and cost, especially if adverse events or accidents occur that are linked to the quality or safety of electric vehicles;</w:t>
      </w: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sales of electric vehicles;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perceptions about vehicle safety in general, in particular safety issues that may be attributed to the use of advanced technology, including vehicle electronics, and regenerative braking systems;</w:t>
      </w:r>
    </w:p>
    <w:p>
      <w:pPr>
        <w:ind w:left="620" w:hanging="307"/>
        <w:spacing w:after="0" w:line="253"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perceptions of electric vehicles, such as that they are more expensive than non-electric vehicles and are only affordable with government subsidies or that they have failed to meet customer expectations;</w:t>
      </w: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limited range over which electric vehicles may be driven on a single battery charge and the effects of weather on this range;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decline of an electric vehicle’s range resulting from deterioration over time in the battery’s ability to hold a charge;</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concerns about electric charging infrastructure availability and reliability, which could derail past and present efforts to promote electric vehicles as a practical solution to vehicles which require gasoline;</w:t>
      </w:r>
    </w:p>
    <w:p>
      <w:pPr>
        <w:ind w:left="620" w:hanging="307"/>
        <w:spacing w:after="0" w:line="253"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concerns about charging station standardizations, convenience, and cost influencing consumers’ perceptions regarding the convenience of electric vehicle charging stations;</w:t>
      </w:r>
    </w:p>
    <w:p>
      <w:pPr>
        <w:ind w:left="620" w:hanging="307"/>
        <w:spacing w:after="0" w:line="253"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concerns of potential customers about the susceptibility of battery packs to damage from improper charging, as well as the lifespan of battery packs and the cost of their replacement;</w:t>
      </w: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concerns regarding comprehensive insurance coverage;</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alternative technologies, such as advanced diesel, ethanol, fuel cells, or compressed natural gas, or improvements in the fuel economy of the internal combustion engine, which could adversely affect sales of electric vehicles;</w:t>
      </w: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environmental consciousness of consumers;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volatility in the cost of natural gas, diesel, coal, oil, gasoline, and other fuels relative to electricity;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20" w:hanging="307"/>
        <w:spacing w:after="0" w:line="263"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tax and other government incentives to purchase and operate electric vehicles or future regulation requiring increased use of nonpolluting vehicles;</w:t>
      </w: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concerns regarding the value and costs for upkeep of electric vehicles in the used car market;</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enough skilled labor in after-sale services;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factors.</w:t>
      </w:r>
    </w:p>
    <w:p>
      <w:pPr>
        <w:spacing w:after="0" w:line="22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anticipation of an expected increase in the demand for electric vehicles in the next few years, we have commercialized five types of ultra-fast charging lithium battery technologies (LpTO, LpCO, MpCO, HpCO, and HnCO). We also intend to continue to invest in R&amp;D of more ultra-fast charging lithium battery products and to expand the range of applications for such batteries. However, the markets we have targeted, primarily those in China, Europe, and the U.S. may not achieve the level of growth we expect. If any market fails to achieve our expected level of growth, we may have excess manufacturing capacity and may not be able to generate enough revenue to achieve or sustain our profitability.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substantially increase our manufacturing output in order to fulfill orders from our customers.</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have expanded and expect to continue to expand our battery manufacturing capacity to meet the expected demand for our products. Such expansion will require significant capital expenditures. In addition, expansion imposes significant added responsibilities on our senior management and our resources, including financial resources and the need to identify, recruit, maintain, and integrate additional employees. Our expansion will also expose us to greater overhead and support costs and other risks associated with the manufacture and commercialization of new products. Difficulties in effectively managing the budgeting, forecasting, and other process control issues presented by such expansion could harm our business, prospects, results of operations, and financial condition. Even if we succeed in expanding our manufacturing capacity, we may not have enough demand for our products to justify the increased capacity. If there is a persistent mismatch in the demand for our products and our manufacturing capacity, our business, financial condition, and results of operations could be adversely affected.</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ability to substantially increase our manufacturing output is subject to significant constraints and uncertainties, including:</w:t>
      </w:r>
    </w:p>
    <w:p>
      <w:pPr>
        <w:spacing w:after="0" w:line="243" w:lineRule="exact"/>
        <w:rPr>
          <w:sz w:val="20"/>
          <w:szCs w:val="20"/>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execute our expansion plan effectively;</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by our suppliers and equipment vendors and cost overruns as a result of a number of factors, many of which may be beyond our control, such as increases in raw material prices and problems with equipment vendors;</w:t>
      </w: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the government approval process or denial of required approvals by relevant government authorities;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significant management attention and other resources;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constraints and/or the terms on which capital is available to us.</w:t>
      </w:r>
    </w:p>
    <w:p>
      <w:pPr>
        <w:spacing w:after="0" w:line="22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If we are unable to increase our manufacturing output because of any of the risks described above, we may be unable to fulfill customer orders or achieve the growth we expect. Under our supply agreements with our customers, we would typically be liable to pay a charge of between 0.001% and 0.5% of the total contract price per day for our delay in delivering products, as well as any resulting costs and expenses incurred by the customers. In addition, if we are unable to fulfill customer orders, our reputation could be affected, and our customers could source battery systems from other companies. With a global supply chain, some raw material lead times are above average and can be challenging when responding to significant increases in customer demand. The combination of the foregoing could adversely affect our business, financial condition, and results of operations.</w:t>
      </w:r>
    </w:p>
    <w:p>
      <w:pPr>
        <w:spacing w:after="0" w:line="19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Some battery components pose safety risks, potentially causing accidents that could lead to liability, manufacturing delays and negatively impact market acceptance.</w:t>
      </w:r>
    </w:p>
    <w:p>
      <w:pPr>
        <w:spacing w:after="0" w:line="17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battery systems contain lithium-ion cells, which have been used for years in laptops and cell phones. On rare occasions, lithium-ion cells can rapidly release the energy they contain by venting smoke and flames in a manner that can ignite nearby materials. Highly publicized incidents of laptop computers and cell phones bursting into flames have focused consumer attention on the safety of these cells. Moreover, there have been numerous widely publicized reports of electric buses bursting into flames, particularly in China. These events have also raised questions about the suitability of these lithium-ion cells for automotive applications. We are aware of at least two incidents occurring in our customers’ vehicles. One incident resulting in a fire arose when an electric bus powered by our battery was left on a disqualified charger overnight. The other incident resulting in a fire involved a bus that was driven through deep water in a flood for over an hour. We have subjected our battery systems to various tests and damaging treatments such as baking, overcharging,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crushing, or puncturing to assess the response of our battery systems to deliberate and sometimes destructive abuse. However, there can be no assurance that a field failure of our battery systems will not occur, which could damage the vehicle in which it is fitted or lead to personal injury or death and may subject us to lawsuits. Moreover, any failure of a competitor’s battery system, especially those that use a high volume of cells similar to ours, may cause indirect adverse publicity for us. Such adverse publicity would negatively affect our brand and harm our business, prospects, financial condition and operating results.</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with any battery, our lithium-based batteries can short circuit when not handled properly. Due to the high energy and power density of lithium-based batteries, a short circuit can cause rapid heat buildup. Under extreme circumstances, this could cause a fire. This is most likely to occur during the formation or testing phase of our process. While we incorporate safety procedures and specific safety testing in our battery testing facilities to minimize safety risks, we cannot assure you that an accident in any part of our facilities where charged batteries are handled will not occur. Any such accident could result in injury to our employees or damage to our facility and would require an internal investigation by our technical staff. Our general liability insurance may not be sufficient to cover potential liability that would result from such accidents. Any such injuries, damages or investigations could lead to liability to us, cause delays in the manufacturing of our product and/or adversely affect market acceptance which could adversely affect our operations and financial condition.</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manufacturing process incorporates pulverized solids, which can be toxic to employees when allowed to become airborne in high concentrations. We have incorporated safety controls and procedures into our manufacturing processes designed to maximize the safety of our employees and neighbors. Any related incident, including fire or personnel exposure to toxic substances, could result in significant manufacturing delays or claims for damages resulting from injuries, which could adversely affect our operations and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heavily depends on a limited customer base, a trend likely to continue.</w:t>
      </w:r>
    </w:p>
    <w:p>
      <w:pPr>
        <w:spacing w:after="0" w:line="24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Due to the nature of our industry and our limited operating history, we have a limited customer base and have depended on a small number of customers for a significant portion of our revenue. In the years ended December 31, 2025, we sold our electric battery products to 314 customers. Our top five customers accounted for approximately 58.4% of our revenues in the years ended December 31, 2025 respectively. Our limited customer base and customer concentration could make it difficult to negotiate attractive prices for our products and could expose us to the risk of substantial losses if a single dominant customer stops purchasing, or significantly reduces orders for, our products. We expect that a limited number of customers will continue to contribute a significant portion of our sales in the near future. Our ability to maintain close relationships with these top customers is essential to the growth and profitability of our business. If we fail to sell our products to one or more of these top customers in any particular period, or if a large customer purchases fewer of our products, defers orders or fails to place additional orders with us, or if we fail to develop additional major customers, our revenue could decline and our results of operations could be adversely affected.</w:t>
      </w:r>
    </w:p>
    <w:p>
      <w:pPr>
        <w:spacing w:after="0" w:line="200" w:lineRule="exact"/>
        <w:rPr>
          <w:sz w:val="20"/>
          <w:szCs w:val="20"/>
          <w:color w:val="auto"/>
        </w:rPr>
      </w:pPr>
    </w:p>
    <w:p>
      <w:pPr>
        <w:spacing w:after="0" w:line="2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unavailability, reduction or elimination of, or uncertainty regarding, government and economic incentives or subsidies available to end-users and OEMs in the U.S., China, Europe and other jurisdictions could have a material adverse effect on our business, financial condition, operating results and prospects.</w:t>
      </w:r>
    </w:p>
    <w:p>
      <w:pPr>
        <w:spacing w:after="0" w:line="1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believe that, currently, the availability of government subsidies and incentives available to end-users and OEMs is an important factor considered by our customers when purchasing our batteries for electric vehicles and ESS, and that our growth depends in part on the availability and amounts of these subsidies and incentives. Any further reduction or elimination of government and economic incentives or subsidies may result in the diminished competitiveness of the alternative fuel vehicle or energy storage industry generally or electric vehicles or energy storage projects that use our batteries in particular.</w:t>
      </w:r>
    </w:p>
    <w:p>
      <w:pPr>
        <w:spacing w:after="0" w:line="19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While government programs in the U.S., China and in Europe promote the purchase of electric vehicles, including through disincentives that discourage the use of gasoline-powered vehicles, it is unclear if such policies will continue. Any reduction, elimination or selective application of tax and other governmental programs and economic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For example, the current U.S. presidential administration has issued executive orders to revoke certain executive orders from the prior administration, which directed federal agencies to review and potentially revise vehicle fuel efficiency and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emissions standards. The revocation of these prior executive orders may decrease the demand and reduce the value of the greenhouse gas credits and similar regulatory credits, which we may sell to other manufacturers. Further, we cannot guarantee that the current governmental incentives and subsidies available for purchasers of electric vehicles will remain available. Corresponding executive orders may be further issued to implement this policy. If such government programs are reduced or eliminated, or the available benefits thereunder are exhausted earlier than anticipated, demand for electric vehicles may decrease and our sales of electric battery products could be adversely affected. In addition, customers may delay taking delivery of our battery products if they believe that certain electric vehicle incentives will be available at a later date, which may adversely affect our business, financial condition, operating results and prospects.</w:t>
      </w:r>
    </w:p>
    <w:p>
      <w:pPr>
        <w:spacing w:after="0" w:line="19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demand for batteries in transportation and other markets depends on the attractiveness of fossil fuel alternatives. Extended periods of low oil prices could adversely affect demand for electric and hybrid electric vehicles.</w:t>
      </w:r>
    </w:p>
    <w:p>
      <w:pPr>
        <w:spacing w:after="0" w:line="1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Lower oil prices over extended periods of time may lower the perception in government and the private sector that cheaper, more readily available energy alternatives should be developed and produced and governments may eliminate or modify regulations or economic incentives related to fuel efficiency and alternate forms of energy. If oil prices remain at deflated levels for extended periods of time, the demand for hybrid and electric vehicles may decrease and the demand for our batteries could be reduced, which would have a material adverse effect on our business.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alternatives to gasoline, such as compressed natural gas and biofuels, could impact the demand for electric vehicles if the distribution and costs of these alternative fuels become more attractive through innovation. Biodiesel for trucks and specialty vehicles could become more commonplace, which would directly compete with our bus and specialty vehicle batteries, and which may result in decreased demand for our product.</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We primarily produce and sell lithium-based battery systems. Should a viable alternative to lithium-based batteries emerge and gain market acceptance, it could significantly harm our business, financial health, and operational results. Furthermore, our failure to keep up with rapid technological changes and evolving industry standards within the lithium-based battery market may cause our products to become obsolete and less marketable, resulting in loss of market share to our competitors.</w:t>
      </w:r>
    </w:p>
    <w:p>
      <w:pPr>
        <w:spacing w:after="0" w:line="194"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Our focus is on lithium-based battery systems, driven by our belief in their growth potential. Our R&amp;D efforts are concentrated on discovering new lithium chemistries and formulations to improve product quality and features while lowering costs. Some of our competitors are conducting R&amp;D on alternative battery technologies, such as fuel cells and super capacitors, and academic studies are ongoing as to the viability of sulfur and aluminum-based battery technologies. If any viable substitute products emerge and gain market acceptance because they have more enhanced features, more power, more attractive pricing or better reliability, the market demand for our products may decrease, and accordingly our business, financial condition and results of operations would be materially and adversely affected.</w:t>
      </w:r>
    </w:p>
    <w:p>
      <w:pPr>
        <w:spacing w:after="0" w:line="202"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Major advancements in alternative technologies like fuel cells, advanced diesel, ethanol, hydrogen, natural gas, or breathing batteries could unexpectedly and negatively impact our business, prospects, financial health, and operational results. Existing and other battery technologies, fuels or sources of energy may emerge as customers’ preferred alternatives to our battery products. Any failure by us to develop new or enhanced technologies or processes, or to react to changes in existing technologies, could materially delay our development and introduction of new and enhanced alternative products, which could result in decreased revenue and a loss of market share to our competitors. If we fail to adopt these new technologies, or develop new technologies of our own, such technologies may, if successfully developed by our competitors, offer significant performance or price advantages compared with our technologies and our technology leadership and competitive strengths may be adversely affected.</w:t>
      </w:r>
    </w:p>
    <w:p>
      <w:pPr>
        <w:spacing w:after="0" w:line="21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R&amp;D efforts may not be sufficient to adapt to changes in alternative fuel and electric vehicle technology. As technologies evolve, we plan to upgrade or adapt our energy solutions with the latest technology, in particular lighter weight modules and packs, advanced cooling methods and advanced battery chemistry, which may also negatively impact the adoption of our other products. However, we may not compete effectively with alternative systems if we are not able to source and integrate the latest technology into our battery products. To achieve this goal, we have invested and plan to continue investing significant financial resources in our R&amp;D infrastructure. R&amp;D activities, however, are inherently uncertain, and we might encounter practical difficulties in commercializing our research results. Accordingly, our significant investment in our R&amp;D infrastructure may not lead to marketable products.</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the other hand, our competitors may improve their technologies or even achieve technological advancements either as alternatives to lithium-based battery systems or improvements on existing lithium-based battery systems that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would render our products obsolete or less marketable. Therefore, our failure to effectively keep up with rapid technological changes and evolving industry standards by introducing new and enhanced products may cause us to lose our market share and to suffer a decrease in our revenue.</w:t>
      </w:r>
    </w:p>
    <w:p>
      <w:pPr>
        <w:spacing w:after="0" w:line="17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maintain our competitive position if we face intense competition from other battery manufacturers, many of which have significantly greater resources.</w:t>
      </w:r>
    </w:p>
    <w:p>
      <w:pPr>
        <w:spacing w:after="0" w:line="17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market for batteries used in electric vehicles, light electric vehicles and ESS is intensely competitive and is characterized by frequent technological changes and evolving industry standards. We expect competition to become more intense. Increased competition may result in a decline in average selling prices, causing a decrease in gross profit margins. We have faced and will continue to face competition from other manufacturers of lithium-ion batteries, as well as from companies engaged in the development of batteries incorporating new technologies. There are other competitors capable of manufacturing and delivering fast-charging battery systems that can charge as quickly as our LpTO and LpCO power battery solutions and we cannot assure you that they will not try to enter the markets that we are targeting with our product. For example, certain battery manufacturers offer lithium-based battery solutions that can be fully charged within a similar amount of time as our battery solutions, but with much shorter life cycles compared to our solutions. Other major manufacturers of high-power lithium batteries currently include Panasonic, Samsung SDI, BYD, CATL, Tianjin Lishen, Boston-Power, Wanxiang Group, Amperex Technology, and LG Chem. In addition, vehicle manufacturers, such as GM, Ford, Rivian, and Tesla have entered the markets for our products and may become our competitors, either directly or through joint venture arrangements with major lithium-based battery manufacturers. Potential customers may choose to do business with these or other established vehicle manufacturers who enter the markets for our products because of their perception that vehicle manufacturers are more stable, have greater manufacturing capacity and have the capability to adapt battery products to their vehicles.</w:t>
      </w:r>
    </w:p>
    <w:p>
      <w:pPr>
        <w:spacing w:after="0" w:line="20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Many of these competitors have greater financial, personnel, technical, manufacturing, marketing, sales and other resources than we do. As a result, these competitors may be in a stronger position to respond quickly to market opportunities, new or emerging technologies and evolving industry standards. Many of our competitors are developing a variety of battery technologies, such as lithium polymer, silicon anode and solid-state batteries, which are expected to compete with our existing product lines. Other companies undertaking R&amp;D activities of solid-polymer lithium-ion batteries have developed prototypes and are constructing commercial-scale manufacturing facilities. It is possible that our competitors will be able to introduce new products with more desirable features than ours and their new products will gain market acceptance. If our competitors successfully do so, we may not be able to maintain our competitive position and our future success would be materially and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Failing to anticipate customer preferences and develop appealing products could prevent us from maintaining or growing our revenue and profitability.</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success depends on our ability to identify and originate product trends as well as to anticipate and react to changing customer demands in a timely manner. If we are unable to introduce new products or novel technologies in a timely manner or our new products or technologies are not accepted by customers, our competitors may introduce more attractive products, which could hurt our competitive position. Our new products might not receive customer acceptance if customer preferences shift to other products, and our future success depends in part on our ability to anticipate and respond to these changes. Failure to anticipate and respond in a timely manner to changing customer preferences could lead to, among other things, lower revenue and excess inventory levels.</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we continually seek to enhance our products, we may incur additional costs to incorporate new or revised features. We might not be able to, or determine that it is not in our interests to, raise prices to compensate for these additional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depends on the needs and success of our customers, as well as the demand for our customers’ products or services.</w:t>
      </w:r>
    </w:p>
    <w:p>
      <w:pPr>
        <w:spacing w:after="0" w:line="236"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Our battery products’ demand hinges on end-market users. If our customers’ industries underperform, leading to decreased demand for their output, our product demand may similarly decline. Demand in these industries is impacted by numerous factors, including, but not limited to, commodity prices, infrastructure spending, consumer spending, customer fleet replacement schedules, travel restrictions, fuel costs, energy demands, municipal spending and government mandates and incentives. Increases or decreases in these variables may significantly impact the demand for our products. Inaccurate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demand predictions could lead to unmet customer needs, lost sales, or excess production, causing higher inventory, overcapacity, increased production costs and</w:t>
      </w:r>
    </w:p>
    <w:p>
      <w:pPr>
        <w:spacing w:after="0" w:line="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reduced operating margins. Additionally, the battery efficiency of electric vehicles declines over time. As such, vehicles using our battery systems will see performance decline as their batteries decay, particularly in the driving range. If this dissuades potential customers from purchasing EVs built using our battery system, it could negatively impact our sales.</w:t>
      </w:r>
    </w:p>
    <w:p>
      <w:pPr>
        <w:spacing w:after="0" w:line="192"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Additionally, if our customers fail to successfully market and sell their products or services, it could severely impact our business and prospects, as they might not place new or additional orders with us. If we cannot achieve the expected level of sales, we will not be able to make sufficient profits to offset the expenditures we have incurred to expand our production capacity, nor will we be able to grow our business. Accordingly, our business, financial condition, results of operations and future success would be materially and adversely affected.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declining average selling prices, which may harm our revenue and gross profits.</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production of electric power battery systems scales up and technology continues to improve, we expect the average selling prices of our power battery systems to decline over time. As a result, manufacturers of these electric products expect us to cut our costs and lower the price of our products. We may have to reduce the price of our products in order to meet market demand due to market-driven downward pricing pressures in the future. Our revenue and profitability will suffer if we are unable to offset any declines in our average selling prices by developing new or enhanced products with higher selling prices or gross profit margins, increasing our sales volumes or reducing our manufacturing costs on a timely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products might fail to qualify as “domestic origin” for purposes of “Buy America” requirements imposed on the recipients of U.S. government grants.</w:t>
      </w:r>
    </w:p>
    <w:p>
      <w:pPr>
        <w:spacing w:after="0" w:line="24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Some of our customers may be recipients of grants subject to regulations implemented by the U.S. Federal Transit Authority for purchases of rolling stock, including “Buy America” requirements codified at 49 C.F.R. Part 661. In some cases, our customers must ensure that our products, when incorporated into rolling stock subject to “Buy America” requirements, qualify as “domestic origin” components or subcomponents. Our manufacturing facilities are currently located in China and in Germany, and our current products are manufactured using parts or components procured outside of the United States. Further progress on the Clarksville expansion is dependent on securing additional financing, and even once the facility is established, not all of the raw materials we require to manufacture our products are currently available from U.S. suppliers. If our products manufactured from imported parts or components fail to meet the regulatory thresholds to qualify as “domestic origin” under the applicable regulations, we might be disqualified or otherwise precluded from supplying those products to customers that are subject to applicable “Buy America” requirements, or we might be liable to those customers for having failed to comply with certifications or representations that our products are “domestic origin,” each of which would likely adversely affect our business, prospects, financial condition and operating results.</w:t>
      </w:r>
    </w:p>
    <w:p>
      <w:pPr>
        <w:spacing w:after="0" w:line="200" w:lineRule="exact"/>
        <w:rPr>
          <w:sz w:val="20"/>
          <w:szCs w:val="20"/>
          <w:color w:val="auto"/>
        </w:rPr>
      </w:pPr>
    </w:p>
    <w:p>
      <w:pPr>
        <w:spacing w:after="0" w:line="20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experience significant delays in the design, production and launch of our new products, which could harm our business, prospects, financial condition and operating results.</w:t>
      </w:r>
    </w:p>
    <w:p>
      <w:pPr>
        <w:spacing w:after="0" w:line="1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R&amp;D team is continually looking to improve our battery systems. Any delay in the financing, design, production and launch of our new products could materially damage our brand, business, prospects, financial condition and operating results. There are often delays in the design, production and commercial release of new products, and to the extent, we delay the launch of the items identified above, our growth prospects could be adversely affected as we may fail to grow our market share, to keep up with competing products or to satisfy customers’ demands or needs.</w:t>
      </w:r>
    </w:p>
    <w:p>
      <w:pPr>
        <w:spacing w:after="0" w:line="1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failure to cost-effectively manufacture our batteries in quantities which satisfy our customers’ demand and product specifications and their expectations for product quality and reliable delivery could damage our customer relationships and result in significant lost business opportunities for us.</w:t>
      </w:r>
    </w:p>
    <w:p>
      <w:pPr>
        <w:spacing w:after="0" w:line="1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manufacture our products rather than relying upon third-party outsourcing. To be successful, we must cost-effectively manufacture commercial quantities of our complex batteries that meet our customer specifications for quality and timely delivery. To facilitate the commercialization of our products, we will need to further reduce our manufacturing costs, which we intend to do by improving our manufacturing and development operations. If we are unable to manufacture products in commercial quantities on a timely and cost-effective basis, we could lose our customers and be unable to attract future customers.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working capital requirements involve estimates based on the demand expectations and may decrease or increase beyond those currently anticipated, which could adversely impact our operating results and financial condition.</w:t>
      </w:r>
    </w:p>
    <w:p>
      <w:pPr>
        <w:spacing w:after="0" w:line="17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order to fulfill the product delivery requirements of our customers, we plan for working capital needs in advance of customer orders. As a result, we base our funding and inventory decisions on estimates of future demand. If demand for our products does not increase as quickly as we have estimated or drops off sharply, our inventory and expenses could rise, and our business and operating results could suffer. Alternatively, if we experience sales in excess of our estimates, our working capital needs may be higher than those currently anticipated. Our ability to meet this excess customer demand depends on our ability to arrange for additional financing for any ongoing working capital shortages since it is likely that cash flow from sales will lag behind these investment requirements.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Inaccurate manufacturing planning may lead to surplus inventory or shortages.</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typically have a short delivery window to deliver goods to our customers once an order has been placed. To meet short delivery deadlines, we generally decide on our manufacturing level and timing, procurement, facility requirements, personnel needs and other resource requirements based on an estimate taking into account forecasted demand, our past dealings with such customers, market conditions and other relevant factors. Our customers’ final purchase orders may not be consistent with our estimates. If the final purchase orders substantially differ from our estimates, we may have excess product inventory or product shortages. Excess product inventory could result in unprofitable sales or write-offs as our products are susceptible to obsolescence and price declines. Producing additional products to make up for any product shortages within a short time frame may be difficult, making us unable to fulfill the purchase orders. In either case, our results of operation may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rely on complex machinery for our operations and our production involves a degree of risk and uncertainty in terms of operational performance and costs.</w:t>
      </w:r>
    </w:p>
    <w:p>
      <w:pPr>
        <w:spacing w:after="0" w:line="236"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Our large-scale machinery may malfunction unexpectedly, requiring repairs and potentially unavailable spare parts. Unexpected malfunctions of our production equipment may significantly affect the intended operational efficiency. While the manufacturing equipment field is maturing, there are still significant changes and improvements occurring with respect to manufacturing devices. Such changes pose a risk that our manufacturing line will become outdated faster than anticipated. Expenses to upgrade equipment to more cutting-edge designs may be necessary, raising costs.</w:t>
      </w:r>
    </w:p>
    <w:p>
      <w:pPr>
        <w:spacing w:after="0" w:line="21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New component materials developed through our vertically integrated manufacturing process may require new, advanced equipment to produce. During the scale-up of new components, it may be difficult to predict a number of cost and risk factors including material yields, operation times, environmental hazards, utility needs, optimal equipment design, and necessary maintenance cycles which could add time and cost risks. Once scaled, the process may be found economically unfeasible.</w:t>
      </w:r>
    </w:p>
    <w:p>
      <w:pPr>
        <w:spacing w:after="0" w:line="184"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Equipment malfunctions could cause worker injuries, equipment loss, facility damage, financial losses, and production disruptions. In addition, operational problems may result in environmental damage, administrative fines, increased insurance costs and potential legal liabilities. All of these operational problems could have a material adverse effect on our business, results of operations, cash flows, financial condition or prospects.</w:t>
      </w:r>
    </w:p>
    <w:p>
      <w:pPr>
        <w:spacing w:after="0" w:line="19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manufacture chargers and charging poles and to build charging stations that are necessary for using our products, and our ability to market our products depends on the establishment of charging station networks that meet the needs of our products.</w:t>
      </w:r>
    </w:p>
    <w:p>
      <w:pPr>
        <w:spacing w:after="0" w:line="18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design, develop and manufacture electric power battery systems for electric vehicles. However, we do not manufacture chargers or charging poles that are necessary for using our products. In addition, we rely on third parties, such as city governments, utility providers and private investors, to build charging stations. A key part of our Clean City Transit plan that aims to introduce our battery systems to electric buses, then to taxis and finally to passenger cars is premised on establishing compatible charging station networks in urban areas that accommodate our technologies and products. If no charging station network is built, in markets in which we target our products, there would be little demand for electric battery products in that area. Even if such a network were built, it might not be compatible with our products, in which case the demand for our technologies and products in those markets would be limited, which could affect the implementation of our strategy and our business, and our operating results may be adversely affected.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Further, existing charging station networks have not been established under a uniform standard and could diminish our sales if any of the networks are not compatible with our products and technologies. In particular, our products and technologies require charging stations that can provide high voltages compared to existing charging stations for ultra-fast charging to function. In order for our fast-charging battery systems to become widely adopted in electric buses, electric taxis and electric passenger cars, a critical mass of compatible fast-charging stations must be installed and in operation in any given urban area that we plan to enter. Establishing a network of fast-charging stations requires significant capital investment and government approvals. It also requires government regulators to believe that the merits of fast-charging stations support the costs of such construction. If a sufficient number of charging stations that accommodate our products and technologies cannot be built up and be functional in a timely manner, it will be difficult for us to retain our existing customers and to attract new customers. As a result, our business, results of operations, financial condition and prospects may be materially and adversely affected.</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ultra-fast charging infrastructure created for electric city buses is presumed to be compatible with electric taxis and electric passenger vehicles installed with our battery systems, which ensures that the voltage system, connector and control communications are compatible with the taxi or passenger vehicle battery system. As we do not produce or own the charging stations, there can be no assurance that they would be made available to or continue to be compatible with taxis and passenger vehicles that are installed with our batteries. If the charging stations are not made available or are no longer compatible, the implementation of our strategy and our business and our operating results may be adversely affected.</w:t>
      </w:r>
    </w:p>
    <w:p>
      <w:pPr>
        <w:spacing w:after="0" w:line="188"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Incompatibility of emerging charging standards with our products could miss market opportunities, impacting financial performance. If other companies’ products and services, including industry-standard technologies or other new standards, emerge or become dominant in any of these areas, or differing standards emerge in global markets, demand for our technology and products could diminish. As standards emerge, such as those in China which include specifications for hardware, connecting equipment and service networks and standards for communication and inspection, compatibility of prior fast-charging stations envisioned in our Clean City Transit plan could be made obsolete.</w:t>
      </w:r>
    </w:p>
    <w:p>
      <w:pPr>
        <w:spacing w:after="0" w:line="21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also incorporate materials manufactured by third parties into our products. If there are quality issues with respect to these third-party components included in our battery systems, we may not discover the issue until after our products have been shipped and installed. In addition, we may have little or no recourse against these third-party suppliers arising out of warranty claims made by our customers.</w:t>
      </w:r>
    </w:p>
    <w:p>
      <w:pPr>
        <w:spacing w:after="0" w:line="18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currently purchase certain key raw materials and components from third parties, some of which we only source from one supplier or from a limited number of suppliers primarily located in Asia.</w:t>
      </w:r>
    </w:p>
    <w:p>
      <w:pPr>
        <w:spacing w:after="0" w:line="17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currently purchase certain key raw materials for our electrodes and a variety of other components from third parties, some of which we only source from one supplier or from a limited number of suppliers. For the year ended December 31, 2025, we purchased 18% of our raw materials from one supplier. We execute long-term contracts with suppliers for our key raw materials and components. Due to customer forecast variability, suppliers may be unable to satisfy our future requirements on a timely basis. Moreover, the price of purchased raw materials, components and assembled batteries could fluctuate significantly due to circumstances beyond our control. If our current suppliers are unable to satisfy our long-term requirements on a timely basis, we may be required to seek alternative sources for necessary materials and components, produce the raw materials or components in-house or redesign our proposed products to accommodate available substitutes or at a reasonable cost. However, given our current state of business, we may not be able to enter into the required manufacturing supply agreements with the battery manufacturers and component suppliers. If we fail to secure a sufficient supply of key raw materials and components and we are unable to produce them in-house in a timely fashion, it would result in a significant delay in our manufacturing and shipments, which may cause us to breach our sales contracts with our customers. Furthermore, failure to obtain a sufficient supply of these raw materials and components or produce them in-house at a reasonable cost could also harm our revenue and gross profit margins.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rising prices or availability of raw materials continues to persist, our business and results of operations may be adversely affected.</w:t>
      </w:r>
    </w:p>
    <w:p>
      <w:pPr>
        <w:spacing w:after="0" w:line="236"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Volatility in raw material prices and availability can impact our business and finances. Due to numerous factors beyond our control, including general, domestic, and international economic conditions, labor costs, production levels, competition, consumer demand, import duties, and tariffs, inflation and currency exchange rates. This volatility can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significantly affect the availability and cost of raw materials, and may therefore have a material adverse effect on our business, results of operations, and financial condition.</w:t>
      </w:r>
    </w:p>
    <w:p>
      <w:pPr>
        <w:spacing w:after="0" w:line="19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Lingering inflation above the Federal Reserve's target rate, the ongoing conflicts in the Middle East, including hostilities with Iran, the war between Russia and Ukraine, and other macroeconomic factors has caused prices to increase across various sectors of the economy, and we have been impacted by increases in the prices of our raw materials and other associated manufacturing costs. In particular, we have experienced rising costs or volatility in the prices for raw materials such as polyvinylidene difluoride, lithium salts and carbonates. At this time, there can be no assurance that we will be able to pass any portion of such increases on to customers. Further, we currently do not hedge against our exposure to changing raw material prices. As a result, fluctuations in raw material prices could have a material adverse effect on our business, results of operations, and financial condition.</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the current U.S. government has indicated that it may propose a significant increase in tariff rates on various types of goods imported from Asia that could apply to the raw materials we require. In the event that any such possible tariff increases become enacted, they could significantly increase the cost of our imported components whenever the increased rates become effective.</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Supply shortages or changes in availability for any particular type of raw material can delay production or cause increases in the cost of manufacturing our products. We may be negatively affected by changes in availability and pricing of raw materials, which could negatively impact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integrate our products into vehicles manufactured by our OEM customers, our results of operations could be impaired.</w:t>
      </w:r>
    </w:p>
    <w:p>
      <w:pPr>
        <w:spacing w:after="0" w:line="24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cooperate with our OEM customers to integrate the design of our LpTO, LpCO, MpCO, HpCO and HnCO products, and any future products, into commercial and specialty electric vehicles, such as electric buses, electric cars and electric taxis. Our battery systems are composed of modules assembled from the battery cells that we manufacture. OEMs often require unique configurations or custom designs for battery systems. We tailor the design of our battery systems to the electric vehicles manufactured by our OEM customers. This development process requires not only substantial lead time between the commencement of design efforts for customized battery systems and the commencement of volume shipments of the battery products to the customer, but also the cooperation and assistance of the OEMs in order to determine the requirements for each specific application. Technical problems may arise that affect the acceptance of our product by the OEMs. If we are unable to design and develop products that meet the OEMs’ requirements, we may lose opportunities to obtain purchase orders, and our reputation may be damaged. In addition, we may not receive adequate assistance from OEMs to successfully commercialize our products, which could impair our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Under certain circumstances, our customers can modify or terminate their contracts.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have ongoing arrangements with our customers and target customers. Some of these arrangements are evidenced by non-binding letters of intent and memoranda of understanding, early-stage agreements that are used for design and development purposes but will require renegotiation at later stages of development or production or master agreements that have yet to be implemented under separately negotiated statements of work, each of which could be modified to reduce the size of the project, terminated or may not materialize into next-stage contracts or long-term contract partnership arrangements. If these arrangements are modified or terminated or if we are unable to enter into next-stage contracts or long-term operational contracts, our business, prospects, financial condition and operating results may be materially adversely affected.</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Modifications or termination of our existing contracts may also directly impact our business, prospects and financial condition, including by reducing backlog by significant amounts.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Losing our senior executives or key personnel could severely disrupt our business.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future success heavily depends on the continued service of our senior executives and other key employees. In particular, we rely on the expertise and experience of our Chairman, Chief Executive Officer, Mr. Yang Wu and our other senior executives. If one or more of our other senior executives are unable or unwilling to continue to work for us in their present positions, we may encounter similar problems, but on a compounded basis. Moreover, if any of our current or former senior executives joins a competitor or forms a competing company, we may lose customers, suppliers, know-how</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and key personnel. Many of our executive officers have entered into an employment agreement with us, which contains non-competition and confidentiality clauses. However, if any dispute arises between our current or former executive officers and us, it is hard to predict the extent to which any of these agreements could be enforced in different countries.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success of our business depends on our ability to attract, train and retain highly-skilled employees and key personnel.</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a result of the highly specialized, technical nature of our business, we must attract, train and retain a sizable workforce comprising highly-skilled employees and other key personnel. Since our industry is characterized by high demand and intense competition for talent, we may have to pay higher salaries and wages and provide greater benefits in order to attract and retain highly-skilled employees or other key personnel that we will need to achieve our strategic objectives. As we are still a relatively young company and our business has grown rapidly, our ability to train and integrate new employees into our operations may not meet the requirements of our growing business. Our failure to attract, train or retain highly-skilled employees and other key personnel in numbers that are sufficient to satisfy our needs would materially and adversely affect our business. Staff that we are unable to retain also pose a risk since they can inform competitors of our know-how and may lessen the technological advantages over our competitors that we have developed.</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Further, competition for highly-skilled employees is intense. We have experienced, and we expect to continue to experience difficulty in hiring and retaining employees with appropriate qualifications. We may face high turnover, requiring us to expend time and resources to source, train and integrate new employees. The challenging markets in which we compete for talent may also require us to invest significant amounts of cash and equity to attract and retain employees. In addition, many of the companies with which we compete for highly-skilled employees have greater financial resources than we have. If we hire employees from competitors or other companies, their former employers may attempt to assert that these employees or the Company has breached certain legal obligations, resulting in a diversion of our time and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management has limited experience in operating a public company.</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executive officers have limited experience in the management of a publicly-traded company. Their limited experience in dealing with the increasingly complex laws pertaining to public companies could significantly increase the amount of time they devote to these activities, which would result in less time being devoted to our strategy and growth.</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may not have adequate personnel with the appropriate level of knowledge, experience and training in the accounting policies, practices or internal controls over financial reporting required of public companies in the U.S. For example, on March 18, 2025, we filed a Form 12b-25 stating that we required additional time to complete our annual report on Form 10-K. Further, we filed a Form 8-K on March 20, 2025 regarding non-reliance on previously issued financial statements due to our error relating to the previously recorded impairment associated with our Clarksville, Tennessee facility.</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development and implementation of the standards and controls necessary for us to achieve the level of accounting standards required of a public company in the U.S.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8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acquire or invest in other companies or technologies, which could divert our management’s attention, result in dilution to our stockholders and otherwise disrupt our operations and adversely affect our business.</w:t>
      </w:r>
    </w:p>
    <w:p>
      <w:pPr>
        <w:spacing w:after="0" w:line="17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may selectively acquire or invest in other companies or technologies that we believe could complement or expand our platform, enhance our technical capabilities or otherwise offer growth opportunities. However, acquisitions are complex, costly and time-consuming processes and involve numerous risks. The pursuit of potential acquisitions may divert the attention of management and cause us to incur various expenses in identifying, investigating and pursuing suitable acquisitions, whether or not they are consummated. Acquisitions also could result in dilutive issuances of equity securities or the incurrence of debt, which could adversely affect our operating results and financial condition. If we acquire additional businesses, we may not be able to integrate the acquired personnel, operations and technologies successfully or effectively manage the combined business following the acquisition.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also may not achieve the anticipated benefits from the acquired business due to a number of factors, including: inability or difficulty integrating and benefiting from acquired technologies, services or clients in a profitable manner; unanticipated costs or liabilities associated with the acquisition; difficulty integrating the accounting systems, operations and personnel of the acquired business; adverse effects to our existing business relationships with business partners and clients as a result of the acquisition; assuming potential liabilities of an acquired company; possibility of overpaying for acquisitions, particularly those with significant intangibles and those assets that derive value using novel tools or are involved in niche markets; difficulty in acquiring suitable businesses, including challenges in predicting the value an acquisition will ultimately contribute to our business; the potential loss of key employees of the acquired business; and use of substantial portions of our available cash to consummate the acquisition. Any of these difficulties could adversely affect our ability to maintain relationships with clients, partners, suppliers and associates or our ability to achieve the anticipated benefits of the acquisition, or could reduce our earnings or otherwise adversely affect our business and financial results.</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 of our operating results based on this impairment assessment process, which could adversely affect our results of operations.</w:t>
      </w:r>
    </w:p>
    <w:p>
      <w:pPr>
        <w:spacing w:after="0" w:line="18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planned expansion into new applications and new markets as we continue to expand our global presence poses additional risks which could adversely affect our business, financial condition and results of operations.</w:t>
      </w:r>
    </w:p>
    <w:p>
      <w:pPr>
        <w:spacing w:after="0" w:line="1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To date, we have focused our business on the sale of our LpTO, LpCO, MpCO, HpCO, and HnCO battery systems, primarily for use in commercial electric vehicles. However, we have and intend to expand into new applications, including the recent development of our ESS container, and also have and continue to expand our customer demographic in order to further grow our business. The lithium-based battery market is highly competitive and there can be no assurance that use of our products for new applications will gain market acceptance.</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recently began marketing our new ESS container and it is possible we may never achieve commercial success with our ESS container. We have limited historical financial data upon which we may base our projected revenue and operating expenses. Accordingly, we continue to be subject to many of the risks inherent in business development, financing, unexpected expenditures, and complications and delays that often occur in a new business. Investors should evaluate an investment in the Company in light of the uncertainties encountered by companies pursuing new product lines in a competitive environment. There can be no assurance that our efforts will be successful or that we will ultimately be able to attain profitability with our ESS container.</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After initially focusing on the Asia &amp; Pacific regions, we have expanded and continue to expand our presence and product promotion to Europe and the U.S. and elsewhere. For the year ended December 31, 2025 we derived 67% of our sales from outside of China, including sales in the U.S., Italy, France, Germany, India, Singapore, the U.K., among others. As a result, we are subject to differences in these markets in regulatory requirements for product testing, intellectual property protection (including patents and trademarks), tax incentive policy, legal systems and rules, marketing costs, fluctuations in currency exchange rates and changes in political and economic conditions.</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Expansion into new markets may increase costs and require us to make significant expenditures, including increased manufacturing costs, the establishment of local operating entities, hiring of local employees and establishing facilities in advance of generating any revenue. For example, production costs will be higher in some markets than others. However, higher production costs are partially offset by lower logistics costs and tariffs. In addition, average sales prices for customers in some markets will be higher than the average sales prices in others, resulting in different gross margins depending on the location of the production and the customer.</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Further, any efforts to continue expanding into new markets might not be successful in creating demand for our products outside of our existing geographic markets or in effectively selling our products in the markets we enter. In addition, conducting operations in new markets, including the marketing, distribution and sale of our products, subjects us to new or unfavorable regulatory, economic and political risks. These risks include:</w:t>
      </w:r>
    </w:p>
    <w:p>
      <w:pPr>
        <w:spacing w:after="0" w:line="191" w:lineRule="exact"/>
        <w:rPr>
          <w:sz w:val="20"/>
          <w:szCs w:val="20"/>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localization of the marketing and deployment of our products;</w:t>
      </w:r>
    </w:p>
    <w:p>
      <w:pPr>
        <w:spacing w:after="0" w:line="27" w:lineRule="exact"/>
        <w:rPr>
          <w:rFonts w:ascii="Times New Roman" w:cs="Times New Roman" w:eastAsia="Times New Roman" w:hAnsi="Times New Roman"/>
          <w:sz w:val="17"/>
          <w:szCs w:val="17"/>
          <w:color w:val="auto"/>
        </w:rPr>
      </w:pPr>
    </w:p>
    <w:p>
      <w:pPr>
        <w:ind w:left="620" w:hanging="307"/>
        <w:spacing w:after="0" w:line="266"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familiarity with, and burdens of, complying with foreign laws, legal and commercial standards, regulatory requirements, export requirements, tariffs and other barriers, including laws related to employment or labor;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conforming our products to various international regulatory and safety requirements where our products are sold, or homologation;</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establishing, staffing and managing foreign operations;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attracting customers in new jurisdictions;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engaging and retaining distributors that are knowledgeable about, and can function effectively, in overseas markets;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communication and integration problems resulting from cultural or language differences and geographic dispersion;</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 pricing environments, longer sales cycles and longer accounts receivable payment cycles and collections issues;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associated with maintaining marketing efforts in various countries;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and different sources of competition;</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financial accounting and reporting burdens and complexities;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our management’s attention and resources to explore, negotiate, or close acquisitions and to integrate, staff and manage geographically remote operations and employees;</w:t>
      </w: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sufficiency of qualified labor pools in various international markets;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government taxes, currency controls, regulations and permit requirements, including foreign taxes that we may not be able to offset against taxes imposed upon us in the U.S., and foreign tax and other laws limiting our ability to repatriate funds to the U.S.;</w:t>
      </w: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global currency systems or fluctuations in exchange rates that may increase the volatility of or adversely affect our foreign-based revenue;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enforce our contractual rights;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anti-corruption laws, economic sanction laws and regulations, anti-tax laws, export controls and other laws and regulations regarding international business operations;</w:t>
      </w: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government trade restrictions, customs regulations, tariffs and price or exchange controls;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preferences of foreign nations for domestically produced products;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 political and economic climates;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maintain or enforce intellectual property rights in some countries.</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factors may cause our costs of doing business in certain markets to exceed our comparable costs incurred in other markets in which we do business.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negative impact from our business efforts in new markets could adversely affect our business, operating results and financial condition as a whole.</w:t>
      </w:r>
    </w:p>
    <w:p>
      <w:pPr>
        <w:spacing w:after="0" w:line="22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Additionally, as we have expanded and continue to expand into new markets, we have faced challenges with ensuring that our charging equipment works successfully with the charging infrastructure in such markets. If customers experience problems with the way our charging equipment works with the local charging infrastructure, or if we are unable to adapt our equipment to resolve such problems, then the viability and acceptance of our vehicles in such markets could be materially and adversely affected. If we fail to successfully address these risks, our business, prospects, operating results and financial condition could be materially harmed.</w:t>
      </w:r>
    </w:p>
    <w:p>
      <w:pPr>
        <w:spacing w:after="0" w:line="19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battery packs rely on software and hardware that are highly technical, and if these systems contain errors, bugs or vulnerabilities, or if we are unsuccessful in addressing or mitigating technical limitations in our systems, our business could be adversely affected.</w:t>
      </w:r>
    </w:p>
    <w:p>
      <w:pPr>
        <w:spacing w:after="0" w:line="17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products rely on software and hardware, including software and hardware developed or maintained internally or by third parties, that are highly technical and complex and will require modification and updates over the life of a battery pack. In addition, certain of our products depend on the ability of such software and hardware to store, retrieve, process and manage immense amounts of data. Our software and hardware may contain errors, bugs or vulnerabilities, and our systems are subject to certain technical limitations that may compromise our ability to meet the objectives. Some errors, bugs or vulnerabilities inherently may be difficult to detect and may only be discovered after the code has been released for external or internal use. Errors, bugs, vulnerabilities, design defects or technical limitations may be found within our software and hardware.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our software and hardware, we may suffer damage to our brand, loss of customers, loss of revenue or liability for damages, any of which could adversely affect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financial and reputational risks due to product recalls and product liability claims, and we could face substantial liabilities which exceed our resources.</w:t>
      </w:r>
    </w:p>
    <w:p>
      <w:pPr>
        <w:spacing w:after="0" w:line="17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Lithium-based battery systems for use in electric vehicles and ESS are inherently complex and subject to failure, accidents or other malfunctions. Accordingly, we may be exposed to product recalls and product liability claims. The risk of product recalls and product liability claims, and associated adverse publicity, is inherent in the development, manufacturing and sale of our products. Our products and the products of third parties in which our products are a component are becoming increasingly sophisticated and complicated as advancements in technologies occur, and as demand increases for lighter and more powerful rechargeable batteries.</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typically offer warranties for our battery products against any defects due to product malfunction or workmanship for a period ranges from one to eight years from the date of purchase. We provide a reserve for these potential warranty expenses, which is based on an analysis of historical warranty issues.</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Product quality and liability issues may affect not only our products but also the third-party products in which our battery products are a component. Our efforts and the efforts of our development partners to maintain product quality may not be successful, which may result in us incurring expenses in connection with, for example, product recalls and product liability claims, and adversely impact our brand image and reputation as a producer of high-quality products. Any product recall or product liability claims seeking significant monetary damages could have a material adverse effect on our business and financial condition. A product recall or product liability claim could generate substantial negative publicity about our products and business, interfere with our manufacturing plans and product delivery obligations as we seek to replace, or repair affected products, and inhibit or prevent commercialization of other future product candidates.</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Further, there is no assurance that future warranty claims will be consistent with past history, and in the event we experience a significant increase in warranty claims, there is no assurance that our reserves will be sufficient. This could have a material adverse effect on our business, financial condition and results of operations.</w:t>
      </w:r>
    </w:p>
    <w:p>
      <w:pPr>
        <w:spacing w:after="0" w:line="18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have quality issues with our BMS and ESS container, our sales, profit, and cash flows could decrease and our relationships with our customers and our reputation may be harmed.</w:t>
      </w:r>
    </w:p>
    <w:p>
      <w:pPr>
        <w:spacing w:after="0" w:line="17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Products as complex as ours may contain undetected errors or defects, especially when first introduced. Our BMS and ESS container may contain defects that are not detected until after they are shipped or are installed because we and our suppliers cannot test for all possible scenarios. These defects could cause us to incur significant warranty, non-warranty, and re-engineering costs, which may not be covered by manufacturer warranties, and could significantly affect our customer relations and business reputation. If we deliver products with errors or defects, or if there is a perception that such products contain errors or defects, our credibility and the market acceptance and sales of our products could be harmed. In addition, some of our contractual arrangements with customers include provisions for liquidated damages. In certain cases, we could incur high liquidated damages if it is established that our products do not meet the performance guarantees we have given to our customers.</w:t>
      </w:r>
    </w:p>
    <w:p>
      <w:pPr>
        <w:spacing w:after="0" w:line="19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reduction, elimination, or expiration of government incentives for, or regulations mandating the use of, renewable energy could reduce demand for our ESS container and harm our business.</w:t>
      </w:r>
    </w:p>
    <w:p>
      <w:pPr>
        <w:spacing w:after="0" w:line="17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Federal, state, local, and foreign government bodies provide incentives to owners, end users, distributors, system integrators and manufacturers of renewable energy products, including our ESS container, to promote renewable electricity in the form of rebates, tax credits and other financial incentives. The range and duration of these incentives varies widely by jurisdiction. The reduction, elimination, or expiration of government incentives for grid-connected electricity may negatively affect the competitiveness of our ESS container and could harm or halt the growth of our industry and our business. These subsidies and incentives may expire on a particular date, end when the allocated funding is exhausted or be reduced or terminated as renewable energy adoption rates increase or as a result of legal challenges, the adoption of new statutes or regulations, or the passage of time. These reductions or terminations may occur without warning. The reduction, elimination or expiration of such incentives could harm our business and cash flows.</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example, in August 2022, the United States passed the IRA, which included a number of government incentives that support the adoption of energy storage products and services and could potentially benefit the Company and its operations. However, on January 16, 2025, the U.S. Department of Treasury released its Guidance on Domestic Content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Bonus for Clean Energy Credits, which included adjustments impacting battery electric storage systems. The Trump Administration also issued executed orders that potentially impact ESS and EV operations. For instance, on January 20, 2025, the Trump Administration issued the Unleashing American Energy Executive Order that paused the disbursement of funds appropriated through the IRA. This pause could, among other things, delay or disrupt the rollout of EV charging stations. Further, on July 4, 2025, President Trump signed the One Big Beautiful Bill Act ("OBBBA") into law. The OBBBA fundamentally transforms the IRA's system of clean energy tax credits, which could harm our business, prospects, financial condition and results of operations. The OBBBA introduces accelerated repeal schedules for most renewable energy tax credits, compresses deadlines for certain projects to qualify for credits, enhances domestic content requirements, eliminates several electric vehicle and residential energy incentives, and implements new foreign entity of concern restrictions barring certain foreign entities from accessing credits. Under the OBBBA, the Clean Vehicle (New EVs) Credit program and the Commercial Clean Credit Credit were terminated September 30, 2025, and the Residential Clean Energy Credit and Energy Efficient Home Improvement Credit were terminated December 31, 2025. These terminations occurred earlier than planned under the IRA, with the termination of the Clean Vehicle Credit program occurring seven years earlier than originally planned. However, some of the IRA's incentives, such as the Clean Electricity Investment Credit remain intact for the next several years. Future implementation of the OBBBA, guidance from the U.S. Department of Treasury or other federal administrative agencies, or executive orders or policies issued or adopted by the current administration, could be adverse to our interests and could therefore harm our business, prospects, financial condition and results of operations.</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renewable energy technologies are not suitable for widespread adoption or sufficient demand for our offerings does not develop or takes longer to develop than we anticipate, our sales may decline, and we may be unable to achieve or sustain profitability.</w:t>
      </w:r>
    </w:p>
    <w:p>
      <w:pPr>
        <w:spacing w:after="0" w:line="18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market for renewable, distributed energy generation is emerging and rapidly evolving, and its future success and trajectory is uncertain and subject to a number of risks. If renewable energy generation proves unsuitable for widespread commercial deployment or if demand for our ESS products fails to develop as currently anticipated, our revenue, market share, and our ability to achieve and/or sustain profitability may be adversely affected.</w:t>
      </w:r>
    </w:p>
    <w:p>
      <w:pPr>
        <w:spacing w:after="0" w:line="204"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Many factors may influence the widespread adoption of renewable energy generation and demand for our offerings, including, but not limited to, the cost-effectiveness of renewable energy technologies as compared with conventional and competitive technologies, the performance and reliability of renewable energy products as compared with conventional and non-renewable products, fluctuations in economic and market conditions that impact the viability of conventional and competitive alternative energy sources, increases or decreases in the prices of oil, coal and natural gas, continued deregulation of the electric power industry and broader energy industry, policy priorities of different political administrations at the international, federal, state and local level, including the scope of governmental regulations regarding renewable energy generation, and the availability or effectiveness of government subsidies and incentives, including from the IRA. The growth of renewable energy generation is relevant to the demand for energy storage because increases in intermittent solar and wind power in many jurisdictions have spurred the demand for energy storage to help maintain reliability and support the integration of solar and wind power into the electrical grid.</w:t>
      </w:r>
    </w:p>
    <w:p>
      <w:pPr>
        <w:spacing w:after="0" w:line="20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All of the foregoing factors have the potential to impact demand for our products and thus our ability to achieve and sustain profitability. Our inability to effectively mitigate the risks associated with such factors could have a material adverse effect on our business, financial condition, results of operations and prospects.</w:t>
      </w:r>
    </w:p>
    <w:p>
      <w:pPr>
        <w:spacing w:after="0" w:line="17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Existing electric utility industry policies and regulations, and any subsequent changes, may present technical, regulatory, and economic barriers to the purchase and use of our ESS container that may significantly reduce demand for our products or harm our ability to compete.</w:t>
      </w:r>
    </w:p>
    <w:p>
      <w:pPr>
        <w:spacing w:after="0" w:line="17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Federal, state, local, and foreign government regulations and policies concerning the broader electric utility industry, as well as internal policies and regulations promulgated by electric utilities and organized electric markets with respect to fees, practices, and rate design, can influence the market for energy storage products and services. These regulations and policies often affect electricity pricing and the interconnection of generation facilities, and can be subject to frequent modifications by governments, regulatory bodies, utilities, and market operators. For example, changes in fee structures, electricity pricing structures, and system permitting, interconnection, and operating requirements can deter purchases of renewable energy products by reducing anticipated revenues or increasing costs or regulatory burdens for would-be system purchasers. The resulting reductions in demand for energy storage products could harm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 significant recent development in renewable-energy pricing policies in the U.S. occurred on July 16, 2020, when the Federal Energy Regulatory Commission (“FERC”) issued a final rule amending regulations that implement the Public Utility Regulatory Policies Act (“PURPA”). Among other requirements, PURPA mandates that electric utilities buy the output of certain renewable generators below established capacity thresholds. PURPA also requires that such sales occur at a utility’s “avoided cost” rate. FERC’s PURPA reforms include modifications (1) to how regulators and electric utilities may establish avoided cost rates for new contracts; (2) that reduce from 20 MW to 5 MW the capacity threshold above which a renewable-energy qualifying facility is rebuttably presumed to have nondiscriminatory market access, thereby removing the requirement for utilities to purchase its output; (3) that require regulators to establish criteria for determining when an electric utility incurs a legally enforceable obligation to purchase from a PURPA facility; and (4) that reduce barriers for third parties to challenge PURPA eligibility. In general, FERC’s PURPA reforms have the potential to reduce prices for the output from certain new renewable generation projects while also narrowing the scope of PURPA eligibility for new projects. These effects could reduce demand for PURPA-eligible battery energy storage products and could harm our business, prospects, financial condition, and results of operations.</w:t>
      </w:r>
    </w:p>
    <w:p>
      <w:pPr>
        <w:spacing w:after="0" w:line="20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Changes in other current laws or regulations applicable to us or the imposition of new laws, regulations, or policies in the U.S., could have a material adverse effect on our business, financial condition, and results of operations. Any changes to government, utility, or electric market regulations or policies that favor electric utilities or other market participants could reduce the competitiveness of battery energy storage products and cause a significant reduction in demand for our products and services and adversely impact our growth.</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economic benefit of our energy storage products to our customers includes, among other things, the benefit of reducing such customer’s payments to the local electric utility company. The rates at which electricity is available from a customer’s local electric utility company are subject to change and any changes in such rates may affect the relative benefits of our energy storage products. Further, the local electric utility may impose “departing load,” “standby” or other charges on our customers in connection with their acquisition of our energy storage products, the amounts of which are outside of our control and which may have a material impact on the economic benefit of our energy storage products to our customers. Changes in the rates offered by local electric utilities and/or in the applicability or amounts of charges and other fees imposed by such utilities on customers acquiring our energy storage products could adversely affect the demand for our energy storage products.</w:t>
      </w:r>
    </w:p>
    <w:p>
      <w:pPr>
        <w:spacing w:after="0" w:line="19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U.S. Congress, the Trump Administration, or any new administration may make substantial changes to fiscal, tax, and other federal policies that may adversely affect our business.</w:t>
      </w:r>
    </w:p>
    <w:p>
      <w:pPr>
        <w:spacing w:after="0" w:line="17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Trump Administration has called for significant changes to U.S. trade, healthcare, immigration and government regulatory policy and has begun implementing policy changes at a rapid pace. Changes to U.S. policy implemented by the U.S. Congress, the Trump administration or any administration have impacted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20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Changes or increases in tariffs, trade restrictions, trade agreements, non-tariff trade barriers, local content requirements, uncertainty surrounding global trade policies, and the imposition of new or retaliatory tariffs against other countries or covering certain products may affect our competitive position and result in increased costs for products manufactured in the United States using inputs from other countries. Tariffs may have an adverse impact on general economic conditions and our business, the exact outcomes of which are uncertain and depend on various factors, such as negotiations between the U.S. and China or other foreign countries, the duration of such tariffs, the responses of other countries or regions to such tariffs, the actual increases in the costs of imported foreign products and raw materials, and exemptions or exclusions that may be granted. Should tariffs increase and be sustained, our inventory acquisition and carrying costs may be increased, which costs may be passed on to us and consumers through higher prices for our products. These increased prices may adversely impact our new product sales and demand for such products, potentially impacting our ability to sell them profitably.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Restrictions on the ability of U.S. companies to invest in the PRC may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are subject to laws and regulations that restrict the ability of U.S. companies to engage in certain investments in the PRC. For example, the U.S. Outbound Investment Security Program (the “OISP”), which became effective on January 2, 2025, prohibits certain transactions connected to the PRC, with the stated goal of preventing the transfer of capital and intangible benefits that could be used to accelerate the development of sensitive technologies. The OISP is currently limited to investments related to semiconductors and microelectronics, quantum information technologies, and/or artificial intelligence; however, we expect the U.S. government to modify and expand the scope of OISP over time to cover additional sectors. Such changes may limit our ability to make or maintain certain investments in China and impact our fundraising activities, strategic initiatives, financial performance and growth prospects. Additionally, U.S. persons may be subject to notification requirements or prohibitions in relation to certain transactions with us.</w:t>
      </w:r>
    </w:p>
    <w:p>
      <w:pPr>
        <w:spacing w:after="0" w:line="19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b w:val="1"/>
          <w:bCs w:val="1"/>
          <w:i w:val="1"/>
          <w:iCs w:val="1"/>
          <w:color w:val="auto"/>
        </w:rPr>
        <w:t>As components of electric vehicles, our products as installed in the products of our customers are subject to motor vehicle standards and the failure of the vehicles to satisfy such mandated safety standards could have a material adverse effect on the demand for our products, our business and our operating results.</w:t>
      </w:r>
    </w:p>
    <w:p>
      <w:pPr>
        <w:spacing w:after="0" w:line="39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products are used as components in electric vehicles. All vehicles sold must comply with applicable international, federal, and state motor vehicle safety standards, which vary by national and other jurisdictions. In the U.S., vehicles that meet or exceed all federally mandated safety standards are certified under federal regulations. Rigorous testing and the use of approved materials and equipment are among the requirements for achieving federal certification. Failure by our vehicle manufacturing customers to satisfy motor vehicle standards could have a material adverse effect on our business and operating results.</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Moreover, we may incur our own significant costs in complying with these regulations. Regulations related to the electric vehicle industry and alternative energy are currently evolving and we face risks associated with changes to these regulations.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To the extent the laws become more stringent or otherwise change, our components or the vehicles into which they are incorporated may not comply with applicable international, federal, state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Internationally, there may be laws in jurisdictions we have not yet entered or laws of which we are unaware in jurisdictions we have entered that may restrict our sales or other business practices. Even for those jurisdictions we have analyzed, the laws in this area can be complex, difficult to interpret and may change over time. Continued regulatory limitations and other obstacles interfering with our business or our customer’s ability to sell products could have a negative and material impact on our business, prospects,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fail to comply with certain health and production safety laws and regulations governing hazardous materials.</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the sourcing of our products throughout the world, we process, store, dispose of and otherwise use large amounts of hazardous materials. As a result, we are subject to extensive and evolving health and production safety laws and regulations governing, among other things, the health of our employees and safety production requirements regarding the generation, handling, storage, use and transportation of hazardous materials. Compliance with these laws and regulations results in ongoing costs. Failure to comply with these laws or regulations, or to obtain or comply with the relevant permits, could result in fines, criminal charges or other sanctions by regulators. Furthermore, we may be ordered to rectify a noncompliance within a stipulated deadline and, if we fail to do so, we may be ordered to cease operations. From time-to-time, we may have instances of alleged or actual noncompliance that could result in the imposition of fines, penalties and required corrective actions. For instance, we are required under PRC law to design and build occupational disease prevention facilities concurrently with the construction of our manufacturing facilities, where hazardous elements that adversely affect the health of our employees are generated or used. Our ongoing compliance with health and safety laws, regulations and permits could require us to incur significant expenses, limit our ability to modify or expand our facilities or continue manufacturing and making other capital improvements. In addition, private parties, including current or former employees, could bring personal injury or other claims against us due to the presence of, or exposure to, hazardous substances used, stored or disposed of by us or contained in our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regulation compliance is costly; non-compliance could lead to fines, damage our reputation, and negatively impact our business.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a manufacturer, we are subject to various environmental laws and regulations on air emissions, wastewater discharge, solid waste, noise and the use, generation, and disposal of hazardous materials. Cobalt and lithium are toxic materials that are important raw materials in our batteries. We also use, generate and discharge other toxic, volatile and hazardous chemicals and wastes in our research, development and manufacturing activities. One of our manufacturing sites is in China, and under PRC environmental regulations we are required to maintain the pollutant emission levels at each of our facilities within the levels prescribed by the relevant governmental authorities and obtain a pollution discharge permit for our water and air emissions. We are also required to design and build environmental treatment facilities concurrently with the construction of our manufacturing facilities, where air, emissions, water discharges, and solid waste we generate can be treated in accordance with the relevant requirements.</w:t>
      </w:r>
    </w:p>
    <w:p>
      <w:pPr>
        <w:spacing w:after="0" w:line="20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addition, certain laws and regulations require hazardous waste generators to engage third-party companies that are licensed and qualified to process the hazardous waste, and to collect, store, dispose of and transfer the hazardous waste. If we fail to comply with national and local environmental protection laws and regulations, the relevant governmental authorities may impose fines or deadlines to cure instances of noncompliance and may even order us to cease operations if we fail to comply with their requirements. In particular, any breach by us in connection with requirements relating to the handling of hazardous waste may subject us to monetary damages and fines. In addition, if any third party suffers any loss as a result of our pollutant emission practices, our improper handling of hazardous waste or our noncompliance with environmental regulations, such third parties may seek damages from us. We cannot assure you that we will be able to comply with all environmental laws and regulations at all times as the environmental legal regime is evolving and becoming more stringent in many jurisdictions. If any government imposes more stringent regulations in the future, we will have to incur additional substantial costs and expenses in order to comply with new regulations, which may negatively affect our results of operations. If we fail to comply with any of the present or future environmental regulations in any material aspect or cause any loss to any third parties due to our pollutant emission practices, improper handling of hazardous waste or other environmental noncompliance, we may suffer from negative publicity and may be required to pay substantial fines, pay damages to such third parties, or suspend or even cease operations. Failure to comply with environmental laws and regulations may materially and adversely affect our business, financial condition and results of operations.</w:t>
      </w:r>
    </w:p>
    <w:p>
      <w:pPr>
        <w:spacing w:after="0" w:line="192"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To the extent we ship our products overseas, or to the extent our products are used in products sold overseas, they may be affected by laws and regulations on the movement of goods. For example, the transportation of non-rechargeable and rechargeable lithium batteries is regulated by the International Civil Aviation Organization (the “ICAO”), and corresponding rules and regulations of the International Air Transport Association (the “IATA”), the U.S. DOT’s Pipeline &amp; Hazardous Materials Safety Administration (the “PHMSA”), Dangerous Goods Regulations and the International Maritime Dangerous Goods Code, and in China by the General Administration of Civil Aviation of China and the Maritime Safety Administration of the PRC. These regulations are based on the United Nations (the “UN”), Recommendations on the Transport of Dangerous Goods Model Regulations and the UN Manual of Tests and Criteria. We currently ship our products pursuant to ICAO, IATA and PHMSA hazardous goods regulations. The regulations require companies to meet certain testing, packaging, labeling and shipping specifications for safety reasons. We believe we are in material compliance with all current PRC and international regulations for the shipment of our products and will seek to comply with any new regulations that are imposed. We also believe we have obtained all required certificates for the safe transport of our lithium battery products by air, water, and land. If we are unable to comply with the new regulations, however, or if regulations are introduced that limit our ability to transport our products to customers in a cost-effective manner, this could have a material adverse effect on our business, financial condition and results of operations.</w:t>
      </w:r>
    </w:p>
    <w:p>
      <w:pPr>
        <w:spacing w:after="0" w:line="39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operations expose us to litigation, environmental and other legal compliance risks, including increased climate change legislation restricting GHG emissions.</w:t>
      </w:r>
    </w:p>
    <w:p>
      <w:pPr>
        <w:spacing w:after="0" w:line="17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are subject to a variety of litigation, environmental, health and safety and other legal compliance risks. These risks include, among other things, possible liability and legal compliance risks relating to product liability matters, securities law matters, personal injuries, intellectual property rights, contract-related claims, government contracts, health and safety liabilities, environmental matters and compliance with U.S. and foreign laws, competition laws and laws governing improper business practices. We or one of our business units could be charged with alleged wrongdoing as a result of such matters. If convicted or found liable, we could be subject to significant fines, penalties, repayments or other damages (in certain cases, treble damages). As a business with international reach, we are subject to complex laws and regulations in jurisdictions in which we operate, including the U.S., China, the E.U. and the U.K. These laws may change from time-to-time, as may related interpretations and other guidance. Changes in laws or regulations could result in higher expenses and payments, and uncertainty relating to laws or regulations may also affect how we conduct our operations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structures our investments and could limit our ability to enforce our rights. See the section titled “</w:t>
      </w:r>
      <w:r>
        <w:rPr>
          <w:rFonts w:ascii="Times New Roman" w:cs="Times New Roman" w:eastAsia="Times New Roman" w:hAnsi="Times New Roman"/>
          <w:sz w:val="17"/>
          <w:szCs w:val="17"/>
          <w:i w:val="1"/>
          <w:iCs w:val="1"/>
          <w:color w:val="auto"/>
        </w:rPr>
        <w:t>Business — Legal Proceedings</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Changes in environmental and climate laws or regulations, including laws relating to GHG emissions, could lead to new or additional investment in manufacturing designs, subject us to additional costs and restrictions, including increased energy and raw materials costs, and could increase environmental compliance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general liability insurance may not be sufficient to cover potential liability from product liability claims.</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currently have general liability insurance with an annual limit of up to approximately $74.3 million to cover liabilities arising from product liability claims or product recalls worldwide (excluding the U.S. and Canada), which may not be sufficient to cover potential liability claims. Inability to obtain sufficient insurance coverage at an acceptable cost or otherwise to protect against potential product recalls and product liability claims could prevent or inhibit the commercialization of our product or could result in a loss of customers and decrease in revenue, unexpected expenses and a loss of market share, and if any of our products are found to have reliability, quality or compatibility problems, we will be required to accept returns, provide replacements, provide refunds, or pay damages. We cannot assure you that as we continue distribution of our products we will be able to obtain or maintain adequate coverage on acceptable terms, or that such insurance will provide adequate coverage against all potential claims.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such liability. In any case, we may still be required to incur substantial amounts to cover costs associated with product recalls and/or to indemnify our customers in respect of their product quality claims against us, which would materially and adversely affect results operations and severely damage our reputation.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insurance coverage strategy may not be adequate to protect us from all business risks.</w:t>
      </w:r>
    </w:p>
    <w:p>
      <w:pPr>
        <w:spacing w:after="0" w:line="236"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We may be subject, in the ordinary course of business, to losses resulting from products liability, accidents, acts of God and other claims against us, for which we may have no insurance coverage. As a general matter, we do not maintain as much insurance coverage as many other companies do, and in some cases, we do not maintain any at all. Additionally, the policies that we do have may include significant deductibles or self-insured retentions, policy limitations and exclusions, and we cannot be certain that our insurance coverage will be sufficient to cover all future losses or claims against us. A loss that is uninsured or which exceeds policy limits may require us to pay substantial amounts, which may harm our financial condition and operating results.</w:t>
      </w:r>
    </w:p>
    <w:p>
      <w:pPr>
        <w:spacing w:after="0" w:line="2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currency exchange rates fluctuate substantially in the future, our financial results, which are reported in U.S. dollars, and the value of our securities could be adversely affected.</w:t>
      </w:r>
    </w:p>
    <w:p>
      <w:pPr>
        <w:spacing w:after="0" w:line="159"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We transact business globally and have foreign currency risks related to our revenue, costs of revenue, operating expenses and localized subsidiary debt denominated in currencies other than the U.S. dollar. To the extent we have significant revenues denominated in such foreign currencies, any strengthening of the U.S. dollar would tend to reduce our revenues as measured in U.S. dollars, as we have historically experienced. We have also experienced, and will continue to experience, fluctuations in our net income as a result of gains (losses) on the settlement and the re-measurement of monetary assets and liabilities denominated in currencies that are not the local currency (primarily consisting of our intercompany and cash and cash equivalents balances). In addition, a portion of our costs and expenses have been, and we anticipate will continue to be, denominated in foreign currencies. If we do not have fully offsetting revenues in these currencies and if the value of the U.S. dollar depreciates significantly against these currencies, our costs as measured in U.S. dollars as a percent of our revenues will correspondingly increase and our margins will suffer. As a result, our operating results may be harmed. The value of our securities will be indirectly affected by the foreign exchange rate between the U.S. dollar and RMB and between those currencies and other currencies in which our sales may be denominated. Appreciation or depreciation in the value of the RMB relative to the U.S. dollar would affect our financial results reported in U.S. dollar terms without giving effect to any underlying change in our business or results of operations. Fluctuations in the exchange rate will also affect the relative value of any dividend we issue that will be exchanged into U.S. dollars, as well as earnings from, and the value of, any U.S. dollar-denominated investments we make in the future. It is difficult to predict how RMB exchange rates may change.</w:t>
      </w:r>
    </w:p>
    <w:p>
      <w:pPr>
        <w:spacing w:after="0" w:line="21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Additionally,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hedge our exposure at all. Our foreign currency exchange losses may also be magnified by PRC exchange control regulations that restrict our ability to convert RMB into foreign currencies. As a result, fluctuations in exchange rates may have a material adverse effect on our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debt covenants agreements contain covenant restrictions that may limit our ability to operate our business.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terms of certain of our debt facilities contain, and any of our other future debt agreements may contain, covenant restrictions that may limit our ability to operate our business, including restrictions on our and/or our subsidiaries’ ability to, among other things, incur additional debt or create liens. In addition, under certain circumstances we are required to maintain a certain amount of liquidity. As a result of these covenants, our ability to respond to changes in business and economic conditions and engage in beneficial transactions, including to obtain additional financing as needed, may be restricted. Furthermore, our failure to comply with our debt covenants could result in a default under our debt agreements, which could permit the holders to accelerate our obligation to repay the debt. If any of our debt is accelerated, we may not have sufficient funds available to repay it.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Additional funds may not be available to use for when we need or want them.</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business and our future plans for expansion, supporting infrastructure for our businesses are capital-intensive, and the specific timing of cash inflows and outflows may fluctuate substantially from period to period. We may need or want to raise additional funds through the issuance of equity, equity-related or debt securities, together with our principal sources of liquidity, the costs of developing and manufacturing our current or future products, to pay any significant unplanned or accelerated expenses or for new significant strategic investments, or to refinance our significant consolidated indebtedness, even if not required to do so by the terms of such indebtedness. We cannot be certain that additional funds will be available to us on favorable terms when required, or at all. If we cannot raise additional funds when we need them, our financial condition, results of operations, business and prospects could be materially and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negatively impacted by an early obsolescence of our manufacturing and other equipment.</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depreciate the cost of our manufacturing and other equipment over their expected useful lives. However, product cycles or technology may change periodically, and we may decide to update our products or processes more quickly than expected. Moreover, improvements in engineering and manufacturing expertise and efficiency may result in our ability to manufacture our products using less of our currently installed equipment. Alternatively, as we ramp and mature the production of our products and services to higher levels, we may discontinue the use of already installed equipment in favor of different or additional equipment. The useful life of any equipment that would be retired early as a result would be shortened, causing such depreciation to be accelerated, and our results of operations may be harmed.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tax law changes on international activities could significantly affect our finances and operational results.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Changes to U.S. tax laws, including limitations on the ability of taxpayers to claim and utilize foreign tax credits and the deferral of certain tax deductions until earnings outside of the U.S. are repatriated to the U.S., as well as changes to U.S. federal income tax laws that may be enacted in the future, could impact the tax treatment of our foreign earnings. Due to our international business activities, any changes in the U.S. federal income taxation of such activities may increase our worldwide effective tax rate and adversely affect our financial position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unforeseen tax liabilities that could affect our financial health.</w:t>
      </w:r>
    </w:p>
    <w:p>
      <w:pPr>
        <w:spacing w:after="0" w:line="24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are subject to federal, state and local taxes in the U.S. and are also subject to taxes in certain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our earnings being lower than anticipated in jurisdictions where we have lower statutory rates and higher than anticipated in jurisdictions where we have higher statutory rates, by changes in foreign currency exchange rates, or by changes in the valuation of our deferred tax assets and liabilities.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operations could lead to complex and unfavorable tax outcomes.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generally conduct our international operations through wholly-owned subsidiaries, branches and representative offices and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spacing w:after="0" w:line="19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under several of the tax regimes under which we operate, related party transactions must be conducted on an arm’s-length basis. Such transactions between related parties may be subject to audit or scrutiny by tax authorities, including, in the case of the PRC government, within ten years after the taxable year when the transactions are conducted. If the relevant tax authorities determine that related party transactions have not been conducted on an arm’s-length basis, they may adjust the taxable income of our specific subsidiaries through a transfer pricing adjustment and impose additional taxes (together with applicable interest) on those subsidiaries, as well as penalties for under-reporting of taxable income.</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revenues increase in our European and US operations and this involves intercompany transactions due to the production coming from MPS China, there is a risk that as those revenues increase, there will be higher scrutiny by local tax authorities on those intercompany transactions. While we obtain local, specialist third party tax advice on ensuring those transactions comply with local tax laws and regulations, there is always the risk that a tax authority will raise issue with these transactions and seek to impose a tax treatment that could be unfavorable to us, or may even seek to impose fines or penalties on us.</w:t>
      </w:r>
    </w:p>
    <w:p>
      <w:pPr>
        <w:spacing w:after="0" w:line="19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uncertainty in global economic conditions and obligations arising under economic, financial or trade sanctions laws and regulations or export controls, such as those associated with the ongoing conflicts in the Middle East, including hostilities with Iran, the war between Russia and Ukraine, and other current or future conflicts, could negatively affect our operating results.</w:t>
      </w:r>
    </w:p>
    <w:p>
      <w:pPr>
        <w:spacing w:after="0" w:line="19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operating results are directly affected by the general global economic conditions of the industries in which our major customer groups operate. Our business segments are highly dependent on the economic and market conditions in each of the geographic areas in which we operate. The uncertainty in global economic conditions varies by geographic segment and can result in substantial volatility in global credit markets. Credit volatility could impact our working capital for manufacturing or result in cost changes or interruptions to suppliers whose components we rely upon if we are unable to access the needed credit for our operations. These conditions affect our business by reducing prices that our customers may be able or willing to pay for our products or by reducing the demand for our products, which could in turn negatively impact our sales and result in a material adverse effect on our business, cash flow, results of operations and financial condition.</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also are subject to certain laws and regulations concerning economic, financial, or trade sanctions or embargoes, including those administered by the</w:t>
      </w:r>
    </w:p>
    <w:p>
      <w:pPr>
        <w:spacing w:after="0" w:line="4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Office of Foreign Assets Control (“OFAC”) of the U.S. Department of the Treasury. Absent authorization from OFAC, these sanctions laws and regulations prohibit us from engaging in certain transactions or dealings with, for the benefit of, or involving individuals or entities, their property or property interests, or</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jurisdictions targeted thereunder. For example, in connection with the ongoing conflicts the U.S., the E.U. and certain other governments around the world have responded by imposing various economic sanctions which restrict or prohibit certain business opportunities in Russia, Ukraine and in the Middle East. These sanctions are complex and are rapidly evolving. The uncertain nature, magnitude, and duration of hostilities stemming from the hostilities in the Middle East and conflicts between Russia and Ukraine, including the potential effects of sanctions limitations, possibility of counter-sanctions, retaliatory cyber-attacks on the world economy and markets, further disruptions to global supply chains and potential shipping delays, have contributed to increased market volatility and uncertainty, which could have an adverse impact on macroeconomic factors that affect our business.</w:t>
      </w:r>
    </w:p>
    <w:p>
      <w:pPr>
        <w:spacing w:after="0" w:line="186"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In addition, we rely on our payment processors to understand the destination of our payments to sellers. If our payment processors fail to maintain awareness of and comply with new or revised sanctions restrictions or prohibitions, which may evolve quickly and come into force with little or no notice, we may be at risk of being deemed to have violated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such sanctions limitations. Further escalation of geopolitical tensions could have a broader impact that expands into other markets where we do business, which could adversely affect our business, business partners or customers in the broader region. Violations of applicable sanctions laws and regulations may result in severe criminal or civil penalties, and we may be subject to other liabilities in addition to adverse publicity, which could negatively affect our business, operating results and financial condition.</w:t>
      </w:r>
    </w:p>
    <w:p>
      <w:pPr>
        <w:spacing w:after="0" w:line="20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batteries and our website, systems, and data we maintain may be subject to intentional disruption, other security incidents, or alleged violations of laws, regulations, or other obligations relating to data handling that could result in liability and adversely impact our reputation and future sales.</w:t>
      </w:r>
    </w:p>
    <w:p>
      <w:pPr>
        <w:spacing w:after="0" w:line="1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expect to face significant challenges with respect to information security and maintaining the security and integrity of our systems and other systems used in our business, as well as with respect to the data stored on or processed by these systems. Advances in technology, an increased level of sophistication, and an increased level of expertise of hackers, new discoveries in the field of cryptography or others can result in a compromise or breach of the systems used in our business or of security measures used in our business to protect confidential information, personal information, and other data.</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availability and effectiveness of our batteries, and our ability to conduct our business and operations, depend on the continued operation of IT and communications systems, some of which we have yet to develop or otherwise obtain the ability to use. Systems used in our business, including data centers and other IT systems,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We anticipate using outsourced service providers to help provide certain services, and any such outsourced service providers face similar security and system disruption risks as we do.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legally obligated to take back used batteries from clients and the cost of doing so may differ materially from our estimates.</w:t>
      </w:r>
    </w:p>
    <w:p>
      <w:pPr>
        <w:spacing w:after="0" w:line="236"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According to Directive 2013/56/EU, which amended Directive 2006/66/EC and which has been implemented in Germany with the German Battery Act (Batteriegesetz), we are obligated, in several EU member states, to take back and recycle or otherwise safely dispose of all batteries we directly sell as a producer free of charge for our clients. The EU Battery Regulation 2023/1542 will expand these obligations throughout all EU member states as of August 18, 2025. In 2021, we began selling batteries and battery systems as a direct producer in the European market. As our batteries are capable of supporting up to 10 years of operations under typical conditions, we expect the next tranche of end-of-life batteries to be returned to us in 2031 at the latest, a cycle which we expect to be ongoing. In order to address the financial and other risks associated with battery exchanges, we have decided to either exchange batteries ourselves or to sell them to third parties following the end of their battery life with a customer or their end-user. We estimate that roughly half of the batteries we have sold will be refurbished and resold while the remaining batteries are expected to be recycled or reutilized for other purposes. We are also investigating opportunities to develop small size energy storage systems which can be used to run parts of our manufacturing site returned batteries.</w:t>
      </w:r>
    </w:p>
    <w:p>
      <w:pPr>
        <w:spacing w:after="0" w:line="22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Changes in regulatory policies and customer practices could have a material adverse effect on our business and operations. The EU has also imposed its new EU Battery Regulation, parts of which became effective in the first quarter of 2024. This regulation, in conjunction with the EU Critical Raw Materials Regulation 2024/1252 (which is intended to increase intra-EU lithium production), will push local (European) battery cell production and “green” energy usage for battery production. Additionally, starting in the first quarter of 2027, the EU Battery Regulation requires us to provide an electronic record for our industrial and electric vehicle batteries, which must include an identification QR code and CE marking. Further, we will be subject to stricter supply chain due diligence and reporting obligations. Finally, we are beginning to see OEM customer requirements for locally produced battery cells. The latest developments in European regulatory policies described above may lead to increased competitiveness in the European market, as we expect major cell manufacturers to add localized European cell production.</w:t>
      </w:r>
    </w:p>
    <w:p>
      <w:pPr>
        <w:spacing w:after="0" w:line="19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have difficulties transferring and communicating technology globally, especially if communications and visa processes between the U.S. and other countries worsen.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different parts of the world, the technology platforms that are used to facilitate communication between staff are different, or in some cases banned. For example, the PRC government has banned a number of technology apps, and certain jurisdictions may attempt to restrict the operation and access of certain China-based companies, such as TikTok, WeChat and Alipay in the U.S. In response, government authorities in China, or elsewhere, may seek to restrict the access and operations of U.S. companies. As the options for communication become restricted, it may become difficult to efficiently coordinate complex manufacturing supply chains in a global setting, causing delays or missed income opportunities. Further, the software we use may be different in different countries, which makes it difficult to share certain engineering documents and resources between global subsidiaries. Delays due to inefficiencies in communication and file sharing may impact decision making, lead to errors, and affect our ability to maximize profit.</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have also transferred and expect to continue to transfer personnel between the United States and other geographies, specifically China, for short, medium and long-term or permanent durations. Global immigration requirements routinely change and are complex to navigate. We cannot assure you that we will be able to acquire adequate visas for the movement of our personnel between the locations we and/or our customers operate going forward. As our business is spread across many geographies, our current business relies on the ability of obtaining personnel visas so that our employees can freely move between our international offices and operations, and any restrictions or denials could limit our ability to train and pass along proprietary information efficiently.</w:t>
      </w:r>
    </w:p>
    <w:p>
      <w:pPr>
        <w:spacing w:after="0" w:line="188"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Although challenges transferring and communicating technology globally, as well as obtaining personnel visas, have not currently, however, impacted our geographic diversification strategy, we cannot assure you that we will not experience these issues in the future.</w:t>
      </w:r>
    </w:p>
    <w:p>
      <w:pPr>
        <w:spacing w:after="0" w:line="17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$200 million grant from the DOE was withdrawn and there is no certainty that the Company will qualify or have access to future awards or grants in the United States.</w:t>
      </w:r>
    </w:p>
    <w:p>
      <w:pPr>
        <w:spacing w:after="0" w:line="18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October 2022, we were notified by the DOE that we had been selected, in collaboration with General Motors, to receive $200 million in grant funding as part of the DOE's Battery Materials Processing and Battery Manufacturing initiative pursuant to the Infrastructure Investment and Jobs Act, subject to negotiation of specific terms and conditions. The grant funding was expected to support the construction of a new polyaramid separator manufacturing facility in Hopkinsville, Kentucky. On May 23, 2023, the DOE announced that it was declining to award the previously-announced $200 million grant to us. Our ability to obtain grants or incentives from government entities in the future is subject to the availability of funds under applicable government programs and approval of our applications to participate in such programs. The application process for these grants and other incentives is highly competitive. We may not be successful in obtaining any additional grants, loans or other incentives. Further, the withdraw of this DOE award had an adverse impact on our reputation and standing, and it may not be possible for us to mitigate these negative perceptions concerning us and our business and/or we may have to spend considerable management time and resources defending our reputation and standing. Dealing with the fallout from the loss of the DOE award may also limit our access to funding for our business going forward as third party sources of finance might be concerned about their own reputational risk of doing business with 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financial results may vary significantly from period to period due to fluctuations in our operating costs and other factors.</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expect our period-to-period financial results to vary based on our operating costs, which we anticipate will fluctuate as the pace at which we continue to design, develop and manufacture new products and increase production capacity by expanding our current manufacturing facilities and adding future facilities, may not be consistent or linear between periods. Additionally, our revenues from period to period may fluctuate as we introduce existing products to new markets for the first time and as we develop and introduce new products. As a result of these factors, we believe that the quarter-to-quarter comparisons of our financial results, especially in the short term, are not necessarily meaningful and that these comparisons cannot be relied upon as indicators of future performance. Moreover, our financial results may not meet expectations of equity research analysts, ratings agencies or investors, who may be focused only on short-term quarterly financial results. If any of this occurs, the trading price of our stock could fall substantially, either suddenly or over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fail to meet our publicly announced guidance or other expectations about our business, which could cause our stock price to decline.</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provide from time to time guidance regarding our expected financial and business performance. Correctly identifying key factors affecting business conditions and predicting future events is inherently an uncertain process, and our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guidance may not ultimately be accurate and has in the past been inaccurate in certain respects, such as the timing of new product manufacturing ramps. Our guidance is based on certain assumptions such as those relating to anticipated production and sales volumes, costs and operational efficiencies. If our guidance varies from actual results, such as due to our assumptions not being met or the impact on our financial performance that could occur as a result of various risks and uncertainties, the market value of our common stock could decline significantly.</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information technology systems or data, or those of our service providers or customers or users could be subject to cyber-security attacks or other security incidents, which could result in data breaches, intellectual property theft, claims, litigation, regulatory investigations, significant liability, reputational damage and other adverse consequences.</w:t>
      </w:r>
    </w:p>
    <w:p>
      <w:pPr>
        <w:spacing w:after="0" w:line="188"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7"/>
          <w:szCs w:val="17"/>
          <w:color w:val="auto"/>
        </w:rPr>
        <w:t>As an advanced battery technology company, we continue to expand our information technology as our operations grow, such as product data management, procurement, inventory management, production planning and execution, sales, service and logistics, financial, tax and regulatory compliance systems and other innovative and creative technologies to both further our business and to operate on a regular basis. This includes the implementation of new internally developed systems and the development of such systems. As such, we are potentially subject to risk from cybersecurity threats and cyberattacks that attempt to gain access to our systems to collect confidential data or disrupt our operations. Cyberattacks have become increasingly prevalent, and have continued to remain a threat among any company that engages in the collection and storage of sensitive data in the ordinary course of business, including, but not limited to, employee information, vendor information, proprietary information on our technology and any commercial transactions that the company might engage in. While we maintain information technology measures, policies and processes designed to protect us against intellectual property theft, data breaches, sabotage, and other external or internal cyberattacks, this does not fully remove us from potential threats that could disrupt our operations. The impacts of such a cybersecurity risk would be difficult to assess and to measure how severely it would impact our operations but could have a material impact on our business. Our systems and those of our service providers are potentially vulnerable to malware, ransomware, viruses, denial-of service attacks, phishing attacks, social engineering, computer hacking, unauthorized access, exploitation of bugs, defects and vulnerabilities, breakdowns, damage, interruptions, system malfunctions, power outages, terrorism, acts of vandalism, security breaches, security incidents, inadvertent or intentional actions by employees or other third parties, and other cyber-attacks. To the extent any security incident results in unauthorized access or damage to or acquisition, use, corruption, loss, destruction, alteration or dissemination of our data, including intellectual property and personal information, or our products or service offerings, or for it to be believed or reported that any of these occurred, it could disrupt our business, harm our reputation, compel us to comply with applicable data breach notification laws,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We also rely on service providers, and similar incidents relating to their information technology systems could also have a material adverse effect on our business. Our ability to monitor our service providers’ security measures is limited, and, in any event, malicious third parties may be able to circumvent those security measures. Further, the implementation, maintenance, segregation and improvement of these systems require significant management time, support and cost, and there are inherent risks associated with developing, improving and expanding our core systems as well as implementing new systems and updating current systems, including disruptions to the related areas of business operation. Moreover, if we do not successfully implement, maintain or expand these systems as planned, our operations may be disrupted, our ability to accurately and/or timely report our financial results could be impaired and deficiencies may arise in our internal control over financial reporting, which may impact our ability to certify our financial results. Moreover, our proprietary information, including intellectual property and personal information, could be compromised or misappropriated and our reputation may be adversely affected. If these systems or their functionality do not operate as we expect them to, we may be required to expend significant resources to make corrections or find alternative sources for performing these functions.</w:t>
      </w:r>
    </w:p>
    <w:p>
      <w:pPr>
        <w:spacing w:after="0" w:line="2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59"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may be adversely affected by any disruptions caused by union activities.</w:t>
      </w:r>
    </w:p>
    <w:p>
      <w:pPr>
        <w:spacing w:after="0" w:line="24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It is not uncommon for employees of certain trades at companies such as ours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Although we work diligently to provide the best possible work environment for our employees, they may still decide to join or seek recognition to form a labor union, or we may be required to become a union signatory. Furthermore, we are directly or indirectly dependent upon companies with unionized work forces, such as suppliers and trucking and freight companies. Any work stoppages or strikes organized by such unions could delay the manufacture and sale of our products and may harm our business and operating results.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failure by us to comply with a variety of U.S. and international privacy and consumer protection laws may harm us.</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Any failure by us or our vendors or other business partners to comply with our public privacy notice or with federal, state or international privacy, data protection, artificial intelligence or security laws or regulations relating to the processing, collection, use, retention, security and transfer of personally identifiable information could result in regulatory or litigation-related actions against us, legal liability, fines, damages, ongoing audit requirements and other significant costs. Substantial expenses and operational changes may be required in connection with maintaining compliance with such laws, and even an unsuccessful challenge by customers or regulatory authorities of our activities could result in adverse publicity and could require a costly response from and defense by us. In addition, certain privacy laws are still subject to a high degree of uncertainty as to their interpretation, application and impact, and may require extensive system and operational changes, be difficult to implement, increase our operating costs, adversely impact the cost or attractiveness of the products or services we offer, or result in adverse publicity and harm our reputation. For example, the General Data Protection Regulation applies to the processing of personal information collected from individuals located in the European Union requiring certain data protection measures when handling, with a significant risk of fines for noncompliance. Many U.S. states have enacted their own distinct privacy laws and regulations, which often impose different, overlapping, and sometimes conflicting requirements across multiple jurisdictions. Finally, additional privacy and cybersecurity laws have come into effect in the Asia-Pacific region, including China, and other jurisdictions where Microvast has a market presence.</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These laws continue to develop and may be inconsistent from jurisdiction to jurisdiction. Complying with emerging and changing requirements may cause us to incur substantial costs and make enhancements to relevant data practices. Noncompliance could result in significant penalties or legal liability.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China</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Adverse changes in the PRC’s political, economic, and other policies could materially affect China’s economic growth and negatively impact our business growth and competitiveness, as well as adverse trade relations with the United States.</w:t>
      </w:r>
    </w:p>
    <w:p>
      <w:pPr>
        <w:spacing w:after="0" w:line="18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business operations have a material dependency on the Chinese market for both revenues generated in that market and as a source of finished products and components for our global operations. Accordingly, our business, financial condition, results of operations, and prospects are affected significantly by economic, political, and legal developments in China. The Chinese economy differs from the economies of most developed countries in many respects, including:</w:t>
      </w:r>
    </w:p>
    <w:p>
      <w:pPr>
        <w:spacing w:after="0" w:line="191" w:lineRule="exact"/>
        <w:rPr>
          <w:sz w:val="20"/>
          <w:szCs w:val="20"/>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of government involvement;</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development;</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growth rate;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control of foreign exchange;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allocation of resources;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evolving and rapidly changing regulatory system;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lack of sufficient transparency in the regulatory process.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continued control and influence of the Chinese economy by the PRC government could materially and adversely affect our business. While the PRC government has implemented various measures to encourage economic growth and guide the allocation of resources, some of these measures may also have a negative effect on us. For example, our financial condition and results of operations may be adversely affected by government control over capital investments, foreign currency exchange restrictions, or changes in tax regulations that are applicable to us.</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PRC government exercises significant control over China’s economic growth through the allocation of resources, controlling payments of foreign currency-denominated obligations, setting monetary policy, and providing preferential treatment to particular industries or companies.</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Any adverse change in the economic conditions or government policies in China could have a material adverse effect on overall economic growth, which in turn could lead to a reduction in demand for our products and consequently have a material adverse effect on our businesses.</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PRC government regulations significantly impact our Chinese operations, with changes potentially increasing costs or limiting activities. We could become subject to regulations issued by the CAC and the requirements of the PRC government’s cyber or data security laws, which could impact our activities in China.</w:t>
      </w:r>
    </w:p>
    <w:p>
      <w:pPr>
        <w:spacing w:after="0" w:line="200" w:lineRule="exact"/>
        <w:rPr>
          <w:sz w:val="20"/>
          <w:szCs w:val="20"/>
          <w:color w:val="auto"/>
        </w:rPr>
      </w:pPr>
    </w:p>
    <w:p>
      <w:pPr>
        <w:spacing w:after="0" w:line="20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PRC government has broad discretion and authority to regulate the technology industry in China. Additionally, the PRC government has implemented policies from time-to-time to regulate economic expansion in China. Personal privacy, cyber security, and data protection are becoming increasingly significant issues in China. To address these issues, the PRC government promulgated cyber security laws setting forth various requirements relating to the collection, use, storage, disclosure and security of data, among other things. In 2021, the PRC government also implemented a comprehensive data security law which aims to regulate a wide range of issues in relation to the collection, storage, processing, use, provision, transaction and publication of any kind of data, and a law on personal information which provides a comprehensive set of rules on personal information protection in China.</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Regulations and measures enacted to implement such laws aim to ensure the security of supply chains for critical information infrastructure (“CII”) and guarantee national security by prescribing a security review by the PRC government’s Cybersecurity Review Office (the “CRO”, subordinated to the CAC) for certain network products and services purchased by CII operators and data processing activities conducted by online platform operators. Among those regulations, any online platform operator which holds the personal information of more than one million individuals is required to apply to the CRO for a cybersecurity review if it seeks to list on a non-PRC exchange. While we do not believe that such a regulation would impact our operations since neither we nor our subsidiaries in China collect any personal information, it is possible that other requirements may increase our costs of compliance or even materially affect our ability to operate our business. It is also possible that the CAC elects to impose rules or regulations with respect to the collection of personal information that apply more broadly and that would apply to us or our operations.</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Further, in 2022, the CAC published regulations related to cross-border data transfers, which specify that data handlers will be subject to security assessment if they match the following thresholds or conditions: (1) data handlers providing important data abroad; (2) CII operators and data handlers handling the personal information of over one million people providing personal information abroad; (3) data handlers providing abroad the personal information of more than 100,000 people or the sensitive personal information of more than 10,000 people since January 1 of the previous year; or (4) other situations provided for by the CAC that require a security assessment.</w:t>
      </w:r>
    </w:p>
    <w:p>
      <w:pPr>
        <w:spacing w:after="0" w:line="20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September 24, 2024, the State Council of the PRC released the Administrative Regulations on the Network Data Security, or the Data Security Regulations, which became effective on January 1, 2025. The Data Security Regulations may apply to the use of networks to carry out data processing activities and the supervision and administration of network data security in mainland China and apply to activities outside mainland China to process personal information of any natural persons in mainland China under any of the following circumstances: (i) for the purpose of providing products or services to natural persons in mainland China; (ii) analyze and evaluate the behavior of natural persons in mainland China; and (iii) other circumstances stipulated by laws and administrative regulations. The Data Security Regulations further stipulate that where it is indeed necessary to transfer “important data” collected and generated by a network data processor during its operation within the territory of mainland China to overseas parties, it shall pass the security assessment for cross-border data transfer organized by the CAC. Network data processors should identify and declare “important data” in accordance with the relevant provisions, but they are not required to conduct security assessment for outbound data transfer for data that has not been notified or published as “important data” by relevant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departments or regions. In addition, the Data Security Regulations provides that data processors that process “important data” must conduct an annual data security assessment with regard to the data process activities and submit the assessment report to relevant competent authorities at or above the provincial level. Since the Data Security Regulations is newly promulgated, there remains uncertainty as to how it will be implemented and interpreted by the competent authorities and whether the PRC regulatory agencies, including the CAC, will adopt new laws, regulations, rules, or detailed implementation and interpretation related to security assessment. We cannot predict the impact of the Data Security Regulations on us, if any, at this stage, and we will closely monitor and assess any development in the implementation and interpretation of the Data Security Regulations. Even though we do not believe our business activities fall under the scope of Data Security Regulations, in the event that a competent PRC governmental authority concludes otherwise, we face uncertainties as to whether such clearance can be timely obtained, or at all.</w:t>
      </w:r>
    </w:p>
    <w:p>
      <w:pPr>
        <w:spacing w:after="0" w:line="20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While we believe we are compliant in all material respects with the regulations and policies that have been issued to date by the CAC, we cannot guarantee we will be able to comply with all of these regulatory requirements. Any failure to comply with the cyber security, data security and personal information protection laws and the related regulations, measures and policies could result in further cost and liability to us and could adversely affect our business and results of operations. Additionally, increased costs to comply with, and other burdens imposed by such laws, regulations, measures and policies that are applicable to the businesses of our suppliers, vendors and other service providers, as well as our customers, could adversely affect our business and results of operations.</w:t>
      </w:r>
    </w:p>
    <w:p>
      <w:pPr>
        <w:spacing w:after="0" w:line="200" w:lineRule="exact"/>
        <w:rPr>
          <w:sz w:val="20"/>
          <w:szCs w:val="20"/>
          <w:color w:val="auto"/>
        </w:rPr>
      </w:pPr>
    </w:p>
    <w:p>
      <w:pPr>
        <w:spacing w:after="0" w:line="20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Any future revocation of approvals or any future failure to obtain approvals applicable to our business or any adverse changes in foreign investment policies of the PRC government may have a material adverse impact on our business, financial condition and results of operations.</w:t>
      </w:r>
    </w:p>
    <w:p>
      <w:pPr>
        <w:spacing w:after="0" w:line="17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subsidiaries in China operate as wholly foreign owned enterprises (“WFOE”) and, as a result, we are required to obtain governmental approvals, licenses, permits, and registrations from regulatory authorities such as CAC and the Ministry of Commerce of the PRC. We believe our Chinese subsidiaries possess the requisite governmental approvals, licenses, permits, and registration for our operations in China. However, the PRC regulatory authorities’ interpretation of the laws, rules, and regulations may change, which could materially and adversely affect the validity of the approvals, qualifications, licenses, permits, and registrations we have obtained or completed. Any failure to comply may result in fines, restrictions, and limits on our operations, as well as suspension or revocation of certain certificates, approvals, permits, licenses, or filings we have already obtained or made.</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the PRC government may amend existing laws or regulations or enact new laws and regulations that require additional licenses, permits, approvals, registrations and/or restrictions for the operation of any of our operations in China. PRC regulations relating to foreign ownership in the power battery manufacturing industry, including the manufacturing of our current main products, have been revised periodically over the past decade. Under the current regulatory regime, there are no foreign ownership restrictions over the manufacture of power batteries.</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However, we cannot assure you that we will have all the permits, licenses, registrations, approvals and/or business license items covering the sufficient scope of business required for our business in China in the future, or that we will be able to obtain, maintain or renew any permits, licenses, registrations, approvals and/or business license items covering the sufficient scope of our business in China in a timely manner or at all. Further, if there are changes to PRC regulations in the future that restrict foreign ownership of companies engaged in the manufacture of power batteries, such changes could materially and adversely affect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labor costs in the PRC increase substantially, our PRC subsidiaries' business and our costs of operations may be adversely affected.</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recent years, the Chinese economy has experienced inflation and labor cost increases. Average wages are projected to continue to increase. Further, under PRC law an employer is required to pay various statutory employee benefits, including pensions, housing funds, medical insurance, work-related injury insurance, unemployment insurance and maternity insurance to designated government agencies for the benefit of its employees. The relevant government agencies may examine whether an employer has made adequate payments to the statutory employee benefits, and those employers who fail to make adequate payments may be subject to late payment fees, fines and/or other penalties. We expect that our labor costs, including wages and employee benefits, will continue to increase based on the past trends. If we are unable to control our labor costs or pass such increased labor costs on to our subsidiaries’ customers, our financial condition and results of operations may be adversely affected.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PRC government may exert substantial influence over the manner in which we conduct our business operations in China.</w:t>
      </w:r>
    </w:p>
    <w:p>
      <w:pPr>
        <w:spacing w:after="0" w:line="24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PRC government has exercised, and continues to exercise, substantial control over virtually every sector of the Chinese economy through regulation and state ownership. Our ability to conduct and expand our manufacturing operations in China may be harmed by changes in its laws and regulations, including those relating to taxation, import and export tariffs, environmental regulations, land use rights, property ownership and other matters. We believe that our operations in China are in material compliance with all applicable legal and regulatory requirements. However, the central or local governments of the jurisdictions in which we operate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PRC properties or entities, including our PRC operating subsidiary, Microvast Power Systems, Ltd (“MPS”).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China's legal and judicial system may not adequately protect our business and operations and the rights of our investors.</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conduct a significant amount of our operations in China through MPS, which is a wholly owned foreign enterprise of Microvast Inc. The legal and judicial systems in China are still rudimentary, and enforcement of existing laws is uncertain. It may be impossible to obtain swift and equitable enforcement of laws that do exist, or to obtain enforcement of the judgment of one court by a court of another jurisdiction. China’s legal system is based on the civil law regime, that is, it is based on written statutes. A decision by one judge does not set a legal precedent that is required to be followed by judges in other cases. In addition, the interpretation of Chinese laws may be varied to reflect domestic political changes. As a result, our investors may have more difficulty in protecting their interests through actions against our management, directors or major stockholders than would investors of a corporation doing business entirely or predominantly within the U.S.</w:t>
      </w:r>
    </w:p>
    <w:p>
      <w:pPr>
        <w:spacing w:after="0" w:line="19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Restrictions under PRC law on our China subsidiaries’ ability to make dividends and other distributions could materially and adversely affect our ability to grow, make investments or acquisitions that could benefit our business, pay dividends to you, and otherwise fund and conduct our business.</w:t>
      </w:r>
    </w:p>
    <w:p>
      <w:pPr>
        <w:spacing w:after="0" w:line="17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are a holding company, and we conduct all of our operations through our subsidiaries, including our subsidiaries in China. We have been and intend to continue to use our cash on hand to fund our growth. However, because all of our operations are conducted through subsidiaries, all revenue generated from our operations and all capital expenditures we make in our business are generated by or made through subsidiaries, including our subsidiaries based in China. Currently, cash generated by our Chinese subsidiaries is reinvested in our Chinese operations. We currently do not rely on dividends and distributions on equity paid by our subsidiaries, including our subsidiaries based in China. However, our subsidiaries, including our subsidiaries based in China, are subject to statutory and regulatory limitations on the payment of dividends to the Company, which could in the future result in limitations on the availability of cash to fund dividends or distributions and could materially and adversely limit our ability to grow, make investments or acquisitions. Further, if our subsidiaries are unable to make dividend payments to us and sufficient cash or liquidity is not otherwise available, we may not be able to make principal and interest payments on our outstanding debt or repurchase shares of our common stock.</w:t>
      </w:r>
    </w:p>
    <w:p>
      <w:pPr>
        <w:spacing w:after="0" w:line="20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Current regulations in China permit payment of dividends only out of accumulated profits as determined in accordance with PRC accounting standards and regulations. According to the PRC corporate law, our Chinese subsidiaries are required to set aside at least 10% of our after-tax profit based on the PRC accounting standards and regulations each year to our statutory surplus reserve, until the balance in the reserve reaches 50% of the registered capital of each of our Chinese subsidiaries. Funds in the reserve are not distributable to us in forms of cash dividends, loans or advances. In addition, if our PRC subsidiaries incur debt on our own behalf in the future, the instruments governing the debt may restrict their ability to pay dividends or make other distributions to us, which in turn will adversely affect our available cash. Any limitations on the ability of our Chinese subsidiaries to transfer funds to us could materially and adversely limit our ability to grow, make investments or acquisitions that could be beneficial to our business and otherwise fund and conduct our business.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under PRC law, dividends payable by a foreign investment enterprise to any of our foreign non-resident enterprise investors will be subject to a 10% withholding tax, unless such foreign non-resident enterprise investor’s jurisdiction of incorporation has signed a tax treaty or arrangement for the avoidance of double taxation and the prevention of fiscal evasion with respect to taxes on income in China that provides for a reduced rate of withholding tax on dividends.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securities may be prohibited from trading in the United States under the Holding Foreign Companies Accountable Act (the “HFCAA”) in the future if the PCAOB is unable to fully inspect or investigate our China-based auditors under the HFCAA. The delisting of our securities, or the threat of their being delisted, may materially and adversely affect the value of your investment.</w:t>
      </w:r>
    </w:p>
    <w:p>
      <w:pPr>
        <w:spacing w:after="0" w:line="18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Pursuant to the HFCAA, if the SEC determines that we have filed audit reports issued by a registered public accounting firm that has not been subject to inspections by the PCAOB for two consecutive years, the SEC will prohibit our securities from being traded on a national securities exchange or in the over-the-counter trading market in the United States.</w:t>
      </w:r>
    </w:p>
    <w:p>
      <w:pPr>
        <w:spacing w:after="0" w:line="20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w:t>
      </w:r>
    </w:p>
    <w:p>
      <w:pPr>
        <w:spacing w:after="0" w:line="19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10-K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securities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securities when you wish to do so, and the risk and uncertainty associated with delisting would have a negative impact on the price of our securities. Also, such a prohibition would significantly affect our ability to raise capital on terms acceptable to us, or at all, which would have a material adverse impact on our business, financial condition, and prospects.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Changes in the policies of the PRC government, including more oversight and control over offerings that are conducted overseas and/or foreign investment in China-based issuers, could have a significant impact on the business we may be able to conduct in China, the profitability of our business and the value of our common stock.</w:t>
      </w:r>
    </w:p>
    <w:p>
      <w:pPr>
        <w:spacing w:after="0" w:line="201"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Recent regulatory developments in China, in particular with respect to restrictions on China-based companies raising capital offshore, may lead to additional regulatory review in China over our financing and capital raising activities in the U.S., even though our subsidiaries in China are controlled and managed by U.S. citizens and function as U.S. companies that access the China market through their WFOE status. If it is determined in the future that approval from the China Securities Regulatory Commission (the “CSRC”) or other regulatory authorities or other procedures, including the cybersecurity review under the enacted version of the Measures for Cybersecurity Review, are required in relation to our business activities in China, it is uncertain whether we can or how long it will take us to obtain such approval or complete such procedures and any such approval could be rescinded. Any failure to obtain or delay in obtaining such approval or completing such procedures, or a rescission of any such approval, if obtained by us, would subject our China operations to sanctions by the CSRC or other PRC regulatory authorities for failure to seek CSRC approval or other government authorization. These regulatory authorities may impose fines and penalties on our operations in China, limit our ability to pay dividends outside of China, limit our operating privileges in China, delay or restrict the funding of our China operations or take other actions that could materially and adversely affect our business, financial condition, results of operations, and prospects, as well as the trading price of our shares.</w:t>
      </w:r>
    </w:p>
    <w:p>
      <w:pPr>
        <w:spacing w:after="0" w:line="186"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7"/>
          <w:szCs w:val="17"/>
          <w:color w:val="auto"/>
        </w:rPr>
        <w:t xml:space="preserve">On February 17, 2023, the CSRC released the </w:t>
      </w:r>
      <w:r>
        <w:rPr>
          <w:rFonts w:ascii="Times New Roman" w:cs="Times New Roman" w:eastAsia="Times New Roman" w:hAnsi="Times New Roman"/>
          <w:sz w:val="17"/>
          <w:szCs w:val="17"/>
          <w:i w:val="1"/>
          <w:iCs w:val="1"/>
          <w:color w:val="auto"/>
        </w:rPr>
        <w:t>Trial Measures for the Administration of Overseas Issuance and Listing of Securities by Domestic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Enterprises </w:t>
      </w:r>
      <w:r>
        <w:rPr>
          <w:rFonts w:ascii="Times New Roman" w:cs="Times New Roman" w:eastAsia="Times New Roman" w:hAnsi="Times New Roman"/>
          <w:sz w:val="17"/>
          <w:szCs w:val="17"/>
          <w:color w:val="auto"/>
        </w:rPr>
        <w:t>(“Circular 43”) and a series of associated regulatory guidelines which came into effect on March 31, 2023. Under Circular 43, both direct listing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 listing activities of China based enterprises will become subject to a unified filing requirement with the CSRC. We do not believe this Circular is applicable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to Microvast and we believe the jurisdiction for how we conduct our offerings in the U.S. solely rests with the SEC. However, there is always the risk that the CSRC could rely on Circular 43 to cause disruption to our China business which in turn could have a material adverse impact on our business, results of operation and our stock price.</w:t>
      </w:r>
    </w:p>
    <w:p>
      <w:pPr>
        <w:spacing w:after="0" w:line="19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become subject to the recent scrutiny, criticism and negative publicity involving U.S.-listed companies with significant operations in China, and we have and we may continue to expend significant resources to investigate and resolve the matter which could harm our business operations, stock price and reputation, especially if such matter cannot be addressed and resolved favorably.</w:t>
      </w:r>
    </w:p>
    <w:p>
      <w:pPr>
        <w:spacing w:after="0" w:line="19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At various times during recent years, the U.S. and the PRC have had significant disagreements over political and economic issues, which may affect our economic outlook both in the U.S. and in China. Recently, there have been cases where U.S. public companies that have operations in China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U.S.-listed companies with significant operations in China has sharply decreased in value and, in some cases, has become virtually worthless. Many of these companies are now subject to shareholder lawsuits and SEC enforcement actions and are conducting internal and external investigations into the allegations. This sector-wide scrutiny, criticism and negative publicity could have a negative influence on us, our business and our stock price. If we become the subject of any unfavorable allegations, whether such allegations are proven to be true or untrue, we will have to expend significant resources to investigate such allegations and/or defend ourselves. This situation will be costly and time consuming and distract our management from growing our business. If such allegations are not proven to be groundless, we and our business operations will be adversely affected.</w:t>
      </w:r>
    </w:p>
    <w:p>
      <w:pPr>
        <w:spacing w:after="0" w:line="194"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In addition, the U.S. government has recently been highly critical of U.S.-listed companies with significant operations in China, in some cases working to bar them from U.S. markets or stock exchanges. Any political or trade controversies between the U.S. and the PRC and any future allegations or regulations might negatively impact us, whether or not directly related to our business, could affect investors’ willingness to hold or buy our stock and reduce the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Tariffs imposed on products of the PRC into the United States may lead to increased costs and impact our business.</w:t>
      </w:r>
    </w:p>
    <w:p>
      <w:pPr>
        <w:spacing w:after="0" w:line="236" w:lineRule="exact"/>
        <w:rPr>
          <w:sz w:val="20"/>
          <w:szCs w:val="20"/>
          <w:color w:val="auto"/>
        </w:rPr>
      </w:pPr>
    </w:p>
    <w:p>
      <w:pPr>
        <w:jc w:val="both"/>
        <w:ind w:firstLine="619"/>
        <w:spacing w:after="0" w:line="242" w:lineRule="auto"/>
        <w:rPr>
          <w:sz w:val="20"/>
          <w:szCs w:val="20"/>
          <w:color w:val="auto"/>
        </w:rPr>
      </w:pPr>
      <w:r>
        <w:rPr>
          <w:rFonts w:ascii="Times New Roman" w:cs="Times New Roman" w:eastAsia="Times New Roman" w:hAnsi="Times New Roman"/>
          <w:sz w:val="17"/>
          <w:szCs w:val="17"/>
          <w:color w:val="auto"/>
        </w:rPr>
        <w:t>Changes or increases in tariffs, trade restrictions, trade agreements, non-tariff trade barriers, local content requirements, uncertainty surrounding global trade policies, and the imposition of new or retaliatory tariffs against the PRC or covering certain products may affect our competitive position and result in increased costs for products manufactured in the United States using Chinese-origin inputs. Tariffs may have an adverse impacts on general economic conditions and our business, the exact outcomes of which are uncertain and depend on various factors, such as negotiations between the U.S. and China, the duration of such tariffs, the responses of other countries or regions to such tariffs, the actual increases in the costs of imported PRC products and raw materials, and exemptions or exclusions that may be granted. Should tariffs increase and be sustained, our inventory acquisition and carrying costs may be increased, which costs may be passed on to us and consumers through higher prices for our products. These increased prices may adversely impact our new product sales and demand for such products, potentially impacting our ability to sell them profitably.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Protecting our intellectual property rights, especially in China, may be challenging, and infringement claims could result in substantial costs.</w:t>
      </w:r>
    </w:p>
    <w:p>
      <w:pPr>
        <w:spacing w:after="0" w:line="236"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We seek to protect the products and technology that we consider important to our business by pursuing patent applications in China and other countries, relying on trade secrets or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w:t>
      </w:r>
    </w:p>
    <w:p>
      <w:pPr>
        <w:spacing w:after="0" w:line="200"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198"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While we endeavor to obtain and protect the intellectual property rights that we expect will allow us to retain or advance our strategic initiatives in these circumstances, there can be no assurance that we will be able to adequately identify and protect the portions of intellectual property that are strategic to our business, or mitigate the risk of potential suits or other legal demands by third parties. Accordingly, we may consider the entering into licensing agreements with respect to such rights, although no assurance can be given that such licenses can be obtained on acceptable terms or that litigation will not occur, and such licenses and associated litigation could significantly increase our operating expenses. Further, if we are determined to have or believe there is a high likelihood that we have infringed upon a third party’s intellectual property rights, we may be required to cease making, selling or incorporating certain components or intellectual property into the goods and services we offer, to pay substantial damages and/or license royalties, to redesign our products and services and/or to establish and maintain alternative branding for our products and services. In the event that we are required to take one or more such actions, our brand, business, financial condition and operating results may be harmed.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reliance on unpatented proprietary technologies is significant.</w:t>
      </w:r>
    </w:p>
    <w:p>
      <w:pPr>
        <w:spacing w:after="0" w:line="236"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Success relies on our capacity to acquire, uphold, and safeguard our intellectual property rights. To do so, we rely generally on copyright, trademark and trade secret laws, confidentiality and invention assignment agreements with employees and third parties, and other agreements with consultants, vendors and clients. Specifically, we rely substantially on unpatented proprietary technology. A significant number of our material proprietary technologies are know-how or trade secrets. For example, our proprietary polyvinylidene fluoride separator that allows for faster charge rates is unpatented. To protect our trade secrets, know-how and other proprietary information, we require employees, consultants, advisors and collaborators to enter into confidentiality agreements. Nonetheless, we cannot guarantee that these agreements will effectively protect our trade secrets, know-how, and proprietary information against unauthorized use, misappropriation, or disclosure. There’s no guarantee that employees, consultants, vendors, and clients have signed such agreements, have not or will not breach them, that we’ll have sufficient remedies for breaches, or that competitors won’t discover or independently develop our trade secrets. Despite the protections we place on our intellectual property, a third party could, without authorization, copy or otherwise obtain and use our products or technology, or develop similar technology.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w:t>
      </w:r>
    </w:p>
    <w:p>
      <w:pPr>
        <w:spacing w:after="0" w:line="204"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Additionally, others may independently create similar or identical technology or gain access to our unpatented technology, preventing us from asserting trade secret rights against them.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 or competing technologies, our competitive business position could be materially and adversely affected. In addition, some courts inside and outside the U.S. may be less willing or unwilling to protect trade secrets and agreement terms that address non-competition are difficult to enforce in many jurisdictions and might not be enforceable in certain cases.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partly hinges on protecting our trade secrets, confidential information, technology, trademarks, and other intellectual property rights.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depend on our trademarks, service marks, trade names, and brand names to differentiate our products from competitors’ and have registered or applied</w:t>
      </w:r>
    </w:p>
    <w:p>
      <w:pPr>
        <w:spacing w:after="0" w:line="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to register many of these marks</w:t>
      </w:r>
      <w:r>
        <w:rPr>
          <w:rFonts w:ascii="Arial" w:cs="Arial" w:eastAsia="Arial" w:hAnsi="Arial"/>
          <w:sz w:val="20"/>
          <w:szCs w:val="20"/>
          <w:color w:val="auto"/>
        </w:rPr>
        <w:t>.</w:t>
      </w:r>
      <w:r>
        <w:rPr>
          <w:rFonts w:ascii="Times New Roman" w:cs="Times New Roman" w:eastAsia="Times New Roman" w:hAnsi="Times New Roman"/>
          <w:sz w:val="17"/>
          <w:szCs w:val="17"/>
          <w:color w:val="auto"/>
        </w:rPr>
        <w:t xml:space="preserve"> Our trademarks or trade names may be challenged, infringed, circumvented or declared generic or determined to be infringing on other marks, and we cannot assure you that our trademark applications will be approved. During trademark registration proceedings, we may receive rejections. Although we are given an opportunity to respond to those rejections, we may be unable to overcome such rejections.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Further, we cannot assure you that competitors will not infringe our trademarks or that we will have adequate resources to enforce our trademarks and trade names, which we need to build name recognition among potential partners or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customers in our markets of interest. At times, competitors may adopt trade names or trademarks similar to ours, thereby impeding our ability to build a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19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Additionally, our strategy partly involves obtaining and maintaining patents for our proprietary products and processes. The process of applying for and obtaining a patent is expensive and time consuming, and we may not be able to file and prosecute all necessary or desirable patent applications at a reasonable cost, in a timely manner, or in all jurisdictions where protection may be commercially advantageous, or we financially may not be able to protect our proprietary rights at all. Despite our efforts, unauthorized parties may still access and use our proprietary information. In addition, the issuance of a patent does not ensure that it is valid or enforceable, so even if we obtain patents, they may not be valid or enforceable against third parties. In addition, the issuance of a patent does not give us the right to practice the patented invention. Third parties may have blocking patents that could prevent us from marketing our products and practicing our own technology. Alternatively, third parties may seek approval to market their products similar to or otherwise competitive with our products. In these circumstances, we may need to defend and/or assert our patents, including by filing lawsuits alleging patent infringement.</w:t>
      </w:r>
    </w:p>
    <w:p>
      <w:pPr>
        <w:spacing w:after="0" w:line="21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 Some of our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31"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Issued patents may be challenged, narrowed, invalidated or circumvented. Some countries’ legal systems do not strongly enforce patents, limiting our ability to protect our inventions as effectively as in the U.S. and Europe. For example, the validity, enforceability and scope of protection available under the relevant intellectual property laws in China is uncertain and still evolving. Implementation and enforcement of PRC intellectual property-related laws has historically been deficient and ineffective. Accordingly, the protection of intellectual property rights in China may not be as effective as in the U.S. or other developed countries. There can be no assurance that our intellectual property rights will not be challenged by third parties or found by a governmental authority to be invalid or unenforceable. Furthermore, policing unauthorized use of proprietary technology is difficult and expensive, and we may need to resort to litigation to enforce or defend patents issued to us or our other intellectual property rights or to determine the enforceability, scope and validity of our proprietary rights or those of others. Such litigation and an adverse determination in any such litigation, if any, could result in substantial costs, loss of our proprietary rights, and diversion of resources and management’s attention.</w:t>
      </w:r>
    </w:p>
    <w:p>
      <w:pPr>
        <w:spacing w:after="0" w:line="22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Because patent applications in the U.S., Europe and many other non-U.S.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U.S., Europe, China and in other non-U.S. countries cannot be predicted with certainty and, as a result, any patents that we own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w:t>
      </w:r>
    </w:p>
    <w:p>
      <w:pPr>
        <w:spacing w:after="0" w:line="2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some instances, we may have legal grounds to enforce our rights related to our patented technology, but may elect not to do so as a result of the cost of litigation or the limited value in enforcing our patent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Infringement claims against us could lead to substantial costs.</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recent years, there has been significant litigation in the U.S., Europe and China involving patents and other intellectual property rights. Companies in the battery industry are increasingly bringing and becoming subject to suits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alleging infringement of proprietary rights, particularly patent rights, and our competitors and other third parties may hold patents or have pending patent applications which could be related to our business. For example, we are aware of third-party patents and patent applications (if issued) that may be construed to cover one or more of our products or technologies. If these patents or patent applications (if issued) are asserted against us and we are found to infringe any of these patents, and we are unsuccessful in demonstrating that such patents are invalid or unenforceable, then we could be required to pay substantial monetary damages or cease further development or commercialization of one or more of our products or technologies. Although we generally conduct a freedom to operate search and review with respect to our products and technologies, we cannot guarantee that our search and review is complete and thorough, nor can we be sure that we have identified each and every patent and pending application in the U.S. and abroad that is relevant or necessary to the commercialization of our products or use of our technology. Because patent applications can take many years to issue, there may be currently pending patent applications that may later result in issued patents that our products or technologies may infringe. In addition, third parties may obtain patents in the future and claim that use of our technologies infringes upon these patents. These risks have been amplified by the increase in third parties, which we refer to as non-practicing entities, whose primary business is to assert infringement claims or make royalty demands. It is difficult to proceed with certainty in a rapidly evolving technological environment in which there may be patent applications pending related to our technologies, many of which are confidential when filed. We rely substantially on unpatented proprietary technology, which may make it more difficult to protect and enforce our intellectual property rights. We cannot assure you that we will have meaningful protection for our trade secrets, know-how or other intellectual property and proprietary information in the event of any unauthorized use, misappropriation, or disclosure, which could have a material adverse impact on our business.</w:t>
      </w:r>
    </w:p>
    <w:p>
      <w:pPr>
        <w:spacing w:after="0" w:line="198"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Third parties might infringe, misappropriate, or violate our intellectual property or proprietary rights, or we might have to defend against claims of such infringements or violations by others. To counter infringement or unauthorized use claims or to defend against such claims can be expensive and time consuming. Being involved in intellectual property litigation, even if resolved in our favor, can incur significant costs and distract our staff from their duties. In addition, there could be public announcements of the results of hearings, motions or other interim proceedings or developments and if securities analysts or investors perceive these results to be negative, it could have a substantial adverse effect on the price of our stock. Such litigation or proceedings could substantially increase our operating losses and reduce the resources available for development activities or any future sales, manufacturing, marketing or distribution activities. We may not have sufficient financial or other resources to adequately conduct such litigation or proceedings. Moreover, many of our current and potential competitors may dedicate substantially greater resources than we can to the protection and enforcement of intellectual property rights, especially patents. Incurring significant expenses and distracting our personnel for an intellectual property-related proceeding could have a material adverse effect on our business, financial condition, results of operations and prospects.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Common Stock</w:t>
      </w: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issue additional shares of common stock or other equity or convertible securities, which may depress the market price of our common stock and could make it difficult for another company to acquire us.</w:t>
      </w:r>
    </w:p>
    <w:p>
      <w:pPr>
        <w:spacing w:after="0" w:line="17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From time to time in the future, we issue additional shares of common stock or other equity or convertible securities for any reason or in connection with, among other things, future acquisitions, the redemption of outstanding warrants, or repayment of outstanding indebtedness, without stockholder approval, in a number of circumstances.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issuance of additional shares of common stock or other equity or convertible securities of equal or senior rank would have the following effects:</w:t>
      </w:r>
    </w:p>
    <w:p>
      <w:pPr>
        <w:spacing w:after="0" w:line="243" w:lineRule="exact"/>
        <w:rPr>
          <w:sz w:val="20"/>
          <w:szCs w:val="20"/>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stockholders’ proportionate ownership interest in us will decrease;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cash available per share, including for payment of dividends in the future, may decrease;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voting strength of each previously outstanding share of common stock may be diminished;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common stock may decline;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could make it difficult for another company to acquire us.</w:t>
      </w:r>
    </w:p>
    <w:p>
      <w:pPr>
        <w:spacing w:after="0" w:line="22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the future, we may obtain financing or to further increase our capital resources by issuing additional shares of our capital stock or offering debt or other equity securities, including senior or subordinated notes, debt securities convertible into equity, or shares of preferred stock.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respect to dividend payments that could limit our ability to pay dividends to the holders of common stock. Our decision to issue securities in any future offering will depend on market conditions and other factors beyond our control, which may adversely affect the amount, timing or nature of our future offerings. As a result, holders of common stock bear the risk that our future offerings may reduce the market price of common stock and dilute their percentage ownership.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Resales of our common stock may cause the market price of our securities to drop significantly, even if our business is doing well.</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connection with the Business Combination, outstanding warrants to purchase an aggregate of 28,437,000 shares of our common stock are exercisable in accordance with the terms of the Warrant Agreement governing those securities. The exercise price of these warrants is $11.50 per share.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warrants will ever be in the money prior to their expiration, and as such, the warrants may expire worthless.</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Further, on October 1, 2021, we filed a registration statement with the SEC on Form S-8 providing for the registration of shares of common stock issued or reserved for issuance under the Microvast Holdings, Inc. 2021 Equity Incentive Plan (the “2021 Plan”). Subject to the satisfaction of vesting conditions and the expiration of lockup agreements, shares registered under the registration statement on Form S-8 are available for resale immediately in the public market without restriction and such resales could adversely affect the trading price and volatility of our common stock.</w:t>
      </w:r>
    </w:p>
    <w:p>
      <w:pPr>
        <w:spacing w:after="0" w:line="1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though the warrants have become exercisable, there is no guarantee that the warrants will be in the money prior to their expiration, and they may expire worthless.</w:t>
      </w:r>
    </w:p>
    <w:p>
      <w:pPr>
        <w:spacing w:after="0" w:line="1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exercise price for our warrants is $11.50 per share of common stock, and the trading price of our common stock was $2.10 as of March 9, 2026. There is no guarantee that the warrants will be exercised following the time they become exercisable and prior to their expiration, and as such, the warrants may expire worthless. Further, since the registration of the warrants was not completed within 90 days following the Business Combination, pursuant to the Registration Rights and Lock-Up Agreement, warrant holders may exercise the warrants on a net-share basis.</w:t>
      </w:r>
    </w:p>
    <w:p>
      <w:pPr>
        <w:spacing w:after="0" w:line="1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Tuscan Group is likely to make a substantial profit even if the trading price of our common stock materially declines due to the nominal purchase price the Tuscan Group paid for the Founder Shares (as defined below).</w:t>
      </w:r>
    </w:p>
    <w:p>
      <w:pPr>
        <w:spacing w:after="0" w:line="17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Tuscan Group paid only a nominal aggregate purchase price of $25,000 for the Founder Shares, or approximately $0.004 per share, while the initial public offering (“IPO”) price of our common stock was $10.00 per share and the trading price of our common stock was $2.10 as of March 9, 2026. As a result, even if the trading price of our common stock significantly declines, the Tuscan Group will stand to make a significant profit on its investment in us. In addition, the Tuscan Group could potentially recoup its entire investment in us even if the trading price of our common stock is less than $1.00 per share. As a result, the Tuscan Group is likely to make a substantial profit on its investment in us even if the trading price of our common stock declines, while our public stockholders could lose significant value in their common stock and experience a negative rate of return on the shares they purchased in the IPO or in the public market.</w:t>
      </w:r>
    </w:p>
    <w:p>
      <w:pPr>
        <w:spacing w:after="0" w:line="19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Charter provides, subject to limited exceptions, that the Court of Chancery of the State of Delaware will be the sole and exclusive forum for certain stockholder litigation matters, which could limit stockholders’ ability to obtain a favorable judicial forum for disputes with us or our directors, officers, employees or stockholders.</w:t>
      </w:r>
    </w:p>
    <w:p>
      <w:pPr>
        <w:spacing w:after="0" w:line="19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Charter provides that unless we consent in writing to the selection of an alternative forum, (i) any derivative action or proceeding brought on behalf of us, (ii) any action asserting a claim of breach of a fiduciary duty owed by any current or former director, officer, employee or stockholder to us or our stockholders, (iii) any action asserting a claim (A) arising pursuant to any provision of the Delaware General Corporation Law (“DGCL”), the Charter or the Bylaws or (B) as to which the DGCL confers jurisdiction on the Court of Chancery of the State of Delaware or (iv) any action asserting a claim governed by the internal affairs doctrine of the law of the State of Delaware will, to the fullest extent permitted by applicable law, be solely and exclusively brought in the Court of Chancery of the State of Delaware or, if such court does not have jurisdiction, any state or federal court located in the State of Delaware with jurisdiction. The forum provision further provides that the federal district courts of the United States of America will, to the fullest extent permitted by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applicable law, be the sole and exclusive forum for the resolution of any action asserting claims arising under the Securities Act of 1933, as amended (the "Securities Act"). This forum selection provision does not apply to any action asserting claims arising under the Exchange Act or the Securities Act. Any person or entity purchasing or otherwise acquiring any interest in shares of our capital stock will be deemed to have notice of and consented to the forum provisions in the Charter.</w:t>
      </w:r>
    </w:p>
    <w:p>
      <w:pPr>
        <w:spacing w:after="0" w:line="200" w:lineRule="exact"/>
        <w:rPr>
          <w:sz w:val="20"/>
          <w:szCs w:val="20"/>
          <w:color w:val="auto"/>
        </w:rPr>
      </w:pP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This choice of forum provision may limit a stockholder’s ability to bring a claim in a judicial forum that we do not find favorable for disputes with us or any of our directors, officers, other employees or stockholders, which may discourage lawsuits with respect to such claims. Alternatively, if a court were to find the choice of forum provision contained in the Charter to be inapplicable or unenforceable in an action, we may incur additional costs associated with resolving such action in other jurisdictions, which could harm our business, operating results and financial condition.</w:t>
      </w:r>
    </w:p>
    <w:p>
      <w:pPr>
        <w:spacing w:after="0" w:line="1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Charter and Bylaws contain certain provisions that limit the ability of stockholders to take certain actions and could delay, discourage or prevent takeover attempts that stockholders may consider favorable.</w:t>
      </w:r>
    </w:p>
    <w:p>
      <w:pPr>
        <w:spacing w:after="0" w:line="1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Charter and Bylaws contain provisions that could have the effect of rendering more difficult, discouraging, delaying or preventing a takeover attempt that may be beneficial to our stockholders but that is deemed undesirable by Yang Wu and therefore depresses the trading price of our common stock. These provisions could also make it difficult for our stockholders to take certain actions, including electing directors who are not nominated by Yang Wu or the Tuscan Group or amending the Charter. Our Charter and Bylaws provide for, among other things:</w:t>
      </w:r>
    </w:p>
    <w:p>
      <w:pPr>
        <w:spacing w:after="0" w:line="197" w:lineRule="exact"/>
        <w:rPr>
          <w:sz w:val="20"/>
          <w:szCs w:val="20"/>
          <w:color w:val="auto"/>
        </w:rPr>
      </w:pPr>
    </w:p>
    <w:p>
      <w:pPr>
        <w:ind w:left="620" w:hanging="307"/>
        <w:spacing w:after="0" w:line="263"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board of directors (the “Board”) to issue shares of preferred stock and to determine the price and other terms of those shares, including preferences and voting rights, without stockholder approval, which could be used to significantly dilute the ownership of a hostile acquirer;</w:t>
      </w: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limitation of the liability of, and the indemnification of, our directors and officers;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increase or decrease in the number of directors will require the affirmative vote of the directors nominated by Yang Wu as provided in the Stockholders Agreement (as defined below);</w:t>
      </w:r>
    </w:p>
    <w:p>
      <w:pPr>
        <w:ind w:left="620" w:hanging="307"/>
        <w:spacing w:after="0" w:line="253"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any Board vacancies occurring by reason of the death, resignation or removal of any director nominated by Yang Wu or the Tuscan Group must be filled by the stockholder who was entitled to nominate such director to the Board;</w:t>
      </w:r>
    </w:p>
    <w:p>
      <w:pPr>
        <w:ind w:left="620" w:hanging="307"/>
        <w:spacing w:after="0" w:line="253"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committees of the Board will consist of the number of directors nominated by Yang Wu that is proportionate to the number of directors on the Board nominated by Yang Wu;</w:t>
      </w:r>
    </w:p>
    <w:p>
      <w:pPr>
        <w:ind w:left="620" w:hanging="307"/>
        <w:spacing w:after="0" w:line="253"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prohibition of stockholder action by written consent for any action that is required or permitted to be taken at an annual or special stockholders meeting;</w:t>
      </w:r>
    </w:p>
    <w:p>
      <w:pPr>
        <w:spacing w:after="0" w:line="206"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call for a special meeting of stockholders will only be available to (i) the Board, (ii) the chairman of the Board and (iii) Yang Wu, so long as Yang Wu beneficially owns at least 10% of the total voting power of all the then outstanding shares of stock of the Company entitled to vote generally in the election of directors, which could delay the ability of stockholders to force consideration of a proposal or to take action, including the removal of directors;</w:t>
      </w:r>
    </w:p>
    <w:p>
      <w:pPr>
        <w:jc w:val="both"/>
        <w:ind w:left="620" w:hanging="307"/>
        <w:spacing w:after="0" w:line="253"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limitation that directors on the Board may only be removed for a cause and only upon the affirmative vote of the holders of at least a majority of the total voting power of all the then outstanding shares of stock of the Company entitled to vote generally in the election of directors, voting together as a single class;</w:t>
      </w:r>
    </w:p>
    <w:p>
      <w:pPr>
        <w:ind w:left="620" w:hanging="307"/>
        <w:spacing w:after="0" w:line="253"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that the Company will not be governed by Section 203 of the DGCL, which will prohibit the Company from taking certain actions involving an “interested stockholder” for a certain period of time;</w:t>
      </w:r>
    </w:p>
    <w:p>
      <w:pPr>
        <w:jc w:val="both"/>
        <w:ind w:left="620" w:hanging="307"/>
        <w:spacing w:after="0" w:line="253"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any amendment to the Charter will be approved by (i) the holders of 75% of the total voting power of all the then outstanding shares of stock of the Company entitled to vote generally in the election of directors, so long as Yang Wu beneficially owns at least 10% of the total voting power of all the then outstanding shares of stock of the Company entitled to vote generally in the election of directors, or (ii) the holders of a majority of the total voting power of all the then outstanding shares of stock of the Company entitled to vote generally in the election of directors, if Yang Wu ceases to beneficially own at least 10% of the total voting power of all the then outstanding shares of stock of the Company entitled to vote generally in the election of directors; and</w:t>
      </w:r>
    </w:p>
    <w:p>
      <w:pPr>
        <w:spacing w:after="0" w:line="1" w:lineRule="exact"/>
        <w:rPr>
          <w:rFonts w:ascii="Times New Roman" w:cs="Times New Roman" w:eastAsia="Times New Roman" w:hAnsi="Times New Roman"/>
          <w:sz w:val="17"/>
          <w:szCs w:val="17"/>
          <w:color w:val="auto"/>
        </w:rPr>
      </w:pPr>
    </w:p>
    <w:p>
      <w:pPr>
        <w:ind w:left="620" w:hanging="307"/>
        <w:spacing w:after="0" w:line="266"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Board to amend the Bylaws, which may allow the Board to take additional actions to prevent an unsolicited takeover and inhibit the ability of an acquirer to amend the Bylaws to facilitate an unsolicited takeover attempt.</w:t>
      </w:r>
    </w:p>
    <w:p>
      <w:pPr>
        <w:spacing w:after="0" w:line="194"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provisions, alone or together, could delay or prevent hostile takeovers and changes in control or changes in the Board or management.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Any provision of the Charter or Bylaws that has the effect of delaying or preventing a change in control could limit the opportunity for stockholders to receive a premium for their shares of the Company’ capital stock and could also affect the price that some investors are willing to pay for the Company’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common stock may be volatile or may decline regardless of our operating performance.</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trading price of common stock may be volatile. This volatility of our common stock may be due to a number of factors such as those listed in “</w:t>
      </w:r>
      <w:r>
        <w:rPr>
          <w:rFonts w:ascii="Times New Roman" w:cs="Times New Roman" w:eastAsia="Times New Roman" w:hAnsi="Times New Roman"/>
          <w:sz w:val="17"/>
          <w:szCs w:val="17"/>
          <w:i w:val="1"/>
          <w:iCs w:val="1"/>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Risks Related to our Business and Industry</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“—Risks Related to doing Business in China” </w:t>
      </w:r>
      <w:r>
        <w:rPr>
          <w:rFonts w:ascii="Times New Roman" w:cs="Times New Roman" w:eastAsia="Times New Roman" w:hAnsi="Times New Roman"/>
          <w:sz w:val="17"/>
          <w:szCs w:val="17"/>
          <w:color w:val="auto"/>
        </w:rPr>
        <w:t>and the following:</w:t>
      </w:r>
    </w:p>
    <w:p>
      <w:pPr>
        <w:spacing w:after="0" w:line="226" w:lineRule="exact"/>
        <w:rPr>
          <w:sz w:val="20"/>
          <w:szCs w:val="20"/>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and financial performance and prospects;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or annual earnings or those of other companies in our industry compared to market expectations;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that impact demand for our products;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announcements concerning our business, our product users’ businesses or our competitors’ businesses;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our public float;</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coverage by or changes in financial estimates by securities analysts or failure to meet their expectations;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short reports;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and industry perception of our success, or lack thereof, in pursuing our growth strategy;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actions by us or our competitors, such as acquisitions or restructurings;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or regulations which adversely affect our industry or us;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guidance, interpretations or principles;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senior management or key personnel;</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issuances, exchanges or sales, or expected issuances, exchanges or sales of our capital stock;</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dividend policy;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resolution of new or pending litigation against us;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possible pandemics on our financial condition and the results of operations;</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ongoing conflicts in the Middle East, including hostilities with Iran, the war between Russia and Ukraine, and other current or future conflicts, and any restrictive actions that have been or may be taken by the U.S. and/or other countries in response thereto, such as economic, financial or trade sanctions or export controls; and</w:t>
      </w:r>
    </w:p>
    <w:p>
      <w:pPr>
        <w:ind w:left="620" w:hanging="307"/>
        <w:spacing w:after="0" w:line="266"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market, economic and political conditions in the U.S. and global economies or financial markets, including those resulting from natural disasters, terrorist attacks, acts of war and responses to such events.</w:t>
      </w:r>
    </w:p>
    <w:p>
      <w:pPr>
        <w:spacing w:after="0" w:line="19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These broad market and industry factors may materially reduce the market price of common stock, regardless of our operating performance. In addition, price volatility may be greater if the public float and trading volume of common stock is low.</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the past, following periods of market volatility, stockholders have instituted securities class action litigation. If we were involved in securities litigation, we could have a substantial cost and divert resources and the attention of executive management from our business regardless of the outcome of such litigation.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on common stock for the foreseeable future.</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currently intend to retain all available funds and any future earnings to fund the development and growth of our business. As a result, we do not anticipate declaring or paying any cash dividends on the common stock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 In addition, we may incur additional indebtedness, the terms of which may further restrict or prevent us from paying dividends on the common stock. Our inability or decision not to pay dividends, particularly when others in our industry have elected to do so, could also adversely affect the market price of the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analysts do not publish research or reports about us, or if they issue unfavorable commentary about us or industry or downgrade the common stock, the price of the common stock could decline.</w:t>
      </w:r>
    </w:p>
    <w:p>
      <w:pPr>
        <w:spacing w:after="0" w:line="159"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The trading market for the common stock depends in part on the research and reports that third-party securities analysts publish about us and the industries in which we operate. We may be unable or slow to attract research coverage and if one or more analysts cease coverage on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it could cause us to lose visibility in the financial markets, which could cause the price or trading volume of the securities to decline. Moreover, if one or more of the analysts who cover us downgrades the common stock, or if our reporting results do not meet their expectations, the market price of the common stock could decline.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exposed to liabilities under the FCPA, U.K. Bribery Act, Chinese and other anti-corruption laws, and any determination that we violated these laws could have a material adverse effect on our business.</w:t>
      </w:r>
    </w:p>
    <w:p>
      <w:pPr>
        <w:spacing w:after="0" w:line="17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are subject to the FCPA, U.K. Bribery Act and other applicable anti-corruption laws that prohibit improper payments or offers of payments to foreign governments and their officials and political parties by U.S. persons and issuers as defined by the statutes, for the purpose of obtaining or retaining business. We have operations, agreements with third parties, and we currently have a sizeable portion of our sales in China. Since most of the end users and OEM bus manufacturers are state-owned companies in China, substantially most of our interactions with our end users and customers are with “government officials,” as such term is defined in the FCPA. The PRC also strictly prohibits bribery of government officials. Our activities in China create the risk of unauthorized payments or offers of payments by the employees, consultants, sales agents, or distributors of our subsidiaries, even though they may not always be subject to our control. We have implemented safeguards that seek to discourage and prevent these practices by our employees. However, our existing safeguards and any future improvements may prove to be less than effective, and the employees, consultants, sales agents, or distributors of our subsidiaries may engage in conduct for which we might be held responsible. Violations of the FCPA, U.K. Bribery Act, or Chinese or other anti-corruption laws may result in severe criminal or civil sanctions, and we may be subject to other liabilities in addition to adverse publicity, which could negatively affect our business, operating results and financial condition. In addition, the U.S. government may seek to hold our subsidiaries liable for FCPA violations committed by companies in which we invest or that we acquire.</w:t>
      </w:r>
    </w:p>
    <w:p>
      <w:pPr>
        <w:spacing w:after="0" w:line="200" w:lineRule="exact"/>
        <w:rPr>
          <w:sz w:val="20"/>
          <w:szCs w:val="20"/>
          <w:color w:val="auto"/>
        </w:rPr>
      </w:pPr>
    </w:p>
    <w:p>
      <w:pPr>
        <w:spacing w:after="0" w:line="2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risks related to health epidemics, including any ongoing public health crises, which has disrupted our business and could have a material adverse effect on our business and results of operations.</w:t>
      </w:r>
    </w:p>
    <w:p>
      <w:pPr>
        <w:spacing w:after="0" w:line="1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Public health crises such as pandemics or similar outbreaks could adversely impact our business. Actual or threatened public health crises may have a number of adverse impacts, including volatility in the global economy, impacts to our business operations, or significant disruptions in the markets we serve, caused by a variety of factors such as quarantines, closures, or other government-imposed restrictions, any of which could adversely impact our business, operations, financial condition and operating results.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 example, the COVID-19 pandemic caused changes in consumer and business behavior, pandemic fears and market downturns, and restrictions on business and individual activities, has created significant volatility in the global economy and led to reduced economic activity. The spread of COVID-19 also created a disruption in the manufacturing, delivery and overall supply chain of vehicle manufacturers and suppliers and led to a global decrease in vehicle sales in markets around the world.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facilities or operations could be damaged or adversely affected as a result of natural disasters and other catastrophic events.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facilities or operations could be adversely affected by events outside of our control, such as natural disasters, wars, health epidemics such as the COVID-19 pandemic, and other calamities.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or corruption of data or malfunctions of software or hardware as well as adversely affect our ability to provide services.</w:t>
      </w:r>
    </w:p>
    <w:p>
      <w:pPr>
        <w:spacing w:after="0" w:line="237"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lengthy and variable sales cycle makes it difficult for us to accurately forecast our revenue and other operating results. As a result, we expect our results of the operation to fluctuate on a quarterly and annual basis, which could cause our stock price to fluctuate or decline.</w:t>
      </w:r>
    </w:p>
    <w:p>
      <w:pPr>
        <w:spacing w:after="0" w:line="17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sales cycle for our products, especially those that are used in commercial vehicle applications, is lengthy, beginning from initial contact with a prospective customer to routine commercial utilization of our products, which makes it difficult for us to accurately forecast our revenue in a given period, and may cause our revenue and operating results to vary significantly from period to period. Some potential customers of our products typically need to commit significant time and resources in evaluating the technology used in our products and their decision to purchase our products may be further limited by budgetary constraints, lack of funding and numerous rounds of internal review and approval, which are beyond our control. We spend substantial time and effort assisting potential customers in evaluating our products, including providing demonstrations and validation. Even after initial approval by appropriate decision-makers, the negotiation and documentation processes for the actual adoption of our products can be lengthy. As a result of these factors, based on our experience to date, our sales cycle has varied and can sometimes be four years or longer. In addition, the revenue generated from sales of our products may fluctuate from time to time due to market and general economic conditions.</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As a result, our quarterly and annual operating results have fluctuated in the past and likely will fluctuate in the future. The demand for our products is driven largely by the demand for the end-product applications that are powered by our products. Accordingly, the battery industry is affected by market conditions that are often outside our control. Our results of operations may fluctuate significantly from period to period due to a number of factors, including general economic, industry and market conditions, capacity ramp up by competitors, industry-wide technological changes, the loss of a key customer or the postponement, rescheduling or cancellation of large orders by a key customer. As a result of these factors and other risks discussed in this section, year-over-year comparisons should not be relied upon to predict our future performance.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Risk Management and Strategy</w:t>
      </w:r>
    </w:p>
    <w:p>
      <w:pPr>
        <w:spacing w:after="0" w:line="213"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 Identifying and assessing cybersecurity risk is integrated into our overall risk management systems and processes. Cybersecurity risks related to our business, technical operations, privacy and compliance issues are identified and addressed through a multi-faceted approach including third party assessments, internal IT Audit, IT security, governance, risk and compliance reviews. To defend, detect and respond to cybersecurity incidents, we, among other things: conduct proactive cybersecurity reviews of systems and applications, audit applicable data policies, perform testing to test security controls, conduct employee training, monitor emerging laws and regulations related to data protection and information security and implement appropriate changes as the need arises.</w:t>
      </w:r>
    </w:p>
    <w:p>
      <w:pPr>
        <w:spacing w:after="0" w:line="21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have implemented incident response and breach management processes which have four overarching and interconnected stages: 1) preparation for a cybersecurity incident, 2) detection and analysis of a security incident, 3) containment, eradication and recovery, and 4) post-incident analysis. Such incident responses are overseen by leaders from our Information Security, Compliance and Legal team regarding matters of cybersecurity. Security events and data incidents are evaluated, ranked by severity and prioritized for response and remediation. Incidents are evaluated to determine materiality as well as operational and business impact, and reviewed for privacy impact.</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Microvast utilizes a set of policies, procedures, and technologies designed to prevent, detect, respond to, and recover from cybersecurity threats and incidents. These policies are regularly reviewed and updated to integrate industry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best practices. Internal control evaluations are conducted routinely to ensure compliance and address any identified vulnerabilities.</w:t>
      </w:r>
    </w:p>
    <w:p>
      <w:pPr>
        <w:spacing w:after="0" w:line="2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company did not experience any cybersecurity incidents that materially impacted our operations for the year ended December 31, 2025. We remain unaware of any active threats that could significantly affect our business strategy or financial condition. For more information on cybersecurity risks, see “Risk Factors — Risks Related to Our Business and Industry.”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234"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Cybersecurity is an important part of our risk management processes and an area of focus for our Board and management. Our Audit Committee is responsible for the oversight of risks from cybersecurity threats. Members of the Audit Committee receive updates on a quarterly basis from senior management, including leaders from our Information Security, Compliance and Legal teams regarding matters of cybersecurity. This includes existing and new cybersecurity risks, status on how management is addressing and/or mitigating those risks, cybersecurity and data privacy incidents (if any) and status on key information security initiatives. Our Board members also engage in ad hoc conversations with management on cybersecurity-related news events and discuss any updates to our cybersecurity risk management and strategy.</w:t>
      </w:r>
    </w:p>
    <w:p>
      <w:pPr>
        <w:spacing w:after="0" w:line="196"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7"/>
          <w:szCs w:val="17"/>
          <w:color w:val="auto"/>
        </w:rPr>
        <w:t>Our cybersecurity risk management and strategy processes are overseen by leaders from our Information Security, Compliance and Legal teams. Such individuals have an average of over 20 years of prior work experience in various roles involving information technology, including security, auditing, compliance, systems, and programming.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and report to the Audit Committee on any appropriate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corporate headquarters is located in Stafford, Texas at 12603 Southwest Freeway, Suite 300, Stafford, Texas 77477. A summary of our physical properties as of December 31, 2025 follows in the table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0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b w:val="1"/>
                <w:bCs w:val="1"/>
                <w:color w:val="auto"/>
              </w:rPr>
              <w:t>Country</w:t>
            </w:r>
          </w:p>
        </w:tc>
        <w:tc>
          <w:tcPr>
            <w:tcW w:w="10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Approximate Size</w:t>
            </w:r>
          </w:p>
        </w:tc>
        <w:tc>
          <w:tcPr>
            <w:tcW w:w="10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b w:val="1"/>
                <w:bCs w:val="1"/>
                <w:color w:val="auto"/>
              </w:rPr>
              <w:t>Function</w:t>
            </w:r>
          </w:p>
        </w:tc>
        <w:tc>
          <w:tcPr>
            <w:tcW w:w="10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b w:val="1"/>
                <w:bCs w:val="1"/>
                <w:color w:val="auto"/>
              </w:rPr>
              <w:t>Owned / Leased</w:t>
            </w:r>
          </w:p>
        </w:tc>
      </w:tr>
      <w:tr>
        <w:trPr>
          <w:trHeight w:val="202"/>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Stafford, Texas</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9,300 sq. ft.</w:t>
            </w: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headquarters,</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Leased</w:t>
            </w:r>
          </w:p>
        </w:tc>
      </w:tr>
      <w:tr>
        <w:trPr>
          <w:trHeight w:val="236"/>
        </w:trPr>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administrative offices</w:t>
            </w:r>
          </w:p>
        </w:tc>
        <w:tc>
          <w:tcPr>
            <w:tcW w:w="2160" w:type="dxa"/>
            <w:vAlign w:val="bottom"/>
            <w:shd w:val="clear" w:color="auto" w:fill="CCEEFF"/>
          </w:tcPr>
          <w:p>
            <w:pPr>
              <w:spacing w:after="0"/>
              <w:rPr>
                <w:sz w:val="20"/>
                <w:szCs w:val="20"/>
                <w:color w:val="auto"/>
              </w:rPr>
            </w:pPr>
          </w:p>
        </w:tc>
      </w:tr>
      <w:tr>
        <w:trPr>
          <w:trHeight w:val="20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Lake Mary, Florida</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75,000 sq. ft. on 7 acres</w:t>
            </w: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Owned</w:t>
            </w:r>
          </w:p>
        </w:tc>
      </w:tr>
      <w:tr>
        <w:trPr>
          <w:trHeight w:val="229"/>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administrative offices</w:t>
            </w:r>
          </w:p>
        </w:tc>
        <w:tc>
          <w:tcPr>
            <w:tcW w:w="2160" w:type="dxa"/>
            <w:vAlign w:val="bottom"/>
          </w:tcPr>
          <w:p>
            <w:pPr>
              <w:spacing w:after="0"/>
              <w:rPr>
                <w:sz w:val="19"/>
                <w:szCs w:val="19"/>
                <w:color w:val="auto"/>
              </w:rPr>
            </w:pPr>
          </w:p>
        </w:tc>
      </w:tr>
      <w:tr>
        <w:trPr>
          <w:trHeight w:val="209"/>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Clarksville, Tennessee</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577,000 sq. ft. on 82 acres</w:t>
            </w: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Manufacturing, testing, energy</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Owned</w:t>
            </w:r>
          </w:p>
        </w:tc>
      </w:tr>
      <w:tr>
        <w:trPr>
          <w:trHeight w:val="193"/>
        </w:trPr>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storage container assembly,</w:t>
            </w:r>
          </w:p>
        </w:tc>
        <w:tc>
          <w:tcPr>
            <w:tcW w:w="2160" w:type="dxa"/>
            <w:vAlign w:val="bottom"/>
            <w:shd w:val="clear" w:color="auto" w:fill="CCEEFF"/>
          </w:tcPr>
          <w:p>
            <w:pPr>
              <w:spacing w:after="0"/>
              <w:rPr>
                <w:sz w:val="16"/>
                <w:szCs w:val="16"/>
                <w:color w:val="auto"/>
              </w:rPr>
            </w:pPr>
          </w:p>
        </w:tc>
      </w:tr>
      <w:tr>
        <w:trPr>
          <w:trHeight w:val="206"/>
        </w:trPr>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warehouse, sales, after-sales</w:t>
            </w:r>
          </w:p>
        </w:tc>
        <w:tc>
          <w:tcPr>
            <w:tcW w:w="2160" w:type="dxa"/>
            <w:vAlign w:val="bottom"/>
            <w:shd w:val="clear" w:color="auto" w:fill="CCEEFF"/>
          </w:tcPr>
          <w:p>
            <w:pPr>
              <w:spacing w:after="0"/>
              <w:rPr>
                <w:sz w:val="17"/>
                <w:szCs w:val="17"/>
                <w:color w:val="auto"/>
              </w:rPr>
            </w:pPr>
          </w:p>
        </w:tc>
      </w:tr>
      <w:tr>
        <w:trPr>
          <w:trHeight w:val="236"/>
        </w:trPr>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administrative offices</w:t>
            </w:r>
          </w:p>
        </w:tc>
        <w:tc>
          <w:tcPr>
            <w:tcW w:w="2160" w:type="dxa"/>
            <w:vAlign w:val="bottom"/>
            <w:shd w:val="clear" w:color="auto" w:fill="CCEEFF"/>
          </w:tcPr>
          <w:p>
            <w:pPr>
              <w:spacing w:after="0"/>
              <w:rPr>
                <w:sz w:val="20"/>
                <w:szCs w:val="20"/>
                <w:color w:val="auto"/>
              </w:rPr>
            </w:pPr>
          </w:p>
        </w:tc>
      </w:tr>
      <w:tr>
        <w:trPr>
          <w:trHeight w:val="20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Berlin</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Germany</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185,000 sq. ft. on 9 acres</w:t>
            </w: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European headquarters,</w:t>
            </w:r>
          </w:p>
        </w:tc>
        <w:tc>
          <w:tcPr>
            <w:tcW w:w="2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Leased</w:t>
            </w:r>
          </w:p>
        </w:tc>
      </w:tr>
      <w:tr>
        <w:trPr>
          <w:trHeight w:val="193"/>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administrative offices,</w:t>
            </w:r>
          </w:p>
        </w:tc>
        <w:tc>
          <w:tcPr>
            <w:tcW w:w="2160" w:type="dxa"/>
            <w:vAlign w:val="bottom"/>
          </w:tcPr>
          <w:p>
            <w:pPr>
              <w:spacing w:after="0"/>
              <w:rPr>
                <w:sz w:val="16"/>
                <w:szCs w:val="16"/>
                <w:color w:val="auto"/>
              </w:rPr>
            </w:pPr>
          </w:p>
        </w:tc>
      </w:tr>
      <w:tr>
        <w:trPr>
          <w:trHeight w:val="206"/>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manufacturing (module),</w:t>
            </w:r>
          </w:p>
        </w:tc>
        <w:tc>
          <w:tcPr>
            <w:tcW w:w="2160" w:type="dxa"/>
            <w:vAlign w:val="bottom"/>
          </w:tcPr>
          <w:p>
            <w:pPr>
              <w:spacing w:after="0"/>
              <w:rPr>
                <w:sz w:val="17"/>
                <w:szCs w:val="17"/>
                <w:color w:val="auto"/>
              </w:rPr>
            </w:pPr>
          </w:p>
        </w:tc>
      </w:tr>
      <w:tr>
        <w:trPr>
          <w:trHeight w:val="193"/>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testing, warehouse, sales, after</w:t>
            </w:r>
          </w:p>
        </w:tc>
        <w:tc>
          <w:tcPr>
            <w:tcW w:w="2160" w:type="dxa"/>
            <w:vAlign w:val="bottom"/>
          </w:tcPr>
          <w:p>
            <w:pPr>
              <w:spacing w:after="0"/>
              <w:rPr>
                <w:sz w:val="16"/>
                <w:szCs w:val="16"/>
                <w:color w:val="auto"/>
              </w:rPr>
            </w:pPr>
          </w:p>
        </w:tc>
      </w:tr>
      <w:tr>
        <w:trPr>
          <w:trHeight w:val="229"/>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sales-service</w:t>
            </w:r>
          </w:p>
        </w:tc>
        <w:tc>
          <w:tcPr>
            <w:tcW w:w="2160" w:type="dxa"/>
            <w:vAlign w:val="bottom"/>
          </w:tcPr>
          <w:p>
            <w:pPr>
              <w:spacing w:after="0"/>
              <w:rPr>
                <w:sz w:val="19"/>
                <w:szCs w:val="19"/>
                <w:color w:val="auto"/>
              </w:rPr>
            </w:pPr>
          </w:p>
        </w:tc>
      </w:tr>
      <w:tr>
        <w:trPr>
          <w:trHeight w:val="209"/>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London</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4,990 sq. ft.</w:t>
            </w: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Warehouse, service office,</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Leased</w:t>
            </w:r>
          </w:p>
        </w:tc>
      </w:tr>
      <w:tr>
        <w:trPr>
          <w:trHeight w:val="236"/>
        </w:trPr>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after sales service</w:t>
            </w:r>
          </w:p>
        </w:tc>
        <w:tc>
          <w:tcPr>
            <w:tcW w:w="2160" w:type="dxa"/>
            <w:vAlign w:val="bottom"/>
            <w:shd w:val="clear" w:color="auto" w:fill="CCEEFF"/>
          </w:tcPr>
          <w:p>
            <w:pPr>
              <w:spacing w:after="0"/>
              <w:rPr>
                <w:sz w:val="20"/>
                <w:szCs w:val="20"/>
                <w:color w:val="auto"/>
              </w:rPr>
            </w:pPr>
          </w:p>
        </w:tc>
      </w:tr>
      <w:tr>
        <w:trPr>
          <w:trHeight w:val="20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Huzhou</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China</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1,400,000 sq. ft. on 72 acres</w:t>
            </w: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Asia Pacific headquarters,</w:t>
            </w:r>
          </w:p>
        </w:tc>
        <w:tc>
          <w:tcPr>
            <w:tcW w:w="2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Owned</w:t>
            </w:r>
          </w:p>
        </w:tc>
      </w:tr>
      <w:tr>
        <w:trPr>
          <w:trHeight w:val="193"/>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manufacturing (components,</w:t>
            </w:r>
          </w:p>
        </w:tc>
        <w:tc>
          <w:tcPr>
            <w:tcW w:w="2160" w:type="dxa"/>
            <w:vAlign w:val="bottom"/>
          </w:tcPr>
          <w:p>
            <w:pPr>
              <w:spacing w:after="0"/>
              <w:rPr>
                <w:sz w:val="16"/>
                <w:szCs w:val="16"/>
                <w:color w:val="auto"/>
              </w:rPr>
            </w:pPr>
          </w:p>
        </w:tc>
      </w:tr>
      <w:tr>
        <w:trPr>
          <w:trHeight w:val="206"/>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cell, module and pack),</w:t>
            </w:r>
          </w:p>
        </w:tc>
        <w:tc>
          <w:tcPr>
            <w:tcW w:w="2160" w:type="dxa"/>
            <w:vAlign w:val="bottom"/>
          </w:tcPr>
          <w:p>
            <w:pPr>
              <w:spacing w:after="0"/>
              <w:rPr>
                <w:sz w:val="17"/>
                <w:szCs w:val="17"/>
                <w:color w:val="auto"/>
              </w:rPr>
            </w:pPr>
          </w:p>
        </w:tc>
      </w:tr>
      <w:tr>
        <w:trPr>
          <w:trHeight w:val="193"/>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testing, warehouse, sales,</w:t>
            </w:r>
          </w:p>
        </w:tc>
        <w:tc>
          <w:tcPr>
            <w:tcW w:w="2160" w:type="dxa"/>
            <w:vAlign w:val="bottom"/>
          </w:tcPr>
          <w:p>
            <w:pPr>
              <w:spacing w:after="0"/>
              <w:rPr>
                <w:sz w:val="16"/>
                <w:szCs w:val="16"/>
                <w:color w:val="auto"/>
              </w:rPr>
            </w:pPr>
          </w:p>
        </w:tc>
      </w:tr>
      <w:tr>
        <w:trPr>
          <w:trHeight w:val="193"/>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after-sales service, research</w:t>
            </w:r>
          </w:p>
        </w:tc>
        <w:tc>
          <w:tcPr>
            <w:tcW w:w="2160" w:type="dxa"/>
            <w:vAlign w:val="bottom"/>
          </w:tcPr>
          <w:p>
            <w:pPr>
              <w:spacing w:after="0"/>
              <w:rPr>
                <w:sz w:val="16"/>
                <w:szCs w:val="16"/>
                <w:color w:val="auto"/>
              </w:rPr>
            </w:pPr>
          </w:p>
        </w:tc>
      </w:tr>
      <w:tr>
        <w:trPr>
          <w:trHeight w:val="193"/>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and development,</w:t>
            </w:r>
          </w:p>
        </w:tc>
        <w:tc>
          <w:tcPr>
            <w:tcW w:w="2160" w:type="dxa"/>
            <w:vAlign w:val="bottom"/>
          </w:tcPr>
          <w:p>
            <w:pPr>
              <w:spacing w:after="0"/>
              <w:rPr>
                <w:sz w:val="16"/>
                <w:szCs w:val="16"/>
                <w:color w:val="auto"/>
              </w:rPr>
            </w:pPr>
          </w:p>
        </w:tc>
      </w:tr>
      <w:tr>
        <w:trPr>
          <w:trHeight w:val="193"/>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administrative offices, and</w:t>
            </w:r>
          </w:p>
        </w:tc>
        <w:tc>
          <w:tcPr>
            <w:tcW w:w="2160" w:type="dxa"/>
            <w:vAlign w:val="bottom"/>
          </w:tcPr>
          <w:p>
            <w:pPr>
              <w:spacing w:after="0"/>
              <w:rPr>
                <w:sz w:val="16"/>
                <w:szCs w:val="16"/>
                <w:color w:val="auto"/>
              </w:rPr>
            </w:pPr>
          </w:p>
        </w:tc>
      </w:tr>
      <w:tr>
        <w:trPr>
          <w:trHeight w:val="223"/>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canteen services</w:t>
            </w:r>
          </w:p>
        </w:tc>
        <w:tc>
          <w:tcPr>
            <w:tcW w:w="2160" w:type="dxa"/>
            <w:vAlign w:val="bottom"/>
          </w:tcPr>
          <w:p>
            <w:pPr>
              <w:spacing w:after="0"/>
              <w:rPr>
                <w:sz w:val="19"/>
                <w:szCs w:val="19"/>
                <w:color w:val="auto"/>
              </w:rPr>
            </w:pPr>
          </w:p>
        </w:tc>
      </w:tr>
      <w:tr>
        <w:trPr>
          <w:trHeight w:val="25"/>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Huzhou</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China</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61,000 sq. ft.</w:t>
            </w: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Manufacturing (other), testing,</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Leased</w:t>
            </w:r>
          </w:p>
        </w:tc>
      </w:tr>
      <w:tr>
        <w:trPr>
          <w:trHeight w:val="193"/>
        </w:trPr>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warehouse, sales, after-sales</w:t>
            </w:r>
          </w:p>
        </w:tc>
        <w:tc>
          <w:tcPr>
            <w:tcW w:w="2160" w:type="dxa"/>
            <w:vAlign w:val="bottom"/>
            <w:shd w:val="clear" w:color="auto" w:fill="CCEEFF"/>
          </w:tcPr>
          <w:p>
            <w:pPr>
              <w:spacing w:after="0"/>
              <w:rPr>
                <w:sz w:val="16"/>
                <w:szCs w:val="16"/>
                <w:color w:val="auto"/>
              </w:rPr>
            </w:pPr>
          </w:p>
        </w:tc>
      </w:tr>
      <w:tr>
        <w:trPr>
          <w:trHeight w:val="206"/>
        </w:trPr>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research and</w:t>
            </w:r>
          </w:p>
        </w:tc>
        <w:tc>
          <w:tcPr>
            <w:tcW w:w="2160" w:type="dxa"/>
            <w:vAlign w:val="bottom"/>
            <w:shd w:val="clear" w:color="auto" w:fill="CCEEFF"/>
          </w:tcPr>
          <w:p>
            <w:pPr>
              <w:spacing w:after="0"/>
              <w:rPr>
                <w:sz w:val="17"/>
                <w:szCs w:val="17"/>
                <w:color w:val="auto"/>
              </w:rPr>
            </w:pPr>
          </w:p>
        </w:tc>
      </w:tr>
      <w:tr>
        <w:trPr>
          <w:trHeight w:val="193"/>
        </w:trPr>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development, administrative</w:t>
            </w:r>
          </w:p>
        </w:tc>
        <w:tc>
          <w:tcPr>
            <w:tcW w:w="2160" w:type="dxa"/>
            <w:vAlign w:val="bottom"/>
            <w:shd w:val="clear" w:color="auto" w:fill="CCEEFF"/>
          </w:tcPr>
          <w:p>
            <w:pPr>
              <w:spacing w:after="0"/>
              <w:rPr>
                <w:sz w:val="16"/>
                <w:szCs w:val="16"/>
                <w:color w:val="auto"/>
              </w:rPr>
            </w:pPr>
          </w:p>
        </w:tc>
      </w:tr>
      <w:tr>
        <w:trPr>
          <w:trHeight w:val="236"/>
        </w:trPr>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offices, and canteen services</w:t>
            </w:r>
          </w:p>
        </w:tc>
        <w:tc>
          <w:tcPr>
            <w:tcW w:w="216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34"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For a description of our pending legal proceedings, please see Note 27. Commitments and Contingencies, to the consolidated financial statements included elsewhere in this Annual Report on Form 10-K. While the lawsuits are being vigorously defended, the outcome of any litigation is inherently uncertain, and there is always the possibility that a court rules in a manner that is adverse to the interests of the Company and the individual defendants. However, the amount of</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any such loss in that scenario cannot be reasonably estimated at this time. Regardless of the outcome, litigation has the potential to have an adverse impact on us because of defense and settlement costs, diversion of management resources and other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Not applicable.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7"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7"/>
          <w:szCs w:val="17"/>
          <w:b w:val="1"/>
          <w:bCs w:val="1"/>
          <w:color w:val="auto"/>
        </w:rPr>
        <w:t>ITEM 5. MARKET FOR THE REGISTRANT’S COMMON EQUITY, RELATED STOCKHOLDER MATTERS AND ISSUER PURCHASES OF EQUITY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Microvast Holdings, Inc.’s common stock is listed on NASDAQ under the symbol “MVST” and began trading on July 26, 2021. Microvast Holdings, Inc.’s publicly-traded warrants are listed on NASDAQ under the symbol “MVSTW.”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Common Stock</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March 9, 2026, there were approximately 86 registered holders of our common stock according to the records maintained by our transfer agent. A substantially greater number of our holders of our common stock are "street name" or beneficial holders, whose shares are held by banks, brokers, and other financial institutions.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currently intend to retain all available funds and any future earnings to fund the development and growth of our business. As a result, we do not anticipate declaring or paying any cash dividends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equity compensation plans that provide for the annual awarding of stock-based compensation have been approved by our stockholders. For additional detail, see Note 20. Share-Based Payment, to our consolidated financial statements included in Part II, Item 8 of this Annual Report on Form 10-K.</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sets forth, as of December 31, 2025, certain information related to our compensation plans under which shares of our common stock may be issued.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6"/>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securities</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w:t>
            </w:r>
          </w:p>
        </w:tc>
      </w:tr>
      <w:tr>
        <w:trPr>
          <w:trHeight w:val="206"/>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to be</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securities</w:t>
            </w:r>
          </w:p>
        </w:tc>
      </w:tr>
      <w:tr>
        <w:trPr>
          <w:trHeight w:val="206"/>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ind w:left="800"/>
              <w:spacing w:after="0"/>
              <w:rPr>
                <w:sz w:val="20"/>
                <w:szCs w:val="20"/>
                <w:color w:val="auto"/>
              </w:rPr>
            </w:pPr>
            <w:r>
              <w:rPr>
                <w:rFonts w:ascii="Times New Roman" w:cs="Times New Roman" w:eastAsia="Times New Roman" w:hAnsi="Times New Roman"/>
                <w:sz w:val="17"/>
                <w:szCs w:val="17"/>
                <w:b w:val="1"/>
                <w:bCs w:val="1"/>
                <w:color w:val="auto"/>
              </w:rPr>
              <w:t>issued</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w:t>
            </w:r>
          </w:p>
        </w:tc>
      </w:tr>
      <w:tr>
        <w:trPr>
          <w:trHeight w:val="206"/>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upon</w:t>
            </w:r>
          </w:p>
        </w:tc>
        <w:tc>
          <w:tcPr>
            <w:tcW w:w="10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available for</w:t>
            </w:r>
          </w:p>
        </w:tc>
      </w:tr>
      <w:tr>
        <w:trPr>
          <w:trHeight w:val="206"/>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exercise of</w:t>
            </w:r>
          </w:p>
        </w:tc>
        <w:tc>
          <w:tcPr>
            <w:tcW w:w="10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exercise price</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future</w:t>
            </w:r>
          </w:p>
        </w:tc>
      </w:tr>
      <w:tr>
        <w:trPr>
          <w:trHeight w:val="206"/>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0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of outstanding</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issuance</w:t>
            </w:r>
          </w:p>
        </w:tc>
      </w:tr>
      <w:tr>
        <w:trPr>
          <w:trHeight w:val="206"/>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0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under equity</w:t>
            </w:r>
          </w:p>
        </w:tc>
      </w:tr>
      <w:tr>
        <w:trPr>
          <w:trHeight w:val="206"/>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10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warrants and</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r>
      <w:tr>
        <w:trPr>
          <w:trHeight w:val="24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0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and rights</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8"/>
              </w:rPr>
              <w:t>rights</w:t>
            </w:r>
          </w:p>
        </w:tc>
        <w:tc>
          <w:tcPr>
            <w:tcW w:w="10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plans</w:t>
            </w:r>
          </w:p>
        </w:tc>
      </w:tr>
      <w:tr>
        <w:trPr>
          <w:trHeight w:val="244"/>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2040" w:type="dxa"/>
            <w:vAlign w:val="bottom"/>
            <w:shd w:val="clear" w:color="auto" w:fill="CCEEFF"/>
          </w:tcPr>
          <w:p>
            <w:pPr>
              <w:jc w:val="right"/>
              <w:ind w:right="214"/>
              <w:spacing w:after="0" w:line="244" w:lineRule="exact"/>
              <w:rPr>
                <w:sz w:val="20"/>
                <w:szCs w:val="20"/>
                <w:color w:val="auto"/>
              </w:rPr>
            </w:pPr>
            <w:r>
              <w:rPr>
                <w:rFonts w:ascii="Times New Roman" w:cs="Times New Roman" w:eastAsia="Times New Roman" w:hAnsi="Times New Roman"/>
                <w:sz w:val="17"/>
                <w:szCs w:val="17"/>
                <w:color w:val="auto"/>
              </w:rPr>
              <w:t xml:space="preserve">56,891,961 </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234"/>
              <w:spacing w:after="0" w:line="244" w:lineRule="exact"/>
              <w:rPr>
                <w:sz w:val="20"/>
                <w:szCs w:val="20"/>
                <w:color w:val="auto"/>
              </w:rPr>
            </w:pPr>
            <w:r>
              <w:rPr>
                <w:rFonts w:ascii="Times New Roman" w:cs="Times New Roman" w:eastAsia="Times New Roman" w:hAnsi="Times New Roman"/>
                <w:sz w:val="17"/>
                <w:szCs w:val="17"/>
                <w:color w:val="auto"/>
              </w:rPr>
              <w:t xml:space="preserve">20,064,793 </w:t>
            </w:r>
            <w:r>
              <w:rPr>
                <w:rFonts w:ascii="Times New Roman" w:cs="Times New Roman" w:eastAsia="Times New Roman" w:hAnsi="Times New Roman"/>
                <w:sz w:val="22"/>
                <w:szCs w:val="22"/>
                <w:color w:val="auto"/>
                <w:vertAlign w:val="superscript"/>
              </w:rPr>
              <w:t>(2)</w:t>
            </w:r>
          </w:p>
        </w:tc>
      </w:tr>
      <w:tr>
        <w:trPr>
          <w:trHeight w:val="239"/>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214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56,891,961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20,064,793</w:t>
            </w:r>
          </w:p>
        </w:tc>
      </w:tr>
    </w:tbl>
    <w:p>
      <w:pPr>
        <w:spacing w:after="0" w:line="280" w:lineRule="exact"/>
        <w:rPr>
          <w:sz w:val="20"/>
          <w:szCs w:val="20"/>
          <w:color w:val="auto"/>
        </w:rPr>
      </w:pPr>
    </w:p>
    <w:p>
      <w:pPr>
        <w:jc w:val="both"/>
        <w:ind w:left="320" w:hanging="317"/>
        <w:spacing w:after="0" w:line="236" w:lineRule="auto"/>
        <w:tabs>
          <w:tab w:leader="none" w:pos="308"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 56,675,326 stock options and restricted stock units (“RSUs”) granted under the Microvast, Inc. Stock Incentive Plan (the “Stock Incentive Plan”) that were converted in the Business Combination into options to purchase 33,647,927 shares of our common stock and RSUs with respect to 23,027,399 shares of our common stock. No further awards may be granted under the Stock Incentive Plan.</w:t>
      </w:r>
    </w:p>
    <w:p>
      <w:pPr>
        <w:spacing w:after="0" w:line="162"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shares available for future issuance under the 2021 Plan.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21" w:lineRule="exact"/>
        <w:rPr>
          <w:sz w:val="20"/>
          <w:szCs w:val="20"/>
          <w:color w:val="auto"/>
        </w:rPr>
      </w:pPr>
    </w:p>
    <w:p>
      <w:pPr>
        <w:jc w:val="center"/>
        <w:ind w:right="958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that our management believes is relevant to an assessment and understanding of our consolidated results of operations and financial condition. The discussion should be read together with the historical consolidated financial statements and related notes that are included elsewhere in this Annual Report. Discussion of the earliest of the three years covered by the Consolidated Financial Statements presented in this report has been omitted as that disclosure is included in the Company's Annual Report on Form 10-K for the fiscal year ended December 31, 2024 in Item</w:t>
      </w:r>
    </w:p>
    <w:p>
      <w:pPr>
        <w:spacing w:after="0" w:line="2" w:lineRule="exact"/>
        <w:rPr>
          <w:sz w:val="20"/>
          <w:szCs w:val="20"/>
          <w:color w:val="auto"/>
        </w:rPr>
      </w:pPr>
    </w:p>
    <w:p>
      <w:pPr>
        <w:ind w:firstLine="3"/>
        <w:spacing w:after="0" w:line="266" w:lineRule="auto"/>
        <w:tabs>
          <w:tab w:leader="none" w:pos="196" w:val="left"/>
        </w:tabs>
        <w:numPr>
          <w:ilvl w:val="0"/>
          <w:numId w:val="4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Management's Discussion and Analysis of Financial Condition and Results of Operations within that report. This discussion may contain forward-looking statements based upon current expectations that involve risks and uncertainties.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Business</w:t>
      </w:r>
    </w:p>
    <w:p>
      <w:pPr>
        <w:spacing w:after="0" w:line="234"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Founded in 2006 and headquartered in Stafford, Texas, Microvast Holdings, Inc. (NASDAQ: MVST) is a global leader in advanced specialized battery technologies. Since our public listing in 2021, we have focused on delivering high-performance lithium-ion battery solutions for the next generation of commercial and industrial electrification. We specialize in the design, development, and manufacturing of battery components and systems primarily for electric commercial vehicles and energy storage systems (“ESS”). Our guiding principle is to innovate lithium-ion battery designs from the ground up without relying on legacy technologies. We believe that this approach allows us to create purpose-built solutions for new markets, rather than repurposing existing ones.</w:t>
      </w:r>
    </w:p>
    <w:p>
      <w:pPr>
        <w:spacing w:after="0" w:line="21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Our mission is to become a leader in U.S. domestic battery production, reducing reliance on overseas suppliers, and strengthening national energy independence. We believe that this mission, along with our engineering expertise, vertically integrated business model, and our focus on continuous investment in our research and development and operations, differentiates us from competitors and positions us for long-term revenue and income growth.</w:t>
      </w:r>
    </w:p>
    <w:p>
      <w:pPr>
        <w:spacing w:after="0" w:line="20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We employ a vertically integrated approach, which we believe provides a competitive advantage in optimizing performance and cost. Our proprietary technology stack spans the entire battery system, including core cell materials (cathode, anode, electrolyte, and separator), cells, modules, packs, thermal management systems, and intelligent battery management systems. This end-to-end expertise has driven critical advancements in ultra-fast charging, high energy density, long cycle life, and safety, all critical factors for commercial transportation and ESS applications. With significant in-house capabilities in design, testing, and R&amp;D, we continue to build an industry-leading body of knowledge in battery chemistry and performance.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234"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Our objective is to drive long-term stakeholder value by scaling our proprietary battery technologies across high-growth sectors. Since 2008, our research and development efforts have been dedicated to pioneering cutting-edge battery technologies that offer ultra-fast charging, extended cycle life, high energy density, and enhanced safety. Our commitment to innovation has well positioned us developing the next-generation lithium-ion batteries. We are focused on designing battery technologies for electric commercial vehicles and ESS. Our solutions empower industries to transition to cleaner, more efficient power sources, unlocking new levels of performance, longevity, and cost efficiency. Historically, demand for electric commercial vehicle batteries was concentrated in the Asia &amp; Pacific regions. We are now working towards a balanced global strategy throughout EMEA and North America. As customer demand for our products and services has grown in Europe and the U.S., we have expanded to meet these growth opportunities. We continue to invest in our operations in Asia-Pacific to capitalize on regional growth. This provides a balanced global strategy while maintaining strong partnerships with OEMs in high-demand markets. We have primarily supplied our battery solutions to OEMs for use in electric commercial and specialty vehicles. We are continuously advancing our battery technologies to improve performance, efficiency, and reliability in commercial applications.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We believe the energy storage industry is positioned for continued expansion. In 2025, third-party industry data shows that global power capacity grew by approximately 90 gigawatts, an estimated 23% increase from the previous year. Industry projections indicate expected further expansion, with an average CAGR in deployed gigawatts of 23% between 2025 and 2035. The U.S. and China are expected to lead this growth, with U.S. power capacity projected to increase from approximately 45 gigawatts in 2025 to approximately 125 gigawatts by 2030. By refining our technology, we aim to advance our ESS solutions to meet the evolving demand of power sector and complement existing resources in meeting growing global demand for reliable and flexible power. We are leveraging many of the component-level technologies from our commercial vehicle segment to develop our energy storage products.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Reporting and Financial Performance</w:t>
      </w:r>
    </w:p>
    <w:p>
      <w:pPr>
        <w:spacing w:after="0" w:line="221"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We operate as a single reportable segment. Our business includes the design, development, manufacturing, sales, and leasing of battery components and systems primarily for electric commercial vehicles and ESS. The Company evaluates segment performance based on geographic revenue and operating income. In accordance with ASU 2023-07, we have expanded our segment disclosures to provide enhanced insights into key financial metrics in Note 23 – Segment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Revenue and Performance Overview</w:t>
      </w:r>
    </w:p>
    <w:p>
      <w:pPr>
        <w:spacing w:after="0" w:line="23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Geographical Revenue: Revenue contributions from North America, Europe, and Asia-Pacific reflect our diversified business strategy. Driven by the market expansion and improved sales execution, the Company experienced a 12.6% increase in revenue for the most recent fiscal year, with revenue in North America increasing by 173.2% and revenue in Europe increasing by 12.9%.</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Operating Performance: Key operational improvements in cost management and product optimization led to enhanced segment profitability.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Smaller Reporting Company</w:t>
      </w:r>
    </w:p>
    <w:p>
      <w:pPr>
        <w:spacing w:after="0" w:line="24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Based on the market value of our common stock held by our non-affiliates as of the last business day of the fiscal quarter ended June 30, 2025, we no longer qualify as a “smaller reporting company” as defined in the Exchange Act, effective December 31, 2025. Therefore, beginning with our Quarterly Report on Form 10-Q for the fiscal quarter ending March 31, 2026, we will no longer be eligible to rely on the reduced disclosure and reporting requirements applicable to smaller reporting companies, while still applying the scaled disclosure requirements for smaller reporting companies in this Annual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Performance</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future success depends on several critical factors, including those outlined below. While these represent opportunities for growth, they also pose challenges and risks that we must effectively manage to sustain our business momentum and improve financial performance.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 and Product Innovation</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financial performance is driven by development and sales of new products with innovative technology. Our ability to develop innovative technology has been and will continue to be dependent on our dedicated research team. We plan to continue expanding our R&amp;D presence in the U.S. We also plan to continue leveraging our knowledge base in our overseas locations, including China and to continue expanding our R&amp;D efforts on a global basis. We expect our results of operations will continue to be impacted by our ability to develop new products with improved performance and reduced ownership cost, as well as the cost of our R&amp;D efforts.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Demand</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revenue and profitability depend substantially on the demand for battery systems and battery components, which is driven by the growth of the commercial and passenger electric vehicle and energy storage markets. Many factors contribute to the development of the electric vehicle and battery energy storage sector, including product innovation, general economic and political conditions, environmental concerns, energy demand, government support and economic incentives (e.g., the IRA in the U.S. and the E.U. Green Deal, E.U. Fit for 55). While governmental economic incentives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and mandates can drive market demand for the markets in which we operate and, as a result, battery systems and components, governmental economic incentives can always be gradually reduced or eliminated. These incentives are subject to evolving geopolitical dynamics, including Foreign Entity of Concern restrictions and domestic content requirements. We continuously monitor these shifts, as any reduction, elimination, or disqualification from such incentives could adversely affect demand for our products and our overall financial performance.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Manufacturing Capacity</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ability to scale depends on the timely expansion of our manufacturing footprint. As of December 31, 2025, our order backlog was primarily composed of long-term transit and logistics partners in Europe. To address this demand, we have utilized our capital resources to strategically expand our global production capabilities.</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2023, we successfully completed the 2 GWh cell, module, and pack production line (Phase 3.1) for our 53.5Ah cell technology at our Huzhou, China facility. This Phase 3.1 line has been operating safely and efficiently, providing a stable manufacturing base. In addition to the 53.5Ah cell, this line also supports the production of our 48Ah and 55Ah cells.</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To support our expanding product portfolio, we are building a second 2 GWh production line, Phase 3.2, at our Huzhou, China facility. While this new Phase 3.2 line is primarily configured for the manufacturing of our next-generation 120Ah high-energy cells, it has been designed with flexible tooling and process architecture to accommodate multiple cell formats, including the 53.5Ah, 48Ah, and 55Ah variants. The clean rooms and utility equipment installation have been completed for Phase 3.2. Installation of the production equipment is expected to be completed in 2026, with commissioning and pilot production to follow. This investment enhances our agile manufacturing capability and reinforces our commitment to delivering high-performance solutions across diverse application scenarios.</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Construction and equipment installation for our U.S. facility was suspended in the second quarter of 2024 due to funding constraints. We have since pivoted the site's strategic focus from NMC production to our 565Ah LFP battery. Resumption of full-scale construction is contingent upon securing additional financing or strategic partnerships. Once completed, Clarksville is intended to be a vertically integrated hub for LFP cell and ESS container assembly, satisfying domestic content preferences for the U.S. market.</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Future capacity expansions will require significant capital expenditures and will require a corresponding expansion of our supporting infrastructure, further development of our sales and marketing team, an expansion of our customer base, and strengthened quality control. This capacity expansion will be carried out in a measured manner based on our ongoing assessment of medium- and long-term demand for our solutions.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Geographic Mix</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After initially being focused on the Asia &amp; Pacific regions, we have expanded and continue to expand our presence and product promotion to Europe and the U.S. to capitalize on the rapidly growing electric vehicle and battery energy storage markets in those geographies. As we continue to expand our geographic focus to Europe and the U.S., we believe sales of our products in Europe and the U.S. will have the potential to generate higher gross margins because average sales prices for customers in the U.S. and Europe are typically significantly higher than the average sales prices in China. It has been our experience that buyers in Europe and the U.S. are more motivated by the technologies and quality of our products than are buyers in China, making them less sensitive to the price of our products than are similarly situated buyers in China where we are also faced with intense competition from local Chinese battery manufacturers. Therefore, the geographic sources of our revenue will have an impact on our revenue and gross margins.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Manufacturing Costs</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profitability may also be affected by our ability to effectively manage our manufacturing costs. Our manufacturing costs are affected by fluctuations in the price of raw materials. If raw material prices increase, we will have to offset these higher costs either through price increases to our customers or through productivity improvements. Our ability to control our raw materials costs is also dependent on our ability to negotiate with our suppliers for a better price and our ability to source raw materials from reliable suppliers in a cost-efficient manner. In addition, we expect that an increase in our sales volume will enable us to lower our manufacturing costs through economies of scale.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Landscape</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battery industry is subject to stringent and evolving environmental regulations, particularly concerning hazardous waste management, pollution control, and sustainability requirements. Over time, these regulations have become increasingly strict, impacting both product costs and gross margins. In the U.S., newly proposed RCRA regulations for lithium batteries under the EPA are expected to be finalized this year and become effective in 2027, which would create a new waste category specifically for lithium batteries and establish new requirements for transportation, handling, and storage. Compliance with these standards requires continuous investment in manufacturing processes, material sourcing, and waste disposal practices to ensure adherence to environmental mandates across multiple jurisdictions.</w:t>
      </w:r>
    </w:p>
    <w:p>
      <w:pPr>
        <w:spacing w:after="0" w:line="199"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Additionally, government policies and economic incentives play a critical role in shaping demand for the EV and ESS markets. Incentives such as EV purchase subsidies, tax credits for battery manufacturers, and renewable energy project grants have historically supported market growth. Similarly, carbon emission penalties and fleet-wide regulatory requirements for automakers further drive the adoption of zero-emission transportation and clean energy solutions. These policies expand our total addressable market, creating opportunities for increased sales and broader adoption of our battery technologies. However, changes in these incentives—such as reductions or eliminations of subsidies—could negatively affect demand for our products.</w:t>
      </w:r>
    </w:p>
    <w:p>
      <w:pPr>
        <w:spacing w:after="0" w:line="21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As a global company with operations and sales in China, the Asia-Pacific region, Europe, and the U.S., we are also exposed to trade policies, tariffs, and regulatory shifts that could impact our ability to meet projected sales and maintain profit margins. Any significant changes in international trade agreements, supply chain restrictions, or geopolitical tensions may influence production costs, material sourcing, and cross-border sales strategies. Navigating these regulatory complexities is essential to sustaining our competitive position and long-term growth trajectory.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This section of this Form 10-K generally discusses 2025 and 2024 items and year-to-year comparisons between 2025 and 2024. Discussions of 2023 items and year-to-year comparisons between 2024 and 2023 are not included in this Form 10-K, and can be found in “Management’s Discussion and Analysis of Financial Condition and Results of Operations” in the Form 10-K filed on March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derive revenue from the sales of our electric battery products and components. While historically concentrated in the Asia-Pacific region, our revenue mix has shifted significantly toward EMEA, which accounted for the largest portion of our revenue mix for both 2025 and 2024. This shift reflects our strategy to capture higher-margin opportunities in the European commercial vehicle sectors.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provides a breakdown of our revenue by major geographic regions, based on the locations of our customers, for the periods indicated (in thousands, except percentages):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38"/>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04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20"/>
                <w:szCs w:val="20"/>
                <w:color w:val="auto"/>
              </w:rPr>
            </w:pPr>
          </w:p>
        </w:tc>
      </w:tr>
      <w:tr>
        <w:trPr>
          <w:trHeight w:val="244"/>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China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138,945</w:t>
            </w:r>
          </w:p>
        </w:tc>
        <w:tc>
          <w:tcPr>
            <w:tcW w:w="8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127,138</w:t>
            </w:r>
          </w:p>
        </w:tc>
        <w:tc>
          <w:tcPr>
            <w:tcW w:w="1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India</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34,568</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48,767</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Other Asia &amp; Pacific countries</w:t>
            </w: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2,754</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w:t>
            </w: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Asia &amp; Pacific Region</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176,267</w:t>
            </w:r>
          </w:p>
        </w:tc>
        <w:tc>
          <w:tcPr>
            <w:tcW w:w="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177,696</w:t>
            </w: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46 %</w:t>
            </w:r>
          </w:p>
        </w:tc>
      </w:tr>
      <w:tr>
        <w:trPr>
          <w:trHeight w:val="25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Italy</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92,941</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150,809</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France</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78,192</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12,764</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Other European countries</w:t>
            </w: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40,811</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24,145</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Europe</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211,944</w:t>
            </w:r>
          </w:p>
        </w:tc>
        <w:tc>
          <w:tcPr>
            <w:tcW w:w="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187,718</w:t>
            </w: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50 %</w:t>
            </w:r>
          </w:p>
        </w:tc>
      </w:tr>
      <w:tr>
        <w:trPr>
          <w:trHeight w:val="24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U.S.</w:t>
            </w: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39,305</w:t>
            </w:r>
          </w:p>
        </w:tc>
        <w:tc>
          <w:tcPr>
            <w:tcW w:w="80" w:type="dxa"/>
            <w:vAlign w:val="bottom"/>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9 %</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14,387</w:t>
            </w: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4 %</w:t>
            </w:r>
          </w:p>
        </w:tc>
      </w:tr>
      <w:tr>
        <w:trPr>
          <w:trHeight w:val="244"/>
        </w:trPr>
        <w:tc>
          <w:tcPr>
            <w:tcW w:w="54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427,516</w:t>
            </w:r>
          </w:p>
        </w:tc>
        <w:tc>
          <w:tcPr>
            <w:tcW w:w="80" w:type="dxa"/>
            <w:vAlign w:val="bottom"/>
          </w:tcPr>
          <w:p>
            <w:pPr>
              <w:spacing w:after="0"/>
              <w:rPr>
                <w:sz w:val="21"/>
                <w:szCs w:val="21"/>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379,801</w:t>
            </w:r>
          </w:p>
        </w:tc>
        <w:tc>
          <w:tcPr>
            <w:tcW w:w="100" w:type="dxa"/>
            <w:vAlign w:val="bottom"/>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856"/>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w w:val="93"/>
              </w:rPr>
              <w:t>61</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08"/>
        </w:trPr>
        <w:tc>
          <w:tcPr>
            <w:tcW w:w="5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historically received a portion of our revenue in a given reporting period from a limited number of key customers, which have varied from</w:t>
      </w:r>
    </w:p>
    <w:p>
      <w:pPr>
        <w:spacing w:after="0" w:line="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period to period. For the year ended December 31, 2025, the two largest customers accounted for 22% and 17% of our net revenues respectively. In 2024, one customer accounted for 39% of our net revenues.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and Gross Profit</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Cost of revenues includes direct and indirect materials, manufacturing overhead (including depreciation, freight, and logistics), warranty reserves and expenses, and provision for obsolete inventories. These costs also include labor costs and personnel expenses, including stock-based compensation and other related expenses that are directly attributable to the manufacturing of products.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Gross profit is equal to revenue less cost of revenues. Gross profit margin is equal to gross profit divided by revenue.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operating expenses consist of general and administrative expenses (“G&amp;A”), research and development expenses (“R&amp;D”), selling and marketing expenses (“S&amp;M”), and impairment loss of long-lived assets.</w:t>
      </w:r>
    </w:p>
    <w:p>
      <w:pPr>
        <w:spacing w:after="0" w:line="147"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expenses. </w:t>
      </w:r>
      <w:r>
        <w:rPr>
          <w:rFonts w:ascii="Times New Roman" w:cs="Times New Roman" w:eastAsia="Times New Roman" w:hAnsi="Times New Roman"/>
          <w:sz w:val="17"/>
          <w:szCs w:val="17"/>
          <w:color w:val="auto"/>
        </w:rPr>
        <w:t>G&amp;A expenses primarily comprise personnel-related costs for our executive, legal, finance, human resources,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 teams, along with professional service fees, depreciation, amortization, and insurance costs. As we scale operations, we anticipate additional expenditures for personnel hiring, infrastructure development, and compliance-related activities. These investments are necessary to support our anticipated growth and operational efficiency.</w:t>
      </w:r>
    </w:p>
    <w:p>
      <w:pPr>
        <w:spacing w:after="0" w:line="165"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expenses. </w:t>
      </w:r>
      <w:r>
        <w:rPr>
          <w:rFonts w:ascii="Times New Roman" w:cs="Times New Roman" w:eastAsia="Times New Roman" w:hAnsi="Times New Roman"/>
          <w:sz w:val="17"/>
          <w:szCs w:val="17"/>
          <w:color w:val="auto"/>
        </w:rPr>
        <w:t>R&amp;D expenses primarily include salaries and stock-based compensation for our engineers and scientists, as well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raw material costs for experimental development, utility expenses, and depreciation costs related to R&amp;D activities. As we continue to invest in new product development, advanced battery technologies, and enhanced functionality, we expect R&amp;D expenditures to increase in absolute dollar terms. These investments are critical to maintaining technological leadership and delivering next-generation battery solutions to the market.</w:t>
      </w:r>
    </w:p>
    <w:p>
      <w:pPr>
        <w:spacing w:after="0" w:line="165"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and marketing expenses. </w:t>
      </w:r>
      <w:r>
        <w:rPr>
          <w:rFonts w:ascii="Times New Roman" w:cs="Times New Roman" w:eastAsia="Times New Roman" w:hAnsi="Times New Roman"/>
          <w:sz w:val="17"/>
          <w:szCs w:val="17"/>
          <w:color w:val="auto"/>
        </w:rPr>
        <w:t>S&amp;M expenses include personnel-related costs for our sales and marketing teams, including salaries, stock-based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and commission-based incentives. These expenses also cover advertising, promotional activities, and customer engagement efforts to drive product awareness and sales growth. As we continue to expand, we plan to hire additional sales personnel, enhance marketing programs, and strengthen customer relationships. Consequently, S&amp;M expenses are expected to increase in absolute dollar terms over the long term.</w:t>
      </w:r>
    </w:p>
    <w:p>
      <w:pPr>
        <w:spacing w:after="0" w:line="152"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Impairment loss of long-lived assets. </w:t>
      </w:r>
      <w:r>
        <w:rPr>
          <w:rFonts w:ascii="Times New Roman" w:cs="Times New Roman" w:eastAsia="Times New Roman" w:hAnsi="Times New Roman"/>
          <w:sz w:val="17"/>
          <w:szCs w:val="17"/>
          <w:color w:val="auto"/>
        </w:rPr>
        <w:t>Impairment loss of long-lived assets primarily from the impairment of long-lived assets in the U.S. The impairment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loss is measured by the amount by which the carrying amount of the assets exceeds the fair value of the long-lived assets.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Subsidy Income</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Government subsidies represent government grants received from local government authorities. The amounts of and conditions attached to each subsidy were determined at the sole discretion of the relevant governmental authorities. Our subsidy income is non-recurring in nature.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and Expenses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Other income and expenses consist primarily of fair value changes of warrant liability and convertible loan, these figures are highly sensitive to fluctuations in our stock price. This section also includes interest expense associated with our debt financing arrangements, interest income earned on our cash balances and gain on debt restructuring.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are subject to income taxes in the U.S. and the foreign jurisdictions in which we do business, namely China, Germany and the U.K. These foreign jurisdictions have statutory tax rates different from those in the U.S. Accordingly, our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effective tax rates will vary depending on the relative proportion of foreign to U.S. income, the absorption of foreign tax credits, changes in the valuation of our deferred tax assets and liabilities and changes in tax laws. We regularly assess the likelihood of adverse outcomes resulting from the examination of our tax returns by the U.S. Internal Revenue Service and other tax authorities to determine the adequacy of our income tax reserves and expense. Should actual events or results differ from our current expectations, charges or credits to our income tax expense may become necessary. Any such adjustments could have a significant impact on our results of operations.</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Income tax in China is generally calculated at 25% of the estimated assessable profit of our subsidiaries in China, except that two of our subsidiaries in China are qualified as “High and New Tech Enterprises” and receive a preferential income tax rate of 15%. The federal corporate income tax rate of 21% is applied for our U.S. entities. Our income tax in the U.K. is calculated at an average tax rate of 19% of the estimated assessable profit of our subsidiary in the U.K. The German enterprise income tax, which is a combination of corporate income tax and trade tax, is calculated at 29.1% of the estimated assessable profit of our subsidiary in Germany.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This section of this Form 10-K generally discusses </w:t>
      </w:r>
      <w:r>
        <w:rPr>
          <w:rFonts w:ascii="Times New Roman" w:cs="Times New Roman" w:eastAsia="Times New Roman" w:hAnsi="Times New Roman"/>
          <w:sz w:val="17"/>
          <w:szCs w:val="17"/>
          <w:color w:val="auto"/>
        </w:rPr>
        <w:t>2025</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7"/>
          <w:szCs w:val="17"/>
          <w:i w:val="1"/>
          <w:iCs w:val="1"/>
          <w:color w:val="auto"/>
        </w:rPr>
        <w:t xml:space="preserve"> items and year-to-year comparisons between </w:t>
      </w:r>
      <w:r>
        <w:rPr>
          <w:rFonts w:ascii="Times New Roman" w:cs="Times New Roman" w:eastAsia="Times New Roman" w:hAnsi="Times New Roman"/>
          <w:sz w:val="17"/>
          <w:szCs w:val="17"/>
          <w:color w:val="auto"/>
        </w:rPr>
        <w:t>2025</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7"/>
          <w:szCs w:val="17"/>
          <w:i w:val="1"/>
          <w:iCs w:val="1"/>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 Ended December 31, 2025 to the Year Ended December 31, 2024</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our historical operating results for the periods indicated (in thousands, except percentages):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9"/>
        </w:trPr>
        <w:tc>
          <w:tcPr>
            <w:tcW w:w="47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20"/>
                <w:szCs w:val="20"/>
                <w:color w:val="auto"/>
              </w:rPr>
            </w:pPr>
          </w:p>
        </w:tc>
      </w:tr>
      <w:tr>
        <w:trPr>
          <w:trHeight w:val="244"/>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427,516</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379,801</w:t>
            </w:r>
          </w:p>
        </w:tc>
        <w:tc>
          <w:tcPr>
            <w:tcW w:w="8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47,715</w:t>
            </w:r>
          </w:p>
        </w:tc>
        <w:tc>
          <w:tcPr>
            <w:tcW w:w="8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36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(272,899)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(260,249)</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(12,650)</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Energy storage system impairment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(32,507)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(32,507)</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122,110</w:t>
            </w:r>
          </w:p>
        </w:tc>
        <w:tc>
          <w:tcPr>
            <w:tcW w:w="8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119,552</w:t>
            </w:r>
          </w:p>
        </w:tc>
        <w:tc>
          <w:tcPr>
            <w:tcW w:w="80" w:type="dxa"/>
            <w:vAlign w:val="bottom"/>
            <w:tcBorders>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2,558</w:t>
            </w:r>
          </w:p>
        </w:tc>
        <w:tc>
          <w:tcPr>
            <w:tcW w:w="80" w:type="dxa"/>
            <w:vAlign w:val="bottom"/>
            <w:tcBorders>
              <w:bottom w:val="single" w:sz="8" w:color="CCEEFF"/>
            </w:tcBorders>
          </w:tcPr>
          <w:p>
            <w:pPr>
              <w:spacing w:after="0"/>
              <w:rPr>
                <w:sz w:val="20"/>
                <w:szCs w:val="20"/>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2.1 %</w:t>
            </w:r>
          </w:p>
        </w:tc>
      </w:tr>
      <w:tr>
        <w:trPr>
          <w:trHeight w:val="237"/>
        </w:trPr>
        <w:tc>
          <w:tcPr>
            <w:tcW w:w="4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28.6 %</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31.5 %</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(57,821)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(81,486)</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23,665</w:t>
            </w:r>
          </w:p>
        </w:tc>
        <w:tc>
          <w:tcPr>
            <w:tcW w:w="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 %</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6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(34,109)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(41,065)</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6,956</w:t>
            </w:r>
          </w:p>
        </w:tc>
        <w:tc>
          <w:tcPr>
            <w:tcW w:w="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(16.9) %</w:t>
            </w:r>
          </w:p>
        </w:tc>
      </w:tr>
      <w:tr>
        <w:trPr>
          <w:trHeight w:val="25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(22,197)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(22,576)</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r>
      <w:tr>
        <w:trPr>
          <w:trHeight w:val="252"/>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Impairment loss of long-lived assets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(4,142)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(93,173)</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89,031</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(95.6) %</w:t>
            </w:r>
          </w:p>
        </w:tc>
      </w:tr>
      <w:tr>
        <w:trPr>
          <w:trHeight w:val="244"/>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(118,269)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(238,300)</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120,031</w:t>
            </w:r>
          </w:p>
        </w:tc>
        <w:tc>
          <w:tcPr>
            <w:tcW w:w="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(50.4)%</w:t>
            </w:r>
          </w:p>
        </w:tc>
      </w:tr>
      <w:tr>
        <w:trPr>
          <w:trHeight w:val="23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Subsidy income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3,142</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2,658</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Income/(loss) from operations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6,983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(116,090)</w:t>
            </w:r>
          </w:p>
        </w:tc>
        <w:tc>
          <w:tcPr>
            <w:tcW w:w="8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123,073</w:t>
            </w:r>
          </w:p>
        </w:tc>
        <w:tc>
          <w:tcPr>
            <w:tcW w:w="80" w:type="dxa"/>
            <w:vAlign w:val="bottom"/>
            <w:shd w:val="clear" w:color="auto" w:fill="CCEEFF"/>
          </w:tcPr>
          <w:p>
            <w:pPr>
              <w:spacing w:after="0"/>
              <w:rPr>
                <w:sz w:val="21"/>
                <w:szCs w:val="21"/>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(106.0)%</w:t>
            </w:r>
          </w:p>
        </w:tc>
      </w:tr>
      <w:tr>
        <w:trPr>
          <w:trHeight w:val="232"/>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and expenses: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957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742</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(4,903)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(9,711)</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4,808</w:t>
            </w:r>
          </w:p>
        </w:tc>
        <w:tc>
          <w:tcPr>
            <w:tcW w:w="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(49.5) %</w:t>
            </w:r>
          </w:p>
        </w:tc>
      </w:tr>
      <w:tr>
        <w:trPr>
          <w:trHeight w:val="25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debt restructuring</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1,297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9,406</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(8,109)</w:t>
            </w:r>
          </w:p>
        </w:tc>
        <w:tc>
          <w:tcPr>
            <w:tcW w:w="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 %</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360" w:type="dxa"/>
            <w:vAlign w:val="bottom"/>
          </w:tcPr>
          <w:p>
            <w:pPr>
              <w:spacing w:after="0"/>
              <w:rPr>
                <w:sz w:val="20"/>
                <w:szCs w:val="20"/>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of warrant liability and convertible loan</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(39,121)</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(79,960)</w:t>
            </w:r>
          </w:p>
        </w:tc>
        <w:tc>
          <w:tcPr>
            <w:tcW w:w="8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40,839</w:t>
            </w:r>
          </w:p>
        </w:tc>
        <w:tc>
          <w:tcPr>
            <w:tcW w:w="80" w:type="dxa"/>
            <w:vAlign w:val="bottom"/>
            <w:shd w:val="clear" w:color="auto" w:fill="CCEEFF"/>
          </w:tcPr>
          <w:p>
            <w:pPr>
              <w:spacing w:after="0"/>
              <w:rPr>
                <w:sz w:val="21"/>
                <w:szCs w:val="21"/>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 %</w:t>
            </w:r>
          </w:p>
        </w:tc>
      </w:tr>
      <w:tr>
        <w:trPr>
          <w:trHeight w:val="232"/>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Loss before provision for income tax</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(34,543)</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160,914</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(82.3)%</w:t>
            </w:r>
          </w:p>
        </w:tc>
      </w:tr>
      <w:tr>
        <w:trPr>
          <w:trHeight w:val="238"/>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5,325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5,325</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(29,218)</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166,239</w:t>
            </w:r>
          </w:p>
        </w:tc>
        <w:tc>
          <w:tcPr>
            <w:tcW w:w="80" w:type="dxa"/>
            <w:vAlign w:val="bottom"/>
          </w:tcPr>
          <w:p>
            <w:pPr>
              <w:spacing w:after="0"/>
              <w:rPr>
                <w:sz w:val="21"/>
                <w:szCs w:val="21"/>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(85.1)%</w:t>
            </w:r>
          </w:p>
        </w:tc>
      </w:tr>
      <w:tr>
        <w:trPr>
          <w:trHeight w:val="20"/>
        </w:trPr>
        <w:tc>
          <w:tcPr>
            <w:tcW w:w="4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856"/>
        </w:trPr>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08"/>
        </w:trPr>
        <w:tc>
          <w:tcPr>
            <w:tcW w:w="47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revenue increased from $379.8 million in 2024 to $427.5 million in 2025, reflecting a 12.6% year-over-year growth. This expansion was primarily driven by a 16.5% increase in sales volume, rising from 1,613.6 MWh in 2024 to 1,879.5 MWh in 2025. This volume growth was supported by rising demand for our battery cell products from existing and new customers across the European and U.S. markets. Our full-year revenue was impacted by evolving regulatory shifts in the Korean market and customer platform ramp up delays.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Energy Storage System Impairment, and Gross Profit</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cost of revenues for the year ended December 31, 2025, increased by 4.9% compared to 2024, primarily due to higher sales volumes. However, this increase was significantly lower than the 12.6% year-over-year revenue growth, reflecting improved utilization which enhanced the absorption of fixed costs, decreases in raw material costs, and improved economies of scale as we grow our manufacturing capacity.</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gross profit margin was 28.6% for the year ended December 31, 2025, compared to 31.5% in 2024. This change was primarily attributable to a $32.5 million inventory impairment charge related to specialized ESS components, which negatively impacted our gross margin by 7.6 percentage points. Excluding the impact of this specific non-cash charge, the underlying gross margin performance reflected a more favorable product mix and improved manufacturing efficiencies across our battery solution portfolio.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General and administrative expenses for the year ended December 31, 2025, decreased by $23.7 million, or 29.0%, compared to 2024. This decline was primarily driven by a $17.4 million reduction in share-based compensation expenses and a favorable $8.6 million increased impact from foreign currency fluctuations related to the Euro and RMB.</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for the year ended December 31, 2025, decreased by $7.0 million, or 16.9%, compared to 2024. This reduction in R&amp;D was primarily driven by a $5.5 million decrease in share-based compensation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and marketing expenses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Selling and marketing expenses for the year ended December 31, 2025, decreased by $0.4 million, or 1.7%, compared to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loss of long-lived assets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impairment loss of long-lived assets for the year ended December 31, 2025 decreased by $89.0 million, or 95.6%, compared to the same period in 2024. The 2025 loss was primarily driven by the charges related to assets held for sale, where carrying values exceeded fair value less costs to sell.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Subsidy Income</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Subsidy income increased from $2.7 million for the year ended December 31, 2024 to $3.1 million in 2025. The amounts are the one-time awards granted by local governments in 2024 and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Debt Restructuring</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year ended December 31, 2025, the Company recognized a gain of $1.3 million from negotiated settlements of payables.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Fair Value of Warrant Liability and Convertible Loan</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the year ended December 31, 2025, we recognized a loss of $39.1 million. This loss was primarily driven by the period-over-period remeasurement of our convertible loan at fair value. For further discussion regarding the valuation methodology and inputs, see Note 25 – Convertible loan measured at fair value.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Benefit from (provision for) Income Taxes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the year ended December 31, 2025, we recognized deferred tax benefits of $5.4 million, primarily due to the remeasurement of our deferred tax assets for MPS. This was partially offset by $0.1 million in income tax expense associated with profitable foreign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Since inception, we have financed our operations primarily through capital contributions from equity holders, the issuance of convertible notes, and bank borrowings. As of December 31, 2025, our principal sources of liquidity included cash, cash equivalents, and restricted cash totaling $169.2 million, of which $105.0 million was comprised in cash and cash equivalents.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Of the cash and cash equivalents as of December 31, 2025, $40.3 million is held by our China subsidiary and $21.9 million is held by our European subsidiaries. These funds are generally intended to support local operations. If we were to repatriate these funds to the U.S., we may be required to accrue and pay applicable withholding taxes. We currently intend to retain available funds and future earnings to support ongoing operations and expansion efforts in China, Europe, and the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Going Concern Evaluation</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accordance with ASU No. 2014-15, management evaluated whether conditions and events, considered in the aggregate, raise substantial doubt about our ability to continue as a going concern within one year after the date these consolidated financial statements are issued. Based on our current business plan, we projected that existing cash and assets held for sale would not be sufficient to fund operations through the next twelve months. These conditions initially raised substantial doubt about our ability to continue as a going concern.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 has implemented several primary plans intended to alleviate these conditions:</w:t>
      </w:r>
    </w:p>
    <w:p>
      <w:pPr>
        <w:spacing w:after="0" w:line="213" w:lineRule="exact"/>
        <w:rPr>
          <w:sz w:val="20"/>
          <w:szCs w:val="20"/>
          <w:color w:val="auto"/>
        </w:rPr>
      </w:pPr>
    </w:p>
    <w:p>
      <w:pPr>
        <w:jc w:val="both"/>
        <w:ind w:left="620" w:hanging="307"/>
        <w:spacing w:after="0" w:line="272"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Operating Cash Flows</w:t>
      </w:r>
      <w:r>
        <w:rPr>
          <w:rFonts w:ascii="Times New Roman" w:cs="Times New Roman" w:eastAsia="Times New Roman" w:hAnsi="Times New Roman"/>
          <w:sz w:val="17"/>
          <w:szCs w:val="17"/>
          <w:color w:val="auto"/>
        </w:rPr>
        <w:t>: For the year ended December 31, 2025, we generated $75.9 million in net cash from operating activities. Our order backlog stood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$196.1 million, the majority of which is expected to be fulfilled in 2026 and 2027. While we anticipate some absorption pressure during the ramp up of our Huzhou 3.2 manufacturing line expansion, we expect gross margins to remain relatively stable.</w:t>
      </w:r>
    </w:p>
    <w:p>
      <w:pPr>
        <w:spacing w:after="0" w:line="160" w:lineRule="exact"/>
        <w:rPr>
          <w:rFonts w:ascii="Times New Roman" w:cs="Times New Roman" w:eastAsia="Times New Roman" w:hAnsi="Times New Roman"/>
          <w:sz w:val="17"/>
          <w:szCs w:val="17"/>
          <w:color w:val="auto"/>
        </w:rPr>
      </w:pPr>
    </w:p>
    <w:p>
      <w:pPr>
        <w:ind w:left="620" w:hanging="307"/>
        <w:spacing w:after="0" w:line="292"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Refinancing of Short-term Borrowings</w:t>
      </w:r>
      <w:r>
        <w:rPr>
          <w:rFonts w:ascii="Times New Roman" w:cs="Times New Roman" w:eastAsia="Times New Roman" w:hAnsi="Times New Roman"/>
          <w:sz w:val="17"/>
          <w:szCs w:val="17"/>
          <w:color w:val="auto"/>
        </w:rPr>
        <w:t>: Based on our historical ability to access credit, we expect to maintain the ability to refinance these obligations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needed as they become due over the next twelve months.</w:t>
      </w:r>
    </w:p>
    <w:p>
      <w:pPr>
        <w:spacing w:after="0" w:line="143" w:lineRule="exact"/>
        <w:rPr>
          <w:rFonts w:ascii="Times New Roman" w:cs="Times New Roman" w:eastAsia="Times New Roman" w:hAnsi="Times New Roman"/>
          <w:sz w:val="17"/>
          <w:szCs w:val="17"/>
          <w:color w:val="auto"/>
        </w:rPr>
      </w:pPr>
    </w:p>
    <w:p>
      <w:pPr>
        <w:jc w:val="both"/>
        <w:ind w:left="620" w:hanging="307"/>
        <w:spacing w:after="0" w:line="272"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Equity Funding</w:t>
      </w:r>
      <w:r>
        <w:rPr>
          <w:rFonts w:ascii="Times New Roman" w:cs="Times New Roman" w:eastAsia="Times New Roman" w:hAnsi="Times New Roman"/>
          <w:sz w:val="17"/>
          <w:szCs w:val="17"/>
          <w:color w:val="auto"/>
        </w:rPr>
        <w:t>: Under our Controlled Equity Offering Sales Agreement (the “Sales Agreement”), the Company has received $27.9 million in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proceeds through the date of this issuance. We intend to continue utilizing the Sales Agreement to raise additional capital as needed for general corporate purposes and debt repayment.</w:t>
      </w:r>
    </w:p>
    <w:p>
      <w:pPr>
        <w:spacing w:after="0" w:line="16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Based on the execution of these plans, management has concluded it is probable that these actions will alleviate substantial doubt about the Company's ability to continue as a going concern and provide adequate liquidity to meet our requirements for the next twelve months. However, there is no assurance that the Company will be able to alleviate these concerns.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Additional Liquidity Initiatives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secured $85.7 million in bank loans during the year ended December 31, 2025 (see Note 12 – Bank Borrowings). The Company has been exploring a potential sale of its Lake Mary, Florida facility with a prospective buyer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a gross purchase price of $11,500. This divestiture is intended to provide additional liquidity without impacting core operations. The transaction is subject to customary closing conditions and a due diligence period for the buyer. The Company currently anticipates that, if completed, the transaction would close during the second quarter of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our debt obligations consisted of:</w:t>
      </w:r>
    </w:p>
    <w:p>
      <w:pPr>
        <w:spacing w:after="0" w:line="217" w:lineRule="exact"/>
        <w:rPr>
          <w:sz w:val="20"/>
          <w:szCs w:val="20"/>
          <w:color w:val="auto"/>
        </w:rPr>
      </w:pPr>
    </w:p>
    <w:p>
      <w:pPr>
        <w:ind w:left="620" w:hanging="307"/>
        <w:spacing w:after="0" w:line="287"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 borrowings of $106.3 million, the terms of which range from 1 to 18 months. The interest rates of our bank borrowings ranged from 2.60% to 4.85% per annum.</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bonds of $41.7 million, with interest rates ranging from 3% to 4%. The convertible bonds are due in 2027.</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loan measured at fair value of $140.9 million. This loan bears interest at Term SOFR plus an applicable margin of 9.75%. Of this, 3.75% is paid in kind and added to the outstanding principal balance, and the remainder is paid in cash. See Note 25 – Convertible loan measured at fair value for details.</w:t>
      </w:r>
    </w:p>
    <w:p>
      <w:pPr>
        <w:spacing w:after="0" w:line="16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we were in compliance with all material terms and covenants of our loan agreements, credit agreements, and bonds.</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July 23, 2021, we received $705.1 million in net proceeds from our Business Combination. We have used $514.2 million of the net proceeds to expand our manufacturing facilities and for the purchase of property and equipment associated with our existing manufacturing and R&amp;D facilities. In addition, $190.9 million of the net proceeds were used for general working capital.</w:t>
      </w:r>
    </w:p>
    <w:p>
      <w:pPr>
        <w:spacing w:after="0" w:line="1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Although no additional binding financing agreements have been entered into, the Company remains engaged in discussions with third parties to explore further capital-raising opportunities. Future capital requirements may change based on business developments, market conditions, and liquidity needs. The Company continues to evaluate potential options, including equity offerings and debt financing, to provide financial flexibility and long-term growth.</w:t>
      </w:r>
    </w:p>
    <w:p>
      <w:pPr>
        <w:spacing w:after="0" w:line="15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exercise price for our outstanding warrants is $11.50 per share of common stock, and the trading price of our common stock was $2.10 as of March 9, 2026. There is no guarantee that the warrants will be exercised prior to their expiration, however, we do not expect this to impact our liquidity.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 and Other Contractual Obligations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capital expenditures amounted to $38.7 million and $49.9 million for the years ended December 31, 2025 and 2024, respectively. Our capital expenditures in 2025 were primarily related to our Huzhou Phase 3.2 expansion, which is funded primarily by localized borrowings and cash flow from our China operations, and deferred payments related to our Clarksville facility. 2024 capital expenditures were primarily related to the construction of manufacturing facilities in Clarksville, Tennessee and Huzhou, China.</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2021, we started our capacity expansion plans in Huzhou, China, Berlin, Germany and Clarksville, Tennessee. The project in Germany was completed in 2021. The Huzhou Phase 3.1 expansion was successfully completed in 2023.</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Because of delays in securing additional financing, in the fourth quarter of 2023 we began experiencing slow progress in continuing construction of our Clarksville expansion, slowing down certain construction work streams due to the need for additional financing. This facility was initially intended to produce 53.5Ah cells for our ESS solutions; however, we believe that LFP cells are better suited for our ESS solutions and intend to utilize the Tennessee facility to produce LFP cells instead of 53.5Ah cells. Additionally, our ESS products that were previously developed and assembled in Colorado are now planned to be assembled at our Tennessee facility once the facility is completed. The proceeds from the Business Combination alone will not be sufficient to complete the Clarksville expansion and meet our general working capital needs. Due to regulatory restrictions, adverse tax consequences, and localized working capital needs, we are currently unable to repatriate cash from China to fund U.S. operations or the Clarksville expansion. We are seeking alternate sources of capital to complete this facility and satisfy domestic content requirements for our U.S. customers.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but not limited to funding planned production capacity expansions and for general working capital. In addition, we may in the future enter into arrangements to acquire or invest in complementary businesses or technologies. We may need to seek additional equity or debt financing in order to meet these future capital requirements. If we are unable to raise additional capital when desired, or on terms that are acceptable to us, our business, financial condition, and results of operations could be adversely affected. There are no material off-balance sheet arrangements other than those described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 commitments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lease certain facilities and equipment under non-cancellable lease agreements that expire at various dates through 2036. For additional information, see Note 17 – Leases, in the notes to the consolidated financial statements in Part II, Item 8 of this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Purchase commitments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regularly enter into non-cancelable contractual obligations primarily related to purchases of inventory. As of December 31, 2025, such purchase commitments, which do not qualify for recognition on our consolidated balance sheets, amount to $37.2 million, most of which is short-term.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a summary of our cash flow data for the years indicated (in thousands):</w:t>
      </w:r>
    </w:p>
    <w:p>
      <w:pPr>
        <w:spacing w:after="0" w:line="26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22860</wp:posOffset>
            </wp:positionV>
            <wp:extent cx="19399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generated from operating activities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75,908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2,814</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(12,152)</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37,589</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Net cash provided by operating activities was $75.9 million for the year ended December 31, 2025, an increase of $73.1 million compared to $2.8 million in 2024. This improvement was primarily driven by a $49.9 million increase in net income after adjusting for non-cash items and a $23.2 million net improvement in operating assets and liabilities. The increase in our net operating assets and liabilities was mainly driven by an increase of accounts payable and a decrease of inventories as compared to 2024, partially offset by an increase of accounts receivables due to revenue growth.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was $16.0 million for the year ended December 31, 2025, compared to $12.2 million in 2024. This outflow was primarily driven by capital expenditures related to the expansion of our manufacturing facilities and the acquisition of property and equipment for existing manufacturing and R&amp;D operations, partially offset by disposal of property, plant and equipment and short-term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Net cash used in financing activities was $2.7 million for the year ended December 31, 2025, a decrease of $40.3 million compared to $37.6 million provided in 2024. The decrease was primarily due to a $29.8 million increase in repayments of bank borrowings and $15.8 million decrease in proceeds from bank borrowings, partially offset by net proceeds from sales of common stocks of $27.9 million.</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U.S. GAAP. The preparation of these consolidated financial statements requires us to make estimates and assumptions that affect the reported amounts of assets,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believe the following critical accounting policies involve a higher degree of judgment and complexity than our other accounting policies. Therefore, these are the policies we believe are the most critical to understanding and evaluating our consolidated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Loan Measured at Fair Value</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elected the fair value option to account for the convertible loan and record changes in fair value in the consolidated statements of operations, with the exception of changes in fair value due to instrument-specific credit risk which, if present, will be recorded as a component of other comprehensive income. Interest expense related to the convertible loan is included in the changes in fair value. The fair value of the convertible loan was determined by using a discounted cash flow model for the bond component and a Black-Scholes-Merton model for the conversion option, which is considered a Level 3 fair value measurement.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Cost is determined using the weighted average method. Inventory levels are analyzed periodically and written down to their net realizable value if they have become obsolete, have a cost basis in excess of expected net realizable value or are in excess of expected demand. We analyze current and future product demand relative to the remaining product life to identify potential excess inventories. These forecasts of future demand are based upon historical trends and analysis as adjusted for overall market conditions. Inventory write-downs are measured as the difference between the cost of the inventory and its net realizable value, and charged to inventory reserves, which is a component of cost of revenue. At the point of the loss recognition, a new, lower cost basis for those inventories is established, and subsequent changes in facts and circumstances do not result in the restoration or increase in that newly established cost basis. We monitor the inventory impairments periodically and, since battery technology continues to advance, we may incur inventory impairment losses in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utilize the asset and liability method in accounting for income taxes. Deferred tax assets and liabilities reflect the estimated future tax consequences of temporary differences between the financial reporting and tax bases of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Valuation allowances are established when necessary to reduce deferred tax assets where it is more likely than not that the deferred tax assets will not be realized. We make estimates, assumptions and judgments to determine its provision for its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established a valuation allowance.</w:t>
      </w:r>
    </w:p>
    <w:p>
      <w:pPr>
        <w:spacing w:after="0" w:line="17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account for uncertain tax positions by reporting a liability for unrecognized tax benefits resulting from uncertain tax positions taken or expected to be taken in a tax return. Tax benefits are recognized from uncertain tax positions when we believe that it is more-likely-than-not that the tax position will be sustained on examination by the taxing authorities based on the technical merits of the position. We recognize interest and penalties, if any, related to unrecognized tax benefits in income tax expense.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recognize compensation expense on a straight-line basis over the service period that awards are expected to vest, based on the estimated fair value of the awards on the date of the grant. We recognize forfeitures as they occur. Fair value excludes the effect of non-market based vesting conditions. The fair value of RSUs with service conditions is based on the grant date share price. We estimate the fair value of options utilizing the Binomial-Lattice Model. The fair value of non-vested shares that vest based on market conditions are estimated using the Monte Carlo valuation method. These fair value estimates of stock related awards and assumptions inherent therein are estimates and, as a result, may not be reflective of future results or amounts ultimately realized by recipients of the grants. For these awards with performance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conditions, we recognize compensation expense when the performance goals are achieved, or when it becomes probable that the performance goals will be achieved. Management performs the probability assessment on a quarterly basis by reviewing external factors, such as macroeconomic conditions and the analog industry revenue forecasts, and internal factors, such as our business and operational objectives and revenue forecasts. Changes in the probability assessment of achievement of the performance conditions are accounted for in the period of change by recording a cumulative catch-up adjustment as if the new estimate had been applied since the service inception date. As a result, our stock-based compensation expense is subject to volatility and may fluctuate significantly each quarter due to changes in our probability assessment of achievement of the performance conditions or actual results being different from projections made by management. Liability-classified awards are remeasured at lower of capped value or fair value as of each report date during settlement.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regarding internal control over financial reporting is set forth in Part II, Item 9A of this Annual Report.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See Note 2 to the consolidated financial statements beginning on page 84 of this Annual Report for more information about recent accounting pronouncements, the timing of their adoption, and our assessment, to the extent we have made one, of their potential impact on our financial condition and its results of operations and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cash and cash equivalents primarily consist of cash deposits and money market accounts, which are subject to interest rate fluctuations. While these interest-earning instruments carry a degree of interest rate risk, historical fluctuations in interest income have not been material.</w:t>
      </w:r>
    </w:p>
    <w:p>
      <w:pPr>
        <w:spacing w:after="0" w:line="17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Our bonds payable bear fixed interest rates and are not publicly traded, limiting exposure to interest rate volatility. However, our project finance loans in China include an interest rate spread of 115 basis points over the Loan Prime Rate in China, making them sensitive to market interest rate changes. Future movements in benchmark interest rates could materially impact our interest expenses.</w:t>
      </w:r>
    </w:p>
    <w:p>
      <w:pPr>
        <w:spacing w:after="0" w:line="15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primary objective of our investment activities is to preserve principal while optimizing returns, without significantly increasing risk. Due to the short maturity of our cash equivalents, our portfolio remains relatively insensitive to interest rate fluctuations. We do not anticipate that a 100-basis-point increase or decrease in interest rates would have a material impact on our operating results or financial condition. We will continue to review and adjust our investment policy as needed to ensure it aligns with our risk management strategy and financial objectives.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are exposed to foreign currency risk as a result of our significant sales and operational presence in China and our sales activities within the EMEA region. Consequently, a substantial portion of our transactions and monetary assets are denominated in the Chinese Renminbi and the Euro. The volatility of exchange rates is influenced by macroeconomic factors and government policies, which may result in significant fluctuations in our operating results.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foreign exchange gains and losses primarily arise from the translation of cash balances, trade accounts receivable and payable, and intercompany balances denominated in currencies other than the U.S. Dollar.</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To assess our exposure, we considered the historical trends in foreign currency exchange rates and determined that it is reasonably possible that adverse changes in foreign currency exchange rates of 10% for all currencies could be experienced in the near-term. These changes were applied to our total monetary assets and liabilities denominated in currencies other than our local currencies at the balance sheet date to compute the impact these changes would have had on our net income before income taxes. These changes would have resulted in a loss of $17.6 million at December 31, 2025.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At present, we do not utilize derivative financial instruments to hedge our exposure to foreign currency risk. While we may evaluate the use of hedging instruments in the future, there can be no assurance that such strategies will effectively mitigate our exposure or that the cost of such instruments will not outweigh their benefits.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Risk</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credit risk primarily relates to trade receivables, restricted cash, cash equivalents, and amounts due from related parties. We typically extend credit only to customers and counterparties with strong credit ratings and actively monitor overdue accounts to minimize default risk.</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evaluation of credit risk exposure involves significant estimates and judgment. Holding other factors constant, a hypothetical 100-basis-point increase in the expected loss rate on our financing receivables portfolio would have resulted in an increase in the allowance for credit losses of approximately $0.8 million as of December 31, 2025.</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To mitigate credit risk, we have a dedicated credit management team responsible for establishing credit limits, approving credit terms, and implementing collection strategies. At each reporting period, we review the recoverability of outstanding balances and ensure that adequate impairment provisions are recorded for potentially uncollectible amounts. If necessary, we negotiate revised payment terms or settlement plans with customers facing financial difficulties.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Given our robust credit risk management practices, we consider our overall credit risk exposure to be significantly mitigated.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Historically, we have observed higher sales volumes in the third and fourth fiscal quarters, compared to the first and second quarters. However, due to our relatively limited operating history, it remains difficult to determine the exact extent or nature of seasonality in our business. We continue to monitor sales trends and market conditions to better understand the potential impact of seasonal demand fluctuations on our operations.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2025, 2024 and 2023</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Borders>
              <w:bottom w:val="single" w:sz="8" w:color="CCEEFF"/>
            </w:tcBorders>
          </w:tcPr>
          <w:p>
            <w:pPr>
              <w:spacing w:after="0"/>
              <w:rPr>
                <w:sz w:val="20"/>
                <w:szCs w:val="20"/>
                <w:color w:val="auto"/>
              </w:rPr>
            </w:pPr>
          </w:p>
        </w:tc>
        <w:tc>
          <w:tcPr>
            <w:tcW w:w="30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37"/>
        </w:trPr>
        <w:tc>
          <w:tcPr>
            <w:tcW w:w="102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72</w:t>
            </w:r>
          </w:p>
        </w:tc>
      </w:tr>
      <w:tr>
        <w:trPr>
          <w:trHeight w:val="258"/>
        </w:trPr>
        <w:tc>
          <w:tcPr>
            <w:tcW w:w="20" w:type="dxa"/>
            <w:vAlign w:val="bottom"/>
            <w:tcBorders>
              <w:top w:val="single" w:sz="8" w:color="CCEEFF"/>
            </w:tcBorders>
          </w:tcPr>
          <w:p>
            <w:pPr>
              <w:spacing w:after="0"/>
              <w:rPr>
                <w:sz w:val="22"/>
                <w:szCs w:val="22"/>
                <w:color w:val="auto"/>
              </w:rPr>
            </w:pPr>
          </w:p>
        </w:tc>
        <w:tc>
          <w:tcPr>
            <w:tcW w:w="3000" w:type="dxa"/>
            <w:vAlign w:val="bottom"/>
            <w:tcBorders>
              <w:top w:val="single" w:sz="8" w:color="0000FF"/>
            </w:tcBorders>
          </w:tcPr>
          <w:p>
            <w:pPr>
              <w:spacing w:after="0"/>
              <w:rPr>
                <w:sz w:val="22"/>
                <w:szCs w:val="22"/>
                <w:color w:val="auto"/>
              </w:rPr>
            </w:pPr>
          </w:p>
        </w:tc>
        <w:tc>
          <w:tcPr>
            <w:tcW w:w="1020" w:type="dxa"/>
            <w:vAlign w:val="bottom"/>
            <w:tcBorders>
              <w:top w:val="single" w:sz="8" w:color="0000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21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216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r>
      <w:tr>
        <w:trPr>
          <w:trHeight w:val="225"/>
        </w:trPr>
        <w:tc>
          <w:tcPr>
            <w:tcW w:w="10220" w:type="dxa"/>
            <w:vAlign w:val="bottom"/>
            <w:gridSpan w:val="9"/>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0000FF"/>
              </w:rPr>
              <w:t>Consolidated Balance Sheets as of December 31, 2025 and 2024</w:t>
            </w:r>
          </w:p>
        </w:tc>
        <w:tc>
          <w:tcPr>
            <w:tcW w:w="10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74</w:t>
            </w:r>
          </w:p>
        </w:tc>
      </w:tr>
      <w:tr>
        <w:trPr>
          <w:trHeight w:val="258"/>
        </w:trPr>
        <w:tc>
          <w:tcPr>
            <w:tcW w:w="20" w:type="dxa"/>
            <w:vAlign w:val="bottom"/>
            <w:tcBorders>
              <w:top w:val="single" w:sz="8" w:color="CCEEFF"/>
            </w:tcBorders>
          </w:tcPr>
          <w:p>
            <w:pPr>
              <w:spacing w:after="0"/>
              <w:rPr>
                <w:sz w:val="22"/>
                <w:szCs w:val="22"/>
                <w:color w:val="auto"/>
              </w:rPr>
            </w:pPr>
          </w:p>
        </w:tc>
        <w:tc>
          <w:tcPr>
            <w:tcW w:w="3000" w:type="dxa"/>
            <w:vAlign w:val="bottom"/>
            <w:tcBorders>
              <w:top w:val="single" w:sz="8" w:color="0000FF"/>
            </w:tcBorders>
          </w:tcPr>
          <w:p>
            <w:pPr>
              <w:spacing w:after="0"/>
              <w:rPr>
                <w:sz w:val="22"/>
                <w:szCs w:val="22"/>
                <w:color w:val="auto"/>
              </w:rPr>
            </w:pPr>
          </w:p>
        </w:tc>
        <w:tc>
          <w:tcPr>
            <w:tcW w:w="10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1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216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r>
      <w:tr>
        <w:trPr>
          <w:trHeight w:val="225"/>
        </w:trPr>
        <w:tc>
          <w:tcPr>
            <w:tcW w:w="10220" w:type="dxa"/>
            <w:vAlign w:val="bottom"/>
            <w:gridSpan w:val="9"/>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0000FF"/>
              </w:rPr>
              <w:t>Consolidated Statements of Operations for the Years Ended December 31, 2025, 2024 and 2023</w:t>
            </w:r>
          </w:p>
        </w:tc>
        <w:tc>
          <w:tcPr>
            <w:tcW w:w="10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76</w:t>
            </w:r>
          </w:p>
        </w:tc>
      </w:tr>
      <w:tr>
        <w:trPr>
          <w:trHeight w:val="258"/>
        </w:trPr>
        <w:tc>
          <w:tcPr>
            <w:tcW w:w="20" w:type="dxa"/>
            <w:vAlign w:val="bottom"/>
            <w:tcBorders>
              <w:top w:val="single" w:sz="8" w:color="CCEEFF"/>
            </w:tcBorders>
          </w:tcPr>
          <w:p>
            <w:pPr>
              <w:spacing w:after="0"/>
              <w:rPr>
                <w:sz w:val="22"/>
                <w:szCs w:val="22"/>
                <w:color w:val="auto"/>
              </w:rPr>
            </w:pPr>
          </w:p>
        </w:tc>
        <w:tc>
          <w:tcPr>
            <w:tcW w:w="3000" w:type="dxa"/>
            <w:vAlign w:val="bottom"/>
            <w:tcBorders>
              <w:top w:val="single" w:sz="8" w:color="0000FF"/>
            </w:tcBorders>
          </w:tcPr>
          <w:p>
            <w:pPr>
              <w:spacing w:after="0"/>
              <w:rPr>
                <w:sz w:val="22"/>
                <w:szCs w:val="22"/>
                <w:color w:val="auto"/>
              </w:rPr>
            </w:pPr>
          </w:p>
        </w:tc>
        <w:tc>
          <w:tcPr>
            <w:tcW w:w="10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16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216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r>
      <w:tr>
        <w:trPr>
          <w:trHeight w:val="225"/>
        </w:trPr>
        <w:tc>
          <w:tcPr>
            <w:tcW w:w="10220" w:type="dxa"/>
            <w:vAlign w:val="bottom"/>
            <w:gridSpan w:val="9"/>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0000FF"/>
              </w:rPr>
              <w:t>Consolidated Statements of Comprehensive Loss for the Years Ended December 31, 2025, 2024 and 2023</w:t>
            </w:r>
          </w:p>
        </w:tc>
        <w:tc>
          <w:tcPr>
            <w:tcW w:w="10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77</w:t>
            </w:r>
          </w:p>
        </w:tc>
      </w:tr>
      <w:tr>
        <w:trPr>
          <w:trHeight w:val="258"/>
        </w:trPr>
        <w:tc>
          <w:tcPr>
            <w:tcW w:w="20" w:type="dxa"/>
            <w:vAlign w:val="bottom"/>
            <w:tcBorders>
              <w:top w:val="single" w:sz="8" w:color="CCEEFF"/>
            </w:tcBorders>
          </w:tcPr>
          <w:p>
            <w:pPr>
              <w:spacing w:after="0"/>
              <w:rPr>
                <w:sz w:val="22"/>
                <w:szCs w:val="22"/>
                <w:color w:val="auto"/>
              </w:rPr>
            </w:pPr>
          </w:p>
        </w:tc>
        <w:tc>
          <w:tcPr>
            <w:tcW w:w="3000" w:type="dxa"/>
            <w:vAlign w:val="bottom"/>
            <w:tcBorders>
              <w:top w:val="single" w:sz="8" w:color="0000FF"/>
            </w:tcBorders>
          </w:tcPr>
          <w:p>
            <w:pPr>
              <w:spacing w:after="0"/>
              <w:rPr>
                <w:sz w:val="22"/>
                <w:szCs w:val="22"/>
                <w:color w:val="auto"/>
              </w:rPr>
            </w:pPr>
          </w:p>
        </w:tc>
        <w:tc>
          <w:tcPr>
            <w:tcW w:w="10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1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216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r>
      <w:tr>
        <w:trPr>
          <w:trHeight w:val="225"/>
        </w:trPr>
        <w:tc>
          <w:tcPr>
            <w:tcW w:w="10220" w:type="dxa"/>
            <w:vAlign w:val="bottom"/>
            <w:gridSpan w:val="9"/>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0000FF"/>
              </w:rPr>
              <w:t>Consolidated Statements of Changes in Stockholders Equity for the Years Ended December 31, 2025, 2024 and 2023</w:t>
            </w:r>
          </w:p>
        </w:tc>
        <w:tc>
          <w:tcPr>
            <w:tcW w:w="10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78</w:t>
            </w:r>
          </w:p>
        </w:tc>
      </w:tr>
      <w:tr>
        <w:trPr>
          <w:trHeight w:val="258"/>
        </w:trPr>
        <w:tc>
          <w:tcPr>
            <w:tcW w:w="20" w:type="dxa"/>
            <w:vAlign w:val="bottom"/>
            <w:tcBorders>
              <w:top w:val="single" w:sz="8" w:color="CCEEFF"/>
            </w:tcBorders>
          </w:tcPr>
          <w:p>
            <w:pPr>
              <w:spacing w:after="0"/>
              <w:rPr>
                <w:sz w:val="22"/>
                <w:szCs w:val="22"/>
                <w:color w:val="auto"/>
              </w:rPr>
            </w:pPr>
          </w:p>
        </w:tc>
        <w:tc>
          <w:tcPr>
            <w:tcW w:w="3000" w:type="dxa"/>
            <w:vAlign w:val="bottom"/>
            <w:tcBorders>
              <w:top w:val="single" w:sz="8" w:color="0000FF"/>
            </w:tcBorders>
          </w:tcPr>
          <w:p>
            <w:pPr>
              <w:spacing w:after="0"/>
              <w:rPr>
                <w:sz w:val="22"/>
                <w:szCs w:val="22"/>
                <w:color w:val="auto"/>
              </w:rPr>
            </w:pPr>
          </w:p>
        </w:tc>
        <w:tc>
          <w:tcPr>
            <w:tcW w:w="10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1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216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r>
      <w:tr>
        <w:trPr>
          <w:trHeight w:val="225"/>
        </w:trPr>
        <w:tc>
          <w:tcPr>
            <w:tcW w:w="10220" w:type="dxa"/>
            <w:vAlign w:val="bottom"/>
            <w:gridSpan w:val="9"/>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2025, 2024 and 2023</w:t>
            </w:r>
          </w:p>
        </w:tc>
        <w:tc>
          <w:tcPr>
            <w:tcW w:w="10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81</w:t>
            </w:r>
          </w:p>
        </w:tc>
      </w:tr>
      <w:tr>
        <w:trPr>
          <w:trHeight w:val="258"/>
        </w:trPr>
        <w:tc>
          <w:tcPr>
            <w:tcW w:w="20" w:type="dxa"/>
            <w:vAlign w:val="bottom"/>
            <w:tcBorders>
              <w:top w:val="single" w:sz="8" w:color="CCEEFF"/>
            </w:tcBorders>
          </w:tcPr>
          <w:p>
            <w:pPr>
              <w:spacing w:after="0"/>
              <w:rPr>
                <w:sz w:val="22"/>
                <w:szCs w:val="22"/>
                <w:color w:val="auto"/>
              </w:rPr>
            </w:pPr>
          </w:p>
        </w:tc>
        <w:tc>
          <w:tcPr>
            <w:tcW w:w="3000" w:type="dxa"/>
            <w:vAlign w:val="bottom"/>
            <w:tcBorders>
              <w:top w:val="single" w:sz="8" w:color="0000FF"/>
            </w:tcBorders>
          </w:tcPr>
          <w:p>
            <w:pPr>
              <w:spacing w:after="0"/>
              <w:rPr>
                <w:sz w:val="22"/>
                <w:szCs w:val="22"/>
                <w:color w:val="auto"/>
              </w:rPr>
            </w:pPr>
          </w:p>
        </w:tc>
        <w:tc>
          <w:tcPr>
            <w:tcW w:w="10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1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216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r>
      <w:tr>
        <w:trPr>
          <w:trHeight w:val="225"/>
        </w:trPr>
        <w:tc>
          <w:tcPr>
            <w:tcW w:w="20" w:type="dxa"/>
            <w:vAlign w:val="bottom"/>
            <w:shd w:val="clear" w:color="auto" w:fill="CCEEFF"/>
          </w:tcPr>
          <w:p>
            <w:pPr>
              <w:spacing w:after="0"/>
              <w:rPr>
                <w:sz w:val="19"/>
                <w:szCs w:val="19"/>
                <w:color w:val="auto"/>
              </w:rPr>
            </w:pPr>
          </w:p>
        </w:tc>
        <w:tc>
          <w:tcPr>
            <w:tcW w:w="1020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10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83</w:t>
            </w:r>
          </w:p>
        </w:tc>
      </w:tr>
      <w:tr>
        <w:trPr>
          <w:trHeight w:val="864"/>
        </w:trPr>
        <w:tc>
          <w:tcPr>
            <w:tcW w:w="20" w:type="dxa"/>
            <w:vAlign w:val="bottom"/>
            <w:tcBorders>
              <w:top w:val="single" w:sz="8" w:color="CCEEFF"/>
            </w:tcBorders>
          </w:tcPr>
          <w:p>
            <w:pPr>
              <w:spacing w:after="0"/>
              <w:rPr>
                <w:sz w:val="24"/>
                <w:szCs w:val="24"/>
                <w:color w:val="auto"/>
              </w:rPr>
            </w:pPr>
          </w:p>
        </w:tc>
        <w:tc>
          <w:tcPr>
            <w:tcW w:w="3000" w:type="dxa"/>
            <w:vAlign w:val="bottom"/>
            <w:tcBorders>
              <w:top w:val="single" w:sz="8" w:color="0000FF"/>
            </w:tcBorders>
          </w:tcPr>
          <w:p>
            <w:pPr>
              <w:spacing w:after="0"/>
              <w:rPr>
                <w:sz w:val="24"/>
                <w:szCs w:val="24"/>
                <w:color w:val="auto"/>
              </w:rPr>
            </w:pPr>
          </w:p>
        </w:tc>
        <w:tc>
          <w:tcPr>
            <w:tcW w:w="3600" w:type="dxa"/>
            <w:vAlign w:val="bottom"/>
            <w:tcBorders>
              <w:top w:val="single" w:sz="8" w:color="CCEEFF"/>
            </w:tcBorders>
            <w:gridSpan w:val="3"/>
          </w:tcPr>
          <w:p>
            <w:pPr>
              <w:jc w:val="right"/>
              <w:ind w:right="920"/>
              <w:spacing w:after="0"/>
              <w:rPr>
                <w:sz w:val="20"/>
                <w:szCs w:val="20"/>
                <w:color w:val="auto"/>
              </w:rPr>
            </w:pPr>
            <w:r>
              <w:rPr>
                <w:rFonts w:ascii="Times New Roman" w:cs="Times New Roman" w:eastAsia="Times New Roman" w:hAnsi="Times New Roman"/>
                <w:sz w:val="17"/>
                <w:szCs w:val="17"/>
                <w:color w:val="auto"/>
              </w:rPr>
              <w:t>71</w:t>
            </w:r>
          </w:p>
        </w:tc>
        <w:tc>
          <w:tcPr>
            <w:tcW w:w="4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680" w:firstLine="2679"/>
        <w:spacing w:after="0" w:line="621" w:lineRule="auto"/>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 To the Stockholders and the Board of Directors of Microvast Holdings, Inc. Opinion on the Financial Statements</w:t>
      </w:r>
    </w:p>
    <w:p>
      <w:pPr>
        <w:spacing w:after="0" w:line="23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Microvast Holdings, Inc. and its subsidiaries (the “Company”) as of December 31, 2025 and 2024, the related consolidated statements of operations, comprehensive loss, changes in stockholders’ equity, and cash flows, for each of the three years in the period ended December 31, 2025, and the related notes and the Schedule I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6"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March 16, 2026, expressed an unqualified opinion on the Company’s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21"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The critical audit matter communicated below is matter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separate opinions on the critical audit matter or on the accounts or disclosures to which they relate.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 – refer to Note 1 of the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34"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As discussed in Note 1 to the financial statements, there are conditions and events that raise substantial doubt about the Company’s ability to continue as a going concern. Management's plans including generation of cash inflows from operations and refinancing of short-term bank borrowings in the next twelve months since the date of issuance of the financial statements to alleviate the substantial doubt are also described in Note 1.</w:t>
      </w:r>
    </w:p>
    <w:p>
      <w:pPr>
        <w:spacing w:after="0" w:line="19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We identified the evaluation of the Company's assessment of its ability to continue as a going concern as a critical audit matter because a high degree of auditor judgment was required to evaluate the reasonableness of management’s estimates and assumptions related to the Company’s cash flow forecast used in its going concern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Company’s going concern included the following, among others:</w:t>
      </w:r>
    </w:p>
    <w:p>
      <w:pPr>
        <w:spacing w:after="0" w:line="230" w:lineRule="exact"/>
        <w:rPr>
          <w:sz w:val="20"/>
          <w:szCs w:val="20"/>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internal controls over the Company's going concern assessment and forecasted cash flows.</w:t>
      </w:r>
    </w:p>
    <w:p>
      <w:pPr>
        <w:spacing w:after="0" w:line="229"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performed a retrospective review to compare the Company's historical forecasted cash flows to actual results to assess the Company's ability to accurately forecast.</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assessed the reasonableness of the underlying data and assumptions included in management's forecasted cash flows.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performed sensitivity analyses to assess the impact of changes in the key assumptions such as revenue growth rate and gross margin ratio.</w:t>
      </w:r>
    </w:p>
    <w:p>
      <w:pPr>
        <w:spacing w:after="0" w:line="217"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inspected the terms of loan agreements to determine whether any covenants have been breached and whether the repayment within the next twelve months are properly included in the forecast.</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the Company’s assessment that the management plans are probable to alleviate the substantial doubt.</w:t>
      </w:r>
    </w:p>
    <w:p>
      <w:pPr>
        <w:spacing w:after="0" w:line="229"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reviewed subsequent events to identify those that represent additional conditions and events to be considered in aggregate and whether any contradictory evidence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Touche Tohmatsu Certified Public Accountants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the People’s Republic of China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2011.</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80" w:type="dxa"/>
            <w:vAlign w:val="bottom"/>
          </w:tcPr>
          <w:p>
            <w:pPr>
              <w:spacing w:after="0"/>
              <w:rPr>
                <w:sz w:val="19"/>
                <w:szCs w:val="19"/>
                <w:color w:val="auto"/>
              </w:rPr>
            </w:pP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104,963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73,007</w:t>
            </w: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64,275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36,572</w:t>
            </w:r>
          </w:p>
        </w:tc>
      </w:tr>
      <w:tr>
        <w:trPr>
          <w:trHeight w:val="20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receivable (net of allowance for credit losses of $4,693 and $5,090 as of December 31, 2025 and 2024,</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6"/>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respectively)</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155,763</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120,626</w:t>
            </w: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Notes receivable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7,579</w:t>
            </w: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Inventories, net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89,411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143,327</w:t>
            </w: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27,019</w:t>
            </w:r>
          </w:p>
        </w:tc>
      </w:tr>
      <w:tr>
        <w:trPr>
          <w:trHeight w:val="264"/>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Assets held for sale</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19,896</w:t>
            </w:r>
          </w:p>
        </w:tc>
      </w:tr>
      <w:tr>
        <w:trPr>
          <w:trHeight w:val="232"/>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448,723</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428,026</w:t>
            </w: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508,057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478,189</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use rights, net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11,371</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Acquired intangible assets,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2,607</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17,628</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12,150</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14,024</w:t>
            </w:r>
          </w:p>
        </w:tc>
      </w:tr>
      <w:tr>
        <w:trPr>
          <w:trHeight w:val="244"/>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1,005,448</w:t>
            </w: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951,867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47,003</w:t>
            </w:r>
          </w:p>
        </w:tc>
        <w:tc>
          <w:tcPr>
            <w:tcW w:w="80" w:type="dxa"/>
            <w:vAlign w:val="bottom"/>
          </w:tcPr>
          <w:p>
            <w:pPr>
              <w:spacing w:after="0"/>
              <w:rPr>
                <w:sz w:val="20"/>
                <w:szCs w:val="20"/>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64,940</w:t>
            </w: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Notes payable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78,321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51,756</w:t>
            </w: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123,315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98,456</w:t>
            </w: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Advance from customers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43,678</w:t>
            </w: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Amounts due to related parties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Convertible loan measured at fair value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140,929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Short-term bank borrowings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93,052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70,666</w:t>
            </w: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payables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r>
      <w:tr>
        <w:trPr>
          <w:trHeight w:val="23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Warrant liability</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488,341</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330,153</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bank borrowings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41,062</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bonds payable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41,693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43,157</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liability</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loan measured at fair value</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104,613</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14,596</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37,100</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30,003</w:t>
            </w:r>
          </w:p>
        </w:tc>
      </w:tr>
      <w:tr>
        <w:trPr>
          <w:trHeight w:val="2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594,935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563,972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138670" cy="155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27)</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80" w:type="dxa"/>
            <w:vAlign w:val="bottom"/>
          </w:tcPr>
          <w:p>
            <w:pPr>
              <w:spacing w:after="0"/>
              <w:rPr>
                <w:sz w:val="19"/>
                <w:szCs w:val="19"/>
                <w:color w:val="auto"/>
              </w:rPr>
            </w:pP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2"/>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($0.0001 par value, 750,000,000 shares authorized; 333,473,938 and 324,831,634 shares issued, and</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331,786,438 and 323,144,134 shares outstanding as of December 31, 2025 and 2024)</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Preferred stock ($0.0001 par value, 50,000,000 shares authorized; none issued and outstanding as of December 31,</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2"/>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2025 and 2024)</w:t>
            </w: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1,543,797</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1,512,982</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Statutory reserves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6,032</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(1,122,176)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(1,092,958)</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(17,174)</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(38,194)</w:t>
            </w: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410,513</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387,895</w:t>
            </w:r>
          </w:p>
        </w:tc>
      </w:tr>
      <w:tr>
        <w:trPr>
          <w:trHeight w:val="244"/>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1,005,448</w:t>
            </w: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951,867</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22860</wp:posOffset>
            </wp:positionV>
            <wp:extent cx="29387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0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0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427,516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379,801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306,617</w:t>
            </w: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(272,899)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(260,249)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(249,390)</w:t>
            </w:r>
          </w:p>
        </w:tc>
      </w:tr>
      <w:tr>
        <w:trPr>
          <w:trHeight w:val="25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Energy storage system impairment</w:t>
            </w:r>
          </w:p>
        </w:tc>
        <w:tc>
          <w:tcPr>
            <w:tcW w:w="1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(32,507)</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17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122,110</w:t>
            </w:r>
          </w:p>
        </w:tc>
        <w:tc>
          <w:tcPr>
            <w:tcW w:w="80" w:type="dxa"/>
            <w:vAlign w:val="bottom"/>
            <w:tcBorders>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119,552</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57,227</w:t>
            </w:r>
          </w:p>
        </w:tc>
      </w:tr>
      <w:tr>
        <w:trPr>
          <w:trHeight w:val="24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(57,821)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(96,787)</w:t>
            </w:r>
          </w:p>
        </w:tc>
      </w:tr>
      <w:tr>
        <w:trPr>
          <w:trHeight w:val="25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(34,109)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(41,065)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(45,004)</w:t>
            </w: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(22,197)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(22,576)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(23,614)</w:t>
            </w:r>
          </w:p>
        </w:tc>
      </w:tr>
      <w:tr>
        <w:trPr>
          <w:trHeight w:val="26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loss of long-lived assets</w:t>
            </w:r>
          </w:p>
        </w:tc>
        <w:tc>
          <w:tcPr>
            <w:tcW w:w="17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(4,142)</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(93,173)</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r>
      <w:tr>
        <w:trPr>
          <w:trHeight w:val="232"/>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7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(118,269)</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(238,300)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(165,909)</w:t>
            </w:r>
          </w:p>
        </w:tc>
      </w:tr>
      <w:tr>
        <w:trPr>
          <w:trHeight w:val="24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Subsidy income</w:t>
            </w:r>
          </w:p>
        </w:tc>
        <w:tc>
          <w:tcPr>
            <w:tcW w:w="17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3,142</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w:t>
            </w:r>
          </w:p>
        </w:tc>
      </w:tr>
      <w:tr>
        <w:trPr>
          <w:trHeight w:val="23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Income/(loss) from operations</w:t>
            </w: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6,983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(116,090)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(106,729)</w:t>
            </w:r>
          </w:p>
        </w:tc>
      </w:tr>
      <w:tr>
        <w:trPr>
          <w:trHeight w:val="25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and expenses:</w:t>
            </w:r>
          </w:p>
        </w:tc>
        <w:tc>
          <w:tcPr>
            <w:tcW w:w="1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3,609</w:t>
            </w:r>
          </w:p>
        </w:tc>
      </w:tr>
      <w:tr>
        <w:trPr>
          <w:trHeight w:val="25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(2,628)</w:t>
            </w: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 of warrant liability and convertible loan</w:t>
            </w: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(39,121)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(79,960)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5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debt restructuring</w:t>
            </w:r>
          </w:p>
        </w:tc>
        <w:tc>
          <w:tcPr>
            <w:tcW w:w="1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7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w:t>
            </w:r>
          </w:p>
        </w:tc>
      </w:tr>
      <w:tr>
        <w:trPr>
          <w:trHeight w:val="24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Loss before provision for income tax</w:t>
            </w:r>
          </w:p>
        </w:tc>
        <w:tc>
          <w:tcPr>
            <w:tcW w:w="1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(34,543)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(106,402)</w:t>
            </w:r>
          </w:p>
        </w:tc>
      </w:tr>
      <w:tr>
        <w:trPr>
          <w:trHeight w:val="23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17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5,325</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7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(29,218)</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(106,412)</w:t>
            </w:r>
          </w:p>
        </w:tc>
      </w:tr>
      <w:tr>
        <w:trPr>
          <w:trHeight w:val="238"/>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Net loss attributable to noncontrolling interest</w:t>
            </w:r>
          </w:p>
        </w:tc>
        <w:tc>
          <w:tcPr>
            <w:tcW w:w="17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6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w:t>
            </w:r>
          </w:p>
        </w:tc>
        <w:tc>
          <w:tcPr>
            <w:tcW w:w="20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(29,218)</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(106,336)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9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7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common share - basic and diluted</w:t>
            </w:r>
          </w:p>
        </w:tc>
        <w:tc>
          <w:tcPr>
            <w:tcW w:w="20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w:t>
            </w:r>
          </w:p>
        </w:tc>
      </w:tr>
      <w:tr>
        <w:trPr>
          <w:trHeight w:val="258"/>
        </w:trPr>
        <w:tc>
          <w:tcPr>
            <w:tcW w:w="49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4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basic and diluted</w:t>
            </w:r>
          </w:p>
        </w:tc>
        <w:tc>
          <w:tcPr>
            <w:tcW w:w="1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324,689,242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318,462,843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310,909,379</w:t>
            </w:r>
          </w:p>
        </w:tc>
      </w:tr>
      <w:tr>
        <w:trPr>
          <w:trHeight w:val="503"/>
        </w:trPr>
        <w:tc>
          <w:tcPr>
            <w:tcW w:w="8680" w:type="dxa"/>
            <w:vAlign w:val="bottom"/>
            <w:gridSpan w:val="6"/>
          </w:tcPr>
          <w:p>
            <w:pPr>
              <w:jc w:val="center"/>
              <w:ind w:left="2474"/>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4"/>
        </w:trPr>
        <w:tc>
          <w:tcPr>
            <w:tcW w:w="4900" w:type="dxa"/>
            <w:vAlign w:val="bottom"/>
          </w:tcPr>
          <w:p>
            <w:pPr>
              <w:spacing w:after="0"/>
              <w:rPr>
                <w:sz w:val="24"/>
                <w:szCs w:val="24"/>
                <w:color w:val="auto"/>
              </w:rPr>
            </w:pPr>
          </w:p>
        </w:tc>
        <w:tc>
          <w:tcPr>
            <w:tcW w:w="172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76</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49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22860</wp:posOffset>
            </wp:positionV>
            <wp:extent cx="29387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(29,218)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(195,457)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(106,412)</w:t>
            </w:r>
          </w:p>
        </w:tc>
      </w:tr>
      <w:tr>
        <w:trPr>
          <w:trHeight w:val="23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21,020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(7,621)</w:t>
            </w:r>
          </w:p>
        </w:tc>
      </w:tr>
      <w:tr>
        <w:trPr>
          <w:trHeight w:val="23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(8,198)</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(208,037)</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(114,033)</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interests</w:t>
            </w: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69"/>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loss attributable to common stockholders</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(8,198)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(208,037)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(113,869)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80" w:type="dxa"/>
            <w:vAlign w:val="bottom"/>
            <w:gridSpan w:val="8"/>
          </w:tcPr>
          <w:p>
            <w:pPr>
              <w:ind w:left="700"/>
              <w:spacing w:after="0"/>
              <w:rPr>
                <w:sz w:val="20"/>
                <w:szCs w:val="20"/>
                <w:color w:val="auto"/>
              </w:rPr>
            </w:pPr>
            <w:r>
              <w:rPr>
                <w:rFonts w:ascii="Times New Roman" w:cs="Times New Roman" w:eastAsia="Times New Roman" w:hAnsi="Times New Roman"/>
                <w:sz w:val="17"/>
                <w:szCs w:val="17"/>
                <w:b w:val="1"/>
                <w:bCs w:val="1"/>
                <w:color w:val="auto"/>
              </w:rPr>
              <w:t>Year Ended December 31, 2025</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17"/>
                <w:szCs w:val="17"/>
                <w:color w:val="auto"/>
              </w:rPr>
            </w:pPr>
          </w:p>
        </w:tc>
        <w:tc>
          <w:tcPr>
            <w:tcW w:w="2100" w:type="dxa"/>
            <w:vAlign w:val="bottom"/>
            <w:gridSpan w:val="4"/>
            <w:vMerge w:val="restart"/>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8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193"/>
        </w:trPr>
        <w:tc>
          <w:tcPr>
            <w:tcW w:w="2920" w:type="dxa"/>
            <w:vAlign w:val="bottom"/>
          </w:tcPr>
          <w:p>
            <w:pPr>
              <w:spacing w:after="0"/>
              <w:rPr>
                <w:sz w:val="16"/>
                <w:szCs w:val="16"/>
                <w:color w:val="auto"/>
              </w:rPr>
            </w:pPr>
          </w:p>
        </w:tc>
        <w:tc>
          <w:tcPr>
            <w:tcW w:w="210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7"/>
                <w:szCs w:val="17"/>
                <w:b w:val="1"/>
                <w:bCs w:val="1"/>
                <w:color w:val="auto"/>
                <w:w w:val="99"/>
              </w:rPr>
              <w:t>paid-in</w:t>
            </w:r>
          </w:p>
        </w:tc>
        <w:tc>
          <w:tcPr>
            <w:tcW w:w="1240" w:type="dxa"/>
            <w:vAlign w:val="bottom"/>
            <w:gridSpan w:val="3"/>
          </w:tcPr>
          <w:p>
            <w:pPr>
              <w:ind w:left="80"/>
              <w:spacing w:after="0" w:line="188"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8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60" w:type="dxa"/>
            <w:vAlign w:val="bottom"/>
          </w:tcPr>
          <w:p>
            <w:pPr>
              <w:spacing w:after="0"/>
              <w:rPr>
                <w:sz w:val="16"/>
                <w:szCs w:val="16"/>
                <w:color w:val="auto"/>
              </w:rPr>
            </w:pPr>
          </w:p>
        </w:tc>
        <w:tc>
          <w:tcPr>
            <w:tcW w:w="102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7"/>
                <w:szCs w:val="17"/>
                <w:b w:val="1"/>
                <w:bCs w:val="1"/>
                <w:color w:val="auto"/>
              </w:rPr>
              <w:t>Statutory</w:t>
            </w:r>
          </w:p>
        </w:tc>
        <w:tc>
          <w:tcPr>
            <w:tcW w:w="100" w:type="dxa"/>
            <w:vAlign w:val="bottom"/>
          </w:tcPr>
          <w:p>
            <w:pPr>
              <w:spacing w:after="0"/>
              <w:rPr>
                <w:sz w:val="16"/>
                <w:szCs w:val="16"/>
                <w:color w:val="auto"/>
              </w:rPr>
            </w:pPr>
          </w:p>
        </w:tc>
        <w:tc>
          <w:tcPr>
            <w:tcW w:w="1140" w:type="dxa"/>
            <w:vAlign w:val="bottom"/>
          </w:tcPr>
          <w:p>
            <w:pPr>
              <w:jc w:val="center"/>
              <w:ind w:right="14"/>
              <w:spacing w:after="0" w:line="188" w:lineRule="exact"/>
              <w:rPr>
                <w:sz w:val="20"/>
                <w:szCs w:val="20"/>
                <w:color w:val="auto"/>
              </w:rPr>
            </w:pPr>
            <w:r>
              <w:rPr>
                <w:rFonts w:ascii="Times New Roman" w:cs="Times New Roman" w:eastAsia="Times New Roman" w:hAnsi="Times New Roman"/>
                <w:sz w:val="17"/>
                <w:szCs w:val="17"/>
                <w:b w:val="1"/>
                <w:bCs w:val="1"/>
                <w:color w:val="auto"/>
                <w:w w:val="99"/>
              </w:rPr>
              <w:t>Stockholders’</w:t>
            </w: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2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00" w:type="dxa"/>
            <w:vAlign w:val="bottom"/>
          </w:tcPr>
          <w:p>
            <w:pPr>
              <w:spacing w:after="0"/>
              <w:rPr>
                <w:sz w:val="19"/>
                <w:szCs w:val="19"/>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loss</w:t>
            </w:r>
          </w:p>
        </w:tc>
        <w:tc>
          <w:tcPr>
            <w:tcW w:w="16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reserves</w:t>
            </w:r>
          </w:p>
        </w:tc>
        <w:tc>
          <w:tcPr>
            <w:tcW w:w="100" w:type="dxa"/>
            <w:vAlign w:val="bottom"/>
          </w:tcPr>
          <w:p>
            <w:pPr>
              <w:spacing w:after="0"/>
              <w:rPr>
                <w:sz w:val="19"/>
                <w:szCs w:val="19"/>
                <w:color w:val="auto"/>
              </w:rPr>
            </w:pPr>
          </w:p>
        </w:tc>
        <w:tc>
          <w:tcPr>
            <w:tcW w:w="11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0" w:type="dxa"/>
            <w:vAlign w:val="bottom"/>
          </w:tcPr>
          <w:p>
            <w:pPr>
              <w:spacing w:after="0"/>
              <w:rPr>
                <w:sz w:val="1"/>
                <w:szCs w:val="1"/>
                <w:color w:val="auto"/>
              </w:rPr>
            </w:pPr>
          </w:p>
        </w:tc>
      </w:tr>
      <w:tr>
        <w:trPr>
          <w:trHeight w:val="25"/>
        </w:trPr>
        <w:tc>
          <w:tcPr>
            <w:tcW w:w="29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323,144,134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1,512,982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(1,092,958)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387,895</w:t>
            </w:r>
          </w:p>
        </w:tc>
        <w:tc>
          <w:tcPr>
            <w:tcW w:w="0" w:type="dxa"/>
            <w:vAlign w:val="bottom"/>
          </w:tcPr>
          <w:p>
            <w:pPr>
              <w:spacing w:after="0"/>
              <w:rPr>
                <w:sz w:val="1"/>
                <w:szCs w:val="1"/>
                <w:color w:val="auto"/>
              </w:rPr>
            </w:pPr>
          </w:p>
        </w:tc>
      </w:tr>
      <w:tr>
        <w:trPr>
          <w:trHeight w:val="23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(29,218)</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common stock in connection</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with vesting of share-based awards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1,485,503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of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7,156,801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28,751</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issuance costs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0" w:type="dxa"/>
            <w:vAlign w:val="bottom"/>
          </w:tcPr>
          <w:p>
            <w:pPr>
              <w:spacing w:after="0"/>
              <w:rPr>
                <w:sz w:val="1"/>
                <w:szCs w:val="1"/>
                <w:color w:val="auto"/>
              </w:rPr>
            </w:pPr>
          </w:p>
        </w:tc>
      </w:tr>
      <w:tr>
        <w:trPr>
          <w:trHeight w:val="23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(Note 20)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3,098</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21,020</w:t>
            </w:r>
          </w:p>
        </w:tc>
        <w:tc>
          <w:tcPr>
            <w:tcW w:w="0" w:type="dxa"/>
            <w:vAlign w:val="bottom"/>
          </w:tcPr>
          <w:p>
            <w:pPr>
              <w:spacing w:after="0"/>
              <w:rPr>
                <w:sz w:val="1"/>
                <w:szCs w:val="1"/>
                <w:color w:val="auto"/>
              </w:rPr>
            </w:pPr>
          </w:p>
        </w:tc>
      </w:tr>
      <w:tr>
        <w:trPr>
          <w:trHeight w:val="251"/>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2025</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331,786,438</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1,543,797</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(1,122,176)</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(17,174)</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6,032</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410,513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9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8"/>
          </w:tcPr>
          <w:p>
            <w:pPr>
              <w:ind w:left="720"/>
              <w:spacing w:after="0"/>
              <w:rPr>
                <w:sz w:val="20"/>
                <w:szCs w:val="20"/>
                <w:color w:val="auto"/>
              </w:rPr>
            </w:pPr>
            <w:r>
              <w:rPr>
                <w:rFonts w:ascii="Times New Roman" w:cs="Times New Roman" w:eastAsia="Times New Roman" w:hAnsi="Times New Roman"/>
                <w:sz w:val="17"/>
                <w:szCs w:val="17"/>
                <w:b w:val="1"/>
                <w:bCs w:val="1"/>
                <w:color w:val="auto"/>
              </w:rPr>
              <w:t>Year Ended December 31, 2024</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17"/>
                <w:szCs w:val="17"/>
                <w:color w:val="auto"/>
              </w:rPr>
            </w:pPr>
          </w:p>
        </w:tc>
        <w:tc>
          <w:tcPr>
            <w:tcW w:w="2080" w:type="dxa"/>
            <w:vAlign w:val="bottom"/>
            <w:gridSpan w:val="4"/>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8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93"/>
        </w:trPr>
        <w:tc>
          <w:tcPr>
            <w:tcW w:w="2920" w:type="dxa"/>
            <w:vAlign w:val="bottom"/>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7"/>
                <w:szCs w:val="17"/>
                <w:b w:val="1"/>
                <w:bCs w:val="1"/>
                <w:color w:val="auto"/>
                <w:w w:val="99"/>
              </w:rPr>
              <w:t>paid-in</w:t>
            </w:r>
          </w:p>
        </w:tc>
        <w:tc>
          <w:tcPr>
            <w:tcW w:w="124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80" w:type="dxa"/>
            <w:vAlign w:val="bottom"/>
            <w:gridSpan w:val="3"/>
          </w:tcPr>
          <w:p>
            <w:pPr>
              <w:jc w:val="center"/>
              <w:ind w:right="60"/>
              <w:spacing w:after="0" w:line="188"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60" w:type="dxa"/>
            <w:vAlign w:val="bottom"/>
          </w:tcPr>
          <w:p>
            <w:pPr>
              <w:spacing w:after="0"/>
              <w:rPr>
                <w:sz w:val="16"/>
                <w:szCs w:val="16"/>
                <w:color w:val="auto"/>
              </w:rPr>
            </w:pPr>
          </w:p>
        </w:tc>
        <w:tc>
          <w:tcPr>
            <w:tcW w:w="104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7"/>
                <w:szCs w:val="17"/>
                <w:b w:val="1"/>
                <w:bCs w:val="1"/>
                <w:color w:val="auto"/>
              </w:rPr>
              <w:t>Statutory</w:t>
            </w:r>
          </w:p>
        </w:tc>
        <w:tc>
          <w:tcPr>
            <w:tcW w:w="120" w:type="dxa"/>
            <w:vAlign w:val="bottom"/>
          </w:tcPr>
          <w:p>
            <w:pPr>
              <w:spacing w:after="0"/>
              <w:rPr>
                <w:sz w:val="16"/>
                <w:szCs w:val="16"/>
                <w:color w:val="auto"/>
              </w:rPr>
            </w:pPr>
          </w:p>
        </w:tc>
        <w:tc>
          <w:tcPr>
            <w:tcW w:w="1120" w:type="dxa"/>
            <w:vAlign w:val="bottom"/>
          </w:tcPr>
          <w:p>
            <w:pPr>
              <w:jc w:val="center"/>
              <w:ind w:right="14"/>
              <w:spacing w:after="0" w:line="188"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44"/>
        </w:trPr>
        <w:tc>
          <w:tcPr>
            <w:tcW w:w="2920" w:type="dxa"/>
            <w:vAlign w:val="bottom"/>
          </w:tcPr>
          <w:p>
            <w:pPr>
              <w:spacing w:after="0"/>
              <w:rPr>
                <w:sz w:val="21"/>
                <w:szCs w:val="21"/>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20" w:type="dxa"/>
            <w:vAlign w:val="bottom"/>
          </w:tcPr>
          <w:p>
            <w:pPr>
              <w:spacing w:after="0"/>
              <w:rPr>
                <w:sz w:val="21"/>
                <w:szCs w:val="21"/>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240" w:type="dxa"/>
            <w:vAlign w:val="bottom"/>
          </w:tcPr>
          <w:p>
            <w:pPr>
              <w:spacing w:after="0"/>
              <w:rPr>
                <w:sz w:val="21"/>
                <w:szCs w:val="21"/>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loss</w:t>
            </w:r>
          </w:p>
        </w:tc>
        <w:tc>
          <w:tcPr>
            <w:tcW w:w="16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120" w:type="dxa"/>
            <w:vAlign w:val="bottom"/>
          </w:tcPr>
          <w:p>
            <w:pPr>
              <w:spacing w:after="0"/>
              <w:rPr>
                <w:sz w:val="21"/>
                <w:szCs w:val="21"/>
                <w:color w:val="auto"/>
              </w:rPr>
            </w:pPr>
          </w:p>
        </w:tc>
        <w:tc>
          <w:tcPr>
            <w:tcW w:w="112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44"/>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315,006,942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1,481,241</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(897,501)</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(25,614)</w:t>
            </w: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6,032</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564,190</w:t>
            </w:r>
          </w:p>
        </w:tc>
        <w:tc>
          <w:tcPr>
            <w:tcW w:w="0" w:type="dxa"/>
            <w:vAlign w:val="bottom"/>
          </w:tcPr>
          <w:p>
            <w:pPr>
              <w:spacing w:after="0"/>
              <w:rPr>
                <w:sz w:val="1"/>
                <w:szCs w:val="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(195,457)</w:t>
            </w:r>
          </w:p>
        </w:tc>
        <w:tc>
          <w:tcPr>
            <w:tcW w:w="0" w:type="dxa"/>
            <w:vAlign w:val="bottom"/>
          </w:tcPr>
          <w:p>
            <w:pPr>
              <w:spacing w:after="0"/>
              <w:rPr>
                <w:sz w:val="1"/>
                <w:szCs w:val="1"/>
                <w:color w:val="auto"/>
              </w:rPr>
            </w:pPr>
          </w:p>
        </w:tc>
      </w:tr>
      <w:tr>
        <w:trPr>
          <w:trHeight w:val="222"/>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common stock in connection</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with vesting of share-based awards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8,137,192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(Note 20)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30,963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30,963</w:t>
            </w:r>
          </w:p>
        </w:tc>
        <w:tc>
          <w:tcPr>
            <w:tcW w:w="0" w:type="dxa"/>
            <w:vAlign w:val="bottom"/>
          </w:tcPr>
          <w:p>
            <w:pPr>
              <w:spacing w:after="0"/>
              <w:rPr>
                <w:sz w:val="1"/>
                <w:szCs w:val="1"/>
                <w:color w:val="auto"/>
              </w:rPr>
            </w:pPr>
          </w:p>
        </w:tc>
      </w:tr>
      <w:tr>
        <w:trPr>
          <w:trHeight w:val="26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warrants (Note 25)</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0" w:type="dxa"/>
            <w:vAlign w:val="bottom"/>
          </w:tcPr>
          <w:p>
            <w:pPr>
              <w:spacing w:after="0"/>
              <w:rPr>
                <w:sz w:val="1"/>
                <w:szCs w:val="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(12,580)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(12,580)</w:t>
            </w:r>
          </w:p>
        </w:tc>
        <w:tc>
          <w:tcPr>
            <w:tcW w:w="0" w:type="dxa"/>
            <w:vAlign w:val="bottom"/>
          </w:tcPr>
          <w:p>
            <w:pPr>
              <w:spacing w:after="0"/>
              <w:rPr>
                <w:sz w:val="1"/>
                <w:szCs w:val="1"/>
                <w:color w:val="auto"/>
              </w:rPr>
            </w:pPr>
          </w:p>
        </w:tc>
      </w:tr>
      <w:tr>
        <w:trPr>
          <w:trHeight w:val="269"/>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323,144,134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1,512,982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(1,092,958)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(38,194)</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6,032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387,895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gridSpan w:val="8"/>
          </w:tcPr>
          <w:p>
            <w:pPr>
              <w:ind w:left="500"/>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60" w:type="dxa"/>
            <w:vAlign w:val="bottom"/>
          </w:tcPr>
          <w:p>
            <w:pPr>
              <w:spacing w:after="0"/>
              <w:rPr>
                <w:sz w:val="17"/>
                <w:szCs w:val="17"/>
                <w:color w:val="auto"/>
              </w:rPr>
            </w:pP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14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60" w:type="dxa"/>
            <w:vAlign w:val="bottom"/>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7"/>
                <w:szCs w:val="17"/>
                <w:b w:val="1"/>
                <w:bCs w:val="1"/>
                <w:color w:val="auto"/>
                <w:w w:val="99"/>
              </w:rPr>
              <w:t>paid-in</w:t>
            </w:r>
          </w:p>
        </w:tc>
        <w:tc>
          <w:tcPr>
            <w:tcW w:w="1100" w:type="dxa"/>
            <w:vAlign w:val="bottom"/>
            <w:gridSpan w:val="3"/>
          </w:tcPr>
          <w:p>
            <w:pPr>
              <w:jc w:val="right"/>
              <w:ind w:right="100"/>
              <w:spacing w:after="0" w:line="188"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40" w:type="dxa"/>
            <w:vAlign w:val="bottom"/>
            <w:gridSpan w:val="3"/>
          </w:tcPr>
          <w:p>
            <w:pPr>
              <w:jc w:val="center"/>
              <w:ind w:right="80"/>
              <w:spacing w:after="0" w:line="188" w:lineRule="exact"/>
              <w:rPr>
                <w:sz w:val="20"/>
                <w:szCs w:val="20"/>
                <w:color w:val="auto"/>
              </w:rPr>
            </w:pPr>
            <w:r>
              <w:rPr>
                <w:rFonts w:ascii="Times New Roman" w:cs="Times New Roman" w:eastAsia="Times New Roman" w:hAnsi="Times New Roman"/>
                <w:sz w:val="17"/>
                <w:szCs w:val="17"/>
                <w:b w:val="1"/>
                <w:bCs w:val="1"/>
                <w:color w:val="auto"/>
                <w:w w:val="99"/>
              </w:rPr>
              <w:t>comprehensive</w:t>
            </w:r>
          </w:p>
        </w:tc>
        <w:tc>
          <w:tcPr>
            <w:tcW w:w="860" w:type="dxa"/>
            <w:vAlign w:val="bottom"/>
            <w:gridSpan w:val="3"/>
          </w:tcPr>
          <w:p>
            <w:pPr>
              <w:jc w:val="center"/>
              <w:ind w:right="80"/>
              <w:spacing w:after="0" w:line="188" w:lineRule="exact"/>
              <w:rPr>
                <w:sz w:val="20"/>
                <w:szCs w:val="20"/>
                <w:color w:val="auto"/>
              </w:rPr>
            </w:pPr>
            <w:r>
              <w:rPr>
                <w:rFonts w:ascii="Times New Roman" w:cs="Times New Roman" w:eastAsia="Times New Roman" w:hAnsi="Times New Roman"/>
                <w:sz w:val="17"/>
                <w:szCs w:val="17"/>
                <w:b w:val="1"/>
                <w:bCs w:val="1"/>
                <w:color w:val="auto"/>
              </w:rPr>
              <w:t>Statutory</w:t>
            </w:r>
          </w:p>
        </w:tc>
        <w:tc>
          <w:tcPr>
            <w:tcW w:w="116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1060" w:type="dxa"/>
            <w:vAlign w:val="bottom"/>
            <w:gridSpan w:val="3"/>
          </w:tcPr>
          <w:p>
            <w:pPr>
              <w:jc w:val="center"/>
              <w:ind w:right="60"/>
              <w:spacing w:after="0" w:line="188" w:lineRule="exact"/>
              <w:rPr>
                <w:sz w:val="20"/>
                <w:szCs w:val="20"/>
                <w:color w:val="auto"/>
              </w:rPr>
            </w:pPr>
            <w:r>
              <w:rPr>
                <w:rFonts w:ascii="Times New Roman" w:cs="Times New Roman" w:eastAsia="Times New Roman" w:hAnsi="Times New Roman"/>
                <w:sz w:val="17"/>
                <w:szCs w:val="17"/>
                <w:b w:val="1"/>
                <w:bCs w:val="1"/>
                <w:color w:val="auto"/>
              </w:rPr>
              <w:t>controlling</w:t>
            </w:r>
          </w:p>
        </w:tc>
        <w:tc>
          <w:tcPr>
            <w:tcW w:w="780" w:type="dxa"/>
            <w:vAlign w:val="bottom"/>
          </w:tcPr>
          <w:p>
            <w:pPr>
              <w:jc w:val="right"/>
              <w:ind w:right="114"/>
              <w:spacing w:after="0" w:line="188" w:lineRule="exact"/>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44"/>
        </w:trPr>
        <w:tc>
          <w:tcPr>
            <w:tcW w:w="2260" w:type="dxa"/>
            <w:vAlign w:val="bottom"/>
          </w:tcPr>
          <w:p>
            <w:pPr>
              <w:spacing w:after="0"/>
              <w:rPr>
                <w:sz w:val="21"/>
                <w:szCs w:val="21"/>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80" w:type="dxa"/>
            <w:vAlign w:val="bottom"/>
          </w:tcPr>
          <w:p>
            <w:pPr>
              <w:spacing w:after="0"/>
              <w:rPr>
                <w:sz w:val="21"/>
                <w:szCs w:val="21"/>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24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loss</w:t>
            </w:r>
          </w:p>
        </w:tc>
        <w:tc>
          <w:tcPr>
            <w:tcW w:w="120" w:type="dxa"/>
            <w:vAlign w:val="bottom"/>
          </w:tcPr>
          <w:p>
            <w:pPr>
              <w:spacing w:after="0"/>
              <w:rPr>
                <w:sz w:val="21"/>
                <w:szCs w:val="21"/>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20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40" w:type="dxa"/>
            <w:vAlign w:val="bottom"/>
          </w:tcPr>
          <w:p>
            <w:pPr>
              <w:spacing w:after="0"/>
              <w:rPr>
                <w:sz w:val="21"/>
                <w:szCs w:val="21"/>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Interests</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89"/>
        </w:trPr>
        <w:tc>
          <w:tcPr>
            <w:tcW w:w="2260" w:type="dxa"/>
            <w:vAlign w:val="bottom"/>
            <w:tcBorders>
              <w:top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Balance as of December 31,</w:t>
            </w: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307,628,511</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$1,416,160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(791,165)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612,977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$ 612,977</w:t>
            </w:r>
          </w:p>
        </w:tc>
        <w:tc>
          <w:tcPr>
            <w:tcW w:w="0" w:type="dxa"/>
            <w:vAlign w:val="bottom"/>
          </w:tcPr>
          <w:p>
            <w:pPr>
              <w:spacing w:after="0"/>
              <w:rPr>
                <w:sz w:val="1"/>
                <w:szCs w:val="1"/>
                <w:color w:val="auto"/>
              </w:rPr>
            </w:pPr>
          </w:p>
        </w:tc>
      </w:tr>
      <w:tr>
        <w:trPr>
          <w:trHeight w:val="239"/>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(106,336)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(106,336)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(106,412)</w:t>
            </w:r>
          </w:p>
        </w:tc>
        <w:tc>
          <w:tcPr>
            <w:tcW w:w="0" w:type="dxa"/>
            <w:vAlign w:val="bottom"/>
          </w:tcPr>
          <w:p>
            <w:pPr>
              <w:spacing w:after="0"/>
              <w:rPr>
                <w:sz w:val="1"/>
                <w:szCs w:val="1"/>
                <w:color w:val="auto"/>
              </w:rPr>
            </w:pPr>
          </w:p>
        </w:tc>
      </w:tr>
      <w:tr>
        <w:trPr>
          <w:trHeight w:val="22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contribution from</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2,174</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2,174</w:t>
            </w:r>
          </w:p>
        </w:tc>
        <w:tc>
          <w:tcPr>
            <w:tcW w:w="0" w:type="dxa"/>
            <w:vAlign w:val="bottom"/>
          </w:tcPr>
          <w:p>
            <w:pPr>
              <w:spacing w:after="0"/>
              <w:rPr>
                <w:sz w:val="1"/>
                <w:szCs w:val="1"/>
                <w:color w:val="auto"/>
              </w:rPr>
            </w:pPr>
          </w:p>
        </w:tc>
      </w:tr>
      <w:tr>
        <w:trPr>
          <w:trHeight w:val="216"/>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Reduction of noncontrolling</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(2,174)</w:t>
            </w:r>
          </w:p>
        </w:tc>
        <w:tc>
          <w:tcPr>
            <w:tcW w:w="0" w:type="dxa"/>
            <w:vAlign w:val="bottom"/>
          </w:tcPr>
          <w:p>
            <w:pPr>
              <w:spacing w:after="0"/>
              <w:rPr>
                <w:sz w:val="1"/>
                <w:szCs w:val="1"/>
                <w:color w:val="auto"/>
              </w:rPr>
            </w:pPr>
          </w:p>
        </w:tc>
      </w:tr>
      <w:tr>
        <w:trPr>
          <w:trHeight w:val="22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common stock in</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connection with vesting of</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share-based awards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7,378,431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(Note 20)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65,246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65,246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65,246</w:t>
            </w: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(7,533)</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(7,533)</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(7,621)</w:t>
            </w:r>
          </w:p>
        </w:tc>
        <w:tc>
          <w:tcPr>
            <w:tcW w:w="0" w:type="dxa"/>
            <w:vAlign w:val="bottom"/>
          </w:tcPr>
          <w:p>
            <w:pPr>
              <w:spacing w:after="0"/>
              <w:rPr>
                <w:sz w:val="1"/>
                <w:szCs w:val="1"/>
                <w:color w:val="auto"/>
              </w:rPr>
            </w:pPr>
          </w:p>
        </w:tc>
      </w:tr>
      <w:tr>
        <w:trPr>
          <w:trHeight w:val="179"/>
        </w:trPr>
        <w:tc>
          <w:tcPr>
            <w:tcW w:w="226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315,006,942</w:t>
            </w:r>
          </w:p>
        </w:tc>
        <w:tc>
          <w:tcPr>
            <w:tcW w:w="80" w:type="dxa"/>
            <w:vAlign w:val="bottom"/>
          </w:tcPr>
          <w:p>
            <w:pPr>
              <w:spacing w:after="0"/>
              <w:rPr>
                <w:sz w:val="15"/>
                <w:szCs w:val="15"/>
                <w:color w:val="auto"/>
              </w:rPr>
            </w:pPr>
          </w:p>
        </w:tc>
        <w:tc>
          <w:tcPr>
            <w:tcW w:w="44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$1,481,241</w:t>
            </w:r>
          </w:p>
        </w:tc>
        <w:tc>
          <w:tcPr>
            <w:tcW w:w="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(897,501)</w:t>
            </w:r>
          </w:p>
        </w:tc>
        <w:tc>
          <w:tcPr>
            <w:tcW w:w="80" w:type="dxa"/>
            <w:vAlign w:val="bottom"/>
          </w:tcPr>
          <w:p>
            <w:pPr>
              <w:spacing w:after="0"/>
              <w:rPr>
                <w:sz w:val="15"/>
                <w:szCs w:val="15"/>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(25,614)</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6,032</w:t>
            </w:r>
          </w:p>
        </w:tc>
        <w:tc>
          <w:tcPr>
            <w:tcW w:w="80" w:type="dxa"/>
            <w:vAlign w:val="bottom"/>
          </w:tcPr>
          <w:p>
            <w:pPr>
              <w:spacing w:after="0"/>
              <w:rPr>
                <w:sz w:val="15"/>
                <w:szCs w:val="15"/>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564,190</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$ 564,190</w:t>
            </w:r>
          </w:p>
        </w:tc>
        <w:tc>
          <w:tcPr>
            <w:tcW w:w="0" w:type="dxa"/>
            <w:vAlign w:val="bottom"/>
          </w:tcPr>
          <w:p>
            <w:pPr>
              <w:spacing w:after="0"/>
              <w:rPr>
                <w:sz w:val="1"/>
                <w:szCs w:val="1"/>
                <w:color w:val="auto"/>
              </w:rPr>
            </w:pPr>
          </w:p>
        </w:tc>
      </w:tr>
      <w:tr>
        <w:trPr>
          <w:trHeight w:val="214"/>
        </w:trPr>
        <w:tc>
          <w:tcPr>
            <w:tcW w:w="226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22225</wp:posOffset>
            </wp:positionV>
            <wp:extent cx="29387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6"/>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(29,218)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(195,457)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(106,412)</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Loss on disposal of property, plant and equipment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 on debt restructuring</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22,141</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 of land use rights and intangible assets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Noncash lease expenses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2,764</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Share-based compensation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64,971</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Changes in fair value of warrant liability and convertible loan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79,960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Allowance of credit losses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Write-down for obsolete inventories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33,722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3,613</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Impairment loss of long-lived assets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93,173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Product warranty</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12,688</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income taxes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Notes receivable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(25,338)</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(21,759)</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(74,406)</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(14,291)</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due from/to related parties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(5,446)</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non-current assets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Notes payable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24,048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(3,507)</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(44,523)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68,576</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Advance from customers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(10,949)</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(16,486)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6,602</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2,266</w:t>
            </w:r>
          </w:p>
        </w:tc>
      </w:tr>
      <w:tr>
        <w:trPr>
          <w:trHeight w:val="245"/>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38"/>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generated from/ (used in) operating activities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75,908</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(75,303)</w:t>
            </w:r>
          </w:p>
        </w:tc>
      </w:tr>
      <w:tr>
        <w:trPr>
          <w:trHeight w:val="244"/>
        </w:trPr>
        <w:tc>
          <w:tcPr>
            <w:tcW w:w="66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(27,721)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(186,788)</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on disposal of property, plant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1,649</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(5,966)</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maturity of short-term investments</w:t>
            </w: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25,500</w:t>
            </w:r>
          </w:p>
        </w:tc>
      </w:tr>
      <w:tr>
        <w:trPr>
          <w:trHeight w:val="238"/>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(16,045)</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(12,152)</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138670" cy="155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22225</wp:posOffset>
            </wp:positionV>
            <wp:extent cx="29387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38"/>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bank borrowings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85,708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101,517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47,852</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Repayment of bonds payable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Repayment of bank borrowings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(96,070)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(66,248)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(14,119)</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Convertible loan</w:t>
            </w: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 for debt issuance costs</w:t>
            </w: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sale of common stocks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 for equity issuance costs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payment related to purchases of property, plant and equipment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(18,887)</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37,589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33,041</w:t>
            </w:r>
          </w:p>
        </w:tc>
      </w:tr>
      <w:tr>
        <w:trPr>
          <w:trHeight w:val="244"/>
        </w:trPr>
        <w:tc>
          <w:tcPr>
            <w:tcW w:w="66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(6,561)</w:t>
            </w:r>
          </w:p>
        </w:tc>
      </w:tr>
      <w:tr>
        <w:trPr>
          <w:trHeight w:val="24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59,637</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21,412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(214,428)</w:t>
            </w:r>
          </w:p>
        </w:tc>
      </w:tr>
      <w:tr>
        <w:trPr>
          <w:trHeight w:val="238"/>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the year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109,601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88,189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302,617</w:t>
            </w:r>
          </w:p>
        </w:tc>
      </w:tr>
      <w:tr>
        <w:trPr>
          <w:trHeight w:val="26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the year</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169,238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109,601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88,189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to amounts on consolidated balance sheets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104,963</w:t>
            </w:r>
          </w:p>
        </w:tc>
        <w:tc>
          <w:tcPr>
            <w:tcW w:w="8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73,007</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44,541</w:t>
            </w:r>
          </w:p>
        </w:tc>
      </w:tr>
      <w:tr>
        <w:trPr>
          <w:trHeight w:val="245"/>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64,275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36,594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43,648</w:t>
            </w:r>
          </w:p>
        </w:tc>
      </w:tr>
      <w:tr>
        <w:trPr>
          <w:trHeight w:val="244"/>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169,238</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109,601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88,189</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6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paid</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4,373</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 paid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1,817</w:t>
            </w:r>
          </w:p>
        </w:tc>
        <w:tc>
          <w:tcPr>
            <w:tcW w:w="8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4"/>
        </w:trPr>
        <w:tc>
          <w:tcPr>
            <w:tcW w:w="6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Payable for purchase of property, plant and equipment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45,983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96,350</w:t>
            </w: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Notes receivable in exchange for property, plant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3,178</w:t>
            </w: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BACKGROUND AND BASIS OF PRESENTATION</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Microvast, Inc. was incorporated under the laws of the State of Texas in the United States of America on October 12, 2006 and re-domiciled to the State of Delaware on December 31, 2015. On July 23, 2021 (the “Closing Date”), Microvast, Inc. and Tuscan Holdings Corp. (“Tuscan”) consummated the previously announced merger (the “Merger” or the "Business Combination"), pursuant to the Agreement and Plan of Merger (the “Merger Agreement”) dated February 1, 2021, between Tuscan, Microvast, Inc. and TSCN Merger Sub Inc., a Delaware corporation (“Merger Sub”).</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Pursuant to the Merger Agreement, the Merger Sub merged with and into Microvast, Inc., with Microvast, Inc. surviving the Merger. As a result of the Merger, Tuscan was renamed “Microvast Holdings, Inc.” (the “Company”). The Merger was accounted for as a reverse recapitalization as Microvast, Inc. was determined to be the accounting acquirer under Financial Accounting Standards Board’s Accounting Standards Codification Topic 805, Business Combinations (“ASC 805”).</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2025, the Company’s major subsidiaries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Date of</w:t>
            </w:r>
          </w:p>
        </w:tc>
        <w:tc>
          <w:tcPr>
            <w:tcW w:w="16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Percentage</w:t>
            </w:r>
          </w:p>
        </w:tc>
      </w:tr>
      <w:tr>
        <w:trPr>
          <w:trHeight w:val="227"/>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Place of incorporation</w:t>
            </w:r>
          </w:p>
        </w:tc>
        <w:tc>
          <w:tcPr>
            <w:tcW w:w="25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incorporation</w:t>
            </w: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of ownership</w:t>
            </w:r>
          </w:p>
        </w:tc>
      </w:tr>
      <w:tr>
        <w:trPr>
          <w:trHeight w:val="25"/>
        </w:trPr>
        <w:tc>
          <w:tcPr>
            <w:tcW w:w="4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1"/>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Microvast, Inc. (“</w:t>
            </w:r>
            <w:r>
              <w:rPr>
                <w:rFonts w:ascii="Times New Roman" w:cs="Times New Roman" w:eastAsia="Times New Roman" w:hAnsi="Times New Roman"/>
                <w:sz w:val="17"/>
                <w:szCs w:val="17"/>
                <w:b w:val="1"/>
                <w:bCs w:val="1"/>
                <w:i w:val="1"/>
                <w:iCs w:val="1"/>
                <w:color w:val="auto"/>
              </w:rPr>
              <w:t>Microvast</w:t>
            </w:r>
            <w:r>
              <w:rPr>
                <w:rFonts w:ascii="Times New Roman" w:cs="Times New Roman" w:eastAsia="Times New Roman" w:hAnsi="Times New Roman"/>
                <w:sz w:val="17"/>
                <w:szCs w:val="17"/>
                <w:color w:val="auto"/>
              </w:rPr>
              <w:t>”)</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Delaware, USA</w:t>
            </w:r>
          </w:p>
        </w:tc>
        <w:tc>
          <w:tcPr>
            <w:tcW w:w="2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October 2006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52"/>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Microvast Power Solutions, Inc (“</w:t>
            </w:r>
            <w:r>
              <w:rPr>
                <w:rFonts w:ascii="Times New Roman" w:cs="Times New Roman" w:eastAsia="Times New Roman" w:hAnsi="Times New Roman"/>
                <w:sz w:val="17"/>
                <w:szCs w:val="17"/>
                <w:b w:val="1"/>
                <w:bCs w:val="1"/>
                <w:i w:val="1"/>
                <w:iCs w:val="1"/>
                <w:color w:val="auto"/>
              </w:rPr>
              <w:t>MP Solutions</w:t>
            </w:r>
            <w:r>
              <w:rPr>
                <w:rFonts w:ascii="Times New Roman" w:cs="Times New Roman" w:eastAsia="Times New Roman" w:hAnsi="Times New Roman"/>
                <w:sz w:val="17"/>
                <w:szCs w:val="17"/>
                <w:color w:val="auto"/>
              </w:rPr>
              <w:t>”)</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Texas, USA</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July 2013</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64"/>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Microvast Power Systems Co., Ltd. (“</w:t>
            </w:r>
            <w:r>
              <w:rPr>
                <w:rFonts w:ascii="Times New Roman" w:cs="Times New Roman" w:eastAsia="Times New Roman" w:hAnsi="Times New Roman"/>
                <w:sz w:val="17"/>
                <w:szCs w:val="17"/>
                <w:b w:val="1"/>
                <w:bCs w:val="1"/>
                <w:i w:val="1"/>
                <w:iCs w:val="1"/>
                <w:color w:val="auto"/>
              </w:rPr>
              <w:t>MPS</w:t>
            </w:r>
            <w:r>
              <w:rPr>
                <w:rFonts w:ascii="Times New Roman" w:cs="Times New Roman" w:eastAsia="Times New Roman" w:hAnsi="Times New Roman"/>
                <w:sz w:val="17"/>
                <w:szCs w:val="17"/>
                <w:color w:val="auto"/>
              </w:rPr>
              <w:t>”)</w:t>
            </w:r>
          </w:p>
        </w:tc>
        <w:tc>
          <w:tcPr>
            <w:tcW w:w="2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Huzhou, PRC</w:t>
            </w:r>
          </w:p>
        </w:tc>
        <w:tc>
          <w:tcPr>
            <w:tcW w:w="2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December 2006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52"/>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Microvast GmbH (“</w:t>
            </w:r>
            <w:r>
              <w:rPr>
                <w:rFonts w:ascii="Times New Roman" w:cs="Times New Roman" w:eastAsia="Times New Roman" w:hAnsi="Times New Roman"/>
                <w:sz w:val="17"/>
                <w:szCs w:val="17"/>
                <w:b w:val="1"/>
                <w:bCs w:val="1"/>
                <w:i w:val="1"/>
                <w:iCs w:val="1"/>
                <w:color w:val="auto"/>
              </w:rPr>
              <w:t>MV GmbH</w:t>
            </w:r>
            <w:r>
              <w:rPr>
                <w:rFonts w:ascii="Times New Roman" w:cs="Times New Roman" w:eastAsia="Times New Roman" w:hAnsi="Times New Roman"/>
                <w:sz w:val="17"/>
                <w:szCs w:val="17"/>
                <w:color w:val="auto"/>
              </w:rPr>
              <w:t>”)</w:t>
            </w: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Germany</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May 2016</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3"/>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Huzhou Hongwei New Energy Automobile Co., Ltd.</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54"/>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Hongwei</w:t>
            </w:r>
            <w:r>
              <w:rPr>
                <w:rFonts w:ascii="Times New Roman" w:cs="Times New Roman" w:eastAsia="Times New Roman" w:hAnsi="Times New Roman"/>
                <w:sz w:val="17"/>
                <w:szCs w:val="17"/>
                <w:color w:val="auto"/>
              </w:rPr>
              <w:t>”)</w:t>
            </w:r>
          </w:p>
        </w:tc>
        <w:tc>
          <w:tcPr>
            <w:tcW w:w="2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Huzhou, PRC</w:t>
            </w:r>
          </w:p>
        </w:tc>
        <w:tc>
          <w:tcPr>
            <w:tcW w:w="2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December 2016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45"/>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Microvast Energy, Inc. (“</w:t>
            </w:r>
            <w:r>
              <w:rPr>
                <w:rFonts w:ascii="Times New Roman" w:cs="Times New Roman" w:eastAsia="Times New Roman" w:hAnsi="Times New Roman"/>
                <w:sz w:val="17"/>
                <w:szCs w:val="17"/>
                <w:b w:val="1"/>
                <w:bCs w:val="1"/>
                <w:i w:val="1"/>
                <w:iCs w:val="1"/>
                <w:color w:val="auto"/>
              </w:rPr>
              <w:t>MV Energy</w:t>
            </w:r>
            <w:r>
              <w:rPr>
                <w:rFonts w:ascii="Times New Roman" w:cs="Times New Roman" w:eastAsia="Times New Roman" w:hAnsi="Times New Roman"/>
                <w:sz w:val="17"/>
                <w:szCs w:val="17"/>
                <w:color w:val="auto"/>
              </w:rPr>
              <w:t>”)</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Colorado, USA</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July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bl>
    <w:p>
      <w:pPr>
        <w:spacing w:after="0" w:line="293"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The Company is primarily engaged in developing, manufacturing, and selling lithium-ion battery technologies for use in commercial electric vehicles and battery energy storage systems across the globe.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of the Company have been prepared in accordance with the generally accepted accounting principles in the United States of America (“U.S. GAAP”). All intercompany transactions and balances have been eliminated upon consolidation.</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accompanying consolidated financial statements of the Company have been prepared on a going concern basis, which assumes that the Company will continue to realize its assets and settle its liabilities in the ordinary course of business.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the years ended December 31, 2025, 2024, and 2023, the Company incurred net losses of $29,218, $195,457, and $106,412, and generated cash flows from operating activities of $75,908, $2,814, and used cash flow in operating activities of $75,303, respectively.</w:t>
      </w:r>
    </w:p>
    <w:p>
      <w:pPr>
        <w:spacing w:after="0" w:line="164"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As of December 31, 2025, the Company had stockholders’ equity of $410,513, including an accumulated deficit of $1,122,176, cash and cash equivalents of $104,963, restricted cash of $64,275 and other current assets of $279,485. As of December 31, 2025, the Company had outstanding bank borrowings of $106,279, with $93,052 due within the next 12 months, a bond payable of $41,693 that matures in January 2027, a convertible loan with repayment amount of $26,454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that matures in May 2026, and other current liabilities of $254,360. Additionally, as of December 31, 2025, the Company had $37,167 in purchase commitments primarily related to inventory, and $16,435 in capital commitments with $14,153 due within the next 12 months.</w:t>
      </w:r>
    </w:p>
    <w:p>
      <w:pPr>
        <w:spacing w:after="0" w:line="16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Based on the Company's current business plan, the existing cash and assets held for sale may not be sufficient to fund operations through the next twelve months. These conditions and events raise substantial doubt about the Company's ability to continue as a going concern.</w:t>
      </w:r>
    </w:p>
    <w:p>
      <w:pPr>
        <w:spacing w:after="0" w:line="15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Company's primary plans to alleviate the substantial doubt include 1) obtaining sufficient funding through operations; it is anticipated that the Company will continue to generate cash through operations in the forecasted period in consideration of the existing contract backlog and anticipated market conditions; and 2) refinancing short-term borrowings; historically, the Company, on an as needed basis, has rolled over or obtained replacement borrowings from existing creditors for its short-term bank loans upon the maturity date of the loans. Subsequent to December 31, 2025, the Company has successfully refinanced loans of $7,722 that matured and anticipates that it will continue to be able to do so for the next twelve months. The Company has concluded it is probable that the execution of these plans will alleviate the substantial doubt about the Company's ability to continue as a going concern.</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have been prepared on a going concern basis and do not include any adjustments to the amounts and classification of assets and liabilities that may be necessary in the event the Company can no longer continue as a going concern.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SIGNIFICANT ACCOUNTING POLICIES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reported amounts of assets and liabilities, revenue, costs and expenses in the consolidated financial statements and accompanying notes, and disclosure of contingent liabilities at the date of the consolidated financial statements. Actual results could differ from these estimates. Significant accounting estimates reflected in the Company’s financial statements include allowance for credit losses, write-down of obsolete inventories, impairment of long-lived assets, recoverability of deferred tax assets, product warranties, fair value measurement of convertible loan and share based compensation.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Cash and cash equivalents consist of cash on hand and highly liquid investments, which are unrestricted from withdrawal or use, or which have maturities of three months or less.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Restricted cash represents deposits made to banks to secure bank acceptance notes (or Notes Payable), letters of credit issued by the Company, and restricted use bank borrowings (see Note 12). It is common in the PRC that the banks require the Company to pledge notes receivable or make a deposit as collateral. The deposits and the matured bank acceptance notes from its customers are recorded as restricted cash in the consolidated balance sheets.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210"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Accounts receivable represents those receivables derived in the ordinary course of business, net of allowance for credit losses. Beginning on January 1, 2022, the Company evaluates its accounts receivable for expected credit losses on a regular basis. The Company maintains an estimated allowance for credit losses to reduce its accounts receivable to the amount that it believes will be collected. The Company uses the creditworthiness of customers, aging of the receivables, past transaction history with customers and their current condition, changes in customer payment terms, specific facts and circumstances, and the overall economic climate in the industries the Company serves to monitor the Company's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receivables within the scope of expected credit losses model and use these as a basis to develop the Company's expected loss estimates. The Company writes-off accounts receivable against the allowance when they are deemed uncollectible.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Notes receivable and payable</w:t>
      </w:r>
    </w:p>
    <w:p>
      <w:pPr>
        <w:spacing w:after="0" w:line="21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Company accepts bank acceptance notes (“notes”) from customers in the PRC in the normal course of business. These notes may be presented to banks in the PRC for cash settlement or endorsed to suppliers to settle accounts payable. The Company derecognizes the notes upon endorsement to suppliers, as it no longer retains control over instruments. Notes receivable and notes payable are typically non-interest bearing and have maturities of one year or less.</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2025 and 2024, the balance of notes receivable were $5,590 and $7,579, respectively while certain notes receivable have been pledged to banks to secure their issuance of bank acceptance notes for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Inventories, net</w:t>
      </w:r>
    </w:p>
    <w:p>
      <w:pPr>
        <w:spacing w:after="0" w:line="210"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Inventories consist of raw materials, work in process and finished goods. Inventories are stated at the lower of cost or net realizable value. Inventory costs include expenses that are directly or indirectly incurred in the acquisition and production process, including shipping and handling costs charged by suppliers. The cost of materials and supplies used in production, direct labor costs and allocated overhead costs are all included in the inventory costs. The allocated overhead cost includes depreciation, insurance, employee benefits, and indirect labor. Cost is determined using the weighted average method. Inventories are written down to net realizable value taking into consideration estimates of future demand, technology developments, market conditions and reasonably predicative costs of completion or disposal.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Prepaid expenses and other current assets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Prepaid expenses and other current assets primarily consist of advances to suppliers, prepaid expenses, deposits and value-added tax receivables.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 net</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Property, plant and equipment are carried at cost less accumulated depreciation. Depreciation is calculated on a straight-line basis over the following estimated useful lives: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724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20 years</w:t>
            </w: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Machineries and equipment</w:t>
            </w:r>
          </w:p>
        </w:tc>
        <w:tc>
          <w:tcPr>
            <w:tcW w:w="724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10 years</w:t>
            </w:r>
          </w:p>
        </w:tc>
      </w:tr>
      <w:tr>
        <w:trPr>
          <w:trHeight w:val="25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Fixtures and electronic equipment</w:t>
            </w:r>
          </w:p>
        </w:tc>
        <w:tc>
          <w:tcPr>
            <w:tcW w:w="724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4 - 5 years</w:t>
            </w: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Motor vehicles</w:t>
            </w:r>
          </w:p>
        </w:tc>
        <w:tc>
          <w:tcPr>
            <w:tcW w:w="724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5 years</w:t>
            </w:r>
          </w:p>
        </w:tc>
      </w:tr>
      <w:tr>
        <w:trPr>
          <w:trHeight w:val="25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724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Shorter of the lease term or estimated useful lives</w:t>
            </w:r>
          </w:p>
        </w:tc>
      </w:tr>
    </w:tbl>
    <w:p>
      <w:pPr>
        <w:spacing w:after="0" w:line="28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Construction in progress represents manufacturing facilities and equipment under construction, and is stated at cost. The capitalization of these costs ceases when construction in progress is transferred to property, plant and equipment and substantially ready for its intended use. No depreciation is recorded for construction in progress. Repair and maintenance costs are charged to expenses as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Land use rights, net</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Land use rights are recorded at cost less accumulated amortization. Amortization is provided on a straight-line basis over the estimated useful lives, which are generally 50 years and represent the shorter of the estimated usage periods or the terms of the land use rights agreements.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Acquired intangible assets, net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Acquired intangible assets with definite lives are amortized on a straight-line basis over their expected useful economic lives.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accordance with ASC 360, Property, Plant and Equipment (“ASC 360”), the Company reviews long-lived assets such as property, plant and equipment for impairment whenever events or changes in circumstances indicate that the carrying amount of an asset may not be recoverable. Recoverability of assets to be held and used is measured by a comparison of the carrying amount of an asset to the future net undiscounted cash flows expected to be generated by the asset. If such assets are considered to be impaired, the impairment recognized is measured by the amount by which the carrying amount of the assets exceeds the fair value of the assets, and an impairment loss is recorded as a component of operating expenses. Fair value is estimated based on various valuation techniques. For assets held for sales, the amount of potential impairment may be based upon appraisal of the asset, estimated market value of similar assets or estimated cash flow from the disposition of the asset. The evaluation of asset impairment requires the Company to make assumptions about future cash flows over the life of the asset being evaluated. These assumptions require significant judgment and actual results may differ from assumed and estimated amounts. Refer to Note 6 for details.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held for sale</w:t>
      </w:r>
    </w:p>
    <w:p>
      <w:pPr>
        <w:spacing w:after="0" w:line="200" w:lineRule="exact"/>
        <w:rPr>
          <w:sz w:val="20"/>
          <w:szCs w:val="20"/>
          <w:color w:val="auto"/>
        </w:rPr>
      </w:pPr>
    </w:p>
    <w:p>
      <w:pPr>
        <w:spacing w:after="0" w:line="25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Assets to be disposed of by sale are reported at the lower of the carrying value or fair value less cost to sell when the Company has committed to a sale agreement and would be reported separately as assets held for sale in the consolidated balance sheets.</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February 2026, the Company has been exploring a potential sale of its Lake Mary, Florida facility with a prospective buyer for a gross price of $11,500. As of December 31, 2025, the asset is recorded at its fair value less costs to sell, resulting in an impairment charge of $2,353, which is included in the total impairment loss for the year. The transaction is subject to customary closing conditions and a due diligence period for the buyer. The Company currently anticipates that, if completed, the transaction would close during the second quarter of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Restructuring</w:t>
      </w:r>
    </w:p>
    <w:p>
      <w:pPr>
        <w:spacing w:after="0" w:line="249"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A debt restructuring is the modification of debt in which a creditor grants a concession it would not otherwise consider to a debtor that is experiencing financial difficulties. These modifications may include an extension of the maturity date, a reduction of the face amount or maturity amount of the debt, or a reduction of accrued interest. During the year ended December 31, 2025 and 2024, the Company entered into several settlement agreements with certain suppliers with payables, under which the Company received concessions that forgive certain contractually owed amounts and allow for deferred payment schedules. The Company recorded a restructuring gain of $1,297 and $9,406 on the payable concession for the year ended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Financial instruments include cash and cash equivalents, restricted cash, short-term investments, accounts receivable, notes receivable, other receivable, amounts due from/to related parties, accounts payable, short-term bank borrowings, notes payable, long-term bank borrowing, bonds payable, warrant liability and convertible loan with shareholder. The Company carries its cash and cash equivalents, restricted cash, warrant liability and convertible loan with shareholder at fair value. The carrying values of other financial instruments approximate their fair values reported in the consolidated balance sheets.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Authoritative literature provides a fair value hierarchy that requires an entity to maximize the use of observable inputs and minimize the use of unobservable inputs when measuring fair value. An asset or liability categorization within the fair value hierarchy is based upon the lowest level of input that is significant to the fair value measurement as follows: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Level 1</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Level 1 applies to assets or liabilities for which there are quoted prices in active markets for identical assets or liabilities.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Level 2</w:t>
      </w:r>
    </w:p>
    <w:p>
      <w:pPr>
        <w:spacing w:after="0" w:line="19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Level 2 applies to assets or liabilities for which there are inputs other than quoted prices included within Level 1 that are observable for the assets or liabilities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Level 3</w:t>
      </w:r>
    </w:p>
    <w:p>
      <w:pPr>
        <w:spacing w:after="0" w:line="18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Level 3 applies to assets or liabilities for which there are unobservable inputs to the valuation methodology that are significant to the measurement of the fair value of the assets or liabilities.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loan measured at fair value</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has elected the fair value option to account for the convertible loan described in Note 25 – Convertible loan measured at fair value herein, and records changes in fair value in the consolidated statements of operations, with the exception of changes in fair value due to instrument-specific credit risk which, if present, will be recorded as a component of other comprehensive income. Interest expense related to the convertible loan is included in the changes in fair value. As a result of applying the fair value option, direct costs and fees related to the convertible loan were expensed as incurred. Loss of $39,396 was recognized for the year ended December 31, 2025. The fair value of the convertible loan with shareholder was determined by using a discounted cash flow model for the bond component and a Black-Scholes-Merton model for the conversion option, which is considered a Level 3 fair value measurement.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Nature of Goods and Services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revenue consists primarily of sales of lithium-ion batteries. The obligation of the Company is providing the battery products. Revenue is recognized at the point of time when control of the promised goods or services is transferred to the customer, in an amount that reflects the consideration the Company expects to be entitled to in exchange for the goods or services.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Contract balances include accounts receivable and advances from customers. Accounts receivable represent cash not received from customers and are recorded when the rights to consideration is unconditional. The allowance for credit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losses reflects the best estimate of probable losses inherent to the accounts receivable balance. Contract liabilities, recorded in advance from customers in the consolidated balance sheet, represent payment received in advance. During the years ended December 31, 2025, 2024 and 2023, the Company recognized $5,568, $4,348 and $2,492 of revenue previously included in advance from customers as of January 1, 2025, January 1, 2024 and January 1, 2023, respectively, which consist of payments received in advance related to its sales of lithium-ion batteries.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Value added taxes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reports revenue net of VAT. Entities in PRC that are VAT general tax payers are allowed to offset qualified VAT paid against their output VAT liabilities.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Cost of revenues primarily consists of the cost of the products ultimately sold to customers, product warranty expense, provision for obsolete inventories and other related cost that are directly attributable to the production of products.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Warranty</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provides product warranty, which entails repair or replacement of non-conforming items, in conjunction with the sales of products. The warranty liability recorded at each balance sheet date reflects management’s best estimates of its product warranty based on historical information and other currently available evidence.</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product warranty generally ranges from one to eight years. The Company establishes a reserve for the estimated cost of the product warranty at the time revenue is recognized. The portion of the warranty that is expected to incur within the next 12 months is recorded in accrued expenses and other current liabilities, while the remaining balance is recorded in other non-current liabilities on the consolidated balance sheets. Product warranty is recorded as a cost of revenues.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primarily consist of salaries and benefits for research and development personnel, raw materials, office rental expense, general expenses and depreciation expenses associated with research and development activities.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Subsidy income</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Government subsidies represent government grants received from local government authorities. Government subsidies related to the investment in production facilities is initially recorded as other current or other non-current liabilities and is amortized on a straight-line basis to offset the cost of revenues over the life of the relevant production assets or amortized on an effective interest method over the term of the loan.</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amortized the deferred subsidy at $785, $620 and $390 during the years ended December 31, 2025, 2024 and 2023, respectively. As of December 31, 2025 and 2024, the carrying amount of the current portion of the deferred subsidy income was $911 and $1,026, and the non-current portion was $6,190 and $5,610,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Current income taxes are provided for in accordance with the laws of the relevant tax authorities. Deferred income taxes are recognized when temporary differences exist between the tax bases of assets and liabilities and their reported amounts in the consolidated financial statements. Net operating loss carry forwards and credits are applied using enacted statutory tax rates applicable to future years. Deferred tax assets are reduced by a valuation allowance when, in the opinion of management, it is more-likely-than-not that some or all of the deferred tax assets will not be realized.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accounts for uncertain tax positions by reporting a liability for unrecognized tax benefits resulting from uncertain tax positions taken or expected to be taken in a tax return. Tax benefits are recognized from uncertain tax positions when the Company believes that it is more likely than not that the tax position will be sustained on examination by the taxing authorities based on the technical merits of the position. The Company recognizes interest and penalties, if any, related to unrecognized tax benefits in income tax expense.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Share-based payment transactions with employees are measured based on the grant date fair value of the equity instrument and recognized as compensation expense on a straight-line basis over the requisite service period, with a corresponding impact reflected in additional paid-in capital.</w:t>
      </w:r>
    </w:p>
    <w:p>
      <w:pPr>
        <w:spacing w:after="0" w:line="15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For share-based awards granted with a performance condition, the compensation cost is recognized when it is probable that the performance condition will be achieved. The Company reassesses the probability of achieving the performance condition at the end of each reporting date and records a cumulative catch-up adjustment for any changes to its assessment. For performance-based awards with a market condition, such as awards based on total stockholder return (“TSR”), compensation expense is recognized on a straight-line basis over the estimated service period of the award, regardless of whether the market condition is satisfied. Forfeitures are recognized as they occur.</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Liability-classified awards are remeasured at their fair-value-based measurement as of each reporting date until settlement.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determines if an arrangement is a lease or contains a lease at lease inception. Operating leases are required to be recorded in the statement of financial position as right-of-use assets and lease liabilities, initially measured at the present value of the lease payments. The Company has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expired or existing leases as of the adoption date. The Company also elected the practical expedient not to separate lease and non-lease components of contracts. Lastly, for lease assets other than real estate, such as printing machines and electronic appliances, the Company elected the short-term lease exemption as their lease terms are 12 months or less.</w:t>
      </w:r>
    </w:p>
    <w:p>
      <w:pPr>
        <w:spacing w:after="0" w:line="19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As the rate implicit in the lease is not readily determinable, the Company estimates its incremental borrowing rate based on the information available at the commencement date in determining the present value of lease payments. The incremental borrowing rate is estimated in a portfolio approach to approximate the interest rate on a collateralized basis with similar terms and payments in a similar economic environment. Lease expense is recorded on a straight-line basis over the lease term.</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2025, the Company recorded operating lease right-of-use (“ROU”) assets of $17,336 and operating lease liabilities of $17,264, including current portion in the amount of $2,788, which was recorded under accrued expenses and other current liabilities on the balance sheet.</w:t>
      </w:r>
    </w:p>
    <w:p>
      <w:pPr>
        <w:spacing w:after="0" w:line="16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As for lessor accounting, the Company provides leasing arrangement to its customers primarily for the sale of vehicles. Revenue from the sale of these products under sales-type leases is recognized at the inception of the lease. Interest income on sales-type leases is recognized over the life of each respective lease using the interest method. As of December 31, 2025, the Company recorded net investment in sales-type leases of $5,824 including current portion in the amount of $3,240, which was recorded under accounts receivables on the balance sheet.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accounts for warrants in accordance with the guidance contained in ASC 815-40 under which the warrants do not meet the criteria for equity treatment and must be recorded as liabilities. As the Private Warrants (as defined below in Note 15) meet the definition of a derivative as contemplated in ASC 815, the Company classifies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Private Warrants as liabilities. This liability is subject to re-measurement at each balance sheet date until exercised, and any change in fair value is recognized in the statements of operations. The Private Warrants are valued using a Monte Carlo simulation model on the basis of the quoted market price of the Company’s publicly-traded warrants.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loss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Comprehensive loss includes net loss and foreign currency translation adjustments. Comprehensive loss is reported in the consolidated statements of comprehensive loss.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Basic net income or loss per share excludes dilution and is computed by dividing net income or loss attributable to common stockholders by the weighted average number of common stock outstanding during the year using the two-class method. Under the two-class method, any net income or loss is allocated between common stock and other participating securities based on their participating rights. Net income or loss is not allocated to participating securities when the participating securities do not have a contractual obligation to share losses.</w:t>
      </w:r>
    </w:p>
    <w:p>
      <w:pPr>
        <w:spacing w:after="0" w:line="13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Diluted net income or loss per share is computed by dividing net income or loss attributable to common stockholders by the weighted average number of common stock outstanding and the potentially dilutive securities outstanding during the period. Potentially dilutive securities consist of common stock issuable upon the conversion of convertible bonds using the if-converted method and common stock issuable upon the vesting of non-vested shares or exercise of stock options and warrants using the treasury stock method. The number of potentially dilutive securities are calculated based on the most advantageous conversion rate or exercise price from the standpoint of the security holder. Potentially dilutive securities are not included in the denominator of the diluted earnings per share calculation when inclusion of such shares would be anti-dilutive.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currencies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functional currency of the Company and all subsidiaries located in the U.S. is the United States dollar (“U.S. dollar”). For the Company’s subsidiaries located in the PRC, the functional currency is the Chinese Renminbi (“RMB”); the Company’s UK subsidiary, MP UK, the functional currency is the Great British Pound (“GBP”); and the Company’s Germany subsidiary, MV GmbH, the functional currency is the Euro.</w:t>
      </w:r>
    </w:p>
    <w:p>
      <w:pPr>
        <w:spacing w:after="0" w:line="12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preparing the consolidated financial statements of each individual subsidiary, transactions in currencies other than the subsidiary’s functional currency (foreign currencies) are converted into the functional currency at the rates of exchange prevailing on the dates of the transactions. At the end of each reporting period, monetary items denominated in foreign currencies are translated at the rates prevailing at that date. Non-monetary items that are measured at historical cost in a foreign currency are not retranslated.</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Exchange differences on the monetary items are recognized in the consolidated statements of operations in the period in which they arise. For the year ended December 31, 2025, 2024 and 2023, the Company recorded exchange gain (loss) of $6,957, $(1,618), and $430 in general and administrative expenses, respectively.</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the purposes of presenting the consolidated financial statements, the assets and liabilities of the Company’s foreign operations are translated into the reporting currency of the Company at the prevailing exchange rate at the end of the reporting period, and their income and expenses are translated at the average exchange rates for the year. Translation adjustments are reported as cumulative translation adjustments and are shown as a component of other comprehensive loss.</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RMB is not a freely convertible currency. The State Administration for Foreign Exchange, under the authority of the People’s Bank of China, controls the conversion of RMB into other currencies. The value of the RMB is subject to changes in central government policies and to international economic and political developments affecting supply and demand in the China Foreign Exchange Trading System market. Cash and cash equivalents and restricted cash of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included aggregate amounts of $91,569 and $87,802 as of December 31, 2025 and 2024, respectively, which were denominated in RMB.</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Financial instruments that potentially expose the Company to concentrations of credit risk consist primarily of cash and cash equivalents, restricted cash, accounts receivable, and notes receivable. The Company places its cash and cash equivalents with financial institutions with high credit ratings and quality. The Company conducts credit evaluations of customers and generally does not require collateral or other security from its customers.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net revenues from customers that accounted for 10% or more of the Company’s net revenues for 2025, 2024, and 2023:</w:t>
      </w:r>
    </w:p>
    <w:p>
      <w:pPr>
        <w:spacing w:after="0" w:line="265"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36195</wp:posOffset>
            </wp:positionV>
            <wp:extent cx="31108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10865"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4"/>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of revenue contributed by Customer 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r>
      <w:tr>
        <w:trPr>
          <w:trHeight w:val="23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Percentage of revenue contributed by Customer B</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51"/>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of revenue contributed by Customer C</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*Revenue from such customer represented less than 10% of the Company's revenue during the respective periods.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accounts receivable from customers that accounted for 10% or more of the Company’s accounts receivable:</w:t>
      </w:r>
    </w:p>
    <w:p>
      <w:pPr>
        <w:spacing w:after="0" w:line="265"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5052695</wp:posOffset>
            </wp:positionH>
            <wp:positionV relativeFrom="paragraph">
              <wp:posOffset>27940</wp:posOffset>
            </wp:positionV>
            <wp:extent cx="20872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8724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57"/>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of accounts receivable from Customer 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45"/>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Percentage of accounts receivable from Customer D</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*Accounts receivable from such customers represented less than 10% of the Company's accounts receivable during the respective years.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Supplier Concentration</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relies on third parties for the supply of raw materials. In instances where these parties fail to perform their obligations, the Company may find alternative suppliers in the open market. For the years ended December 31, 2025, 2024, and 2023, 18%, 19%, and 15% of our raw materials were purchased through company E, respectively, although numerous alternate sources of supply are readily available on comparable terms for the raw materials supplied by company 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Noncontrolling interests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 the Company’s consolidated subsidiaries, noncontrolling interests are recognized to reflect the portion of their equity that is not attributable, directly or indirectly, to the Company as the controlling shareholder. Noncontrolling interests are classified as a separate line item in the equity section of the Company’s consolidated balance sheets and have been separately disclosed in the Company’s consolidated statements of operations and comprehensive loss to distinguish the interests from that of the Company.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newly adopted</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December 2023, the FASB issued ASU 2023-09 "Improvements to Income Tax Disclosures" ("ASU 2023-09"). ASU 2023-09 intends to improve the transparency of income tax disclosures. ASU 2023-09 is effective for fiscal years beginning after December 15, 2024 and is to be adopted on a prospective basis with the option to apply retrospectively. The Company adopted this guidance on a prospective basis. For additional information, see “Note 18—Income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The amended guidance requires disaggregation of certain expense captions into specified natural expense categories in the disclosures within the notes to the financial statements. In addition, the guidance requires disclosure of selling expenses and its definition. The new guidance is effective for fiscal years beginning after December 15, 2026, and interim reporting periods beginning after December 15, 2027, with early adoption permitted. The guidance can be applied either prospectively or retrospectively. The Company continues to evaluate the impact of this guidance on its disclosures, but plan to adopt this guidance prospectively and conform with the disclosure requirements when it becomes mandatorily effective for the Company's annual report for the year ending December 31, 2027.</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December 2025, the FASB issued ASU 2025-10, Government Grants (Topic 832): Accounting for Government Grants Received by Business Entities, which provides updated guidance on how to recognize, measure, and present government grants. The ASU will be effective for annual reporting periods beginning after December 15, 2028, including interim periods within those fiscal years. with early adoption permitted. The Company is currently assessing the effect of this update on its disclosure.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3. ACCOUNTS RECEIVABLE</w:t>
            </w: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0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Accounts receivable consisted of the following:</w:t>
            </w: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5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04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4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5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160,456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125,716</w:t>
            </w:r>
          </w:p>
        </w:tc>
        <w:tc>
          <w:tcPr>
            <w:tcW w:w="0" w:type="dxa"/>
            <w:vAlign w:val="bottom"/>
          </w:tcPr>
          <w:p>
            <w:pPr>
              <w:spacing w:after="0"/>
              <w:rPr>
                <w:sz w:val="1"/>
                <w:szCs w:val="1"/>
                <w:color w:val="auto"/>
              </w:rPr>
            </w:pPr>
          </w:p>
        </w:tc>
      </w:tr>
      <w:tr>
        <w:trPr>
          <w:trHeight w:val="23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58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(4,693)</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5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155,763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120,626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7"/>
                <w:szCs w:val="17"/>
                <w:color w:val="auto"/>
              </w:rPr>
              <w:t>Movement of allowance for credit losses was as follows:</w:t>
            </w: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50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04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4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the period</w:t>
            </w:r>
          </w:p>
        </w:tc>
        <w:tc>
          <w:tcPr>
            <w:tcW w:w="2520" w:type="dxa"/>
            <w:vAlign w:val="bottom"/>
            <w:gridSpan w:val="2"/>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4,571</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w:t>
            </w:r>
          </w:p>
        </w:tc>
        <w:tc>
          <w:tcPr>
            <w:tcW w:w="0" w:type="dxa"/>
            <w:vAlign w:val="bottom"/>
          </w:tcPr>
          <w:p>
            <w:pPr>
              <w:spacing w:after="0"/>
              <w:rPr>
                <w:sz w:val="1"/>
                <w:szCs w:val="1"/>
                <w:color w:val="auto"/>
              </w:rPr>
            </w:pP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 of expenses</w:t>
            </w:r>
          </w:p>
        </w:tc>
        <w:tc>
          <w:tcPr>
            <w:tcW w:w="1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5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 off</w:t>
            </w:r>
          </w:p>
        </w:tc>
        <w:tc>
          <w:tcPr>
            <w:tcW w:w="15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Recoveries of credit losses</w:t>
            </w:r>
          </w:p>
        </w:tc>
        <w:tc>
          <w:tcPr>
            <w:tcW w:w="1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Exchange difference</w:t>
            </w:r>
          </w:p>
        </w:tc>
        <w:tc>
          <w:tcPr>
            <w:tcW w:w="158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44"/>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end of the period</w:t>
            </w:r>
          </w:p>
        </w:tc>
        <w:tc>
          <w:tcPr>
            <w:tcW w:w="2520" w:type="dxa"/>
            <w:vAlign w:val="bottom"/>
            <w:gridSpan w:val="2"/>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4,693</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5,090</w:t>
            </w:r>
          </w:p>
        </w:tc>
        <w:tc>
          <w:tcPr>
            <w:tcW w:w="80" w:type="dxa"/>
            <w:vAlign w:val="bottom"/>
          </w:tcPr>
          <w:p>
            <w:pPr>
              <w:spacing w:after="0"/>
              <w:rPr>
                <w:sz w:val="21"/>
                <w:szCs w:val="21"/>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4,571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580" w:type="dxa"/>
            <w:vAlign w:val="bottom"/>
            <w:vMerge w:val="restart"/>
          </w:tcPr>
          <w:p>
            <w:pPr>
              <w:jc w:val="right"/>
              <w:ind w:right="834"/>
              <w:spacing w:after="0"/>
              <w:rPr>
                <w:sz w:val="20"/>
                <w:szCs w:val="20"/>
                <w:color w:val="auto"/>
              </w:rPr>
            </w:pPr>
            <w:r>
              <w:rPr>
                <w:rFonts w:ascii="Times New Roman" w:cs="Times New Roman" w:eastAsia="Times New Roman" w:hAnsi="Times New Roman"/>
                <w:sz w:val="17"/>
                <w:szCs w:val="17"/>
                <w:color w:val="auto"/>
              </w:rPr>
              <w:t>92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50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04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INVENTORIES, NET</w:t>
      </w:r>
    </w:p>
    <w:p>
      <w:pPr>
        <w:sectPr>
          <w:pgSz w:w="11900" w:h="16838" w:orient="portrait"/>
          <w:cols w:equalWidth="0" w:num="1">
            <w:col w:w="11240"/>
          </w:cols>
          <w:pgMar w:left="320" w:top="119" w:right="339" w:bottom="1440" w:gutter="0" w:footer="0" w:header="0"/>
        </w:sectPr>
      </w:pPr>
    </w:p>
    <w:p>
      <w:pPr>
        <w:spacing w:after="0" w:line="221" w:lineRule="exact"/>
        <w:rPr>
          <w:sz w:val="20"/>
          <w:szCs w:val="20"/>
          <w:color w:val="auto"/>
        </w:rPr>
      </w:pPr>
    </w:p>
    <w:p>
      <w:pPr>
        <w:jc w:val="right"/>
        <w:ind w:right="4180"/>
        <w:spacing w:after="0"/>
        <w:rPr>
          <w:sz w:val="20"/>
          <w:szCs w:val="20"/>
          <w:color w:val="auto"/>
        </w:rPr>
      </w:pPr>
      <w:r>
        <w:rPr>
          <w:rFonts w:ascii="Times New Roman" w:cs="Times New Roman" w:eastAsia="Times New Roman" w:hAnsi="Times New Roman"/>
          <w:sz w:val="17"/>
          <w:szCs w:val="17"/>
          <w:color w:val="auto"/>
        </w:rPr>
        <w:t>Inventories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492125</wp:posOffset>
            </wp:positionV>
            <wp:extent cx="7138670" cy="163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Work in process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63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Raw materials</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19399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32"/>
        </w:trPr>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41,757</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85,179</w:t>
            </w:r>
          </w:p>
        </w:tc>
      </w:tr>
      <w:tr>
        <w:trPr>
          <w:trHeight w:val="258"/>
        </w:trPr>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27,599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18,760</w:t>
            </w:r>
          </w:p>
        </w:tc>
      </w:tr>
      <w:tr>
        <w:trPr>
          <w:trHeight w:val="264"/>
        </w:trPr>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20,055</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39,388</w:t>
            </w:r>
          </w:p>
        </w:tc>
      </w:tr>
      <w:tr>
        <w:trPr>
          <w:trHeight w:val="238"/>
        </w:trPr>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89,411</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143,327</w:t>
            </w:r>
          </w:p>
        </w:tc>
      </w:tr>
      <w:tr>
        <w:trPr>
          <w:trHeight w:val="25"/>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19" w:right="339" w:bottom="1440" w:gutter="0" w:footer="0" w:header="0"/>
          <w:type w:val="continuous"/>
        </w:sectPr>
      </w:pPr>
    </w:p>
    <w:p>
      <w:pPr>
        <w:spacing w:after="0" w:line="8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wrote-down inventories to net realizable value and incurred losses of $1,215, $3,286 and $3,613 on standard battery inventory for the years ended December 31, 2025, 2024, and 2023, respectively. The write-downs were primarily related to technology development or product upgrade.</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during the year ended December 31, 2025, the Company recognized a write-down of $32,507 on ESS inventory that was specifically manufactured and distinct from the standard battery inventory. This ESS inventory was specifically manufactured for a customer and did not generate any associated revenue during 2025. Given the material and unusual nature of this ESS inventory impairment, the Company presented the impairment as an additional cost caption in the consolidated statement of operations for the year ended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5. PREPAID EXPENSES AND OTHER CURRENT ASSETS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3"/>
        </w:trPr>
        <w:tc>
          <w:tcPr>
            <w:tcW w:w="81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Prepaid expenses and other current assets consisted of the following:</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0"/>
        </w:trPr>
        <w:tc>
          <w:tcPr>
            <w:tcW w:w="81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38"/>
        </w:trPr>
        <w:tc>
          <w:tcPr>
            <w:tcW w:w="81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VAT and other tax refund receivables</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17,374</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Advances to suppliers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6,813</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Deposits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w:t>
            </w: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244"/>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17,221</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27,019</w:t>
            </w:r>
          </w:p>
        </w:tc>
      </w:tr>
      <w:tr>
        <w:trPr>
          <w:trHeight w:val="20"/>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balance of the VAT receivables represented the amount available for future deduction against VAT payable.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6. PROPERTY, PLANT AND EQUIPMENT, NET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3"/>
        </w:trPr>
        <w:tc>
          <w:tcPr>
            <w:tcW w:w="81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Property, plant and equipment, net consisted of the following:</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0"/>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38"/>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Machineries and equipment</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225,016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213,107</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145,917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139,817</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35,210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32,737</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Fixtures and electronic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22,570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20,223</w:t>
            </w: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Motor vehicles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10,531</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9,925</w:t>
            </w:r>
          </w:p>
        </w:tc>
      </w:tr>
      <w:tr>
        <w:trPr>
          <w:trHeight w:val="23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439,244</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415,809</w:t>
            </w: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(171,539)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(133,734)</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240,352</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196,114</w:t>
            </w:r>
          </w:p>
        </w:tc>
      </w:tr>
      <w:tr>
        <w:trPr>
          <w:trHeight w:val="2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plant and equipment, net</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508,057</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478,189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The Company recorded depreciation expenses of $32,358, $30,057 and $22,141 for the years ended December 31, 2025, 2024 and 2023, respectively. In June 2024, the Company suspended the construction of the battery plant in Clarksville, Tennessee until additional funding for the remaining capital expenditure is secured. For the years ended December 31, 2025, 2024 and 2023, the Company assessed the recoverability of the long-lived assets and recognized $4,142, $93,173 and $504 of impairment losses, respectively.</w:t>
      </w:r>
    </w:p>
    <w:p>
      <w:pPr>
        <w:spacing w:after="0" w:line="175"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Property, plant and equipment, net of accumulated depreciation, of $23,590 and $24,359 was subject to liens as of December 31, 2025 and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LESSOR ACCOUNTING</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Lease income is included in products sales in the accompanying consolidated statements of operations. Supplemental income statement information is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520" w:type="dxa"/>
            <w:vAlign w:val="bottom"/>
            <w:gridSpan w:val="6"/>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5"/>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Lease income – sales-type leases</w:t>
            </w: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6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at lease commencement</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 on lease receivables</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6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4,862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9,801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Investment in Sales-type Leases</w:t>
      </w:r>
    </w:p>
    <w:p>
      <w:pPr>
        <w:spacing w:after="0" w:line="19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Net investment in sales-type leases, which is the sum of the present value of the future contractual lease payments, is presented on the consolidated balance sheets as a component of Accounts receivables for the current portion and as Other non-current assets for the long-term portion. Lease receivables relating to sales-type leases are presented on the consolidated balance sheets as follows: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Gross lease receivables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Unearned income</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Net investment in sales-type leases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Less current portion</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Other non-current assets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27940</wp:posOffset>
            </wp:positionV>
            <wp:extent cx="19399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42" w:lineRule="exact"/>
        <w:rPr>
          <w:sz w:val="20"/>
          <w:szCs w:val="20"/>
          <w:color w:val="auto"/>
        </w:rPr>
      </w:pPr>
    </w:p>
    <w:tbl>
      <w:tblPr>
        <w:tblLayout w:type="fixed"/>
        <w:tblInd w:w="5120" w:type="dxa"/>
        <w:tblCellMar>
          <w:top w:w="0" w:type="dxa"/>
          <w:left w:w="0" w:type="dxa"/>
          <w:bottom w:w="0" w:type="dxa"/>
          <w:right w:w="0" w:type="dxa"/>
        </w:tblCellMar>
      </w:tblPr>
      <w:tr>
        <w:trPr>
          <w:trHeight w:val="233"/>
        </w:trPr>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32"/>
        </w:trPr>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6,277</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8,743</w:t>
            </w:r>
          </w:p>
        </w:tc>
      </w:tr>
      <w:tr>
        <w:trPr>
          <w:trHeight w:val="258"/>
        </w:trPr>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w:t>
            </w:r>
          </w:p>
        </w:tc>
      </w:tr>
      <w:tr>
        <w:trPr>
          <w:trHeight w:val="258"/>
        </w:trPr>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-482600</wp:posOffset>
            </wp:positionV>
            <wp:extent cx="7138670" cy="1720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8670" cy="17208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-146685</wp:posOffset>
            </wp:positionV>
            <wp:extent cx="7138670" cy="1720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8670" cy="172085"/>
                    </a:xfrm>
                    <a:prstGeom prst="rect">
                      <a:avLst/>
                    </a:prstGeom>
                    <a:noFill/>
                  </pic:spPr>
                </pic:pic>
              </a:graphicData>
            </a:graphic>
          </wp:anchor>
        </w:drawing>
      </w:r>
    </w:p>
    <w:p>
      <w:pPr>
        <w:spacing w:after="0" w:line="24" w:lineRule="exact"/>
        <w:rPr>
          <w:sz w:val="20"/>
          <w:szCs w:val="20"/>
          <w:color w:val="auto"/>
        </w:rPr>
      </w:pPr>
    </w:p>
    <w:tbl>
      <w:tblPr>
        <w:tblLayout w:type="fixed"/>
        <w:tblInd w:w="5120" w:type="dxa"/>
        <w:tblCellMar>
          <w:top w:w="0" w:type="dxa"/>
          <w:left w:w="0" w:type="dxa"/>
          <w:bottom w:w="0" w:type="dxa"/>
          <w:right w:w="0" w:type="dxa"/>
        </w:tblCellMar>
      </w:tblPr>
      <w:tr>
        <w:trPr>
          <w:trHeight w:val="227"/>
        </w:trPr>
        <w:tc>
          <w:tcPr>
            <w:tcW w:w="540" w:type="dxa"/>
            <w:vAlign w:val="bottom"/>
          </w:tcPr>
          <w:p>
            <w:pPr>
              <w:spacing w:after="0"/>
              <w:rPr>
                <w:sz w:val="19"/>
                <w:szCs w:val="19"/>
                <w:color w:val="auto"/>
              </w:rPr>
            </w:pPr>
          </w:p>
        </w:tc>
        <w:tc>
          <w:tcPr>
            <w:tcW w:w="960" w:type="dxa"/>
            <w:vAlign w:val="bottom"/>
          </w:tcPr>
          <w:p>
            <w:pPr>
              <w:jc w:val="center"/>
              <w:ind w:left="334"/>
              <w:spacing w:after="0"/>
              <w:rPr>
                <w:sz w:val="20"/>
                <w:szCs w:val="20"/>
                <w:color w:val="auto"/>
              </w:rPr>
            </w:pPr>
            <w:r>
              <w:rPr>
                <w:rFonts w:ascii="Times New Roman" w:cs="Times New Roman" w:eastAsia="Times New Roman" w:hAnsi="Times New Roman"/>
                <w:sz w:val="17"/>
                <w:szCs w:val="17"/>
                <w:b w:val="1"/>
                <w:bCs w:val="1"/>
                <w:color w:val="auto"/>
                <w:w w:val="99"/>
              </w:rPr>
              <w:t>5,824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center"/>
              <w:ind w:left="334"/>
              <w:spacing w:after="0"/>
              <w:rPr>
                <w:sz w:val="20"/>
                <w:szCs w:val="20"/>
                <w:color w:val="auto"/>
              </w:rPr>
            </w:pPr>
            <w:r>
              <w:rPr>
                <w:rFonts w:ascii="Times New Roman" w:cs="Times New Roman" w:eastAsia="Times New Roman" w:hAnsi="Times New Roman"/>
                <w:sz w:val="17"/>
                <w:szCs w:val="17"/>
                <w:b w:val="1"/>
                <w:bCs w:val="1"/>
                <w:color w:val="auto"/>
              </w:rPr>
              <w:t>8,031</w:t>
            </w:r>
          </w:p>
        </w:tc>
      </w:tr>
      <w:tr>
        <w:trPr>
          <w:trHeight w:val="258"/>
        </w:trPr>
        <w:tc>
          <w:tcPr>
            <w:tcW w:w="540" w:type="dxa"/>
            <w:vAlign w:val="bottom"/>
          </w:tcPr>
          <w:p>
            <w:pPr>
              <w:spacing w:after="0"/>
              <w:rPr>
                <w:sz w:val="22"/>
                <w:szCs w:val="22"/>
                <w:color w:val="auto"/>
              </w:rPr>
            </w:pPr>
          </w:p>
        </w:tc>
        <w:tc>
          <w:tcPr>
            <w:tcW w:w="96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(3,240)</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(3,678)</w:t>
            </w:r>
          </w:p>
        </w:tc>
      </w:tr>
      <w:tr>
        <w:trPr>
          <w:trHeight w:val="25"/>
        </w:trPr>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5"/>
        </w:trPr>
        <w:tc>
          <w:tcPr>
            <w:tcW w:w="54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center"/>
              <w:ind w:left="334"/>
              <w:spacing w:after="0"/>
              <w:rPr>
                <w:sz w:val="20"/>
                <w:szCs w:val="20"/>
                <w:color w:val="auto"/>
              </w:rPr>
            </w:pPr>
            <w:r>
              <w:rPr>
                <w:rFonts w:ascii="Times New Roman" w:cs="Times New Roman" w:eastAsia="Times New Roman" w:hAnsi="Times New Roman"/>
                <w:sz w:val="17"/>
                <w:szCs w:val="17"/>
                <w:b w:val="1"/>
                <w:bCs w:val="1"/>
                <w:color w:val="auto"/>
                <w:w w:val="99"/>
              </w:rPr>
              <w:t>2,584</w:t>
            </w:r>
          </w:p>
        </w:tc>
        <w:tc>
          <w:tcPr>
            <w:tcW w:w="8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Pr>
          <w:p>
            <w:pPr>
              <w:jc w:val="center"/>
              <w:ind w:left="334"/>
              <w:spacing w:after="0"/>
              <w:rPr>
                <w:sz w:val="20"/>
                <w:szCs w:val="20"/>
                <w:color w:val="auto"/>
              </w:rPr>
            </w:pPr>
            <w:r>
              <w:rPr>
                <w:rFonts w:ascii="Times New Roman" w:cs="Times New Roman" w:eastAsia="Times New Roman" w:hAnsi="Times New Roman"/>
                <w:sz w:val="17"/>
                <w:szCs w:val="17"/>
                <w:b w:val="1"/>
                <w:bCs w:val="1"/>
                <w:color w:val="auto"/>
              </w:rPr>
              <w:t>4,353</w:t>
            </w:r>
          </w:p>
        </w:tc>
      </w:tr>
      <w:tr>
        <w:trPr>
          <w:trHeight w:val="25"/>
        </w:trPr>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-367665</wp:posOffset>
            </wp:positionV>
            <wp:extent cx="7138670" cy="163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520"/>
            <w:col w:w="8180"/>
          </w:cols>
          <w:pgMar w:left="320" w:top="119" w:right="339" w:bottom="1440" w:gutter="0" w:footer="0" w:header="0"/>
        </w:sectPr>
      </w:pP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Credit Losses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25"/>
        </w:trPr>
        <w:tc>
          <w:tcPr>
            <w:tcW w:w="81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activities in the allowance for credit losses are as follows: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4"/>
        </w:trPr>
        <w:tc>
          <w:tcPr>
            <w:tcW w:w="8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3"/>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960" w:type="dxa"/>
            <w:vAlign w:val="bottom"/>
          </w:tcPr>
          <w:p>
            <w:pPr>
              <w:spacing w:after="0"/>
              <w:rPr>
                <w:sz w:val="19"/>
                <w:szCs w:val="19"/>
                <w:color w:val="auto"/>
              </w:rPr>
            </w:pPr>
          </w:p>
        </w:tc>
      </w:tr>
      <w:tr>
        <w:trPr>
          <w:trHeight w:val="227"/>
        </w:trPr>
        <w:tc>
          <w:tcPr>
            <w:tcW w:w="8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Pr>
          <w:p>
            <w:pPr>
              <w:spacing w:after="0"/>
              <w:rPr>
                <w:sz w:val="19"/>
                <w:szCs w:val="19"/>
                <w:color w:val="auto"/>
              </w:rPr>
            </w:pPr>
          </w:p>
        </w:tc>
      </w:tr>
      <w:tr>
        <w:trPr>
          <w:trHeight w:val="25"/>
        </w:trPr>
        <w:tc>
          <w:tcPr>
            <w:tcW w:w="8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2"/>
        </w:trPr>
        <w:tc>
          <w:tcPr>
            <w:tcW w:w="8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the period</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Write-offs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Translation adjustments and other</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end of the period</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(163)</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Maturity Analysis</w:t>
      </w: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following is a schedule by year of the future minimum lease payments to be received under Sales-type finance leases at December 31, 2025.</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5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Sales-type Leases</w:t>
            </w:r>
          </w:p>
        </w:tc>
        <w:tc>
          <w:tcPr>
            <w:tcW w:w="0" w:type="dxa"/>
            <w:vAlign w:val="bottom"/>
          </w:tcPr>
          <w:p>
            <w:pPr>
              <w:spacing w:after="0"/>
              <w:rPr>
                <w:sz w:val="1"/>
                <w:szCs w:val="1"/>
                <w:color w:val="auto"/>
              </w:rPr>
            </w:pPr>
          </w:p>
        </w:tc>
      </w:tr>
      <w:tr>
        <w:trPr>
          <w:trHeight w:val="25"/>
        </w:trPr>
        <w:tc>
          <w:tcPr>
            <w:tcW w:w="376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5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376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6,277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jc w:val="right"/>
              <w:ind w:right="3294"/>
              <w:spacing w:after="0"/>
              <w:rPr>
                <w:sz w:val="20"/>
                <w:szCs w:val="20"/>
                <w:color w:val="auto"/>
              </w:rPr>
            </w:pPr>
            <w:r>
              <w:rPr>
                <w:rFonts w:ascii="Times New Roman" w:cs="Times New Roman" w:eastAsia="Times New Roman" w:hAnsi="Times New Roman"/>
                <w:sz w:val="17"/>
                <w:szCs w:val="17"/>
                <w:color w:val="auto"/>
              </w:rPr>
              <w:t>95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376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760" w:type="dxa"/>
            <w:vAlign w:val="bottom"/>
            <w:tcBorders>
              <w:bottom w:val="single" w:sz="8" w:color="9A9A9A"/>
            </w:tcBorders>
          </w:tcPr>
          <w:p>
            <w:pPr>
              <w:spacing w:after="0"/>
              <w:rPr>
                <w:sz w:val="8"/>
                <w:szCs w:val="8"/>
                <w:color w:val="auto"/>
              </w:rPr>
            </w:pPr>
          </w:p>
        </w:tc>
        <w:tc>
          <w:tcPr>
            <w:tcW w:w="5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8. LAND USE RIGHTS, NET</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3"/>
        </w:trPr>
        <w:tc>
          <w:tcPr>
            <w:tcW w:w="81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Land use rights consisted of the following:</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0"/>
        </w:trPr>
        <w:tc>
          <w:tcPr>
            <w:tcW w:w="81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32"/>
        </w:trPr>
        <w:tc>
          <w:tcPr>
            <w:tcW w:w="8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5"/>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land use rights</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14,935</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14,309</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(3,365)</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(2,938)</w:t>
            </w:r>
          </w:p>
        </w:tc>
      </w:tr>
      <w:tr>
        <w:trPr>
          <w:trHeight w:val="2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Land use rights, net</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11,570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land use rights were acquired for the use of the Company’s production facilities. Land use rights are amortized on a straight-line basis for 50 years or shorter of the estimated usage periods or the terms of the land use rights agreements. The Company recorded amortization expenses of $291, $291 and $294 for the years ended December 31, 2025, 2024 and 2023, respectively. Future amortization expense is $291 per year for each of the next five years through December 31, 2030.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9. ACQUIRED INTANGIBLE ASSETS, NET</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70"/>
        </w:trPr>
        <w:tc>
          <w:tcPr>
            <w:tcW w:w="81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32"/>
        </w:trPr>
        <w:tc>
          <w:tcPr>
            <w:tcW w:w="8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5"/>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acquired intangible assets</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5,510</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center"/>
              <w:ind w:left="354"/>
              <w:spacing w:after="0"/>
              <w:rPr>
                <w:sz w:val="20"/>
                <w:szCs w:val="20"/>
                <w:color w:val="auto"/>
              </w:rPr>
            </w:pPr>
            <w:r>
              <w:rPr>
                <w:rFonts w:ascii="Times New Roman" w:cs="Times New Roman" w:eastAsia="Times New Roman" w:hAnsi="Times New Roman"/>
                <w:sz w:val="17"/>
                <w:szCs w:val="17"/>
                <w:color w:val="auto"/>
              </w:rPr>
              <w:t>5,377</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(3,327)</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334"/>
              <w:spacing w:after="0"/>
              <w:rPr>
                <w:sz w:val="20"/>
                <w:szCs w:val="20"/>
                <w:color w:val="auto"/>
              </w:rPr>
            </w:pPr>
            <w:r>
              <w:rPr>
                <w:rFonts w:ascii="Times New Roman" w:cs="Times New Roman" w:eastAsia="Times New Roman" w:hAnsi="Times New Roman"/>
                <w:sz w:val="17"/>
                <w:szCs w:val="17"/>
                <w:color w:val="auto"/>
              </w:rPr>
              <w:t>(2,770)</w:t>
            </w:r>
          </w:p>
        </w:tc>
      </w:tr>
      <w:tr>
        <w:trPr>
          <w:trHeight w:val="2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Acquired intangible assets, net</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2,183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shd w:val="clear" w:color="auto" w:fill="CCEEFF"/>
          </w:tcPr>
          <w:p>
            <w:pPr>
              <w:jc w:val="center"/>
              <w:ind w:left="354"/>
              <w:spacing w:after="0"/>
              <w:rPr>
                <w:sz w:val="20"/>
                <w:szCs w:val="20"/>
                <w:color w:val="auto"/>
              </w:rPr>
            </w:pPr>
            <w:r>
              <w:rPr>
                <w:rFonts w:ascii="Times New Roman" w:cs="Times New Roman" w:eastAsia="Times New Roman" w:hAnsi="Times New Roman"/>
                <w:sz w:val="17"/>
                <w:szCs w:val="17"/>
                <w:b w:val="1"/>
                <w:bCs w:val="1"/>
                <w:color w:val="auto"/>
              </w:rPr>
              <w:t>2,607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recorded amortization expense of $482, $484 and $493 for the years ended December 31, 2025, 2024 and 2023, respectively. No impairment losses were recognized for the years ended December 31, 2025, 2024 and 2023.</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annual amortization expense for each of the five succeeding fiscal years and thereafter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0" w:type="dxa"/>
            <w:vAlign w:val="bottom"/>
          </w:tcPr>
          <w:p>
            <w:pPr>
              <w:spacing w:after="0"/>
              <w:rPr>
                <w:sz w:val="1"/>
                <w:szCs w:val="1"/>
                <w:color w:val="auto"/>
              </w:rPr>
            </w:pPr>
          </w:p>
        </w:tc>
      </w:tr>
      <w:tr>
        <w:trPr>
          <w:trHeight w:val="239"/>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6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0" w:type="dxa"/>
            <w:vAlign w:val="bottom"/>
          </w:tcPr>
          <w:p>
            <w:pPr>
              <w:spacing w:after="0"/>
              <w:rPr>
                <w:sz w:val="1"/>
                <w:szCs w:val="1"/>
                <w:color w:val="auto"/>
              </w:rPr>
            </w:pPr>
          </w:p>
        </w:tc>
      </w:tr>
      <w:tr>
        <w:trPr>
          <w:trHeight w:val="251"/>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66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0" w:type="dxa"/>
            <w:vAlign w:val="bottom"/>
          </w:tcPr>
          <w:p>
            <w:pPr>
              <w:spacing w:after="0"/>
              <w:rPr>
                <w:sz w:val="1"/>
                <w:szCs w:val="1"/>
                <w:color w:val="auto"/>
              </w:rPr>
            </w:pPr>
          </w:p>
        </w:tc>
      </w:tr>
      <w:tr>
        <w:trPr>
          <w:trHeight w:val="239"/>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6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0" w:type="dxa"/>
            <w:vAlign w:val="bottom"/>
          </w:tcPr>
          <w:p>
            <w:pPr>
              <w:spacing w:after="0"/>
              <w:rPr>
                <w:sz w:val="1"/>
                <w:szCs w:val="1"/>
                <w:color w:val="auto"/>
              </w:rPr>
            </w:pPr>
          </w:p>
        </w:tc>
      </w:tr>
      <w:tr>
        <w:trPr>
          <w:trHeight w:val="251"/>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66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39"/>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66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0" w:type="dxa"/>
            <w:vAlign w:val="bottom"/>
          </w:tcPr>
          <w:p>
            <w:pPr>
              <w:spacing w:after="0"/>
              <w:rPr>
                <w:sz w:val="1"/>
                <w:szCs w:val="1"/>
                <w:color w:val="auto"/>
              </w:rPr>
            </w:pPr>
          </w:p>
        </w:tc>
      </w:tr>
      <w:tr>
        <w:trPr>
          <w:trHeight w:val="26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7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2,183</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bottom w:val="single" w:sz="8" w:color="CCEEFF"/>
            </w:tcBorders>
            <w:vMerge w:val="restart"/>
          </w:tcPr>
          <w:p>
            <w:pPr>
              <w:jc w:val="right"/>
              <w:ind w:right="3974"/>
              <w:spacing w:after="0"/>
              <w:rPr>
                <w:sz w:val="20"/>
                <w:szCs w:val="20"/>
                <w:color w:val="auto"/>
              </w:rPr>
            </w:pPr>
            <w:r>
              <w:rPr>
                <w:rFonts w:ascii="Times New Roman" w:cs="Times New Roman" w:eastAsia="Times New Roman" w:hAnsi="Times New Roman"/>
                <w:sz w:val="17"/>
                <w:szCs w:val="17"/>
                <w:color w:val="auto"/>
              </w:rPr>
              <w:t>96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314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140" w:type="dxa"/>
            <w:vAlign w:val="bottom"/>
            <w:tcBorders>
              <w:bottom w:val="single" w:sz="8" w:color="9A9A9A"/>
            </w:tcBorders>
          </w:tcPr>
          <w:p>
            <w:pPr>
              <w:spacing w:after="0"/>
              <w:rPr>
                <w:sz w:val="8"/>
                <w:szCs w:val="8"/>
                <w:color w:val="auto"/>
              </w:rPr>
            </w:pPr>
          </w:p>
        </w:tc>
        <w:tc>
          <w:tcPr>
            <w:tcW w:w="6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10. ACCRUED EXPENSES AND OTHER CURRENT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3"/>
        </w:trPr>
        <w:tc>
          <w:tcPr>
            <w:tcW w:w="81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0"/>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38"/>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44"/>
        </w:trPr>
        <w:tc>
          <w:tcPr>
            <w:tcW w:w="8180" w:type="dxa"/>
            <w:vAlign w:val="bottom"/>
            <w:shd w:val="clear" w:color="auto" w:fill="CCEEFF"/>
          </w:tcPr>
          <w:p>
            <w:pPr>
              <w:ind w:left="20"/>
              <w:spacing w:after="0" w:line="244" w:lineRule="exact"/>
              <w:rPr>
                <w:sz w:val="20"/>
                <w:szCs w:val="20"/>
                <w:color w:val="auto"/>
              </w:rPr>
            </w:pPr>
            <w:r>
              <w:rPr>
                <w:rFonts w:ascii="Times New Roman" w:cs="Times New Roman" w:eastAsia="Times New Roman" w:hAnsi="Times New Roman"/>
                <w:sz w:val="17"/>
                <w:szCs w:val="17"/>
                <w:color w:val="auto"/>
              </w:rPr>
              <w:t xml:space="preserve">Advance from customer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Payables for purchase of property, plant and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30,182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45,983</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9,570</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warranty, current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9,999</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13,776</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payroll and welfare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8,596</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tax payable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8,854</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7,399</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3,039</w:t>
            </w: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payable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44"/>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123,315</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98,456</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See Note 27 –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PRODUCT WARRANTY</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Movement of product warranty was as follows:</w:t>
      </w:r>
    </w:p>
    <w:p>
      <w:pPr>
        <w:spacing w:after="0" w:line="265"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22860</wp:posOffset>
            </wp:positionV>
            <wp:extent cx="29387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the year</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35,217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42,060</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Provided during the year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12,688</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Utilized during the year</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(18,379)</w:t>
            </w:r>
          </w:p>
        </w:tc>
      </w:tr>
      <w:tr>
        <w:trPr>
          <w:trHeight w:val="23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difference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(1,152)</w:t>
            </w:r>
          </w:p>
        </w:tc>
      </w:tr>
      <w:tr>
        <w:trPr>
          <w:trHeight w:val="26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end of the year</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38,969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33,107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35,217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warranty, current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10,357</w:t>
            </w:r>
          </w:p>
        </w:tc>
        <w:tc>
          <w:tcPr>
            <w:tcW w:w="8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9,999</w:t>
            </w:r>
          </w:p>
        </w:tc>
        <w:tc>
          <w:tcPr>
            <w:tcW w:w="8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13,738</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warranty, non-current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21,479</w:t>
            </w:r>
          </w:p>
        </w:tc>
      </w:tr>
    </w:tbl>
    <w:p>
      <w:pPr>
        <w:spacing w:after="0" w:line="2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Warranty provisions are based upon historical experience.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BANK BORROWINGS</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September 27, 2022, MPS entered into a $111,483 (RMB800 million) loan facilities agreement with a group of lenders led by a bank in China (the "2022 Facility Agreement"). The interest rate is prime plus 115 basis points where prime is based on Loan Prime Rate published by the National Inter-bank Funding Center of the PRC and is payable on a quarterly basis. The loan facilities can only be used for the manufacturing capacity expansion at MPS’s facility located in Huzhou, China. The unutilized draw-down amount are recorded as non-current restricted cash. As of December 31, 2025 and 2024 MPS had non-current restricted cash balances of $0 and $22, respectively. The 2022 Facility Agreement contains certain customary restrictive covenants, including but not limited to disposal of assets and dividend distribution without the consent of the lenders, and certain customary events of default.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2025, MPS had outstanding borrowings of $42,860 under the 2022 Facility Agreement with the following repayment schedule: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Repayment Date</w:t>
            </w:r>
          </w:p>
        </w:tc>
        <w:tc>
          <w:tcPr>
            <w:tcW w:w="3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Repayment Amount</w:t>
            </w:r>
          </w:p>
        </w:tc>
      </w:tr>
      <w:tr>
        <w:trPr>
          <w:trHeight w:val="25"/>
        </w:trPr>
        <w:tc>
          <w:tcPr>
            <w:tcW w:w="7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1"/>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10, 2026</w:t>
            </w:r>
          </w:p>
        </w:tc>
        <w:tc>
          <w:tcPr>
            <w:tcW w:w="3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$21,430 (RMB149.9 million)</w:t>
            </w:r>
          </w:p>
        </w:tc>
      </w:tr>
      <w:tr>
        <w:trPr>
          <w:trHeight w:val="232"/>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December 10, 2026</w:t>
            </w:r>
          </w:p>
        </w:tc>
        <w:tc>
          <w:tcPr>
            <w:tcW w:w="3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$21,430 (RMB149.9 million)</w:t>
            </w:r>
          </w:p>
        </w:tc>
      </w:tr>
    </w:tbl>
    <w:p>
      <w:pPr>
        <w:spacing w:after="0" w:line="3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Capitalized interest, which was recorded in the construction in progress, was $929, $359 and $1,503 for the years ended December 31, 2025, 2024 and 2023 , respectively.</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2025, MPS entered into a long-term loan agreement with a Chinese bank (the "long-term agreement") for a facility of RMB 100 million to be used for working capital. The maturity period for this loan is two years with an interest rate of 2.70%. In 2025, the interest expense under this long-term-loan agreement for the year ended December 31, 2025 is $191. As of December 31, 2025, MPS had outstanding borrowings of $13,941 with the following repayment schedule: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Repayment Date</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Repayment Amount</w:t>
            </w:r>
          </w:p>
        </w:tc>
      </w:tr>
      <w:tr>
        <w:trPr>
          <w:trHeight w:val="25"/>
        </w:trPr>
        <w:tc>
          <w:tcPr>
            <w:tcW w:w="7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1"/>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19, 2026</w:t>
            </w: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$357 (RMB2.5 million)</w:t>
            </w:r>
          </w:p>
        </w:tc>
      </w:tr>
      <w:tr>
        <w:trPr>
          <w:trHeight w:val="232"/>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December 19, 2026</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$357 (RMB2.5 million)</w:t>
            </w:r>
          </w:p>
        </w:tc>
      </w:tr>
      <w:tr>
        <w:trPr>
          <w:trHeight w:val="25"/>
        </w:trPr>
        <w:tc>
          <w:tcPr>
            <w:tcW w:w="7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32"/>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19, 2027</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$13,227 (RMB92.5 million)</w:t>
            </w:r>
          </w:p>
        </w:tc>
      </w:tr>
      <w:tr>
        <w:trPr>
          <w:trHeight w:val="25"/>
        </w:trPr>
        <w:tc>
          <w:tcPr>
            <w:tcW w:w="7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r>
    </w:tbl>
    <w:p>
      <w:pPr>
        <w:spacing w:after="0" w:line="26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PRC subsidiaries have also entered into short-term loan agreements and bank facilities with Chinese banks (the "short-term agreements"). The original terms of the short-term agreements are within 12 months and the interest rates range from 2.60% to 4.85% per annum. Interest expense on short-term agreements was $1,628, $1,405 and $639 for the years ended December 31, 2025, 2024 and 2023, respectively.</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Changes in bank borrowings were as follows:</w:t>
      </w:r>
    </w:p>
    <w:p>
      <w:pPr>
        <w:spacing w:after="0" w:line="265"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2"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22860</wp:posOffset>
            </wp:positionV>
            <wp:extent cx="19399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80" w:type="dxa"/>
            <w:vAlign w:val="bottom"/>
            <w:tcBorders>
              <w:bottom w:val="single" w:sz="8" w:color="CCEEFF"/>
            </w:tcBorders>
          </w:tcPr>
          <w:p>
            <w:pPr>
              <w:spacing w:after="0"/>
              <w:rPr>
                <w:sz w:val="20"/>
                <w:szCs w:val="20"/>
                <w:color w:val="auto"/>
              </w:rPr>
            </w:pPr>
          </w:p>
        </w:tc>
        <w:tc>
          <w:tcPr>
            <w:tcW w:w="40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4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111,728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bank borrowings</w:t>
            </w:r>
          </w:p>
        </w:tc>
        <w:tc>
          <w:tcPr>
            <w:tcW w:w="4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85,708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Repayments of principal</w:t>
            </w:r>
          </w:p>
        </w:tc>
        <w:tc>
          <w:tcPr>
            <w:tcW w:w="40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(96,070)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difference</w:t>
            </w:r>
          </w:p>
        </w:tc>
        <w:tc>
          <w:tcPr>
            <w:tcW w:w="40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4,913</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40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106,279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111,728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40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of bank borrowings includes:</w:t>
            </w:r>
          </w:p>
        </w:tc>
        <w:tc>
          <w:tcPr>
            <w:tcW w:w="4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0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4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93,052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70,666</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w:t>
            </w:r>
          </w:p>
        </w:tc>
        <w:tc>
          <w:tcPr>
            <w:tcW w:w="4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0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106,279</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111,728</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bottom w:val="single" w:sz="8" w:color="CCEEFF"/>
            </w:tcBorders>
            <w:vMerge w:val="restart"/>
          </w:tcPr>
          <w:p>
            <w:pPr>
              <w:jc w:val="right"/>
              <w:ind w:right="2354"/>
              <w:spacing w:after="0"/>
              <w:rPr>
                <w:sz w:val="20"/>
                <w:szCs w:val="20"/>
                <w:color w:val="auto"/>
              </w:rPr>
            </w:pPr>
            <w:r>
              <w:rPr>
                <w:rFonts w:ascii="Times New Roman" w:cs="Times New Roman" w:eastAsia="Times New Roman" w:hAnsi="Times New Roman"/>
                <w:sz w:val="17"/>
                <w:szCs w:val="17"/>
                <w:color w:val="auto"/>
              </w:rPr>
              <w:t>98</w:t>
            </w: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0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8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Certain assets of the Company's PRC subsidiaries have been pledged to secure the above banking facilities. The aggregate carrying amount of the assets pledged as of December 31, 2025 and 2024 were as follows: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38670" cy="163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3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Land use rights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80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8670" cy="180340"/>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OTHER NON-CURRENT LIABILITIES</w:t>
      </w:r>
    </w:p>
    <w:p>
      <w:pPr>
        <w:spacing w:after="0" w:line="221" w:lineRule="exact"/>
        <w:rPr>
          <w:sz w:val="20"/>
          <w:szCs w:val="20"/>
          <w:color w:val="auto"/>
        </w:rPr>
      </w:pPr>
    </w:p>
    <w:p>
      <w:pPr>
        <w:jc w:val="right"/>
        <w:ind w:right="3040"/>
        <w:spacing w:after="0"/>
        <w:rPr>
          <w:sz w:val="20"/>
          <w:szCs w:val="20"/>
          <w:color w:val="auto"/>
        </w:rPr>
      </w:pPr>
      <w:r>
        <w:rPr>
          <w:rFonts w:ascii="Times New Roman" w:cs="Times New Roman" w:eastAsia="Times New Roman" w:hAnsi="Times New Roman"/>
          <w:sz w:val="17"/>
          <w:szCs w:val="17"/>
          <w:color w:val="auto"/>
        </w:rPr>
        <w:t>Other non-current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492125</wp:posOffset>
            </wp:positionV>
            <wp:extent cx="7138670" cy="163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Product warranty, non-current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Deferred subsidy income,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555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non-current payable</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BONDS PAYABLE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Bonds payable consisted of the following:</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19399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0" w:type="dxa"/>
            <w:vAlign w:val="bottom"/>
          </w:tcPr>
          <w:p>
            <w:pPr>
              <w:spacing w:after="0"/>
              <w:rPr>
                <w:sz w:val="19"/>
                <w:szCs w:val="19"/>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5"/>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5"/>
        </w:trPr>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117,855</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119,166</w:t>
            </w:r>
          </w:p>
        </w:tc>
      </w:tr>
      <w:tr>
        <w:trPr>
          <w:trHeight w:val="245"/>
        </w:trPr>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54,975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60,991</w:t>
            </w:r>
          </w:p>
        </w:tc>
      </w:tr>
      <w:tr>
        <w:trPr>
          <w:trHeight w:val="258"/>
        </w:trPr>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11,371</w:t>
            </w:r>
          </w:p>
        </w:tc>
      </w:tr>
      <w:tr>
        <w:trPr>
          <w:trHeight w:val="264"/>
        </w:trPr>
        <w:tc>
          <w:tcPr>
            <w:tcW w:w="34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38"/>
        </w:trPr>
        <w:tc>
          <w:tcPr>
            <w:tcW w:w="3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184,400</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191,863</w:t>
            </w:r>
          </w:p>
        </w:tc>
      </w:tr>
      <w:tr>
        <w:trPr>
          <w:trHeight w:val="25"/>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19399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0" w:type="dxa"/>
            <w:vAlign w:val="bottom"/>
          </w:tcPr>
          <w:p>
            <w:pPr>
              <w:spacing w:after="0"/>
              <w:rPr>
                <w:sz w:val="19"/>
                <w:szCs w:val="19"/>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5"/>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5"/>
        </w:trPr>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28,612</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23,108</w:t>
            </w:r>
          </w:p>
        </w:tc>
      </w:tr>
      <w:tr>
        <w:trPr>
          <w:trHeight w:val="245"/>
        </w:trPr>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5,610</w:t>
            </w:r>
          </w:p>
        </w:tc>
      </w:tr>
      <w:tr>
        <w:trPr>
          <w:trHeight w:val="251"/>
        </w:trPr>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2,298</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1,285</w:t>
            </w:r>
          </w:p>
        </w:tc>
      </w:tr>
      <w:tr>
        <w:trPr>
          <w:trHeight w:val="238"/>
        </w:trPr>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37,100</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30,003</w:t>
            </w:r>
          </w:p>
        </w:tc>
      </w:tr>
      <w:tr>
        <w:trPr>
          <w:trHeight w:val="25"/>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19399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42" w:lineRule="exact"/>
        <w:rPr>
          <w:sz w:val="20"/>
          <w:szCs w:val="20"/>
          <w:color w:val="auto"/>
        </w:rPr>
      </w:pPr>
    </w:p>
    <w:p>
      <w:pPr>
        <w:ind w:left="580"/>
        <w:spacing w:after="0"/>
        <w:tabs>
          <w:tab w:leader="none" w:pos="2140" w:val="left"/>
        </w:tabs>
        <w:rPr>
          <w:sz w:val="20"/>
          <w:szCs w:val="20"/>
          <w:color w:val="auto"/>
        </w:rPr>
      </w:pP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2024</w:t>
      </w:r>
    </w:p>
    <w:p>
      <w:pPr>
        <w:spacing w:after="0" w:line="37" w:lineRule="exact"/>
        <w:rPr>
          <w:sz w:val="20"/>
          <w:szCs w:val="20"/>
          <w:color w:val="auto"/>
        </w:rPr>
      </w:pPr>
    </w:p>
    <w:p>
      <w:pPr>
        <w:sectPr>
          <w:pgSz w:w="11900" w:h="16838" w:orient="portrait"/>
          <w:cols w:equalWidth="0" w:num="2">
            <w:col w:w="7460" w:space="720"/>
            <w:col w:w="306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81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Huzhou Saiyuan</w:t>
            </w:r>
          </w:p>
        </w:tc>
        <w:tc>
          <w:tcPr>
            <w:tcW w:w="54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41,693</w:t>
            </w:r>
          </w:p>
        </w:tc>
        <w:tc>
          <w:tcPr>
            <w:tcW w:w="8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43,157</w:t>
            </w:r>
          </w:p>
        </w:tc>
      </w:tr>
      <w:tr>
        <w:trPr>
          <w:trHeight w:val="244"/>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41,693</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43,157</w:t>
            </w:r>
          </w:p>
        </w:tc>
      </w:tr>
      <w:tr>
        <w:trPr>
          <w:trHeight w:val="20"/>
        </w:trPr>
        <w:tc>
          <w:tcPr>
            <w:tcW w:w="8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Huzhou Saiyuan Loan</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December 29, 2018, MPS signed an agreement with Huzhou Saiyuan, an entity established by the local government, to issue convertible bonds to Huzhou Saiyuan for a total consideration of $87,776 (RMB600 million). The Company pledged its 12.39% equity holding over MPS to Huzhou Saiyuan to facilitate the issuance of the convertible bonds.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If the subscribed bonds are not repaid by the maturity date of January 31, 2027, Huzhou Saiyuan has the right to dispose of the equity interests pledged by the Company in proportion to the amount of matured bonds, or convert the bonds into equity interests of MPS within 60 days after the maturity date. If Huzhou Saiyuan decides to convert the bonds into equity interests of MPS, the equity interests pledged would be released and the convertible bonds would be converted into equity interest of MPS based on an entity value of MPS of $950,000.</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September 2020 and 2022, MPS entered into two supplement agreements with Huzhou Saiyuan, respectively, to change the repayment schedule as follows: (i) $14,629 (RMB100 million) was repaid, together with interest accrued, on or before November 10, 2022, (ii) $14,630 (RMB100 million) was repaid, together with interest accrued, on or before December 31, 2022, and (iii) the remaining $43,888 (RMB300 million) will be repaid, together with interest accrued, on or</w:t>
      </w: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69215</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before January 31, 2027. The applicable interest rate will be increased to 12% if the Company is in default on the repayment of the bonds at the due date. The remaining terms and conditions of the convertible bonds were unchanged. The Company has fully complied with the amended repayment schedule. With $692</w:t>
      </w:r>
    </w:p>
    <w:p>
      <w:pPr>
        <w:spacing w:after="0" w:line="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(equivalent to RMB5 million) repaid in 2023 and $1,375 (equivalent to RMB10 million) repaid in 2025, the outstanding balance of the convertible bonds was $41,693 (RMB285 million) as of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WARRANTS</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Upon the Merger, the Company assumed 27,600,000 publicly-traded warrants (“Public Warrants”) which were issued in connection with Tuscan’s initial public offering. The Company also assumed 837,000 private placement warrants issued to Tuscan Holdings Acquisition LLC ("Sponsor") and EarlyBirdCapital, Inc. (“EarlyBirdCapital”) (“Private Warrants” and together with the Public Warrants, the “Warrants”) upon the Merger, all of which were issued in connection with Tuscan’s initial public offering (other than 150,000 Private Warrants that were issued in connection with the closing of the Merger). The Warrants entitle the holder to purchase one share of the Company’s Common Stock at an exercise price of $11.50 per share. During the year ended December 31, 2025, none of the Public Warrants or the Private Warrants have been exercised.</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Public Warrants became exercisable 30 days after the completion of the Merger. No Warrants were exercisable for cash until the Company registered Common Stock issuable upon exercise of the Warrants with the SEC. Since the registration of Common Stock was not completed within 90 days following the Merger, warrant holders were able to exercise the Warrants on a net-share settlement basis until the registration statement became effective on June 8, 2022. The Public Warrants will expire on July 23, 2026, or earlier upon redemption or liquidation.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Once the Public Warrants became exercisable, the Company may redeem the Public Warrants:</w:t>
      </w:r>
    </w:p>
    <w:p>
      <w:pPr>
        <w:spacing w:after="0" w:line="191" w:lineRule="exact"/>
        <w:rPr>
          <w:sz w:val="20"/>
          <w:szCs w:val="20"/>
          <w:color w:val="auto"/>
        </w:rPr>
      </w:pPr>
    </w:p>
    <w:p>
      <w:pPr>
        <w:ind w:left="920" w:hanging="298"/>
        <w:spacing w:after="0"/>
        <w:tabs>
          <w:tab w:leader="none" w:pos="9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16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warrant;</w:t>
      </w:r>
    </w:p>
    <w:p>
      <w:pPr>
        <w:spacing w:after="0" w:line="16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w:t>
      </w:r>
    </w:p>
    <w:p>
      <w:pPr>
        <w:spacing w:after="0" w:line="165"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Company’s Common Stock equals or exceeds $18.00 per share for any 20-trading days within a 30-trading day period ending on the third business day prior to the notice of redemption to the warrant holders; and</w:t>
      </w:r>
    </w:p>
    <w:p>
      <w:pPr>
        <w:spacing w:after="0" w:line="99"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the warrants.</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If the Company calls the Public Warrants for redemption, management will have the option to require all holders that wish to exercise the Public Warrants to do so on a net-share settlement basis.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Public Warrant was determined to be equity classified in accordance with ASC 815, Derivatives and Hedging.</w:t>
      </w:r>
    </w:p>
    <w:p>
      <w:pPr>
        <w:spacing w:after="0" w:line="21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Private Warrants are identical to the Public Warrants, except that the Private Warrants will be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on July 23, 2026.</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Private Warrant liability was measured at fair value, resulting in gain/ (loss) of $275, $(223) and $59 for the years ended December 31, 2025, 2024 and 2023, respectively and is classified within changes in fair value of warrant liability in the consolidated statements of operations.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Private Warrants were valued using the following assumptions under the Monte Carlo Model that assumes optimal exercise of the Company’s redemption option at the earliest possible date: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9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8"/>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 price of public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2.80</w:t>
            </w:r>
          </w:p>
        </w:tc>
      </w:tr>
      <w:tr>
        <w:trPr>
          <w:trHeight w:val="239"/>
        </w:trPr>
        <w:tc>
          <w:tcPr>
            <w:tcW w:w="9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11.50</w:t>
            </w:r>
          </w:p>
        </w:tc>
      </w:tr>
      <w:tr>
        <w:trPr>
          <w:trHeight w:val="251"/>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0.57</w:t>
            </w:r>
          </w:p>
        </w:tc>
      </w:tr>
      <w:tr>
        <w:trPr>
          <w:trHeight w:val="239"/>
        </w:trPr>
        <w:tc>
          <w:tcPr>
            <w:tcW w:w="9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8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84.99%</w:t>
            </w:r>
          </w:p>
        </w:tc>
      </w:tr>
      <w:tr>
        <w:trPr>
          <w:trHeight w:val="251"/>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3.51%</w:t>
            </w:r>
          </w:p>
        </w:tc>
      </w:tr>
      <w:tr>
        <w:trPr>
          <w:trHeight w:val="232"/>
        </w:trPr>
        <w:tc>
          <w:tcPr>
            <w:tcW w:w="9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rate</w:t>
            </w:r>
          </w:p>
        </w:tc>
        <w:tc>
          <w:tcPr>
            <w:tcW w:w="18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0.00%</w:t>
            </w:r>
          </w:p>
        </w:tc>
      </w:tr>
    </w:tbl>
    <w:p>
      <w:pPr>
        <w:spacing w:after="0" w:line="29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a blend of implied volatility from the Company’s own public warrant pricing, the average volatility of peer companies and the Company's historical volatility.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May 28, 2024, the Company also issued a warrant exercisable for 5,500,000 shares of Common Stock at an initial exercise price of $2.00 per share.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Warrant expires on May 28, 2029. See further discussion in Note 25 – Convertible loan measured at fair value.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FAIR VALUE MEASUREMENT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Measured or disclosed at fair value on a recurring basis</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measured its financial assets and liabilities, including cash and cash equivalents, restricted cash, warrant liability, and convertible loan at fair value on a recurring basis. Cash and cash equivalents and restricted cash are classified within Level 1 of the fair value hierarchy because they are valued based on the quoted market price in an active market. The fair value of the warrant liability and convertible loan are based on significant unobservable inputs, which represent Level 3 measurements within the fair value hierarchy. In determining the fair value of the warrant liability, the Company used the Monte Carlo Model that assumes optimal exercise of the Company’s redemption option at the earliest possible date. Refer to Note 25 for disclosure of valuation model utilized in measuring the fair value of convertible loan.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2025 and 2024, information about inputs for the fair value measurements of the Company’s assets and liabilities that are measured at fair value on a recurring basis in periods subsequent to their initial recognition is as follow: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9"/>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Fair Value Measurement as of December 31, 2025</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Quoted Prices in</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Active</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Market for</w:t>
            </w:r>
          </w:p>
        </w:tc>
        <w:tc>
          <w:tcPr>
            <w:tcW w:w="10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Significant Other</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Unobservable</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Identical Assets</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Observable Inputs</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Inputs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80" w:type="dxa"/>
            <w:vAlign w:val="bottom"/>
          </w:tcPr>
          <w:p>
            <w:pPr>
              <w:spacing w:after="0"/>
              <w:rPr>
                <w:sz w:val="19"/>
                <w:szCs w:val="19"/>
                <w:color w:val="auto"/>
              </w:rPr>
            </w:pPr>
          </w:p>
        </w:tc>
        <w:tc>
          <w:tcPr>
            <w:tcW w:w="11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5"/>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104,963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104,963</w:t>
            </w:r>
          </w:p>
        </w:tc>
        <w:tc>
          <w:tcPr>
            <w:tcW w:w="0" w:type="dxa"/>
            <w:vAlign w:val="bottom"/>
          </w:tcPr>
          <w:p>
            <w:pPr>
              <w:spacing w:after="0"/>
              <w:rPr>
                <w:sz w:val="1"/>
                <w:szCs w:val="1"/>
                <w:color w:val="auto"/>
              </w:rPr>
            </w:pPr>
          </w:p>
        </w:tc>
      </w:tr>
      <w:tr>
        <w:trPr>
          <w:trHeight w:val="239"/>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64,275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64,275</w:t>
            </w: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financial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169,238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169,238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45"/>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loan measured at fair value</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140,929</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140,929</w:t>
            </w:r>
          </w:p>
        </w:tc>
        <w:tc>
          <w:tcPr>
            <w:tcW w:w="0" w:type="dxa"/>
            <w:vAlign w:val="bottom"/>
          </w:tcPr>
          <w:p>
            <w:pPr>
              <w:spacing w:after="0"/>
              <w:rPr>
                <w:sz w:val="1"/>
                <w:szCs w:val="1"/>
                <w:color w:val="auto"/>
              </w:rPr>
            </w:pPr>
          </w:p>
        </w:tc>
      </w:tr>
      <w:tr>
        <w:trPr>
          <w:trHeight w:val="24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financial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140,944</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140,944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9"/>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Fair Value Measurement as of December 31, 2024</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Quoted Prices in</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Active</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Market for</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Significant Other</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Unobservable</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Identical Assets</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Observable Inputs</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Inputs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44"/>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73,007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73,007</w:t>
            </w:r>
          </w:p>
        </w:tc>
        <w:tc>
          <w:tcPr>
            <w:tcW w:w="0" w:type="dxa"/>
            <w:vAlign w:val="bottom"/>
          </w:tcPr>
          <w:p>
            <w:pPr>
              <w:spacing w:after="0"/>
              <w:rPr>
                <w:sz w:val="1"/>
                <w:szCs w:val="1"/>
                <w:color w:val="auto"/>
              </w:rPr>
            </w:pPr>
          </w:p>
        </w:tc>
      </w:tr>
      <w:tr>
        <w:trPr>
          <w:trHeight w:val="239"/>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36,594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36,594</w:t>
            </w: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financial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109,601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109,601</w:t>
            </w: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45"/>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loan measured at fair value</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104,613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104,613</w:t>
            </w:r>
          </w:p>
        </w:tc>
        <w:tc>
          <w:tcPr>
            <w:tcW w:w="0" w:type="dxa"/>
            <w:vAlign w:val="bottom"/>
          </w:tcPr>
          <w:p>
            <w:pPr>
              <w:spacing w:after="0"/>
              <w:rPr>
                <w:sz w:val="1"/>
                <w:szCs w:val="1"/>
                <w:color w:val="auto"/>
              </w:rPr>
            </w:pPr>
          </w:p>
        </w:tc>
      </w:tr>
      <w:tr>
        <w:trPr>
          <w:trHeight w:val="24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financial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104,903</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104,903</w:t>
            </w: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1240" w:type="dxa"/>
            <w:vAlign w:val="bottom"/>
            <w:gridSpan w:val="13"/>
          </w:tcPr>
          <w:p>
            <w:pPr>
              <w:ind w:left="620"/>
              <w:spacing w:after="0"/>
              <w:rPr>
                <w:sz w:val="20"/>
                <w:szCs w:val="20"/>
                <w:color w:val="auto"/>
              </w:rPr>
            </w:pPr>
            <w:r>
              <w:rPr>
                <w:rFonts w:ascii="Times New Roman" w:cs="Times New Roman" w:eastAsia="Times New Roman" w:hAnsi="Times New Roman"/>
                <w:sz w:val="17"/>
                <w:szCs w:val="17"/>
                <w:color w:val="auto"/>
              </w:rPr>
              <w:t>The following is a reconciliation of the beginning and ending balances for Level 3 warrant liability during the year ended December 31, 2025, 2024, and</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6"/>
          </w:tcPr>
          <w:p>
            <w:pPr>
              <w:jc w:val="center"/>
              <w:ind w:left="91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44"/>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the beginning of the year</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39"/>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Changes in fair value</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69"/>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end of the year</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674"/>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reconciliation of the beginning and ending balances for Level 3 convertible loan during the year ended December 31, 2025: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2"/>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the beginning of the period</w:t>
            </w: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104,613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convertible loan</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25,944</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paid during the period</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39,396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79,737</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end of the period</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140,929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104,613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Measured or disclosed at fair value on a nonrecurring basis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assets measured at fair value on a nonrecurring basis include long-lived assets. The Company reviews the carrying amounts of such assets when events indicate that their carrying amounts may not be recoverable. Any resulting asset impairment would require that the asset be recorded at its fair value. The fair value of the asset or asset group is determined using cost approach, sales comparison approach and income capitalization approach with unobservable inputs (Level 3), depending on the underlying nature of the asset or the asset group.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LEASES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has operating leases for office spaces and warehouses. Certain leases include termination options, which are factored into the Company's determination of lease payments when appropriate.</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Operating lease cost for the years ended December 31, 2025, 2024 and 2023 were $3,394, $3,478 and $3,663, which excluded cost of short-term contracts. Short-term lease cost for the years ended December 31, 2025, 2024 and 2023 were $181, $458 and $435.</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2025, the weighted average remaining lease term was 8.7 years and weighted average discount rate was 5.1% for the Company's operating leases.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Supplemental cash flow information of the leases were as follows:</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3"/>
        </w:trPr>
        <w:tc>
          <w:tcPr>
            <w:tcW w:w="7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40" w:type="dxa"/>
            <w:vAlign w:val="bottom"/>
            <w:gridSpan w:val="6"/>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00" w:type="dxa"/>
            <w:vAlign w:val="bottom"/>
          </w:tcPr>
          <w:p>
            <w:pPr>
              <w:spacing w:after="0"/>
              <w:rPr>
                <w:sz w:val="24"/>
                <w:szCs w:val="24"/>
                <w:color w:val="auto"/>
              </w:rPr>
            </w:pPr>
          </w:p>
        </w:tc>
      </w:tr>
      <w:tr>
        <w:trPr>
          <w:trHeight w:val="25"/>
        </w:trPr>
        <w:tc>
          <w:tcPr>
            <w:tcW w:w="70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70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
        </w:trPr>
        <w:tc>
          <w:tcPr>
            <w:tcW w:w="70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payments for operating leases</w:t>
            </w:r>
          </w:p>
        </w:tc>
        <w:tc>
          <w:tcPr>
            <w:tcW w:w="860" w:type="dxa"/>
            <w:vAlign w:val="bottom"/>
            <w:tcBorders>
              <w:bottom w:val="single" w:sz="8" w:color="CCEEFF"/>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3,485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3,633</w:t>
            </w:r>
          </w:p>
        </w:tc>
      </w:tr>
      <w:tr>
        <w:trPr>
          <w:trHeight w:val="23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1,108</w:t>
            </w:r>
          </w:p>
        </w:tc>
        <w:tc>
          <w:tcPr>
            <w:tcW w:w="8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2,368</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5,725</w:t>
            </w:r>
          </w:p>
        </w:tc>
      </w:tr>
    </w:tbl>
    <w:p>
      <w:pPr>
        <w:spacing w:after="0" w:line="3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Maturity of operating lease liabilities are as follows: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As of December 31, 2025</w:t>
            </w:r>
          </w:p>
        </w:tc>
      </w:tr>
      <w:tr>
        <w:trPr>
          <w:trHeight w:val="25"/>
        </w:trPr>
        <w:tc>
          <w:tcPr>
            <w:tcW w:w="8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1"/>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3,569</w:t>
            </w:r>
          </w:p>
        </w:tc>
      </w:tr>
      <w:tr>
        <w:trPr>
          <w:trHeight w:val="232"/>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2,940</w:t>
            </w:r>
          </w:p>
        </w:tc>
      </w:tr>
      <w:tr>
        <w:trPr>
          <w:trHeight w:val="25"/>
        </w:trPr>
        <w:tc>
          <w:tcPr>
            <w:tcW w:w="8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3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w:t>
            </w:r>
          </w:p>
        </w:tc>
      </w:tr>
      <w:tr>
        <w:trPr>
          <w:trHeight w:val="232"/>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1,782</w:t>
            </w:r>
          </w:p>
        </w:tc>
      </w:tr>
      <w:tr>
        <w:trPr>
          <w:trHeight w:val="25"/>
        </w:trPr>
        <w:tc>
          <w:tcPr>
            <w:tcW w:w="8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3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6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1,782</w:t>
            </w:r>
          </w:p>
        </w:tc>
      </w:tr>
      <w:tr>
        <w:trPr>
          <w:trHeight w:val="232"/>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9,061</w:t>
            </w:r>
          </w:p>
        </w:tc>
      </w:tr>
      <w:tr>
        <w:trPr>
          <w:trHeight w:val="25"/>
        </w:trPr>
        <w:tc>
          <w:tcPr>
            <w:tcW w:w="8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1"/>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future lease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21,153</w:t>
            </w:r>
          </w:p>
        </w:tc>
      </w:tr>
      <w:tr>
        <w:trPr>
          <w:trHeight w:val="225"/>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to present value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(3,889)</w:t>
            </w:r>
          </w:p>
        </w:tc>
      </w:tr>
      <w:tr>
        <w:trPr>
          <w:trHeight w:val="25"/>
        </w:trPr>
        <w:tc>
          <w:tcPr>
            <w:tcW w:w="8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76"/>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17,264</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INCOME TAXES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16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is incorporated in the U.S. and is subject to the U.S. state and federal income tax. Net operating losses incurred in taxable years beginning after December 31, 2017, may be carried forward indefinitely but are subject to an 80% taxable income limitation.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PRC</w:t>
      </w:r>
    </w:p>
    <w:p>
      <w:pPr>
        <w:spacing w:after="0" w:line="16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Under the Enterprise Income Tax Law of the PRC (the “EIT Law”), PRC enterprise income tax is generally calculated at 25% of the Company’s subsidiaries located in the PRC as determined in accordance with the EIT Law, except for certain subsidiaries which have tax rates substantially lower than 25% due to incentive policies.</w:t>
      </w:r>
    </w:p>
    <w:p>
      <w:pPr>
        <w:spacing w:after="0" w:line="11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MPS was recognized as a “New and High Tech Enterprise” (“NHTE”) by the relevant PRC government authorities in 2021 and 2024. Therefore, MPS, as the NHTE, is entitled to an income tax rate of 15% for 2025, 2024, and 2023.</w:t>
      </w:r>
    </w:p>
    <w:p>
      <w:pPr>
        <w:spacing w:after="0" w:line="1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Huzhou Hongwei New Energy Automobile Co., Ltd. (“Hongwei”) was recognized as a NHTE by the relevant PRC government authorities in 2020 and 2023, and it is entitled to an income tax rate of 15% for 2025, 2024, and 2023.</w:t>
      </w:r>
    </w:p>
    <w:p>
      <w:pPr>
        <w:spacing w:after="0" w:line="1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withholding tax rate of 10% under the EIT Law is imposed on dividends declared to foreign investors with respect to profit earned by PRC subsidiaries from January 1, 2008 onward. Deferred tax liability was not provided with respect to undistributed profits of relevant PRC subsidiaries for the years ended December 31, 2025, 2024, and 2023, as the Company concluded that profits generated by the relevant PRC subsidiaries are considered to be permanently reinvested, because the Company does not have any present plan to pay any cash dividends on its ordinary shares in the foreseeable future and intends to retain all of its available funds and any future earnings for use in the operation and expansion of its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Germany</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German enterprise income tax, which is a combination of corporate income tax and trade tax, is calculated at an average tax rate of 29.1%, 29.1%, and 29.9% for the years ended December 31, 2025, 2024, and 2023, respectively, for the Company’s subsidiary located in Germany in accordance with relevant tax rules and regulations in Germany.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jurisdictional components of income (loss) before income taxes for the years ended December 31, 2025, 2024, and 2023 was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40" w:type="dxa"/>
            <w:vAlign w:val="bottom"/>
            <w:gridSpan w:val="6"/>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40" w:type="dxa"/>
            <w:vAlign w:val="bottom"/>
          </w:tcPr>
          <w:p>
            <w:pPr>
              <w:spacing w:after="0"/>
              <w:rPr>
                <w:sz w:val="19"/>
                <w:szCs w:val="19"/>
                <w:color w:val="auto"/>
              </w:rPr>
            </w:pPr>
          </w:p>
        </w:tc>
      </w:tr>
      <w:tr>
        <w:trPr>
          <w:trHeight w:val="25"/>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federal</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color w:val="auto"/>
              </w:rPr>
              <w:t>(97,831)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(227,937)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(101,077)</w:t>
            </w:r>
          </w:p>
        </w:tc>
      </w:tr>
      <w:tr>
        <w:trPr>
          <w:trHeight w:val="252"/>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63,288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32,480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(5,325)</w:t>
            </w:r>
          </w:p>
        </w:tc>
      </w:tr>
      <w:tr>
        <w:trPr>
          <w:trHeight w:val="26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Loss before provision for income tax</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b w:val="1"/>
                <w:bCs w:val="1"/>
                <w:color w:val="auto"/>
              </w:rPr>
              <w:t>(34,543)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(106,402)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current and deferred components of the income tax (benefit) expense in the consolidated statements of operations were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540" w:type="dxa"/>
            <w:vAlign w:val="bottom"/>
            <w:gridSpan w:val="6"/>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5"/>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6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 federal</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International</w:t>
            </w: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tax expense</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International</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benefit</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(5,429)</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4"/>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(benefit from) provision for income taxes</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(5,325)</w:t>
            </w:r>
          </w:p>
        </w:tc>
        <w:tc>
          <w:tcPr>
            <w:tcW w:w="8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b w:val="1"/>
                <w:bCs w:val="1"/>
                <w:color w:val="auto"/>
              </w:rPr>
              <w:t>10</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 xml:space="preserve">The table below provides the updated requirements of </w:t>
      </w:r>
      <w:r>
        <w:rPr>
          <w:rFonts w:ascii="Times New Roman" w:cs="Times New Roman" w:eastAsia="Times New Roman" w:hAnsi="Times New Roman"/>
          <w:sz w:val="17"/>
          <w:szCs w:val="17"/>
          <w:i w:val="1"/>
          <w:iCs w:val="1"/>
          <w:color w:val="auto"/>
        </w:rPr>
        <w:t>ASU No. 2023-09</w:t>
      </w:r>
      <w:r>
        <w:rPr>
          <w:rFonts w:ascii="Times New Roman" w:cs="Times New Roman" w:eastAsia="Times New Roman" w:hAnsi="Times New Roman"/>
          <w:sz w:val="17"/>
          <w:szCs w:val="17"/>
          <w:color w:val="auto"/>
        </w:rPr>
        <w:t xml:space="preserve"> for 2025. See Note 2 - Summary of Significant Accounting Policies for additional details on the adoption of </w:t>
      </w:r>
      <w:r>
        <w:rPr>
          <w:rFonts w:ascii="Times New Roman" w:cs="Times New Roman" w:eastAsia="Times New Roman" w:hAnsi="Times New Roman"/>
          <w:sz w:val="17"/>
          <w:szCs w:val="17"/>
          <w:i w:val="1"/>
          <w:iCs w:val="1"/>
          <w:color w:val="auto"/>
        </w:rPr>
        <w:t>ASU No. 2023-09</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 reconciliation of the U.S. federal statutory income tax rate of 21% to the Company's effective income tax rate for the year ended December 31, 2025 is as follows: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gridSpan w:val="3"/>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5"/>
        </w:trPr>
        <w:tc>
          <w:tcPr>
            <w:tcW w:w="7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r>
      <w:tr>
        <w:trPr>
          <w:trHeight w:val="225"/>
        </w:trPr>
        <w:tc>
          <w:tcPr>
            <w:tcW w:w="7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40" w:type="dxa"/>
            <w:vAlign w:val="bottom"/>
            <w:gridSpan w:val="2"/>
          </w:tcPr>
          <w:p>
            <w:pPr>
              <w:jc w:val="right"/>
              <w:ind w:right="14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
        </w:trPr>
        <w:tc>
          <w:tcPr>
            <w:tcW w:w="7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2"/>
        </w:trPr>
        <w:tc>
          <w:tcPr>
            <w:tcW w:w="7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Percent</w:t>
            </w:r>
          </w:p>
        </w:tc>
      </w:tr>
      <w:tr>
        <w:trPr>
          <w:trHeight w:val="24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(34,543)</w:t>
            </w:r>
          </w:p>
        </w:tc>
        <w:tc>
          <w:tcPr>
            <w:tcW w:w="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52"/>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Federal Statutory Tax Rate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(7,254)</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21.00 %</w:t>
            </w:r>
          </w:p>
        </w:tc>
      </w:tr>
      <w:tr>
        <w:trPr>
          <w:trHeight w:val="26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and Local Income Taxes, Net of Federal Income Tax Effect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(2,908)</w:t>
            </w:r>
          </w:p>
        </w:tc>
        <w:tc>
          <w:tcPr>
            <w:tcW w:w="19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8.42</w:t>
            </w: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Tax Effects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People's Republic of China</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52"/>
        </w:trPr>
        <w:tc>
          <w:tcPr>
            <w:tcW w:w="78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Statutory tax rate difference between PRC and United States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(3,171)</w:t>
            </w:r>
          </w:p>
        </w:tc>
        <w:tc>
          <w:tcPr>
            <w:tcW w:w="19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9.18</w:t>
            </w:r>
          </w:p>
        </w:tc>
      </w:tr>
      <w:tr>
        <w:trPr>
          <w:trHeight w:val="264"/>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Changes in Valuation Allowance</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(13,254)</w:t>
            </w:r>
          </w:p>
        </w:tc>
        <w:tc>
          <w:tcPr>
            <w:tcW w:w="19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38.37</w:t>
            </w:r>
          </w:p>
        </w:tc>
      </w:tr>
      <w:tr>
        <w:trPr>
          <w:trHeight w:val="252"/>
        </w:trPr>
        <w:tc>
          <w:tcPr>
            <w:tcW w:w="78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Additional deduction for R&amp;D</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(5,536)</w:t>
            </w:r>
          </w:p>
        </w:tc>
        <w:tc>
          <w:tcPr>
            <w:tcW w:w="19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16.03</w:t>
            </w:r>
          </w:p>
        </w:tc>
      </w:tr>
      <w:tr>
        <w:trPr>
          <w:trHeight w:val="264"/>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9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0.10</w:t>
            </w:r>
          </w:p>
        </w:tc>
      </w:tr>
      <w:tr>
        <w:trPr>
          <w:trHeight w:val="239"/>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All others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64"/>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Statutory tax rate difference between foreign country and United States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9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(0.20)</w:t>
            </w:r>
          </w:p>
        </w:tc>
      </w:tr>
      <w:tr>
        <w:trPr>
          <w:trHeight w:val="252"/>
        </w:trPr>
        <w:tc>
          <w:tcPr>
            <w:tcW w:w="78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Changes in Valuation Allowance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9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0.76</w:t>
            </w:r>
          </w:p>
        </w:tc>
      </w:tr>
      <w:tr>
        <w:trPr>
          <w:trHeight w:val="25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Cross-Border Tax Laws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52"/>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Global intangible low-taxed income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9,879</w:t>
            </w:r>
          </w:p>
        </w:tc>
        <w:tc>
          <w:tcPr>
            <w:tcW w:w="194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(28.60)</w:t>
            </w:r>
          </w:p>
        </w:tc>
      </w:tr>
      <w:tr>
        <w:trPr>
          <w:trHeight w:val="26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Valuation Allowances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16,840</w:t>
            </w:r>
          </w:p>
        </w:tc>
        <w:tc>
          <w:tcPr>
            <w:tcW w:w="19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(48.75)</w:t>
            </w: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64"/>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payment awards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9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(0.78)</w:t>
            </w:r>
          </w:p>
        </w:tc>
      </w:tr>
      <w:tr>
        <w:trPr>
          <w:trHeight w:val="252"/>
        </w:trPr>
        <w:tc>
          <w:tcPr>
            <w:tcW w:w="7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94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(0.44)</w:t>
            </w:r>
          </w:p>
        </w:tc>
      </w:tr>
      <w:tr>
        <w:trPr>
          <w:trHeight w:val="25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Adjustments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52"/>
        </w:trPr>
        <w:tc>
          <w:tcPr>
            <w:tcW w:w="7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Provision to return</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194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(1.31)</w:t>
            </w:r>
          </w:p>
        </w:tc>
      </w:tr>
      <w:tr>
        <w:trPr>
          <w:trHeight w:val="258"/>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payable adjustment</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80" w:type="dxa"/>
            <w:vAlign w:val="bottom"/>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1.63</w:t>
            </w:r>
          </w:p>
        </w:tc>
      </w:tr>
      <w:tr>
        <w:trPr>
          <w:trHeight w:val="244"/>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Effective Tax Rate</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(5,325)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15.41 %</w:t>
            </w:r>
          </w:p>
        </w:tc>
      </w:tr>
      <w:tr>
        <w:trPr>
          <w:trHeight w:val="20"/>
        </w:trPr>
        <w:tc>
          <w:tcPr>
            <w:tcW w:w="7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 xml:space="preserve">As previously disclosed for the years ended December 31, 2024 and 2023, prior to the adoption of </w:t>
      </w:r>
      <w:r>
        <w:rPr>
          <w:rFonts w:ascii="Times New Roman" w:cs="Times New Roman" w:eastAsia="Times New Roman" w:hAnsi="Times New Roman"/>
          <w:sz w:val="17"/>
          <w:szCs w:val="17"/>
          <w:i w:val="1"/>
          <w:iCs w:val="1"/>
          <w:color w:val="auto"/>
        </w:rPr>
        <w:t>ASU 2023-09</w:t>
      </w:r>
      <w:r>
        <w:rPr>
          <w:rFonts w:ascii="Times New Roman" w:cs="Times New Roman" w:eastAsia="Times New Roman" w:hAnsi="Times New Roman"/>
          <w:sz w:val="17"/>
          <w:szCs w:val="17"/>
          <w:color w:val="auto"/>
        </w:rPr>
        <w:t>, a reconciliation between the income tax expense computed by applying the U.S. federal statutory income tax rate of 21% to loss before income tax and income tax expense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5"/>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provision for income tax</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(195,457)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(106,402)</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credit at the U.S. federal corporate income tax rate of 21%</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(41,047)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(22,343)</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effect of permanent differences – share-based compensation</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13,644</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effect of permanent differences – others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r>
      <w:tr>
        <w:trPr>
          <w:trHeight w:val="26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effect of income tax rate difference in other jurisdictions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w:t>
            </w:r>
          </w:p>
        </w:tc>
      </w:tr>
      <w:tr>
        <w:trPr>
          <w:trHeight w:val="25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10,330</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44"/>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tax expense</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r>
      <w:tr>
        <w:trPr>
          <w:trHeight w:val="20"/>
        </w:trPr>
        <w:tc>
          <w:tcPr>
            <w:tcW w:w="8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Significant components of the Company’s deferred tax assets and liabilities are as follows: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5"/>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6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49,829</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64,949</w:t>
            </w:r>
          </w:p>
        </w:tc>
        <w:tc>
          <w:tcPr>
            <w:tcW w:w="0" w:type="dxa"/>
            <w:vAlign w:val="bottom"/>
          </w:tcPr>
          <w:p>
            <w:pPr>
              <w:spacing w:after="0"/>
              <w:rPr>
                <w:sz w:val="1"/>
                <w:szCs w:val="1"/>
                <w:color w:val="auto"/>
              </w:rPr>
            </w:pPr>
          </w:p>
        </w:tc>
      </w:tr>
      <w:tr>
        <w:trPr>
          <w:trHeight w:val="239"/>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fair value of convertible loan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29,947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16,744</w:t>
            </w: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credit losses and inventory provision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0" w:type="dxa"/>
            <w:vAlign w:val="bottom"/>
          </w:tcPr>
          <w:p>
            <w:pPr>
              <w:spacing w:after="0"/>
              <w:rPr>
                <w:sz w:val="1"/>
                <w:szCs w:val="1"/>
                <w:color w:val="auto"/>
              </w:rPr>
            </w:pPr>
          </w:p>
        </w:tc>
      </w:tr>
      <w:tr>
        <w:trPr>
          <w:trHeight w:val="252"/>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 warranty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4,917</w:t>
            </w:r>
          </w:p>
        </w:tc>
        <w:tc>
          <w:tcPr>
            <w:tcW w:w="0" w:type="dxa"/>
            <w:vAlign w:val="bottom"/>
          </w:tcPr>
          <w:p>
            <w:pPr>
              <w:spacing w:after="0"/>
              <w:rPr>
                <w:sz w:val="1"/>
                <w:szCs w:val="1"/>
                <w:color w:val="auto"/>
              </w:rPr>
            </w:pPr>
          </w:p>
        </w:tc>
      </w:tr>
      <w:tr>
        <w:trPr>
          <w:trHeight w:val="264"/>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 of property, plant and 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34,997</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15,885</w:t>
            </w:r>
          </w:p>
        </w:tc>
        <w:tc>
          <w:tcPr>
            <w:tcW w:w="0" w:type="dxa"/>
            <w:vAlign w:val="bottom"/>
          </w:tcPr>
          <w:p>
            <w:pPr>
              <w:spacing w:after="0"/>
              <w:rPr>
                <w:sz w:val="1"/>
                <w:szCs w:val="1"/>
                <w:color w:val="auto"/>
              </w:rPr>
            </w:pPr>
          </w:p>
        </w:tc>
      </w:tr>
      <w:tr>
        <w:trPr>
          <w:trHeight w:val="252"/>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0" w:type="dxa"/>
            <w:vAlign w:val="bottom"/>
          </w:tcPr>
          <w:p>
            <w:pPr>
              <w:spacing w:after="0"/>
              <w:rPr>
                <w:sz w:val="1"/>
                <w:szCs w:val="1"/>
                <w:color w:val="auto"/>
              </w:rPr>
            </w:pPr>
          </w:p>
        </w:tc>
      </w:tr>
      <w:tr>
        <w:trPr>
          <w:trHeight w:val="264"/>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0" w:type="dxa"/>
            <w:vAlign w:val="bottom"/>
          </w:tcPr>
          <w:p>
            <w:pPr>
              <w:spacing w:after="0"/>
              <w:rPr>
                <w:sz w:val="1"/>
                <w:szCs w:val="1"/>
                <w:color w:val="auto"/>
              </w:rPr>
            </w:pPr>
          </w:p>
        </w:tc>
      </w:tr>
      <w:tr>
        <w:trPr>
          <w:trHeight w:val="252"/>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(117,832)</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(106,651)</w:t>
            </w:r>
          </w:p>
        </w:tc>
        <w:tc>
          <w:tcPr>
            <w:tcW w:w="0" w:type="dxa"/>
            <w:vAlign w:val="bottom"/>
          </w:tcPr>
          <w:p>
            <w:pPr>
              <w:spacing w:after="0"/>
              <w:rPr>
                <w:sz w:val="1"/>
                <w:szCs w:val="1"/>
                <w:color w:val="auto"/>
              </w:rPr>
            </w:pPr>
          </w:p>
        </w:tc>
      </w:tr>
      <w:tr>
        <w:trPr>
          <w:trHeight w:val="244"/>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deferred tax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5,429</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8180" w:type="dxa"/>
            <w:vAlign w:val="bottom"/>
            <w:gridSpan w:val="4"/>
            <w:vMerge w:val="restart"/>
          </w:tcPr>
          <w:p>
            <w:pPr>
              <w:ind w:left="620"/>
              <w:spacing w:after="0"/>
              <w:rPr>
                <w:sz w:val="20"/>
                <w:szCs w:val="20"/>
                <w:color w:val="auto"/>
              </w:rPr>
            </w:pPr>
            <w:r>
              <w:rPr>
                <w:rFonts w:ascii="Times New Roman" w:cs="Times New Roman" w:eastAsia="Times New Roman" w:hAnsi="Times New Roman"/>
                <w:sz w:val="17"/>
                <w:szCs w:val="17"/>
                <w:color w:val="auto"/>
              </w:rPr>
              <w:t>The changes in valuation allowance for the years end December 31, 2025, 2024 and 2023 are as follows: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818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gridSpan w:val="6"/>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the year</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106,651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76,223</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66,853</w:t>
            </w:r>
          </w:p>
        </w:tc>
        <w:tc>
          <w:tcPr>
            <w:tcW w:w="0" w:type="dxa"/>
            <w:vAlign w:val="bottom"/>
          </w:tcPr>
          <w:p>
            <w:pPr>
              <w:spacing w:after="0"/>
              <w:rPr>
                <w:sz w:val="1"/>
                <w:szCs w:val="1"/>
                <w:color w:val="auto"/>
              </w:rPr>
            </w:pPr>
          </w:p>
        </w:tc>
      </w:tr>
      <w:tr>
        <w:trPr>
          <w:trHeight w:val="25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41,706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12,725</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Reversal</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(9,729)</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(11,278)</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w:t>
            </w:r>
          </w:p>
        </w:tc>
        <w:tc>
          <w:tcPr>
            <w:tcW w:w="0" w:type="dxa"/>
            <w:vAlign w:val="bottom"/>
          </w:tcPr>
          <w:p>
            <w:pPr>
              <w:spacing w:after="0"/>
              <w:rPr>
                <w:sz w:val="1"/>
                <w:szCs w:val="1"/>
                <w:color w:val="auto"/>
              </w:rPr>
            </w:pPr>
          </w:p>
        </w:tc>
      </w:tr>
      <w:tr>
        <w:trPr>
          <w:trHeight w:val="244"/>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end of the year</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117,832</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106,651</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76,223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evaluates the realizability of deferred tax assets on a jurisdiction-by-jurisdiction basis and considers available positive and negative evidence in estimating whether sufficient future taxable income will be generated to utilize existing deferred tax assets. The valuation allowance is primarily related to entities with net operating loss carry-forwards for which the Company does not believe realization is more likely than not.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NOL and tax credit carry-forwards</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As of December 31, 2025, the Company had $320,438 operating loss carried forward. The operating loss carried forward for the Company’s PRC subsidiaries amounted to $193,775, which will expire on various dates from 2026 to 2035. The Company also had U.S. federal net operating loss carryforwards of $38,745, which may be carried forward indefinitely. In addition, the Company had U.S. state net operating loss carryforwards of $55,755, of which $20,440 may be carried forward indefinitely. The remaining state net operating loss carryforwards will begin to expire in 2026, with the majority expiring between 2033 and 2044, if not utilized. The Company also had German net operating loss carryforwards of $30,681 and U.K. net operating loss carryforwards of $1,482, each of which may be carried forward indefinitely under applicable tax law.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Law Changes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July 4, 2025, the One Big Beautiful Bill Act ("OBBBA") was signed into law. The OBBBA reinstates immediate expensing of domestic research and experimental expenditures, modifies the calculation of the limitation on business interest expense under Section 163(j) and permanently restores 100% bonus depreciation for qualified property.</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evaluated the impact of the Act on its consolidated financial statements. Due to the existence of a full valuation allowance against its U.S. deferred tax assets, the enactment of the OBBBA did not have a material impact on the Company's consolidated balance sheets or income tax expense. However, the OBBBA reduced the Company's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federal income tax payable for the year by accelerating certain deductions. The Company will continue to monitor additional guidance related to the Act.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supplemental schedule of cash paid for income taxes, net of refunds, for the year ended December 31, 2025: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8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5"/>
        </w:trPr>
        <w:tc>
          <w:tcPr>
            <w:tcW w:w="9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5"/>
        </w:trPr>
        <w:tc>
          <w:tcPr>
            <w:tcW w:w="9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
        </w:trPr>
        <w:tc>
          <w:tcPr>
            <w:tcW w:w="91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5"/>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federal</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w:t>
            </w:r>
          </w:p>
        </w:tc>
      </w:tr>
      <w:tr>
        <w:trPr>
          <w:trHeight w:val="257"/>
        </w:trPr>
        <w:tc>
          <w:tcPr>
            <w:tcW w:w="9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income taxes paid (net of refunds)</w:t>
            </w: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1,817</w:t>
            </w:r>
          </w:p>
        </w:tc>
      </w:tr>
      <w:tr>
        <w:trPr>
          <w:trHeight w:val="20"/>
        </w:trPr>
        <w:tc>
          <w:tcPr>
            <w:tcW w:w="9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NONCONTROLLING INTERESTS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December 19, 2022, Microvast Inc. and a third party formed Microvast Precision Works Co., Ltd ("MPW"). At formation, the Company held a 70% interest in MPW and consolidated MPW. During 2023, the third party withdrew from MPW. As a result, Microvast Inc. became MPW's sole owner as of December 31, 2023. The amount of net loss attributable to noncontrolling interests was nil, nil and $76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SHARE-BASED PAYMENT</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July 21, 2021, the Company adopted the Microvast Holdings, Inc. 2021 Equity Incentive Plan (the “2021 Plan”), effective upon the Closing Date. The 2021 Plan provides for the grant of incentive and non-qualified stock options, restricted stock units, restricted share awards, stock appreciation awards, and cash-based awards to employees, directors, and consultants of the Company. Options awarded under the 2021 Plan expire no more than 10 years from the date of grant. Concurrently with the closing of the Business Combination, the share awards granted under 2012 Share Incentive Plan of Microvast, Inc. (the “2012 Plan”) were rolled over by removing original performance conditions and converting into options and restricted stock units with modified vesting schedules, using the ratio of 160.3. The 2021 Plan reserved 5% of the fully-diluted shares of Common Stock outstanding immediately following the Closing Date plus the shares underlying awards rolled over from the 2012 Plan for issuance in accordance with the 2021 Plan’s terms. As of December 31, 2025, 20,064,793 shares of Common Stock was available for grant under the 2021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Stock options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April 10, 2024, a termination and transition advisory services agreement was entered between a former employee and the Company. According to this agreement, all unvested restricted stock units, performance-based restricted stock units and stock options held by the employee as of April 10, 2024 vest in full on April 10, 2025. The Company accounted for the modification as a Type III (improbable-to-probable) modification, which represents the modification of the award that was not expected to vest under the original vesting conditions at the date of the modification. The Company recognized compensation cost equal to the modified award’s fair value at the date of the modification over the period in which the former employee served as consultant to the Company.</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grant and modification date fair value of the stock options was determined using the Black Scholes model with the following assumptions:</w:t>
      </w:r>
    </w:p>
    <w:p>
      <w:pPr>
        <w:spacing w:after="0" w:line="26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36195</wp:posOffset>
            </wp:positionV>
            <wp:extent cx="26441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340" w:type="dxa"/>
            <w:vAlign w:val="bottom"/>
            <w:gridSpan w:val="2"/>
          </w:tcPr>
          <w:p>
            <w:pPr>
              <w:ind w:left="79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5"/>
        </w:trPr>
        <w:tc>
          <w:tcPr>
            <w:tcW w:w="70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1"/>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8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$1.29-$5.69</w:t>
            </w:r>
          </w:p>
        </w:tc>
      </w:tr>
      <w:tr>
        <w:trPr>
          <w:trHeight w:val="252"/>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terms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1.25-7.26</w:t>
            </w:r>
          </w:p>
        </w:tc>
      </w:tr>
      <w:tr>
        <w:trPr>
          <w:trHeight w:val="264"/>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109.06%</w:t>
            </w:r>
          </w:p>
        </w:tc>
        <w:tc>
          <w:tcPr>
            <w:tcW w:w="80" w:type="dxa"/>
            <w:vAlign w:val="bottom"/>
            <w:shd w:val="clear" w:color="auto" w:fill="CCEEFF"/>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85.66%-103.11%</w:t>
            </w:r>
          </w:p>
        </w:tc>
      </w:tr>
      <w:tr>
        <w:trPr>
          <w:trHeight w:val="252"/>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4.05%-5.00%</w:t>
            </w:r>
          </w:p>
        </w:tc>
      </w:tr>
      <w:tr>
        <w:trPr>
          <w:trHeight w:val="251"/>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 yields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8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r>
        <w:trPr>
          <w:trHeight w:val="245"/>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fair value of options 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$0.0035-$0.89</w:t>
            </w:r>
          </w:p>
        </w:tc>
      </w:tr>
    </w:tbl>
    <w:p>
      <w:pPr>
        <w:spacing w:after="0" w:line="29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exercise prices for each award were extracted from the option agreements. The expected terms for each award were derived using the simplified method, and is estimated to occur at the midpoint of the vesting date and the expiration date. The volatility of the underlying common stock during the lives of the options was a blend of implied volatility from the average volatility of peer companies, implied volatility and the Company's historical volatility. Risk-free interest rate was estimated based on the market yield of U.S. Government Bonds with maturity close to the expected term of the options. The dividend yield was estimated by the Company based on its expected dividend policy over the expected term of the options.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Stock options activity for the year ended December 31, 2025 was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r>
      <w:tr>
        <w:trPr>
          <w:trHeight w:val="193"/>
        </w:trPr>
        <w:tc>
          <w:tcPr>
            <w:tcW w:w="4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7"/>
                <w:szCs w:val="17"/>
                <w:b w:val="1"/>
                <w:bCs w:val="1"/>
                <w:color w:val="auto"/>
              </w:rPr>
              <w:t>Exercise</w:t>
            </w:r>
          </w:p>
        </w:tc>
        <w:tc>
          <w:tcPr>
            <w:tcW w:w="15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7"/>
                <w:szCs w:val="17"/>
                <w:b w:val="1"/>
                <w:bCs w:val="1"/>
                <w:color w:val="auto"/>
                <w:w w:val="99"/>
              </w:rPr>
              <w:t>Grant Date</w:t>
            </w:r>
          </w:p>
        </w:tc>
        <w:tc>
          <w:tcPr>
            <w:tcW w:w="148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Remaining</w:t>
            </w:r>
          </w:p>
        </w:tc>
      </w:tr>
      <w:tr>
        <w:trPr>
          <w:trHeight w:val="22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Share options life</w:t>
            </w: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Price (US$)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Fair Value (US $)</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Contractual</w:t>
            </w:r>
          </w:p>
        </w:tc>
      </w:tr>
      <w:tr>
        <w:trPr>
          <w:trHeight w:val="25"/>
        </w:trPr>
        <w:tc>
          <w:tcPr>
            <w:tcW w:w="4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8"/>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32,701,399</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5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2"/>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(6,514,093)</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r>
        <w:trPr>
          <w:trHeight w:val="238"/>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26,453,972</w:t>
            </w:r>
          </w:p>
        </w:tc>
        <w:tc>
          <w:tcPr>
            <w:tcW w:w="10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5.72</w:t>
            </w:r>
          </w:p>
        </w:tc>
        <w:tc>
          <w:tcPr>
            <w:tcW w:w="8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4.58</w:t>
            </w:r>
          </w:p>
        </w:tc>
        <w:tc>
          <w:tcPr>
            <w:tcW w:w="8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r>
      <w:tr>
        <w:trPr>
          <w:trHeight w:val="238"/>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to vest and exercisable as of December 31,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26,453,972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5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as of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24,987,305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bl>
    <w:p>
      <w:pPr>
        <w:spacing w:after="0" w:line="28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years ended December 31, 2025, 2024 and 2023, the Company recorded share-based compensation expense of $463, $25,175 and $51,289 related to the option awards.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total unrecognized equity-based compensation costs as of December 31, 2025 related to the stock options was $1,222, which is expected to be recognized over a weighted-average period of 1.6 years. The aggregate intrinsic value of the share options as of December 31, 2025 was $3,386.</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u w:val="single" w:color="auto"/>
          <w:color w:val="auto"/>
        </w:rPr>
        <w:t>Restricted Stock Units</w:t>
      </w:r>
    </w:p>
    <w:p>
      <w:pPr>
        <w:spacing w:after="0" w:line="20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Following the Merger, the Company granted 6,456,145 restricted stock units (“RSUs”) and 3,330,953 performance-based restricted stock unit (“PSU”) awards subject to service, performance and/or market conditions. The service condition requires the participant’s continued services or employment with the Company through the applicable vesting date, and the performance condition requires the achievement of the performance criteria defined in the award agreement. The market condition is based on the Company’s TSR. For RSU awards with performance conditions, stock-based compensation expense is only recognized if the performance conditions become probable to be satisfied.</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fair value of RSUs is determined by the price of Common Stock at the grant date and is amortized over the vesting period on a straight-line basis. The fair value of PSU awards that include vesting based on market conditions are estimated using the Monte Carlo valuation method. Compensation cost for PSU awards is recognized based on the grant date fair value which is recognized over the vesting period on a straight-line basis. Accordingly, the Company recorded stock-based compensation expense of $2,345, $1,850 and $1,992 related to these RSU awards and $290, $1,044 and $2,386 related to these PSU awards during the years ended December 31, 2025, 2024 and 2023.</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assumptions were used for the respective periods below to calculate the fair value of common shares to be issued under TSR awards on the date of grant using the Monte Carlo pricing model: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86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27"/>
        </w:trPr>
        <w:tc>
          <w:tcPr>
            <w:tcW w:w="3620" w:type="dxa"/>
            <w:vAlign w:val="bottom"/>
          </w:tcPr>
          <w:p>
            <w:pPr>
              <w:spacing w:after="0"/>
              <w:rPr>
                <w:sz w:val="19"/>
                <w:szCs w:val="19"/>
                <w:color w:val="auto"/>
              </w:rPr>
            </w:pPr>
          </w:p>
        </w:tc>
        <w:tc>
          <w:tcPr>
            <w:tcW w:w="7620" w:type="dxa"/>
            <w:vAlign w:val="bottom"/>
            <w:gridSpan w:val="2"/>
          </w:tcPr>
          <w:p>
            <w:pPr>
              <w:jc w:val="right"/>
              <w:ind w:right="11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
        </w:trPr>
        <w:tc>
          <w:tcPr>
            <w:tcW w:w="362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5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7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52"/>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7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61.89 %</w:t>
            </w:r>
          </w:p>
        </w:tc>
      </w:tr>
      <w:tr>
        <w:trPr>
          <w:trHeight w:val="26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7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3.83 %</w:t>
            </w:r>
          </w:p>
        </w:tc>
      </w:tr>
      <w:tr>
        <w:trPr>
          <w:trHeight w:val="245"/>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yields</w:t>
            </w:r>
          </w:p>
        </w:tc>
        <w:tc>
          <w:tcPr>
            <w:tcW w:w="7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0.00 %</w:t>
            </w:r>
          </w:p>
        </w:tc>
      </w:tr>
      <w:tr>
        <w:trPr>
          <w:trHeight w:val="877"/>
        </w:trPr>
        <w:tc>
          <w:tcPr>
            <w:tcW w:w="3620" w:type="dxa"/>
            <w:vAlign w:val="bottom"/>
          </w:tcPr>
          <w:p>
            <w:pPr>
              <w:spacing w:after="0"/>
              <w:rPr>
                <w:sz w:val="24"/>
                <w:szCs w:val="24"/>
                <w:color w:val="auto"/>
              </w:rPr>
            </w:pPr>
          </w:p>
        </w:tc>
        <w:tc>
          <w:tcPr>
            <w:tcW w:w="4760" w:type="dxa"/>
            <w:vAlign w:val="bottom"/>
          </w:tcPr>
          <w:p>
            <w:pPr>
              <w:jc w:val="right"/>
              <w:ind w:right="2554"/>
              <w:spacing w:after="0"/>
              <w:rPr>
                <w:sz w:val="20"/>
                <w:szCs w:val="20"/>
                <w:color w:val="auto"/>
              </w:rPr>
            </w:pPr>
            <w:r>
              <w:rPr>
                <w:rFonts w:ascii="Times New Roman" w:cs="Times New Roman" w:eastAsia="Times New Roman" w:hAnsi="Times New Roman"/>
                <w:sz w:val="17"/>
                <w:szCs w:val="17"/>
                <w:color w:val="auto"/>
              </w:rPr>
              <w:t>110</w:t>
            </w:r>
          </w:p>
        </w:tc>
        <w:tc>
          <w:tcPr>
            <w:tcW w:w="2860" w:type="dxa"/>
            <w:vAlign w:val="bottom"/>
          </w:tcPr>
          <w:p>
            <w:pPr>
              <w:spacing w:after="0"/>
              <w:rPr>
                <w:sz w:val="24"/>
                <w:szCs w:val="24"/>
                <w:color w:val="auto"/>
              </w:rPr>
            </w:pPr>
          </w:p>
        </w:tc>
      </w:tr>
      <w:tr>
        <w:trPr>
          <w:trHeight w:val="108"/>
        </w:trPr>
        <w:tc>
          <w:tcPr>
            <w:tcW w:w="362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7"/>
          <w:szCs w:val="17"/>
          <w:color w:val="auto"/>
        </w:rPr>
        <w:t>Expected term was derived based on the remaining time from the grant date through the end of the performance period. The volatility of the underlying common stock during the term of the awards was estimated based on the historical stock price volatility of comparable listed companies over a period comparable to the expected term of the awards. Risk-free interest rate was estimated based on the market yield of US Government Bond with maturity close to the expected</w:t>
      </w:r>
    </w:p>
    <w:p>
      <w:pPr>
        <w:spacing w:after="0"/>
        <w:rPr>
          <w:sz w:val="20"/>
          <w:szCs w:val="20"/>
          <w:color w:val="auto"/>
        </w:rPr>
      </w:pPr>
      <w:r>
        <w:rPr>
          <w:rFonts w:ascii="Times New Roman" w:cs="Times New Roman" w:eastAsia="Times New Roman" w:hAnsi="Times New Roman"/>
          <w:sz w:val="17"/>
          <w:szCs w:val="17"/>
          <w:color w:val="auto"/>
        </w:rPr>
        <w:t>term of the awards. The dividend yield was estimated by the Company based on its expected dividend policy over the expected term of the awards.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restricted stock units activity for the year ended December 31, 2025 was as follows:</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43"/>
        </w:trPr>
        <w:tc>
          <w:tcPr>
            <w:tcW w:w="7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6"/>
        </w:trPr>
        <w:tc>
          <w:tcPr>
            <w:tcW w:w="7660" w:type="dxa"/>
            <w:vAlign w:val="bottom"/>
          </w:tcPr>
          <w:p>
            <w:pPr>
              <w:spacing w:after="0"/>
              <w:rPr>
                <w:sz w:val="17"/>
                <w:szCs w:val="17"/>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Average Grant</w:t>
            </w:r>
          </w:p>
        </w:tc>
      </w:tr>
      <w:tr>
        <w:trPr>
          <w:trHeight w:val="206"/>
        </w:trPr>
        <w:tc>
          <w:tcPr>
            <w:tcW w:w="7660" w:type="dxa"/>
            <w:vAlign w:val="bottom"/>
          </w:tcPr>
          <w:p>
            <w:pPr>
              <w:spacing w:after="0"/>
              <w:rPr>
                <w:sz w:val="17"/>
                <w:szCs w:val="17"/>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Non-Vested</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 Fair Value</w:t>
            </w:r>
          </w:p>
        </w:tc>
      </w:tr>
      <w:tr>
        <w:trPr>
          <w:trHeight w:val="227"/>
        </w:trPr>
        <w:tc>
          <w:tcPr>
            <w:tcW w:w="7660" w:type="dxa"/>
            <w:vAlign w:val="bottom"/>
          </w:tcPr>
          <w:p>
            <w:pPr>
              <w:spacing w:after="0"/>
              <w:rPr>
                <w:sz w:val="19"/>
                <w:szCs w:val="19"/>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 Share (US$)</w:t>
            </w:r>
          </w:p>
        </w:tc>
      </w:tr>
      <w:tr>
        <w:trPr>
          <w:trHeight w:val="25"/>
        </w:trPr>
        <w:tc>
          <w:tcPr>
            <w:tcW w:w="76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8"/>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3,423,305</w:t>
            </w:r>
          </w:p>
        </w:tc>
        <w:tc>
          <w:tcPr>
            <w:tcW w:w="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1,948,275</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r>
      <w:tr>
        <w:trPr>
          <w:trHeight w:val="25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(1,452,169)</w:t>
            </w: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3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(190,696)</w:t>
            </w:r>
          </w:p>
        </w:tc>
        <w:tc>
          <w:tcPr>
            <w:tcW w:w="8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69"/>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3,728,715</w:t>
            </w:r>
          </w:p>
        </w:tc>
        <w:tc>
          <w:tcPr>
            <w:tcW w:w="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total unrecognized equity-based compensation costs as of December 31, 2025 related to the non-vested restricted stock units was $3,543.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summarizes the classification of share-based compensation:</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7"/>
        </w:trPr>
        <w:tc>
          <w:tcPr>
            <w:tcW w:w="66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r>
      <w:tr>
        <w:trPr>
          <w:trHeight w:val="238"/>
        </w:trPr>
        <w:tc>
          <w:tcPr>
            <w:tcW w:w="66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6,091</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19,429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43,831</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11,103</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3,946</w:t>
            </w:r>
          </w:p>
        </w:tc>
      </w:tr>
      <w:tr>
        <w:trPr>
          <w:trHeight w:val="24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44"/>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3,098</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30,862</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65,314</w:t>
            </w:r>
          </w:p>
        </w:tc>
      </w:tr>
      <w:tr>
        <w:trPr>
          <w:trHeight w:val="20"/>
        </w:trPr>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21. MAINLAND CHINA CONTRIBUTION PLAN</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Full time employees of the Company in the PRC participate in a government-mandated multi-employer defined contribution plan pursuant to which certain pension benefits, medical care, unemployment insurance, employee housing fund and other welfare benefits are provided to employees. Chinese labor regulations require the Company to accrue for these benefits based on certain percentages of the employees’ salaries. The total provisions for such employee benefits were $5,548, $5,012 and $3,552 for the years ended December 31, 2025, 2024 and 2023,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22. STATUTORY RESERVES AND RESTRICTED NET ASSETS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Relevant PRC statutory laws and regulations permit payments of dividends by the Company’s PRC subsidiaries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Company’s subsidiaries.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Because the Company’s subsidiaries in the PRC can only be paid out of distributable profits reported in accordance with PRC accounting standards, the Company’s entities in the PRC are restricted from transferring a portion of their net assets to the Company. In accordance with the Regulations on Enterprises with Foreign Investment of China and their articles of association, a foreign invested enterprise established in the PRC is required to provide certain statutory reserves, namely general reserve fund, the enterprise expansion fund and staff welfare and bonus fund which are appropriated from net profit as reported in the enterprise’s PRC statutory accounts, which is included in the retained earnings account in the equity section of the consolidated balance sheets. A wholly-owned foreign invested enterprise is required to allocate at least 10% of its annual after-tax profit to the general reserve until such reserve reaches 50% of its respective registered capital based on the enterprise’s PRC statutory accounts. Appropriations to the enterprise expansion fund and staff welfare and bonus fund are at the discretion of the board of directors for all foreign invested enterprises. The aforementioned reserves can only be used for specific purposes and are not distributable as cash dividends. If any PRC subsidiary incurs debt on its own behalf in the future, the instruments governing the debt may restrict their ability to pay dividends or make other payments to the Company. Any limitation on the ability of the PRC subsidiaries to distribute dividends or other payments to their respective shareholders could materially and adversely limit the ability to grow, make investments or acquisitions that could be beneficial to pay dividends.</w:t>
      </w:r>
    </w:p>
    <w:p>
      <w:pPr>
        <w:spacing w:after="0" w:line="18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restricted amounts include the paid-in capital and statutory reserves of the Company’s entities in the PRC. The aggregate amount of paid-in capital and statutory reserves, which is the amount of net assets of the Company’s entities in the PRC (mainland) not available for distribution, were $528,337 and $528,337 as of December 31, 2025 and 2024,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23. SEGMENT INFORMATION</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business includes the design, development, manufacturing, sales and leasing of battery components and systems primarily for electric commercial vehicles and ESS. The Chief Executive Officer (“CEO”), as the CODM, organizes our company for a single operating and reportable segment. The CODM uses geographic revenues and operating income to allocate operating and capital resources and assesses performance of each segment by comparing actual gross profit and actual geographic revenues results to historical results and previously forecasted financial information.</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measure of segment revenue, operating income is reported on the statement of operation as the total consolidated revenue and operating income. The segment assets is reported on the balance sheet as total consolidated assets.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Long-lived assets, classified by major geographic regions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3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Geographic regions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gridSpan w:val="3"/>
          </w:tcPr>
          <w:p>
            <w:pPr>
              <w:jc w:val="right"/>
              <w:ind w:right="1114"/>
              <w:spacing w:after="0"/>
              <w:rPr>
                <w:sz w:val="20"/>
                <w:szCs w:val="20"/>
                <w:color w:val="auto"/>
              </w:rPr>
            </w:pPr>
            <w:r>
              <w:rPr>
                <w:rFonts w:ascii="Times New Roman" w:cs="Times New Roman" w:eastAsia="Times New Roman" w:hAnsi="Times New Roman"/>
                <w:sz w:val="17"/>
                <w:szCs w:val="17"/>
                <w:b w:val="1"/>
                <w:bCs w:val="1"/>
                <w:color w:val="auto"/>
                <w:w w:val="93"/>
              </w:rPr>
              <w:t>2025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gridSpan w:val="3"/>
          </w:tcPr>
          <w:p>
            <w:pPr>
              <w:jc w:val="right"/>
              <w:ind w:right="10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0" w:type="dxa"/>
            <w:vAlign w:val="bottom"/>
          </w:tcPr>
          <w:p>
            <w:pPr>
              <w:spacing w:after="0"/>
              <w:rPr>
                <w:sz w:val="20"/>
                <w:szCs w:val="20"/>
                <w:color w:val="auto"/>
              </w:rPr>
            </w:pPr>
          </w:p>
        </w:tc>
      </w:tr>
      <w:tr>
        <w:trPr>
          <w:trHeight w:val="238"/>
        </w:trPr>
        <w:tc>
          <w:tcPr>
            <w:tcW w:w="4800" w:type="dxa"/>
            <w:vAlign w:val="bottom"/>
            <w:tcBorders>
              <w:top w:val="single" w:sz="8" w:color="auto"/>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top w:val="single" w:sz="8" w:color="auto"/>
              <w:bottom w:val="single" w:sz="8" w:color="auto"/>
            </w:tcBorders>
          </w:tcPr>
          <w:p>
            <w:pPr>
              <w:spacing w:after="0"/>
              <w:rPr>
                <w:sz w:val="20"/>
                <w:szCs w:val="20"/>
                <w:color w:val="auto"/>
              </w:rPr>
            </w:pPr>
          </w:p>
        </w:tc>
      </w:tr>
      <w:tr>
        <w:trPr>
          <w:trHeight w:val="244"/>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PRC</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345,148</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290,512</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2"/>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Asia &amp; Pacific</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345,148</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66 %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290,512</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59 %</w:t>
            </w:r>
          </w:p>
        </w:tc>
      </w:tr>
      <w:tr>
        <w:trPr>
          <w:trHeight w:val="251"/>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Germany</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15,291</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14,846</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4"/>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Europe</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15,311</w:t>
            </w:r>
          </w:p>
        </w:tc>
        <w:tc>
          <w:tcPr>
            <w:tcW w:w="1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14,871</w:t>
            </w:r>
          </w:p>
        </w:tc>
        <w:tc>
          <w:tcPr>
            <w:tcW w:w="1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3 %</w:t>
            </w:r>
          </w:p>
        </w:tc>
      </w:tr>
      <w:tr>
        <w:trPr>
          <w:trHeight w:val="239"/>
        </w:trPr>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United States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159,168</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31 %</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184,177</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38 %</w:t>
            </w:r>
          </w:p>
        </w:tc>
      </w:tr>
      <w:tr>
        <w:trPr>
          <w:trHeight w:val="277"/>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519,627</w:t>
            </w:r>
          </w:p>
        </w:tc>
        <w:tc>
          <w:tcPr>
            <w:tcW w:w="1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489,560</w:t>
            </w:r>
          </w:p>
        </w:tc>
        <w:tc>
          <w:tcPr>
            <w:tcW w:w="1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Revenues, classified by major geographic regions in which the Company's customers are located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gridSpan w:val="3"/>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Geographic regions</w:t>
            </w: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5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4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2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PRC</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138,945</w:t>
            </w:r>
          </w:p>
        </w:tc>
        <w:tc>
          <w:tcPr>
            <w:tcW w:w="1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127,138</w:t>
            </w:r>
          </w:p>
        </w:tc>
        <w:tc>
          <w:tcPr>
            <w:tcW w:w="8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156,480</w:t>
            </w:r>
          </w:p>
        </w:tc>
        <w:tc>
          <w:tcPr>
            <w:tcW w:w="8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India</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34,568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48,767</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60,606</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Asia &amp; Pacific countries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w:t>
            </w:r>
          </w:p>
        </w:tc>
        <w:tc>
          <w:tcPr>
            <w:tcW w:w="8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Asia &amp; Pacific</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176,267</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42 %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177,696</w:t>
            </w:r>
          </w:p>
        </w:tc>
        <w:tc>
          <w:tcPr>
            <w:tcW w:w="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219,133</w:t>
            </w:r>
          </w:p>
        </w:tc>
        <w:tc>
          <w:tcPr>
            <w:tcW w:w="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72 %</w:t>
            </w:r>
          </w:p>
        </w:tc>
        <w:tc>
          <w:tcPr>
            <w:tcW w:w="0" w:type="dxa"/>
            <w:vAlign w:val="bottom"/>
          </w:tcPr>
          <w:p>
            <w:pPr>
              <w:spacing w:after="0"/>
              <w:rPr>
                <w:sz w:val="1"/>
                <w:szCs w:val="1"/>
                <w:color w:val="auto"/>
              </w:rPr>
            </w:pPr>
          </w:p>
        </w:tc>
      </w:tr>
      <w:tr>
        <w:trPr>
          <w:trHeight w:val="251"/>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Italy</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92,941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150,809</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56,592</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France</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78,192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12,764</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7,816</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European countries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40,811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24,145</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19,950</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Europe</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211,944</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49 %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187,718</w:t>
            </w:r>
          </w:p>
        </w:tc>
        <w:tc>
          <w:tcPr>
            <w:tcW w:w="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50 %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84,358</w:t>
            </w:r>
          </w:p>
        </w:tc>
        <w:tc>
          <w:tcPr>
            <w:tcW w:w="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27 %</w:t>
            </w:r>
          </w:p>
        </w:tc>
        <w:tc>
          <w:tcPr>
            <w:tcW w:w="0" w:type="dxa"/>
            <w:vAlign w:val="bottom"/>
          </w:tcPr>
          <w:p>
            <w:pPr>
              <w:spacing w:after="0"/>
              <w:rPr>
                <w:sz w:val="1"/>
                <w:szCs w:val="1"/>
                <w:color w:val="auto"/>
              </w:rPr>
            </w:pPr>
          </w:p>
        </w:tc>
      </w:tr>
      <w:tr>
        <w:trPr>
          <w:trHeight w:val="245"/>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United States</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39,305</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9 %</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14,387</w:t>
            </w:r>
          </w:p>
        </w:tc>
        <w:tc>
          <w:tcPr>
            <w:tcW w:w="80" w:type="dxa"/>
            <w:vAlign w:val="bottom"/>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4 %</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3,126</w:t>
            </w:r>
          </w:p>
        </w:tc>
        <w:tc>
          <w:tcPr>
            <w:tcW w:w="80" w:type="dxa"/>
            <w:vAlign w:val="bottom"/>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1 %</w:t>
            </w:r>
          </w:p>
        </w:tc>
        <w:tc>
          <w:tcPr>
            <w:tcW w:w="0" w:type="dxa"/>
            <w:vAlign w:val="bottom"/>
          </w:tcPr>
          <w:p>
            <w:pPr>
              <w:spacing w:after="0"/>
              <w:rPr>
                <w:sz w:val="1"/>
                <w:szCs w:val="1"/>
                <w:color w:val="auto"/>
              </w:rPr>
            </w:pPr>
          </w:p>
        </w:tc>
      </w:tr>
      <w:tr>
        <w:trPr>
          <w:trHeight w:val="24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427,516</w:t>
            </w:r>
          </w:p>
        </w:tc>
        <w:tc>
          <w:tcPr>
            <w:tcW w:w="100" w:type="dxa"/>
            <w:vAlign w:val="bottom"/>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379,801</w:t>
            </w:r>
          </w:p>
        </w:tc>
        <w:tc>
          <w:tcPr>
            <w:tcW w:w="80" w:type="dxa"/>
            <w:vAlign w:val="bottom"/>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306,617</w:t>
            </w:r>
          </w:p>
        </w:tc>
        <w:tc>
          <w:tcPr>
            <w:tcW w:w="80" w:type="dxa"/>
            <w:vAlign w:val="bottom"/>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24. RELATED PARTY BALANCES AND TRANSACTIONS</w:t>
      </w:r>
    </w:p>
    <w:p>
      <w:pPr>
        <w:spacing w:after="0" w:line="260" w:lineRule="exact"/>
        <w:rPr>
          <w:sz w:val="20"/>
          <w:szCs w:val="20"/>
          <w:color w:val="auto"/>
        </w:rPr>
      </w:pPr>
    </w:p>
    <w:p>
      <w:pPr>
        <w:jc w:val="both"/>
        <w:ind w:firstLine="619"/>
        <w:spacing w:after="0" w:line="318" w:lineRule="auto"/>
        <w:rPr>
          <w:sz w:val="20"/>
          <w:szCs w:val="20"/>
          <w:color w:val="auto"/>
        </w:rPr>
      </w:pPr>
      <w:r>
        <w:rPr>
          <w:rFonts w:ascii="Times New Roman" w:cs="Times New Roman" w:eastAsia="Times New Roman" w:hAnsi="Times New Roman"/>
          <w:sz w:val="17"/>
          <w:szCs w:val="17"/>
          <w:color w:val="auto"/>
        </w:rPr>
        <w:t>The outstanding balance for the amount due to Ochem Chemical Co., Ltd controlled by the Chief Executive Officer was $2 as of December 31, 2025 and $5 as of December 31, 2024, respectively. The Company also has a convertible loan with the Chief Executive Officer as described in Note 25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25. CONVERTIBLE LOAN MEASURED AT FAIR VALUE</w:t>
      </w:r>
    </w:p>
    <w:p>
      <w:pPr>
        <w:spacing w:after="0" w:line="169"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On May 28, 2024, Microvast Inc. entered into a $25,000 convertible loan agreement ("Loan Agreement") with Mr. Yang Wu, the Company’s Chief Executive Officer and Chairman.</w:t>
      </w:r>
    </w:p>
    <w:p>
      <w:pPr>
        <w:spacing w:after="0" w:line="1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loan consists of an initial term loan of $12,000 and a delayed draw term loan of $13,000, bearing an initial interest rate equal to SOFR plus an applicable margin of 9.75% per annum. Of this interest, 3.75% is paid in kind, with the remainder payable in cash. The original maturity date was November 28, 2025, subject to acceleration in the event of default under the terms of the Loan Agreement.</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March 17, 2025, the Company entered into a First Amendment to the Loan Agreement with Mr. Yang Wu to extend the maturity date from November 28, 2025 to May 28, 2026. All other terms and conditions of the Loan Agreement remain unchanged.</w:t>
      </w:r>
    </w:p>
    <w:p>
      <w:pPr>
        <w:spacing w:after="0" w:line="16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The Loan Agreement also grants Mr. Wu the right to convert the outstanding principal balance of the loan into shares of common stock at an initial conversion rate of two shares per $1.00 of principal amount converted.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initial term loan of $12,000 was received in May 2024 and the delayed draw term loan of $13,000 was received in July 2024.</w:t>
      </w:r>
    </w:p>
    <w:p>
      <w:pPr>
        <w:spacing w:after="0" w:line="15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loan is secured by a first priority security interest in substantially all of its assets by Microvast Inc. and all other entities within the Company as guarantors.</w:t>
      </w:r>
    </w:p>
    <w:p>
      <w:pPr>
        <w:spacing w:after="0" w:line="12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Company has elected fair value option to account for the convertible loan. Direct costs and fees related to the convertible loan were expensed as incurred. Subsequent changes in the fair value are recorded as a gain or loss in the consolidated statement of operations. The fair value of the Convertible loan was $140,929 as of December 31, 2025.</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significant input of the discounted cash flow model for the bond component is the discount rate. Below are the key inputs used in Black-Scholes-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Merton model for the conversion option: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9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 price of public stock</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2.80</w:t>
            </w:r>
          </w:p>
        </w:tc>
      </w:tr>
      <w:tr>
        <w:trPr>
          <w:trHeight w:val="232"/>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0.50</w:t>
            </w:r>
          </w:p>
        </w:tc>
      </w:tr>
      <w:tr>
        <w:trPr>
          <w:trHeight w:val="25"/>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8"/>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3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r>
      <w:tr>
        <w:trPr>
          <w:trHeight w:val="232"/>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57.58 %</w:t>
            </w:r>
          </w:p>
        </w:tc>
      </w:tr>
      <w:tr>
        <w:trPr>
          <w:trHeight w:val="25"/>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8"/>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3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3.56 %</w:t>
            </w:r>
          </w:p>
        </w:tc>
      </w:tr>
      <w:tr>
        <w:trPr>
          <w:trHeight w:val="232"/>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rate</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28"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estimated using a blend of the average volatility of peer companies and the Company's historical volatility.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12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In connection with the convertible loan from Mr. Wu, on May 28, 2024, the Company also issued to Mr. Wu a warrant exercisable for 5,500,000 shares of common stock at an initial exercise price of $2.00 per share. The warrant expires on May 28, 2029. No warrants were exercised for the year ended December 31, 2025. The warrants were classified as equity and the Company recorded $779 in additional paid in capital, representing fair value at the issuance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26. NET LOSS PER SHARE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net loss per share for the years indicated: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38"/>
        </w:trPr>
        <w:tc>
          <w:tcPr>
            <w:tcW w:w="468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(29,218)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(195,457)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(106,336)</w:t>
            </w: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basic and diluted</w:t>
            </w: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324,689,242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318,462,843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310,909,379</w:t>
            </w:r>
          </w:p>
        </w:tc>
      </w:tr>
      <w:tr>
        <w:trPr>
          <w:trHeight w:val="25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common share - basic and diluted</w:t>
            </w: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w:t>
            </w:r>
          </w:p>
        </w:tc>
      </w:tr>
      <w:tr>
        <w:trPr>
          <w:trHeight w:val="864"/>
        </w:trPr>
        <w:tc>
          <w:tcPr>
            <w:tcW w:w="4680" w:type="dxa"/>
            <w:vAlign w:val="bottom"/>
          </w:tcPr>
          <w:p>
            <w:pPr>
              <w:spacing w:after="0"/>
              <w:rPr>
                <w:sz w:val="24"/>
                <w:szCs w:val="24"/>
                <w:color w:val="auto"/>
              </w:rPr>
            </w:pPr>
          </w:p>
        </w:tc>
        <w:tc>
          <w:tcPr>
            <w:tcW w:w="194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rPr>
              <w:t>114</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6"/>
        </w:trPr>
        <w:tc>
          <w:tcPr>
            <w:tcW w:w="46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Potentially dilutive securities not included in the diluted net loss per share computations because their effect would have been anti-dilutive were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Pr>
          <w:p>
            <w:pPr>
              <w:spacing w:after="0"/>
              <w:rPr>
                <w:sz w:val="20"/>
                <w:szCs w:val="20"/>
                <w:color w:val="auto"/>
              </w:rPr>
            </w:pPr>
          </w:p>
        </w:tc>
        <w:tc>
          <w:tcPr>
            <w:tcW w:w="3480" w:type="dxa"/>
            <w:vAlign w:val="bottom"/>
            <w:tcBorders>
              <w:bottom w:val="single" w:sz="8" w:color="auto"/>
            </w:tcBorders>
            <w:gridSpan w:val="5"/>
          </w:tcPr>
          <w:p>
            <w:pPr>
              <w:ind w:left="13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38"/>
        </w:trPr>
        <w:tc>
          <w:tcPr>
            <w:tcW w:w="66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issuable upon exercise of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3,010,685</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31,767,047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35,572,123</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issuable upon vesting of non-vested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3,764,743</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2,662,282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3,623,777</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issuable upon exercise of capped non-vested shares</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3,733,136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10,393,732</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issuable upon exercise of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5,500,000</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31,697,929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28,437,000</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issuable upon vesting of earn-out shares</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11,202,179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19,999,988</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issuable that may be subject to cancellation</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1,687,500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1,687,500</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issuable upon convert of convertible loan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51,693,316</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25,803,279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27. COMMITMENTS AND 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Litigation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Corporate Governance Actions</w:t>
      </w:r>
    </w:p>
    <w:p>
      <w:pPr>
        <w:spacing w:after="0" w:line="157"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 xml:space="preserve">Stephen Vogel, Ruth Epstein, Stefan Selig, Richard Rieger, Amy Butte, Yang Wu and Yanzhuan Zheng have been named as defendants in litigation filed in the Court of Chancery captioned </w:t>
      </w:r>
      <w:r>
        <w:rPr>
          <w:rFonts w:ascii="Times New Roman" w:cs="Times New Roman" w:eastAsia="Times New Roman" w:hAnsi="Times New Roman"/>
          <w:sz w:val="17"/>
          <w:szCs w:val="17"/>
          <w:i w:val="1"/>
          <w:iCs w:val="1"/>
          <w:color w:val="auto"/>
        </w:rPr>
        <w:t>Matt Jacob v. Stephen A. Vogel, et al., C.A. No. 2022-0600-PAF (</w:t>
      </w:r>
      <w:r>
        <w:rPr>
          <w:rFonts w:ascii="Times New Roman" w:cs="Times New Roman" w:eastAsia="Times New Roman" w:hAnsi="Times New Roman"/>
          <w:sz w:val="17"/>
          <w:szCs w:val="17"/>
          <w:color w:val="auto"/>
        </w:rPr>
        <w:t>Del. Ch.) (filed July 07, 2022). The plaintiff is seeking to certify the litigation as a stockholder class action. The complaint alleges that Stephen Vogel, Ruth Epstein, Stefan Selig, Richard Rieger and Amy Butte breached their fiduciary duties in connection with Tuscan's acquisition of Microvast, Inc., including by making inadequate disclosures concerning the projected earnings of Microvast, Inc. The complaint further alleges that once the earnings of the combined company became public, the Company's stock dropped, causing losses to investors. The complaint also alleges that Yang Wu and Yanzhuan Zheng aided and abetted these purported breaches. Certain defendants have answered the complaint, and certain defendants have filed motions to dismiss, which they argued on April 07, 2025. On July 08, 2025, the Court requested supplemental briefing from the parties regarding the impact of a newly issued Delaware Supreme Court opinion on the plaintiff's aiding-and-abetting claim against Messrs. Wu and Zheng. The supplemental briefing was completed on September 09, 2025. The Court has not yet decided those motions.</w:t>
      </w:r>
    </w:p>
    <w:p>
      <w:pPr>
        <w:spacing w:after="0" w:line="130"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 xml:space="preserve">On December 13, 2023, in response to a stockholder litigation demand, the Company filed a petition in the Court of Chancery pursuant to Section 205 of the Delaware General Corporation Law seeking validation of an amendment to the Company’s Amended Certificate of Incorporation, the Business Combination and the issuance of the shares issued pursuant thereto, and the Company’s Second Amended and Restated Certificate of Incorporation adopted in connection with the Business Combination (collectively, the “Acts”) to resolve any uncertainty with respect to those matters, which action was captioned </w:t>
      </w:r>
      <w:r>
        <w:rPr>
          <w:rFonts w:ascii="Times New Roman" w:cs="Times New Roman" w:eastAsia="Times New Roman" w:hAnsi="Times New Roman"/>
          <w:sz w:val="17"/>
          <w:szCs w:val="17"/>
          <w:i w:val="1"/>
          <w:iCs w:val="1"/>
          <w:color w:val="auto"/>
        </w:rPr>
        <w:t>In re Microvast Holdings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w:t>
      </w:r>
      <w:r>
        <w:rPr>
          <w:rFonts w:ascii="Times New Roman" w:cs="Times New Roman" w:eastAsia="Times New Roman" w:hAnsi="Times New Roman"/>
          <w:sz w:val="17"/>
          <w:szCs w:val="17"/>
          <w:color w:val="auto"/>
        </w:rPr>
        <w:t>., C.A. No. 2023-1245-PAF. On March 18, 2024, the Court of Chancery granted the petition, validating and declaring effective each Act as of the time and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Act was originally taken.</w:t>
      </w:r>
    </w:p>
    <w:p>
      <w:pPr>
        <w:spacing w:after="0" w:line="124"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 xml:space="preserve">The Company, the directors of the Company predecessor, Tuscan, and certain former and current Company officers and directors have also been named as defendants in litigation filed in the Court of Chancery captioned </w:t>
      </w:r>
      <w:r>
        <w:rPr>
          <w:rFonts w:ascii="Times New Roman" w:cs="Times New Roman" w:eastAsia="Times New Roman" w:hAnsi="Times New Roman"/>
          <w:sz w:val="17"/>
          <w:szCs w:val="17"/>
          <w:i w:val="1"/>
          <w:iCs w:val="1"/>
          <w:color w:val="auto"/>
        </w:rPr>
        <w:t>Denish Bhavsar v. Stephen Vogel, et al.</w:t>
      </w:r>
      <w:r>
        <w:rPr>
          <w:rFonts w:ascii="Times New Roman" w:cs="Times New Roman" w:eastAsia="Times New Roman" w:hAnsi="Times New Roman"/>
          <w:sz w:val="17"/>
          <w:szCs w:val="17"/>
          <w:color w:val="auto"/>
        </w:rPr>
        <w:t>, Case No. 2024-0137-PAF (Del. Ch.) (filed Feb. 14, 2024). The plaintiff purports to assert derivative claims on behalf of the Company. The complaint alleges that the individual defendants breached their fiduciary duties in connection with Tuscan’s acquisition of Microvast, Inc., including by making inadequate disclosures concerning Microvast, Inc.’s earnings and alleged conflicts of interest that existed between certain directors and Company stockholders. Certain defendants filed motions to dismiss, and a hearing on those motions is scheduled for April 1, 2026.</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 xml:space="preserve">The Company, and certain former and current Company officers and directors have also been named as defendants in a litigation filed in the Court of Chancery captioned </w:t>
      </w:r>
      <w:r>
        <w:rPr>
          <w:rFonts w:ascii="Times New Roman" w:cs="Times New Roman" w:eastAsia="Times New Roman" w:hAnsi="Times New Roman"/>
          <w:sz w:val="17"/>
          <w:szCs w:val="17"/>
          <w:i w:val="1"/>
          <w:iCs w:val="1"/>
          <w:color w:val="auto"/>
        </w:rPr>
        <w:t>Henry Park v. Yang Wu, et al.</w:t>
      </w:r>
      <w:r>
        <w:rPr>
          <w:rFonts w:ascii="Times New Roman" w:cs="Times New Roman" w:eastAsia="Times New Roman" w:hAnsi="Times New Roman"/>
          <w:sz w:val="17"/>
          <w:szCs w:val="17"/>
          <w:color w:val="auto"/>
        </w:rPr>
        <w:t>, C.A. No. 2024-0868-PAF (Del. Ch.) (filed August 19, 2024). The plaintiff purports to assert derivative claims on behalf of the Company. The complaint alleges that certain individual defendants breached their fiduciary duties in connection with Tuscan’s acquisition of Microvast, Inc., including by making inadequate disclosures concerning Microvast, Inc.’s earnings and by refusing to investigate a litigation demand. On October 14, 2024, the Company and other defendants filed a motion to dismiss. That motion has been fully briefed and a hearing is scheduled for April 20, 2026.</w:t>
      </w:r>
    </w:p>
    <w:p>
      <w:pPr>
        <w:spacing w:after="0" w:line="175"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 xml:space="preserve">The Company has received additional demands from purported Company stockholders, requesting that the Company’s Board of Directors investigate whether current and former directors and officers of the Company and its predecessors, Tuscan and Microvast Inc., breached their fiduciary duties by allegedly making material misrepresentations about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xml:space="preserve"> (1) Microvast Inc.’s performance and financial health in connection with the merger between Tuscan and Microvast, Inc., and (2) the Company’s loss of a conditional grant from the United States Department of Energy. The Company has responded to the demands. The Company has also received and responded to stockholder demands for books and records made pursuant to Section 220 of the Delaware General Corporation Law that purportedly seek to investigate the (i) loss of the DOE grant, and (ii) Company's bases for denying one of the referenced stockholder demands.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Securities Litigation</w:t>
      </w:r>
    </w:p>
    <w:p>
      <w:pPr>
        <w:spacing w:after="0" w:line="247"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 xml:space="preserve">The Company and certain of its officers have also been named as defendants in a putative class action complaint by a stockholder of the Company in the U.S. District Court for the Southern District of Texas under the caption </w:t>
      </w:r>
      <w:r>
        <w:rPr>
          <w:rFonts w:ascii="Times New Roman" w:cs="Times New Roman" w:eastAsia="Times New Roman" w:hAnsi="Times New Roman"/>
          <w:sz w:val="17"/>
          <w:szCs w:val="17"/>
          <w:i w:val="1"/>
          <w:iCs w:val="1"/>
          <w:color w:val="auto"/>
        </w:rPr>
        <w:t>Schelling v. Microvast Holdings, Inc.,</w:t>
      </w:r>
      <w:r>
        <w:rPr>
          <w:rFonts w:ascii="Times New Roman" w:cs="Times New Roman" w:eastAsia="Times New Roman" w:hAnsi="Times New Roman"/>
          <w:sz w:val="17"/>
          <w:szCs w:val="17"/>
          <w:color w:val="auto"/>
        </w:rPr>
        <w:t xml:space="preserve"> Case No. 4:23-cv-04565 (S.D. Tex.) (filed Dec. 5, 2023) (the “Schelling Action”). The complaint alleges that defendants violated certain federal securities laws by making misleading statements regarding the receipt of a conditional grant from the United States Department of Energy, the Company’s profitability, the nature of Company-associated operations in China, and the status and progress of the construction of a facility owned by the Company. On March 1, 2024, the court appointed Co-Lead Plaintiffs and Co-Lead Counsel for the proposed class of Company investors. Plaintiffs amended their complaint on May 13, 2024, and Defendants filed a motion to dismiss on June 20, 2024. On August 22, 2025, the Court granted in part and denied in part the motion to dismiss. Defendants filed their Answer on October 14, 2025. The lawsuit is currently in the discovery phase. Briefing on the class certification is scheduled to take place from June to October 2026, and briefing on dispositive motions from April to July 2027. The case has not yet been set for trial.</w:t>
      </w:r>
    </w:p>
    <w:p>
      <w:pPr>
        <w:spacing w:after="0" w:line="188"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 xml:space="preserve">The Company and certain of its officers and directors have also been named as defendants in three derivative actions filed in the Southern District of Texas under the captions </w:t>
      </w:r>
      <w:r>
        <w:rPr>
          <w:rFonts w:ascii="Times New Roman" w:cs="Times New Roman" w:eastAsia="Times New Roman" w:hAnsi="Times New Roman"/>
          <w:sz w:val="17"/>
          <w:szCs w:val="17"/>
          <w:i w:val="1"/>
          <w:iCs w:val="1"/>
          <w:color w:val="auto"/>
        </w:rPr>
        <w:t>Bhavsar v. Wu et al.</w:t>
      </w:r>
      <w:r>
        <w:rPr>
          <w:rFonts w:ascii="Times New Roman" w:cs="Times New Roman" w:eastAsia="Times New Roman" w:hAnsi="Times New Roman"/>
          <w:sz w:val="17"/>
          <w:szCs w:val="17"/>
          <w:color w:val="auto"/>
        </w:rPr>
        <w:t xml:space="preserve">, No. 4:24-cv-00372 (S.D. Tex.) (filed Jan. 31, 2024), </w:t>
      </w:r>
      <w:r>
        <w:rPr>
          <w:rFonts w:ascii="Times New Roman" w:cs="Times New Roman" w:eastAsia="Times New Roman" w:hAnsi="Times New Roman"/>
          <w:sz w:val="17"/>
          <w:szCs w:val="17"/>
          <w:i w:val="1"/>
          <w:iCs w:val="1"/>
          <w:color w:val="auto"/>
        </w:rPr>
        <w:t>Marti et al v. Wu et al</w:t>
      </w:r>
      <w:r>
        <w:rPr>
          <w:rFonts w:ascii="Times New Roman" w:cs="Times New Roman" w:eastAsia="Times New Roman" w:hAnsi="Times New Roman"/>
          <w:sz w:val="17"/>
          <w:szCs w:val="17"/>
          <w:color w:val="auto"/>
        </w:rPr>
        <w:t xml:space="preserve">, Case No. 4:24-cv-00633 (S.D. Tex.) (filed Feb. 23, 2024), </w:t>
      </w:r>
      <w:r>
        <w:rPr>
          <w:rFonts w:ascii="Times New Roman" w:cs="Times New Roman" w:eastAsia="Times New Roman" w:hAnsi="Times New Roman"/>
          <w:sz w:val="17"/>
          <w:szCs w:val="17"/>
          <w:i w:val="1"/>
          <w:iCs w:val="1"/>
          <w:color w:val="auto"/>
        </w:rPr>
        <w:t>Gidaro v. Wu et al</w:t>
      </w:r>
      <w:r>
        <w:rPr>
          <w:rFonts w:ascii="Times New Roman" w:cs="Times New Roman" w:eastAsia="Times New Roman" w:hAnsi="Times New Roman"/>
          <w:sz w:val="17"/>
          <w:szCs w:val="17"/>
          <w:color w:val="auto"/>
        </w:rPr>
        <w:t xml:space="preserve">, Case No. 4:24-cv-00828 (S.D. Tex.) (filed Mar. 6, 2024). The complaints allege that the officer and director defendants violated the federal securities laws by making inadequate disclosures substantially similar to those alleged in the </w:t>
      </w:r>
      <w:r>
        <w:rPr>
          <w:rFonts w:ascii="Times New Roman" w:cs="Times New Roman" w:eastAsia="Times New Roman" w:hAnsi="Times New Roman"/>
          <w:sz w:val="17"/>
          <w:szCs w:val="17"/>
          <w:i w:val="1"/>
          <w:iCs w:val="1"/>
          <w:color w:val="auto"/>
        </w:rPr>
        <w:t>Schelling</w:t>
      </w:r>
      <w:r>
        <w:rPr>
          <w:rFonts w:ascii="Times New Roman" w:cs="Times New Roman" w:eastAsia="Times New Roman" w:hAnsi="Times New Roman"/>
          <w:sz w:val="17"/>
          <w:szCs w:val="17"/>
          <w:color w:val="auto"/>
        </w:rPr>
        <w:t xml:space="preserve"> Action. The complaints further allege that these inadequate disclosures resulted from, and constituted, breaches of the officer and director defendants’ fiduciary duties. On February 24, 2024, the court entered in an order in the first-filed case, </w:t>
      </w:r>
      <w:r>
        <w:rPr>
          <w:rFonts w:ascii="Times New Roman" w:cs="Times New Roman" w:eastAsia="Times New Roman" w:hAnsi="Times New Roman"/>
          <w:sz w:val="17"/>
          <w:szCs w:val="17"/>
          <w:i w:val="1"/>
          <w:iCs w:val="1"/>
          <w:color w:val="auto"/>
        </w:rPr>
        <w:t>Bhavsar v. Wu</w:t>
      </w:r>
      <w:r>
        <w:rPr>
          <w:rFonts w:ascii="Times New Roman" w:cs="Times New Roman" w:eastAsia="Times New Roman" w:hAnsi="Times New Roman"/>
          <w:sz w:val="17"/>
          <w:szCs w:val="17"/>
          <w:color w:val="auto"/>
        </w:rPr>
        <w:t xml:space="preserve"> et al., No. 4:24-cv-00372, consolidating the </w:t>
      </w:r>
      <w:r>
        <w:rPr>
          <w:rFonts w:ascii="Times New Roman" w:cs="Times New Roman" w:eastAsia="Times New Roman" w:hAnsi="Times New Roman"/>
          <w:sz w:val="17"/>
          <w:szCs w:val="17"/>
          <w:i w:val="1"/>
          <w:iCs w:val="1"/>
          <w:color w:val="auto"/>
        </w:rPr>
        <w:t>Bhavsar</w:t>
      </w:r>
      <w:r>
        <w:rPr>
          <w:rFonts w:ascii="Times New Roman" w:cs="Times New Roman" w:eastAsia="Times New Roman" w:hAnsi="Times New Roman"/>
          <w:sz w:val="17"/>
          <w:szCs w:val="17"/>
          <w:color w:val="auto"/>
        </w:rPr>
        <w:t xml:space="preserve"> case and </w:t>
      </w:r>
      <w:r>
        <w:rPr>
          <w:rFonts w:ascii="Times New Roman" w:cs="Times New Roman" w:eastAsia="Times New Roman" w:hAnsi="Times New Roman"/>
          <w:sz w:val="17"/>
          <w:szCs w:val="17"/>
          <w:i w:val="1"/>
          <w:iCs w:val="1"/>
          <w:color w:val="auto"/>
        </w:rPr>
        <w:t>Marti et al v. Wu et al</w:t>
      </w:r>
      <w:r>
        <w:rPr>
          <w:rFonts w:ascii="Times New Roman" w:cs="Times New Roman" w:eastAsia="Times New Roman" w:hAnsi="Times New Roman"/>
          <w:sz w:val="17"/>
          <w:szCs w:val="17"/>
          <w:color w:val="auto"/>
        </w:rPr>
        <w:t xml:space="preserve">, Case No. 4:24-cv-00633. The consolidated derivative litigation (the “Consolidated Derivative Action”) is captioned </w:t>
      </w:r>
      <w:r>
        <w:rPr>
          <w:rFonts w:ascii="Times New Roman" w:cs="Times New Roman" w:eastAsia="Times New Roman" w:hAnsi="Times New Roman"/>
          <w:sz w:val="17"/>
          <w:szCs w:val="17"/>
          <w:i w:val="1"/>
          <w:iCs w:val="1"/>
          <w:color w:val="auto"/>
        </w:rPr>
        <w:t>In re Microvast Holdings, Inc. Derivative Litigation</w:t>
      </w:r>
      <w:r>
        <w:rPr>
          <w:rFonts w:ascii="Times New Roman" w:cs="Times New Roman" w:eastAsia="Times New Roman" w:hAnsi="Times New Roman"/>
          <w:sz w:val="17"/>
          <w:szCs w:val="17"/>
          <w:color w:val="auto"/>
        </w:rPr>
        <w:t xml:space="preserve">, Lead Case No. 4:24-cv-00372 (S.D. Tex.). The parties in the </w:t>
      </w:r>
      <w:r>
        <w:rPr>
          <w:rFonts w:ascii="Times New Roman" w:cs="Times New Roman" w:eastAsia="Times New Roman" w:hAnsi="Times New Roman"/>
          <w:sz w:val="17"/>
          <w:szCs w:val="17"/>
          <w:i w:val="1"/>
          <w:iCs w:val="1"/>
          <w:color w:val="auto"/>
        </w:rPr>
        <w:t>Gidardo</w:t>
      </w:r>
      <w:r>
        <w:rPr>
          <w:rFonts w:ascii="Times New Roman" w:cs="Times New Roman" w:eastAsia="Times New Roman" w:hAnsi="Times New Roman"/>
          <w:sz w:val="17"/>
          <w:szCs w:val="17"/>
          <w:color w:val="auto"/>
        </w:rPr>
        <w:t xml:space="preserve"> action filed a stipulation to consolidate the </w:t>
      </w:r>
      <w:r>
        <w:rPr>
          <w:rFonts w:ascii="Times New Roman" w:cs="Times New Roman" w:eastAsia="Times New Roman" w:hAnsi="Times New Roman"/>
          <w:sz w:val="17"/>
          <w:szCs w:val="17"/>
          <w:i w:val="1"/>
          <w:iCs w:val="1"/>
          <w:color w:val="auto"/>
        </w:rPr>
        <w:t>Gidaro</w:t>
      </w:r>
      <w:r>
        <w:rPr>
          <w:rFonts w:ascii="Times New Roman" w:cs="Times New Roman" w:eastAsia="Times New Roman" w:hAnsi="Times New Roman"/>
          <w:sz w:val="17"/>
          <w:szCs w:val="17"/>
          <w:color w:val="auto"/>
        </w:rPr>
        <w:t xml:space="preserve"> case into the Consolidated Derivative Action. The Consolidated Derivative Action is currently stayed. The allegations in the Consolidated Derivative Action are substantially similar to the allegations raised in the Securities Class Action. On March 18, 2024, the parties in the Derivative Action filed a joint motion to stay the proceedings pending a ruling in the Securities Class Action on the anticipated motion to dismiss. The Court granted the motion to stay on March 24, 2024. As of March 9, 2026, the stay remains in effect.</w:t>
      </w:r>
    </w:p>
    <w:p>
      <w:pPr>
        <w:spacing w:after="0" w:line="20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 xml:space="preserve">A fourth derivative complaint was filed on November 19, 2025 in the United States Court (S.D. Tex) under the caption </w:t>
      </w:r>
      <w:r>
        <w:rPr>
          <w:rFonts w:ascii="Times New Roman" w:cs="Times New Roman" w:eastAsia="Times New Roman" w:hAnsi="Times New Roman"/>
          <w:sz w:val="17"/>
          <w:szCs w:val="17"/>
          <w:i w:val="1"/>
          <w:iCs w:val="1"/>
          <w:color w:val="auto"/>
        </w:rPr>
        <w:t>Richard Swenson and Lori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Swenson v. Yang Wu, et al.</w:t>
      </w:r>
      <w:r>
        <w:rPr>
          <w:rFonts w:ascii="Times New Roman" w:cs="Times New Roman" w:eastAsia="Times New Roman" w:hAnsi="Times New Roman"/>
          <w:sz w:val="17"/>
          <w:szCs w:val="17"/>
          <w:color w:val="auto"/>
        </w:rPr>
        <w:t>, No. 4:25-cv-05561. Following entry of a stipulation to consolidate the</w:t>
      </w:r>
      <w:r>
        <w:rPr>
          <w:rFonts w:ascii="Times New Roman" w:cs="Times New Roman" w:eastAsia="Times New Roman" w:hAnsi="Times New Roman"/>
          <w:sz w:val="17"/>
          <w:szCs w:val="17"/>
          <w:i w:val="1"/>
          <w:iCs w:val="1"/>
          <w:color w:val="auto"/>
        </w:rPr>
        <w:t xml:space="preserve"> Swenson </w:t>
      </w:r>
      <w:r>
        <w:rPr>
          <w:rFonts w:ascii="Times New Roman" w:cs="Times New Roman" w:eastAsia="Times New Roman" w:hAnsi="Times New Roman"/>
          <w:sz w:val="17"/>
          <w:szCs w:val="17"/>
          <w:color w:val="auto"/>
        </w:rPr>
        <w:t>action with already-pending cases, the</w:t>
      </w:r>
      <w:r>
        <w:rPr>
          <w:rFonts w:ascii="Times New Roman" w:cs="Times New Roman" w:eastAsia="Times New Roman" w:hAnsi="Times New Roman"/>
          <w:sz w:val="17"/>
          <w:szCs w:val="17"/>
          <w:i w:val="1"/>
          <w:iCs w:val="1"/>
          <w:color w:val="auto"/>
        </w:rPr>
        <w:t xml:space="preserve"> Swenson </w:t>
      </w:r>
      <w:r>
        <w:rPr>
          <w:rFonts w:ascii="Times New Roman" w:cs="Times New Roman" w:eastAsia="Times New Roman" w:hAnsi="Times New Roman"/>
          <w:sz w:val="17"/>
          <w:szCs w:val="17"/>
          <w:color w:val="auto"/>
        </w:rPr>
        <w:t>case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voluntarily dismissed on January 27, 2026.</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Pursuant to the Company's governing documents and indemnification agreements entered into by the Company with certain of the named defendants, in the above-described actions, the Company has indemnified those defendants for expenses and losses related to the litigation subject to the terms of those indemnification agreements. While the lawsuits are being vigorously defended, other reported lawsuits of this type have resulted in a broad range of outcomes, with each case being dependent on its own unique set of facts and circumstances. Litigation of this kind can lead to settlement negotiations, including negotiations prompted by pre-trial civil court procedures. The outcome of any litigation is inherently uncertain, and there is always the possibility that a court rules in a manner that is adverse to the interests of the Company and the individual defendants. However, the amount of any such loss in that scenario, which could be material, cannot be reasonably estimated at this time.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182"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 xml:space="preserve">Deidra Milan is an ex-employee of Microvast, and is the putative representative of a class of more than 100 individual employees who were let go from their jobs at a plant in Clarksville, Tennessee. She has filed </w:t>
      </w:r>
      <w:r>
        <w:rPr>
          <w:rFonts w:ascii="Times New Roman" w:cs="Times New Roman" w:eastAsia="Times New Roman" w:hAnsi="Times New Roman"/>
          <w:sz w:val="17"/>
          <w:szCs w:val="17"/>
          <w:i w:val="1"/>
          <w:iCs w:val="1"/>
          <w:color w:val="auto"/>
        </w:rPr>
        <w:t>Civil Action No. 3:24-cv-00627, Deidre Milan, Plaintiff v. Microvast, Inc. and Microvast Holdings, Inc</w:t>
      </w:r>
      <w:r>
        <w:rPr>
          <w:rFonts w:ascii="Times New Roman" w:cs="Times New Roman" w:eastAsia="Times New Roman" w:hAnsi="Times New Roman"/>
          <w:sz w:val="17"/>
          <w:szCs w:val="17"/>
          <w:color w:val="auto"/>
        </w:rPr>
        <w:t>. in the US District Court for the Middle District of Tennessee. The Company filed an answer to the suit on July 19, 2024. The class action complaint is brought under the Worker Adjustment and Notification Act, 29 U.S.C. §§2101-2109 (the “WARN Act”), which requires advance notice before certain types of plant closings and mass layoffs. Plaintiff alleges that Defendants failed to give proper advance notice of a mass layoff in violation of the WARN Act. Plaintiffs sought backpay, medical expenses, attorney’s fees and statutory penalties in an unspecified amount. Class counsel and the Company have agreed on the terms of a class action settlement agreement subject to court approval. The Court has granted preliminary court approval of the class action settlement. Potential class members will now receive notice of the settlement and an opportunity to object to the settlement terms or opt out of the settlement. The court will then need to rule on any objections and finally approve the settlement for all class members who do not opt out of the class settlement.</w:t>
      </w:r>
    </w:p>
    <w:p>
      <w:pPr>
        <w:spacing w:after="0" w:line="154"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 xml:space="preserve">Microvast, Inc., a subsidiary of the Company, was named as a defendant in a contract dispute litigation filed in Montgomery County Chancery Court for the State of Tennessee under the caption </w:t>
      </w:r>
      <w:r>
        <w:rPr>
          <w:rFonts w:ascii="Times New Roman" w:cs="Times New Roman" w:eastAsia="Times New Roman" w:hAnsi="Times New Roman"/>
          <w:sz w:val="17"/>
          <w:szCs w:val="17"/>
          <w:i w:val="1"/>
          <w:iCs w:val="1"/>
          <w:color w:val="auto"/>
        </w:rPr>
        <w:t>DPR Construction, GP vs.</w:t>
      </w:r>
      <w:r>
        <w:rPr>
          <w:rFonts w:ascii="Times New Roman" w:cs="Times New Roman" w:eastAsia="Times New Roman" w:hAnsi="Times New Roman"/>
          <w:sz w:val="17"/>
          <w:szCs w:val="17"/>
          <w:color w:val="auto"/>
        </w:rPr>
        <w:t xml:space="preserve"> Microvast, </w:t>
      </w:r>
      <w:r>
        <w:rPr>
          <w:rFonts w:ascii="Times New Roman" w:cs="Times New Roman" w:eastAsia="Times New Roman" w:hAnsi="Times New Roman"/>
          <w:sz w:val="17"/>
          <w:szCs w:val="17"/>
          <w:i w:val="1"/>
          <w:iCs w:val="1"/>
          <w:color w:val="auto"/>
        </w:rPr>
        <w:t>Inc., et al</w:t>
      </w:r>
      <w:r>
        <w:rPr>
          <w:rFonts w:ascii="Times New Roman" w:cs="Times New Roman" w:eastAsia="Times New Roman" w:hAnsi="Times New Roman"/>
          <w:sz w:val="17"/>
          <w:szCs w:val="17"/>
          <w:color w:val="auto"/>
        </w:rPr>
        <w:t>, Case No. CD-24-31 (Tenn. Ch.) (filed June 20, 2024). The Plaintiff alleged that the Company failed to pay it for construction work that is performed on a Microvast facility in Tennessee, and sought damages of $19,950 in progress billings, the additional sum of $1,566 being held as retainage on Plaintiff's progress billings under the contract, lost profits on the work yet to be performed under the contract plus certain fees and expenses, and foreclosure on the facility to satisfy the payment allegedly owed. The parties entered into a settlement agreement and on November 11, 2024, and an agreed order of dismissal was filed on February 09, 2026.</w:t>
      </w:r>
    </w:p>
    <w:p>
      <w:pPr>
        <w:spacing w:after="0" w:line="161"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 xml:space="preserve">Microvast, Inc. was named as a defendant in a contract dispute litigation filed in Montgomery County Chancery Court for the State of Tennessee under the caption </w:t>
      </w:r>
      <w:r>
        <w:rPr>
          <w:rFonts w:ascii="Times New Roman" w:cs="Times New Roman" w:eastAsia="Times New Roman" w:hAnsi="Times New Roman"/>
          <w:sz w:val="17"/>
          <w:szCs w:val="17"/>
          <w:i w:val="1"/>
          <w:iCs w:val="1"/>
          <w:color w:val="auto"/>
        </w:rPr>
        <w:t>Faith Technologies, Inc. Microvast, Inc. et al.</w:t>
      </w:r>
      <w:r>
        <w:rPr>
          <w:rFonts w:ascii="Times New Roman" w:cs="Times New Roman" w:eastAsia="Times New Roman" w:hAnsi="Times New Roman"/>
          <w:sz w:val="17"/>
          <w:szCs w:val="17"/>
          <w:color w:val="auto"/>
        </w:rPr>
        <w:t>, Case No. CD-24-36 (Tenn. Ch.) (filed on July 15, 2024). Plaintiff asserts claims for damages related to its subcontract with DPR Construction, GP under which Plaintiff provided fire protection system services on a Microvast facility in Tennessee, and seeks damages of $1,699 plus cost of court and attorneys and prejudgment interest. The Parties entered into a settlement agreement and this matter has been stayed by order of the court. The court entered the order dismissing the case with prejudice on March 04, 2026.</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 xml:space="preserve">Microvast, Inc. was named as a defendant in an action filed in Montgomery County Chancery Court for the State of Tennessee under the caption </w:t>
      </w:r>
      <w:r>
        <w:rPr>
          <w:rFonts w:ascii="Times New Roman" w:cs="Times New Roman" w:eastAsia="Times New Roman" w:hAnsi="Times New Roman"/>
          <w:sz w:val="17"/>
          <w:szCs w:val="17"/>
          <w:i w:val="1"/>
          <w:iCs w:val="1"/>
          <w:color w:val="auto"/>
        </w:rPr>
        <w:t>Bernhard MCC, LLC. vs. U.S. Engineering Innovations, LLC, DPR Construction, Microvast, Inc. and the Industrial Development Board of the County of Montgomery, C</w:t>
      </w:r>
      <w:r>
        <w:rPr>
          <w:rFonts w:ascii="Times New Roman" w:cs="Times New Roman" w:eastAsia="Times New Roman" w:hAnsi="Times New Roman"/>
          <w:sz w:val="17"/>
          <w:szCs w:val="17"/>
          <w:color w:val="auto"/>
        </w:rPr>
        <w:t>ase No. CD-24-27 (Tenn. Ch.) (filed on May 28, 2024 ) brought by a subcontractor on the Microvast Facility in Tennessee for lien enforcement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$5,681. The Parties entered into a settlement agreement and this matter has been stayed by order of the court on November 11, 2024. The court entered the ordered dismissing the case with prejudice on March 12, 2026.</w:t>
      </w:r>
    </w:p>
    <w:p>
      <w:pPr>
        <w:spacing w:after="0" w:line="17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 xml:space="preserve">Microvast, Inc. was named as a defendant in an action filed in Montgomery County Chancery Court for the State of Tennessee under the caption </w:t>
      </w:r>
      <w:r>
        <w:rPr>
          <w:rFonts w:ascii="Times New Roman" w:cs="Times New Roman" w:eastAsia="Times New Roman" w:hAnsi="Times New Roman"/>
          <w:sz w:val="17"/>
          <w:szCs w:val="17"/>
          <w:i w:val="1"/>
          <w:iCs w:val="1"/>
          <w:color w:val="auto"/>
        </w:rPr>
        <w:t>Virginia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Transformer Corp. v. Microvast, Inc.and the Industrial Development Board of the County of Montgomery, Tennessee, </w:t>
      </w:r>
      <w:r>
        <w:rPr>
          <w:rFonts w:ascii="Times New Roman" w:cs="Times New Roman" w:eastAsia="Times New Roman" w:hAnsi="Times New Roman"/>
          <w:sz w:val="17"/>
          <w:szCs w:val="17"/>
          <w:color w:val="auto"/>
        </w:rPr>
        <w:t>Case No. RE-24-32 (Tenn. Ch.) (filed on July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01, 2024) brought by a prime contractor on the Microvast Facility in Tennessee for lien enforcement of $1,769. The Parties entered into a settlement agreement, but after the defendant made one settlement payment and a dispute arose when a third party hacked plaintiff's email system and directed defendant to wire settlement payments to a fictitious bank account. Plaintiff amended its complaint to add a claim for breach of the settlement agreement, and defendant amended its answer to assert a counterclaim for plaintiff's breach of the settlement agreement. Defendant also filed a motion to compel arbitration of the entire matter based on an arbitration provision in the parties' underlying contract, which the trial court denied. Defendant has appealed the trial court's order denying arbitration, resulting in a stay of the trial court proceedings pending the appeal. Briefing has not yet begun on the appeal.</w:t>
      </w:r>
    </w:p>
    <w:p>
      <w:pPr>
        <w:spacing w:after="0" w:line="17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 xml:space="preserve">Microvast, Inc. has initiated lawsuit as a plaintiff in an action filed in the 11th Judicial District Court, Harris County, Texas under the caption </w:t>
      </w:r>
      <w:r>
        <w:rPr>
          <w:rFonts w:ascii="Times New Roman" w:cs="Times New Roman" w:eastAsia="Times New Roman" w:hAnsi="Times New Roman"/>
          <w:sz w:val="17"/>
          <w:szCs w:val="17"/>
          <w:i w:val="1"/>
          <w:iCs w:val="1"/>
          <w:color w:val="auto"/>
        </w:rPr>
        <w:t>Microvast,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 v. Grupo Basan Barba Santana, S.A. De C.V., Cause No. 2025-11326 (</w:t>
      </w:r>
      <w:r>
        <w:rPr>
          <w:rFonts w:ascii="Times New Roman" w:cs="Times New Roman" w:eastAsia="Times New Roman" w:hAnsi="Times New Roman"/>
          <w:sz w:val="17"/>
          <w:szCs w:val="17"/>
          <w:color w:val="auto"/>
        </w:rPr>
        <w:t>filed on February 19,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Microvast ordered and paid energy storage systems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Grupo Basan. Microvast ended the supply contract and under the supply contract, Microvast was entitled to the return of a large portion of the $3.5 million deposit Microvast had paid Grupo Basan as well as compensation for a significant number of products that it never received. However, Grupo Basan not only has failed to return those funds, but Grupo Basan has itself demanded $2.4 million in termination costs that are not provided for in the supply agreement. Microvast filed suit in Harris County, Texas seeking at least $2.6 million plus fees and interest. Grupo Basan has filed counterclaims against Microvast for breach of contract and quantum meruit, seeking monetary relief of more than $1 million, which Microvast denies and is vigorously contesting. Discovery is proceeding and key depositions have been taken. Trial is set for September 2026.</w:t>
      </w:r>
    </w:p>
    <w:p>
      <w:pPr>
        <w:spacing w:after="0" w:line="206"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 xml:space="preserve">On November 14, 2024, Microvast Energy, Inc. was named as a defendant in breach of contract action filed before the American Arbitration Association (“AAA”) under the caption </w:t>
      </w:r>
      <w:r>
        <w:rPr>
          <w:rFonts w:ascii="Times New Roman" w:cs="Times New Roman" w:eastAsia="Times New Roman" w:hAnsi="Times New Roman"/>
          <w:sz w:val="17"/>
          <w:szCs w:val="17"/>
          <w:i w:val="1"/>
          <w:iCs w:val="1"/>
          <w:color w:val="auto"/>
        </w:rPr>
        <w:t>Clenera Battery Holdco LLC v. Microvast, Inc.., Case No. 01-24-0008-7288.</w:t>
      </w:r>
      <w:r>
        <w:rPr>
          <w:rFonts w:ascii="Times New Roman" w:cs="Times New Roman" w:eastAsia="Times New Roman" w:hAnsi="Times New Roman"/>
          <w:sz w:val="17"/>
          <w:szCs w:val="17"/>
          <w:color w:val="auto"/>
        </w:rPr>
        <w:t xml:space="preserve"> Clenera asserted a claim for breach of a supply agreement between Microvast and Clenera for custom-made battery containers. Clenera alleges that Microvast must refund approximately $36 million due to Microvast's failure to deliver the containers by the contractual deadline, per the terms of the supply agreement. Clenera also seeks interest and attorneys’ fees. On November 15, 2024, Clenera filed an action for the same claim against Microvast Holdings, Inc. in the Supreme Court of the State of New York, County of New York, under the caption </w:t>
      </w:r>
      <w:r>
        <w:rPr>
          <w:rFonts w:ascii="Times New Roman" w:cs="Times New Roman" w:eastAsia="Times New Roman" w:hAnsi="Times New Roman"/>
          <w:sz w:val="17"/>
          <w:szCs w:val="17"/>
          <w:i w:val="1"/>
          <w:iCs w:val="1"/>
          <w:color w:val="auto"/>
        </w:rPr>
        <w:t>Clenera Battery Holdco LLC v. Microvast Holdings, Inc.</w:t>
      </w:r>
      <w:r>
        <w:rPr>
          <w:rFonts w:ascii="Times New Roman" w:cs="Times New Roman" w:eastAsia="Times New Roman" w:hAnsi="Times New Roman"/>
          <w:sz w:val="17"/>
          <w:szCs w:val="17"/>
          <w:color w:val="auto"/>
        </w:rPr>
        <w:t>, Index No. 659103/2024. The guaranty action was consolidated into the arbitration. On December 3, 2025, the AAA issued the final award to Clenera of approximately $42.9 million, plus 9% interest for any amounts unsatisfied after December 3, 2025. This award was amended respectively on January 6, 2026 and January 16, 2026. On February 12, 2026, the parties entered into a confidential settlement agreement. The Company made the first payment to Clenera, and the agreement contemplates a second payment to be made on or before July 15, 2026.</w:t>
      </w:r>
    </w:p>
    <w:p>
      <w:pPr>
        <w:spacing w:after="0" w:line="180"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The Company is also involved in other litigation, claims, and proceedings. The Company evaluates the status of each legal matter and assesses the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As of December 31, 2025, based on the information currently available, the Company believes that any loss contingencies that may arise as a result of currently pending legal proceedings cannot be accurately quantified at this time and thus cannot determine whether they will have a material adverse effect on the Company’s business, results of operations, financial condition,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Capital commitments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Capital commitments for construction of property and purchase of property, plant and equipment were $16,435 as of December 31, 2025.</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Purchase Commitments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Purchase commitments for non-cancelable contractual obligations primarily related to purchases of inventory were $37,167 as of December 31,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Pledged assets</w:t>
      </w:r>
    </w:p>
    <w:p>
      <w:pPr>
        <w:spacing w:after="0" w:line="20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Other than the pledged assets disclosed in Note 12, the Company may pledge certain assets to banks to secure the issuance of bank acceptance notes for the Company. As of December 31, 2025, certain of the Company's machinery and equipment with a carrying value of $21,207 has been pledged to secure the issuance of such notes.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Liens</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2025, the Company had received $23,590 of liens.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28. SUBSEQUENT EVENTS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Subsequent funding activities</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From the year end of 2025 to the date of issuance of the financial statements in this Annual Report, the Company has successfully refinanced $7,722 in short-term bank borrowings.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Lake Mary Facility</w:t>
      </w:r>
    </w:p>
    <w:p>
      <w:pPr>
        <w:spacing w:after="0" w:line="234"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In February 2026, the Company has been exploring a potential sale of its Lake Mary, Florida facility with a prospective buyer for a gross purchase price of $11,500. This facility was classified as an asset held for sale as of December 31, 2025, and its carrying value was adjusted to its fair value less costs to sell based on the terms of this agreement.</w:t>
      </w:r>
    </w:p>
    <w:p>
      <w:pPr>
        <w:spacing w:after="0" w:line="198"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The transaction is subject to customary closing conditions and a due diligence period for the buyer. The Company currently anticipates that, if completed, the transaction would close during the second quarter of 2026.</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7"/>
          <w:szCs w:val="17"/>
          <w:b w:val="1"/>
          <w:bCs w:val="1"/>
          <w:color w:val="auto"/>
        </w:rPr>
        <w:t>ADDITIONAL INFORMATION FINANCIAL STATEMENT SCHEDULE I CONDENSED FINANCIAL INFORMATION OF PARENT COMPANY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Pr>
          <w:p>
            <w:pPr>
              <w:spacing w:after="0"/>
              <w:rPr>
                <w:sz w:val="19"/>
                <w:szCs w:val="19"/>
                <w:color w:val="auto"/>
              </w:rPr>
            </w:pP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28,228</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from subsidiaries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36,701</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31,792</w:t>
            </w:r>
          </w:p>
        </w:tc>
      </w:tr>
      <w:tr>
        <w:trPr>
          <w:trHeight w:val="251"/>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67,457</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31,795</w:t>
            </w: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subsidiaries</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358,137</w:t>
            </w:r>
          </w:p>
        </w:tc>
        <w:tc>
          <w:tcPr>
            <w:tcW w:w="8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365,395</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425,594</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397,190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2"/>
        </w:trPr>
        <w:tc>
          <w:tcPr>
            <w:tcW w:w="8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Amount due to subsidiaries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8,970</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15,081</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9,005</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82"/>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15,081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9,295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Stock ( $0.0001 per value, 750,000,000 shares authorized; 333,473,938 and 324,831,634 shares issued, and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2"/>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331,786,438 and 323,144,134 shares outstanding as of December 31, 2025 and 2024)</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21"/>
                <w:szCs w:val="21"/>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Preferred Stock ($0.0001 par value, 50,000,000 shares authorized; none issued and outstanding as of December 31,</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and 2024)</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1,543,797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1,512,982</w:t>
            </w:r>
          </w:p>
        </w:tc>
      </w:tr>
      <w:tr>
        <w:trPr>
          <w:trHeight w:val="26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reserves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6,032</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6,032</w:t>
            </w:r>
          </w:p>
        </w:tc>
      </w:tr>
      <w:tr>
        <w:trPr>
          <w:trHeight w:val="25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(1,122,176)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(1,092,958)</w:t>
            </w: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(17,174)</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w:t>
            </w:r>
          </w:p>
        </w:tc>
      </w:tr>
      <w:tr>
        <w:trPr>
          <w:trHeight w:val="23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410,513</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387,895</w:t>
            </w:r>
          </w:p>
        </w:tc>
      </w:tr>
      <w:tr>
        <w:trPr>
          <w:trHeight w:val="2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425,594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397,190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7"/>
          <w:szCs w:val="17"/>
          <w:b w:val="1"/>
          <w:bCs w:val="1"/>
          <w:color w:val="auto"/>
        </w:rPr>
        <w:t>ADDITIONAL INFORMATION FINANCIAL STATEMENT SCHEDULE I CONDENSED FINANCIAL INFORMATION OF PARENT COMPANY STATEMENT OF OPERATIONS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48"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22860</wp:posOffset>
            </wp:positionV>
            <wp:extent cx="29387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from subsidiaries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0" w:type="dxa"/>
            <w:vAlign w:val="bottom"/>
          </w:tcPr>
          <w:p>
            <w:pPr>
              <w:spacing w:after="0"/>
              <w:rPr>
                <w:sz w:val="1"/>
                <w:szCs w:val="1"/>
                <w:color w:val="auto"/>
              </w:rPr>
            </w:pPr>
          </w:p>
        </w:tc>
      </w:tr>
      <w:tr>
        <w:trPr>
          <w:trHeight w:val="25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(2,492)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(654)</w:t>
            </w:r>
          </w:p>
        </w:tc>
        <w:tc>
          <w:tcPr>
            <w:tcW w:w="0" w:type="dxa"/>
            <w:vAlign w:val="bottom"/>
          </w:tcPr>
          <w:p>
            <w:pPr>
              <w:spacing w:after="0"/>
              <w:rPr>
                <w:sz w:val="1"/>
                <w:szCs w:val="1"/>
                <w:color w:val="auto"/>
              </w:rPr>
            </w:pPr>
          </w:p>
        </w:tc>
      </w:tr>
      <w:tr>
        <w:trPr>
          <w:trHeight w:val="25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(2,492)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(654)</w:t>
            </w:r>
          </w:p>
        </w:tc>
        <w:tc>
          <w:tcPr>
            <w:tcW w:w="0" w:type="dxa"/>
            <w:vAlign w:val="bottom"/>
          </w:tcPr>
          <w:p>
            <w:pPr>
              <w:spacing w:after="0"/>
              <w:rPr>
                <w:sz w:val="1"/>
                <w:szCs w:val="1"/>
                <w:color w:val="auto"/>
              </w:rPr>
            </w:pPr>
          </w:p>
        </w:tc>
      </w:tr>
      <w:tr>
        <w:trPr>
          <w:trHeight w:val="264"/>
        </w:trPr>
        <w:tc>
          <w:tcPr>
            <w:tcW w:w="6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and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w:t>
            </w:r>
          </w:p>
        </w:tc>
        <w:tc>
          <w:tcPr>
            <w:tcW w:w="0" w:type="dxa"/>
            <w:vAlign w:val="bottom"/>
          </w:tcPr>
          <w:p>
            <w:pPr>
              <w:spacing w:after="0"/>
              <w:rPr>
                <w:sz w:val="1"/>
                <w:szCs w:val="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change in fair value of warrant liability</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51"/>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/income before provision for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2,071</w:t>
            </w: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from investment in subsidiaries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(26,568)</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(194,456)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(108,407)</w:t>
            </w:r>
          </w:p>
        </w:tc>
        <w:tc>
          <w:tcPr>
            <w:tcW w:w="0" w:type="dxa"/>
            <w:vAlign w:val="bottom"/>
          </w:tcPr>
          <w:p>
            <w:pPr>
              <w:spacing w:after="0"/>
              <w:rPr>
                <w:sz w:val="1"/>
                <w:szCs w:val="1"/>
                <w:color w:val="auto"/>
              </w:rPr>
            </w:pPr>
          </w:p>
        </w:tc>
      </w:tr>
      <w:tr>
        <w:trPr>
          <w:trHeight w:val="28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(29,218)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(106,336)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 of nil:</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6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(7,533)</w:t>
            </w:r>
          </w:p>
        </w:tc>
        <w:tc>
          <w:tcPr>
            <w:tcW w:w="0" w:type="dxa"/>
            <w:vAlign w:val="bottom"/>
          </w:tcPr>
          <w:p>
            <w:pPr>
              <w:spacing w:after="0"/>
              <w:rPr>
                <w:sz w:val="1"/>
                <w:szCs w:val="1"/>
                <w:color w:val="auto"/>
              </w:rPr>
            </w:pPr>
          </w:p>
        </w:tc>
      </w:tr>
      <w:tr>
        <w:trPr>
          <w:trHeight w:val="257"/>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loss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(8,198)</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(208,037)</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(113,869)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7"/>
          <w:szCs w:val="17"/>
          <w:b w:val="1"/>
          <w:bCs w:val="1"/>
          <w:color w:val="auto"/>
        </w:rPr>
        <w:t>ADDITIONAL INFORMATION FINANCIAL STATEMENT SCHEDULE I CONDENSED FINANCIAL INFORMATION OF PARENT COMPANY STATEMENT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 or as otherwise noted)</w:t>
      </w:r>
    </w:p>
    <w:p>
      <w:pPr>
        <w:spacing w:after="0" w:line="248"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22860</wp:posOffset>
            </wp:positionV>
            <wp:extent cx="29387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generated in operating activities</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2,552</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Investment in subsidiaries</w:t>
            </w:r>
          </w:p>
        </w:tc>
        <w:tc>
          <w:tcPr>
            <w:tcW w:w="9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(125,449)</w:t>
            </w:r>
          </w:p>
        </w:tc>
      </w:tr>
      <w:tr>
        <w:trPr>
          <w:trHeight w:val="239"/>
        </w:trPr>
        <w:tc>
          <w:tcPr>
            <w:tcW w:w="6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short-term investment</w:t>
            </w:r>
          </w:p>
        </w:tc>
        <w:tc>
          <w:tcPr>
            <w:tcW w:w="92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245"/>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maturity of short-term investments</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25,500</w:t>
            </w:r>
          </w:p>
        </w:tc>
      </w:tr>
      <w:tr>
        <w:trPr>
          <w:trHeight w:val="251"/>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2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(100,379)</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sale of common stocks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for equity issuance costs</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generated from financing activities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28,175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Increase/(decrease) in cash, cash equivalents and restricted cash</w:t>
            </w: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28,225</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(97,827)</w:t>
            </w:r>
          </w:p>
        </w:tc>
      </w:tr>
      <w:tr>
        <w:trPr>
          <w:trHeight w:val="238"/>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the period</w:t>
            </w: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99,337</w:t>
            </w:r>
          </w:p>
        </w:tc>
      </w:tr>
      <w:tr>
        <w:trPr>
          <w:trHeight w:val="28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the period</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28,228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7"/>
          <w:szCs w:val="17"/>
          <w:b w:val="1"/>
          <w:bCs w:val="1"/>
          <w:color w:val="auto"/>
        </w:rPr>
        <w:t>ADDITIONAL INFORMATION FINANCIAL STATEMENT SCHEDULE I CONDENSED FINANCIAL INFORMATION OF PARENT COMPANY NOTES OF THE CONDENSED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FOR PREPARATION</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financial information of the Company has been prepared using the same accounting policies as set out in the Company’s consolidated financial statements except that the Company has used the equity method to account for investments in its subsidiaries.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INVESTMENTS IN SUBSIDIARIES</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and its subsidiaries were included in the consolidated financial statements where the intercompany transactions and balances were eliminated upon consolidation. For the purpose of the Company’s stand-alone financial statements, its investments in subsidiaries were reported using the equity method of accounting. The Company’s share of income from its subsidiaries were reported as equity in earnings of subsidiaries in the accompanying parent company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Disclosure controls and procedures are designed to ensure that information required to be disclosed by the Company in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Under supervision and with the participation of our management, including the Company’s principal executive officer and principal financial officer, the Company conducted an evaluation of the effectiveness of “its disclosure controls and procedures,” as defined in Rules 13a-15(e) and 15d-15(e) under the Exchange Act, as of the fiscal year ended December 31, 2025. Based on this evaluation, the principal executive officer and principal financial officer concluded that, as of December 31, 2025, our disclosure controls and procedures were effective.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Remediation of Previously Disclosed Material Weaknesses</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previously disclosed in our Annual Report on Form 10-K for the fiscal year ended December 31, 2024, we identified control deficiencies in the design and operation of internal controls over financial reporting that constituted a material weakness in aggregation. A material weakness is a deficiency, or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remediation efforts previously identified in Item 9A. “Controls and Procedures” of our Annual Report on Form 10-K for the fiscal year ended December 31, 2024 to address the identified material weakness related to the design, implementation and monitoring of GITC for the ERP system that are relevant to the preparation of our financial statements have been completed. In particular, the Company’s GITC findings primarily related to: (i) inappropriate implementation of controls allowed developers to gain access to application layer of ERP; (ii) the monitoring controls were not appropriately designed to review the overall operations of the privileged users; (iii) the monitoring controls were not appropriately designed to review the permissions granted to users. During 2025, management implemented a remediation plan to address these deficiencies. The management completed the execution of the following remediation measures, including testing of the design and concluding on the operating effectiveness of the related controls:</w:t>
      </w:r>
    </w:p>
    <w:p>
      <w:pPr>
        <w:spacing w:after="0" w:line="179" w:lineRule="exact"/>
        <w:rPr>
          <w:sz w:val="20"/>
          <w:szCs w:val="20"/>
          <w:color w:val="auto"/>
        </w:rPr>
      </w:pPr>
    </w:p>
    <w:p>
      <w:pPr>
        <w:ind w:firstLine="3"/>
        <w:spacing w:after="0" w:line="287" w:lineRule="auto"/>
        <w:tabs>
          <w:tab w:leader="none" w:pos="30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Removed all inappropriate system access as of December 31, 2024, and strictly reinforcing the segregation of duties requirements set for developer and privileged users;</w:t>
      </w:r>
    </w:p>
    <w:p>
      <w:pPr>
        <w:spacing w:after="0" w:line="151"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Assessed and formalized the design of certain information technology policies and procedures;</w:t>
      </w:r>
    </w:p>
    <w:p>
      <w:pPr>
        <w:spacing w:after="0" w:line="21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more robust and precise processes to monitor the privileged user activities;</w:t>
      </w:r>
    </w:p>
    <w:p>
      <w:pPr>
        <w:spacing w:after="0" w:line="21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Conducted more frequent user access reviews and removed unnecessary access to systems;</w:t>
      </w:r>
    </w:p>
    <w:p>
      <w:pPr>
        <w:spacing w:after="0" w:line="21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Strengthened controls over program changes and change management processes.</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Management completed testing of the design and operating effectiveness of these remediated controls. Based on this testing, management believe the steps taken have improved the effectiveness of our internal control over financial reporting and we have determined that these new or redesigned controls are operating effectively, and we consider the material weakness previously identified remediated as of December 31, 2025.</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Management is responsible for establishing and maintaining adequate internal control over financial reporting for the Company.</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 Accordingly, even when determined to be effective, internal control over financial reporting can only provide reasonable assurance with respect to financial statement preparation and presentation.</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In order to evaluate the effectiveness of internal control over financial reporting, as required by Section 404 of the Sarbanes-Oxley Act of 2002, management conducted an assessment, including testing using the criteria set forth in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issued by the Committee of Sponsoring Organizations of the Treadway Commission (“COSO”).</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Based on the assessment, management has concluded that the Company maintained effective internal control over financial reporting as of December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Company's independent registered public accounting firm, Deloitte Touche Tohmatsu Certified Public Accountants LLP, has issued an audit report on the Company's internal control over financial reporting as of December 31, 2025, which is contained in this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Except for the improvements to our internal control over financial reporting to remediate the material weaknesses discussed above, there have been no changes in the Company's internal control over financial reporting during the fiscal year ended December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680" w:firstLine="2679"/>
        <w:spacing w:after="0" w:line="523" w:lineRule="auto"/>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 To the Stockholders and the Board of Directors of Microvast Holdings, Inc. Opinion on Internal Control over Financial Reporting</w:t>
      </w:r>
    </w:p>
    <w:p>
      <w:pPr>
        <w:spacing w:after="0" w:line="2"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Microvast Holdings, Inc. and its subsidiaries (the “Company”)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85"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balance sheets, and related consolidated statements of operations, comprehensive loss, changes in stockholders’ equity, cash flows and financial statement schedule(the “financial statements”) as of and for the year ended December 31, 2025, of the Company and our report dated March 16, 2026, expressed an unqualified opinion on those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4"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34"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/s/Deloitte Touche Tohmatsu Certified Public Accountants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the People’s Republic of China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Rule 10b5-1 under the Exchange Act provides an affirmative defense that enables prearranged transaction in securities in a manner that avoids concerns about initiating transactions at a future date while possibly in possession of material nonpublic information. Our Insider Trading Policy permits our directors and executive officers to enter into trading plans designed to comply with Rule 10b5-1.</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December 12, 2025, Yang Wu, the Company's Chief Executive Officer, adopted a 10b5-1 trading plan intended to satisfy the affirmative defense of Rule 10b5-1(c ) under the Exchange Act. The 10b5-1 trading plan provides for the sale of an aggregate of up to 10,000,000 shares of the Company's common stock between April 1, 2026 and March 31, 2027.</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June 11, 2025, Yixin Pan, director and Chair of the Compensation Committee and Nominating &amp; Governance Committee, adopted a 10b5-1 trading plan intended to satisfy the affirmative defense of Rule 10b5-1(c ) under the Exchange Act. The 10b5-1 trading plan provides for the sale of an aggregate of up to 12,596 shares of the Company's common stock between December 31, 2025 and January 6,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An issuer will not be required to comply with Item 9C until the SEC has identified it as having non-inspection year.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Executive Officers and Board of Directors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information is as of March 9, 2026.</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Age</w:t>
            </w:r>
          </w:p>
        </w:tc>
        <w:tc>
          <w:tcPr>
            <w:tcW w:w="100" w:type="dxa"/>
            <w:vAlign w:val="bottom"/>
            <w:tcBorders>
              <w:bottom w:val="single" w:sz="8" w:color="CCEEFF"/>
            </w:tcBorders>
          </w:tcPr>
          <w:p>
            <w:pPr>
              <w:spacing w:after="0"/>
              <w:rPr>
                <w:sz w:val="20"/>
                <w:szCs w:val="20"/>
                <w:color w:val="auto"/>
              </w:rPr>
            </w:pPr>
          </w:p>
        </w:tc>
        <w:tc>
          <w:tcPr>
            <w:tcW w:w="7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Position(s)</w:t>
            </w:r>
          </w:p>
        </w:tc>
      </w:tr>
      <w:tr>
        <w:trPr>
          <w:trHeight w:val="244"/>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Yang Wu</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21"/>
                <w:szCs w:val="21"/>
                <w:color w:val="auto"/>
              </w:rPr>
            </w:pP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Founder, Chairman and Chief Executive Officer</w:t>
            </w:r>
          </w:p>
        </w:tc>
      </w:tr>
      <w:tr>
        <w:trPr>
          <w:trHeight w:val="45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Rodney Worthen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24"/>
                <w:szCs w:val="24"/>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51"/>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Wenjuan Mattis, Ph.D.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21"/>
                <w:szCs w:val="21"/>
                <w:color w:val="auto"/>
              </w:rPr>
            </w:pP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23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Shengxian Wu,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251"/>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Eric Garcia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21"/>
                <w:szCs w:val="21"/>
                <w:color w:val="auto"/>
              </w:rPr>
            </w:pP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Accounting Officer</w:t>
            </w:r>
          </w:p>
        </w:tc>
      </w:tr>
      <w:tr>
        <w:trPr>
          <w:trHeight w:val="23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Isida Tushe</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General Counsel and Corporate Secretary</w:t>
            </w:r>
          </w:p>
        </w:tc>
      </w:tr>
      <w:tr>
        <w:trPr>
          <w:trHeight w:val="251"/>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Arthur Wong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21"/>
                <w:szCs w:val="21"/>
                <w:color w:val="auto"/>
              </w:rPr>
            </w:pP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3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 Ying</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51"/>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Yixin Pan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21"/>
                <w:szCs w:val="21"/>
                <w:color w:val="auto"/>
              </w:rPr>
            </w:pP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Executive Officers</w:t>
      </w:r>
    </w:p>
    <w:p>
      <w:pPr>
        <w:spacing w:after="0" w:line="21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Yang Wu </w:t>
      </w:r>
      <w:r>
        <w:rPr>
          <w:rFonts w:ascii="Times New Roman" w:cs="Times New Roman" w:eastAsia="Times New Roman" w:hAnsi="Times New Roman"/>
          <w:sz w:val="17"/>
          <w:szCs w:val="17"/>
          <w:color w:val="auto"/>
        </w:rPr>
        <w:t>was elected to our Board as a Class III Director on July 23, 2021. Mr. Wu is the founder of Microvast and has been its Chairman,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Officer and director since its inception in October 2006. Mr. Wu has periodically served as the Company's President, including from its inception through April 14, 2022, from January 10, 2023 through August 3, 2023 and from February 5, 2024 through the present. From 2000 to 2006, Mr. Wu served as chief executive officer at Omex Environmental Engineering Co., Ltd., a water treatment company, which he founded and was acquired by Dow Chemical Company in 2006. From 1996 to 2000, Mr. Wu served as chief executive officer and founder of Omex Engineering and Construction Inc. Prior to Omex Engineering and Construction, from 1989 to 1996, Mr. Wu was the founder of World Wide Omex, Inc., an agent for a large oilfield service company. Mr. Wu received his bachelor’s degree from Southwest Petroleum University, Chengdu.</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Wu is qualified to serve on our Board due to his deep industry expertise and his leadership experience.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Wu is a U.S. citizen and resides in the U.S.</w:t>
      </w:r>
    </w:p>
    <w:p>
      <w:pPr>
        <w:spacing w:after="0" w:line="21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Rodney Worthen </w:t>
      </w:r>
      <w:r>
        <w:rPr>
          <w:rFonts w:ascii="Times New Roman" w:cs="Times New Roman" w:eastAsia="Times New Roman" w:hAnsi="Times New Roman"/>
          <w:sz w:val="17"/>
          <w:szCs w:val="17"/>
          <w:color w:val="auto"/>
        </w:rPr>
        <w:t>was appointed as our Chief Financial Officer on January 7, 2026. Mr. Worthen joined the Company in June of 2023. Prior to serving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Company’s Chief Financial Officer, he held various positions of increasing responsibility within the Company, including Interim Chief Financial Officer and Vice President of Corporate Strategy, Director of Investor Relations and FP&amp;A, Vice President of Corporate Finance, and Head of FP&amp;A and Investor Relations. Prior to joining the Company, Mr. Worthen gained extensive experience in financial reporting, M&amp;A, corporate development, and strategic leadership, serving as Director of Finance at Killam Holdings Company and various roles of progressive responsibility in M&amp;A, FP&amp;A, and engineering at both private and publicly listed energy companies. Mr. Worthen holds a Bachelor of Science in Mechanical Engineering from the University of Central Oklahoma, a Master of Science in Engineering from the University of Oklahoma and a Master of Science in Finance and Master of Business Administration from Auburn University.</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Worthen is a U.S. citizen and resides in the U.S.</w:t>
      </w:r>
    </w:p>
    <w:p>
      <w:pPr>
        <w:spacing w:after="0" w:line="211"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Shengxian Wu </w:t>
      </w:r>
      <w:r>
        <w:rPr>
          <w:rFonts w:ascii="Times New Roman" w:cs="Times New Roman" w:eastAsia="Times New Roman" w:hAnsi="Times New Roman"/>
          <w:sz w:val="17"/>
          <w:szCs w:val="17"/>
          <w:color w:val="auto"/>
        </w:rPr>
        <w:t>was appointed as our Chief Operating Officer on April 18, 2024. He joined Microvast, Inc. in 2016, and he has served as Microvast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China’s President since January 2021. Prior to joining Microvast China, Dr. Wu served as manager of the Commercial Vehicle Research Institute of Zhejiang Geely Holding Group.</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Dr. Wu is a citizen of China and resides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7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Isida Tushe </w:t>
      </w:r>
      <w:r>
        <w:rPr>
          <w:rFonts w:ascii="Times New Roman" w:cs="Times New Roman" w:eastAsia="Times New Roman" w:hAnsi="Times New Roman"/>
          <w:sz w:val="17"/>
          <w:szCs w:val="17"/>
          <w:color w:val="auto"/>
        </w:rPr>
        <w:t>was elected to our Board as a Class III Director on October 18, 2024 and currently serves as Microvast’s President, General Counsel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Corporate Secretary. Ms. Tushe has served as Microvast’s General Counsel since March 15, 2023 and as Microvast’s Corporate Secretary since May 8, 2023, and she was appointed as Microvast’s President on April 18, 2024. Prior to joining Microvast, Ms. Tushe served as the General Counsel and Corporate Secretary at DC Green Bank and mPhase Technologies, Inc., where she oversaw all legal and compliance matters. Prior to that, Ms. Tushe served as the General Counsel of FFP New Hydro LLC, a developer of low-impact hydroelectric energy generation and storage in the United States, overseeing all legal and lobbying functions. Ms. Tushe has also held various senior positions involving finance, commercial and legal aspects of structured finance, M&amp;A, project finance and development, intellectual property and corporate governance, including as VP and Senior Counsel at Pine Gate Renewables, LLC. and as VP of Project Finance and Counsel at Fuel Cell Energy, Inc. (NASDAQ: FCEL)</w:t>
      </w:r>
    </w:p>
    <w:p>
      <w:pPr>
        <w:spacing w:after="0" w:line="2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Ms. Tushe is qualified to serve on our Board due to her legal and project finance experience, particularly with companies in power generation, renewables and clean technologies.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Ms.Tushe is a U.S. citizen and resides in the U.S.</w:t>
      </w:r>
    </w:p>
    <w:p>
      <w:pPr>
        <w:spacing w:after="0" w:line="23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Wenjuan Mattis </w:t>
      </w:r>
      <w:r>
        <w:rPr>
          <w:rFonts w:ascii="Times New Roman" w:cs="Times New Roman" w:eastAsia="Times New Roman" w:hAnsi="Times New Roman"/>
          <w:sz w:val="17"/>
          <w:szCs w:val="17"/>
          <w:color w:val="auto"/>
        </w:rPr>
        <w:t>was appointed as our Chief Technology Officer on July 23, 2021. She joined Microvast, Inc. in 2013, and she has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Microvast Inc.’s Chief Technology Officer since January 2018, leading the development of battery materials, cells, modules and packs from R&amp;D to production. Prior to that she served as Vice President of Technology since January 2015, and as Chief Scientist from October 2013 to December 2014. From March 2010 to October 2013, Dr. Mattis served as Senior Research Engineer at Dow Chemical Company in Midland, Michigan, where she led and participated in battery projects developing materials and cells for electrified vehicles and consumer electronics. In May 2016, Dr. Mattis was the youngest member ever elected to the board of directors of the International Meeting on Lithium Batteries association. She has also served as the Vice President of International Automotive Lithium Battery Association since June 2013. Dr. Mattis holds a Bachelor of Science degree in Mechanics and Engineering Science from Fudan University, Shanghai and a Ph.D. degree in Materials Science and Engineering from the Pennsylvania State University. Dr. Mattis has been working on the development of lithium-ion battery technology for over 16 years. She has authored 22 papers and holds 97 patents.</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Dr. Mattis is a U.S. citizen and resides in the U.S.</w:t>
      </w:r>
    </w:p>
    <w:p>
      <w:pPr>
        <w:spacing w:after="0" w:line="23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Eric Garcia </w:t>
      </w:r>
      <w:r>
        <w:rPr>
          <w:rFonts w:ascii="Times New Roman" w:cs="Times New Roman" w:eastAsia="Times New Roman" w:hAnsi="Times New Roman"/>
          <w:sz w:val="17"/>
          <w:szCs w:val="17"/>
          <w:color w:val="auto"/>
        </w:rPr>
        <w:t>was appointed as our Chief Accounting Officer on January 9, 2026. Mr. Garcia previously served as Chief Accounting Officer at NextDecade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Corporation from 2017 to 2025. In addition, he held various additional roles within NextDecade Corporation during his time as Chief Accounting Officer, including Vice President from 2017 to 2022 and Senior Vice President from 2022 to 2025, as well as positions as Director and Chief Representation Officer within NextDecade Corporation subsidiaries and representative offices. Prior to his employment at NextDecade Corporation, Mr. Garcia served as a Managing Director in Audit at KPMG from 2015 to 2017 and served various roles of increasing responsibility at KPMG from 2002 to 2015. Mr. Garcia holds a Bachelor of Science in Accounting from the University of New Mexico and is a Certified Public Accountant in the states of Texas and New Mexico.</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Garcia is a U.S. citizen and resides in the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Board of Directors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Yang Wu's </w:t>
      </w:r>
      <w:r>
        <w:rPr>
          <w:rFonts w:ascii="Times New Roman" w:cs="Times New Roman" w:eastAsia="Times New Roman" w:hAnsi="Times New Roman"/>
          <w:sz w:val="17"/>
          <w:szCs w:val="17"/>
          <w:color w:val="auto"/>
        </w:rPr>
        <w:t>biographical information is set forth above.</w:t>
      </w:r>
    </w:p>
    <w:p>
      <w:pPr>
        <w:spacing w:after="0" w:line="21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Wei Ying </w:t>
      </w:r>
      <w:r>
        <w:rPr>
          <w:rFonts w:ascii="Times New Roman" w:cs="Times New Roman" w:eastAsia="Times New Roman" w:hAnsi="Times New Roman"/>
          <w:sz w:val="17"/>
          <w:szCs w:val="17"/>
          <w:color w:val="auto"/>
        </w:rPr>
        <w:t>was elected to the Board as a Class I Director on July 23, 2021. Mr. Ying has been a director of Microvast, Inc. since June 2017.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2014, Mr. Ying has been a managing partner and director of CDH Shanghai Dinghui Bai Fu Investment Management Co., Ltd., a key investment manager entity under CDH Investments Management Limited, and some of its affiliates. Mr. Ying has served as a director of Fountain Set (Holdings) Limited (HKG: 0420) since January 2015, a director of Zhongsheng Group Holdings Limited (OTCMKTS: ZSHGY) since December 2016, a director of Beijing East Environment Energy Technology Co., Ltd. (NEEQ: 831083) since February 2019, a director of Guolian Industry Investment Fund Management (Beijing) Co., Ltd. since February 2014, a director of Ningbo Dingcheng Investment Management Co., Ltd. since March 2018, a director of Shenzhen Tajirui Biomedical Co., Ltd. since July 2018, and as a director of Ningbo Dingyi Asset Management Co., Ltd. since October 2015. Mr. Ying received a Bachelor’s Degree in Economics from Zhejiang Gongshang University and a Master of Business Administration from the University of San Francisco School of Management. Mr. Ying is a Fund Practitioner and non-practitioner member of China Certified Public Accountant Association.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Ying is qualified to serve on our Board due to his extensive leadership experience and industry knowledge experience.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Ying is a Hong Kong citizen and resides in Hong Kong.</w:t>
      </w:r>
    </w:p>
    <w:p>
      <w:pPr>
        <w:spacing w:after="0" w:line="21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Arthur Wong </w:t>
      </w:r>
      <w:r>
        <w:rPr>
          <w:rFonts w:ascii="Times New Roman" w:cs="Times New Roman" w:eastAsia="Times New Roman" w:hAnsi="Times New Roman"/>
          <w:sz w:val="17"/>
          <w:szCs w:val="17"/>
          <w:color w:val="auto"/>
        </w:rPr>
        <w:t>was elected to the Board as a Class II Director on July 23, 2021. Mr. Wong currently serves as an independent director and Chairman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Audit Committee of Daqo New Energy Corp. (NYSE: DQ). From March 2019 to June 2024, Mr. Wong served as an independent director and Chairman of the Audit Committee of Canadian Solar Inc. (NASDAQ: CSIQ). From November 2014 to February 2023, Mr. Wong served as an independent director and Chairman of the Audit Committee of Maple Leaf Educational Systems Limited (HKSE: 1317). From March 2020 to March 2022, Mr. Wong served as an independent director of Tarena International, Inc. (NASDAQ: TEDU). From 2008 to 2018, Mr. Wong served as the Chief Financial Officer for Asia New-Energy, Nobao Renewable Energy, GreenTree Inns Hotel Management Group and Beijing Radio Cultural Transmission Company Limited, sequentially. From 1982 to 2008, Mr. Wong worked for Deloitte Touche Tohmatsu in Hong Kong, San Jose and Beijing over various periods of time, with his last position as a partner in the Beijing office. Mr. Wong received a bachelor’s degree in applied economics from the University of San Francisco and a higher diploma of accountancy from Hong Kong Polytechnic University. He is a member of the American Institute of Certified Public Accountants, the Association of Chartered Certified Accountants and the Hong Kong Institute of Certified Public Accountants.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Wong is qualified to serve on our Board due to his extensive experience and knowledge of accounting and financial matters as well as audit functions.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Wong is both a U.K. citizen and a Hong Kong citizen and resides in China.</w:t>
      </w:r>
    </w:p>
    <w:p>
      <w:pPr>
        <w:spacing w:after="0" w:line="211"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Yixin Pan </w:t>
      </w:r>
      <w:r>
        <w:rPr>
          <w:rFonts w:ascii="Times New Roman" w:cs="Times New Roman" w:eastAsia="Times New Roman" w:hAnsi="Times New Roman"/>
          <w:sz w:val="17"/>
          <w:szCs w:val="17"/>
          <w:color w:val="auto"/>
        </w:rPr>
        <w:t>was elected to the board of directors of Microvast on October 18, 2024. Ms. Pan has over 25 years of experience in tech innovation,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entrepreneurship, operations, marketing, investment banking and M&amp;A across multiple industries and for Fortune 500 companies and small emerging technology startups. She has served as managing partner of XTVUE, LLC, a boutique investment bank and management consulting firm, since 2008. Ms. Pan received her MBA from Cornell University and an MS in Mechanical Engineering from Northern Illinois University</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 Pan is qualified to serve on our Board due to her extensive leadership experience.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 Pan is a U.S. citizen and resides in the U.S.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Isida Tushe's </w:t>
      </w:r>
      <w:r>
        <w:rPr>
          <w:rFonts w:ascii="Times New Roman" w:cs="Times New Roman" w:eastAsia="Times New Roman" w:hAnsi="Times New Roman"/>
          <w:sz w:val="17"/>
          <w:szCs w:val="17"/>
          <w:color w:val="auto"/>
        </w:rPr>
        <w:t>biographical information is set forth above.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Composition of our Board</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Board is divided into three classes, with each class serving a three-year term. The Class I director is Wei Ying, whose term expires at the annual meeting in 2028; the Class II director is Arthur Wong, whose term expires at the annual meeting in 2026; and the Class III directors are Yang Wu, Isida Tushe and Yixin Pan, each of whom serves a term expiring at the annual meeting in 2027.</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Wei Ying agreed to serve as directors on our Board in his personal capacity and not as representative of CDH Griffin Holdings Company Limited or any of its affiliates. Mr. Ying has been a director of Microvast, Inc. since June 2017.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Arrangements and Family Relationships</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There are no arrangements or understandings between any of Yang Wu, Isida Tushe, Shengxian Wu, Ph.D., Wenjuan Mattis, Ph.D., or Rodney Worthen and any other persons pursuant to which such individual was appointed as an executive officer of the Company. There are no family relationships between any of Yang Wu, Isida Tushe, Yixin Pan, Wei Ying, Arthur Wong, Shengxian Wu, Ph.D., Wenjuan Mattis, Ph.D., or Rodney Worthen and any director, executive officer or any person nominated or chosen by the Company to become a director or executive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Board has an Audit Committee, a Nominating &amp; Corporate Governance Committee and a Compensation Committee. The Board committees act in an advisory capacity to the full Board, except that the Compensation Committee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has direct responsibility for the Chief Executive Officer and Chairman’s goals, performance and compensation along with compensation of other executive officers, and the Audit Committee is expected to have direct responsibility for appointing, replacing, compensating and overseeing the independent registered public accounting firm. Our Board has adopted a written charter for each of the standing committees that clearly establishes the committees’ respective roles and responsibilities, which is posted to our website. In addition, each committee has the authority to retain independent outside professional advisors or experts as it deems advisable or necessary, including the sole authority to retain and terminate any such advisors, to carry out its duties. The Board has determined that each member of the Audit, Nominating &amp; Corporate Governance and Compensation Committees is independent under our categorical standards and that each member is free of any relationship that would interfere with his or her individual exercise of independent judgment. The Board has determined that each member of the Audit Committee meets the independence requirements under the SEC rules and the NASDAQ listing standards applicable to audit committee members. The Board has also determined that each member of the Compensation Committee meets the independence requirements under the SEC rules and the NASDAQ listing standards applicable to compensation committee members.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Audit Committee has three members and consists entirely of independent directors, each of whom meets the independence requirements set forth in the listing standards of the NASDAQ and Rule 10A-3 under the Exchange Act and under our categorical standards. Each member of the Audit Committee is financially literate, and at least one member of the Audit Committee has accounting and related financial management expertise and satisfies the criteria to be an “audit committee financial expert” under the rules and regulations of the SEC, as those qualifications are interpreted by our Board in its business judgment. Our Audit Committee consists of Ms. Pan, Mr. Wong and Mr. Ying, with Mr. Wong serving as chair and as the audit committee financial expert.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We have adopted a code of business conduct and ethics applicable to our directors, officers and employees. A copy of that code is available on our principal corporate website at </w:t>
      </w:r>
      <w:r>
        <w:rPr>
          <w:rFonts w:ascii="Times New Roman" w:cs="Times New Roman" w:eastAsia="Times New Roman" w:hAnsi="Times New Roman"/>
          <w:sz w:val="17"/>
          <w:szCs w:val="17"/>
          <w:i w:val="1"/>
          <w:iCs w:val="1"/>
          <w:color w:val="auto"/>
        </w:rPr>
        <w:t>https://www.microvast.com</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16(a) of the Securities Exchange Act of 1934, as amended, requires our directors, certain officers and any beneficial owners of more than 10% of our common stock to file reports relating to their ownership and changes in ownership of our common stock with the SEC and NASDAQ by certain deadlines. Based on a review of Section 16 filings with respect to our Company made during or with respect to the preceding year, we are not aware of any late Section 16(a) filings, except for one late Form 3 filing by Carl T. Schultz, who previously served as the Company's principal financial officer, filed on May 27, 2025; one late Form 4 filing by Mrs. Pan, filed on January 16, 2026; one late Form 3 filing and one late Form 4 filing by Mr. Worthen, each filed on January 29, 2026; and three late Form 4 filings by Dr. Wu. Due to administrative reasons, Dr. Wu has not made any Section 16(a) filings with respect to the preceding three fiscal years. In addition to these three late Form 4 filings, Dr. Wu has failed to file two additional Form 4 filings for the preceding three fiscal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section sets forth the compensation of our named executive officers for the year ended December 31, 2025 (our “NEOs”). Our NEOs are: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0" w:type="dxa"/>
            <w:vAlign w:val="bottom"/>
            <w:tcBorders>
              <w:bottom w:val="single" w:sz="8" w:color="CCEEFF"/>
            </w:tcBorders>
          </w:tcPr>
          <w:p>
            <w:pPr>
              <w:spacing w:after="0"/>
              <w:rPr>
                <w:sz w:val="20"/>
                <w:szCs w:val="20"/>
                <w:color w:val="auto"/>
              </w:rPr>
            </w:pPr>
          </w:p>
        </w:tc>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244"/>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Yang Wu</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Founder, Chairman and Chief Executive Officer</w:t>
            </w:r>
          </w:p>
        </w:tc>
      </w:tr>
      <w:tr>
        <w:trPr>
          <w:trHeight w:val="23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Dr. Shengxian Wu</w:t>
            </w: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251"/>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Isida Tushe</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President, General Counsel and Corporate Secretary</w:t>
            </w:r>
          </w:p>
        </w:tc>
      </w:tr>
    </w:tbl>
    <w:p>
      <w:pPr>
        <w:spacing w:after="0" w:line="332" w:lineRule="exact"/>
        <w:rPr>
          <w:sz w:val="20"/>
          <w:szCs w:val="20"/>
          <w:color w:val="auto"/>
        </w:rPr>
      </w:pPr>
    </w:p>
    <w:p>
      <w:pPr>
        <w:jc w:val="both"/>
        <w:ind w:firstLine="619"/>
        <w:spacing w:after="0" w:line="350" w:lineRule="auto"/>
        <w:rPr>
          <w:sz w:val="20"/>
          <w:szCs w:val="20"/>
          <w:color w:val="auto"/>
        </w:rPr>
      </w:pPr>
      <w:r>
        <w:rPr>
          <w:rFonts w:ascii="Times New Roman" w:cs="Times New Roman" w:eastAsia="Times New Roman" w:hAnsi="Times New Roman"/>
          <w:sz w:val="17"/>
          <w:szCs w:val="17"/>
          <w:color w:val="auto"/>
        </w:rPr>
        <w:t>As a “smaller reporting company” for purposes of this Annual Report, we have opted to comply with the executive compensation disclosure rules applicable to “smaller reporting companies.”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13"/>
        </w:trPr>
        <w:tc>
          <w:tcPr>
            <w:tcW w:w="8520" w:type="dxa"/>
            <w:vAlign w:val="bottom"/>
            <w:gridSpan w:val="19"/>
          </w:tcPr>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compensation of our NEOs for the years ended December 31, 2025 and 2024.</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3"/>
        </w:trPr>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6"/>
        </w:trPr>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Incentive Plan</w:t>
            </w:r>
          </w:p>
        </w:tc>
        <w:tc>
          <w:tcPr>
            <w:tcW w:w="14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80" w:type="dxa"/>
            <w:vAlign w:val="bottom"/>
          </w:tcPr>
          <w:p>
            <w:pPr>
              <w:spacing w:after="0"/>
              <w:rPr>
                <w:sz w:val="17"/>
                <w:szCs w:val="17"/>
                <w:color w:val="auto"/>
              </w:rPr>
            </w:pPr>
          </w:p>
        </w:tc>
        <w:tc>
          <w:tcPr>
            <w:tcW w:w="138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5"/>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 and Principal</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8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80" w:type="dxa"/>
            <w:vAlign w:val="bottom"/>
          </w:tcPr>
          <w:p>
            <w:pPr>
              <w:spacing w:after="0"/>
              <w:rPr>
                <w:sz w:val="17"/>
                <w:szCs w:val="17"/>
                <w:color w:val="auto"/>
              </w:rPr>
            </w:pPr>
          </w:p>
        </w:tc>
        <w:tc>
          <w:tcPr>
            <w:tcW w:w="138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253"/>
        </w:trPr>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Year</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 xml:space="preserve">Awards ($) </w:t>
            </w:r>
            <w:r>
              <w:rPr>
                <w:rFonts w:ascii="Times New Roman" w:cs="Times New Roman" w:eastAsia="Times New Roman" w:hAnsi="Times New Roman"/>
                <w:sz w:val="22"/>
                <w:szCs w:val="22"/>
                <w:color w:val="auto"/>
                <w:w w:val="95"/>
                <w:vertAlign w:val="superscript"/>
              </w:rPr>
              <w:t>(1)</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58"/>
              <w:spacing w:after="0" w:line="253"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0"/>
                <w:szCs w:val="10"/>
                <w:color w:val="auto"/>
              </w:rPr>
              <w:t xml:space="preserve">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51"/>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Yang Wu</w:t>
            </w:r>
          </w:p>
        </w:tc>
        <w:tc>
          <w:tcPr>
            <w:tcW w:w="7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3,099,998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3,781,901</w:t>
            </w:r>
          </w:p>
        </w:tc>
      </w:tr>
      <w:tr>
        <w:trPr>
          <w:trHeight w:val="199"/>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Founder, Chairman and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3"/>
        </w:trPr>
        <w:tc>
          <w:tcPr>
            <w:tcW w:w="184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7"/>
                <w:szCs w:val="17"/>
                <w:i w:val="1"/>
                <w:iCs w:val="1"/>
                <w:color w:val="auto"/>
              </w:rPr>
              <w:t>Chief Executive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7"/>
        </w:trPr>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7"/>
                <w:szCs w:val="17"/>
                <w:i w:val="1"/>
                <w:iCs w:val="1"/>
                <w:color w:val="auto"/>
              </w:rPr>
              <w:t>Officer</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564,480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590,000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1,154,480</w:t>
            </w:r>
          </w:p>
        </w:tc>
      </w:tr>
      <w:tr>
        <w:trPr>
          <w:trHeight w:val="25"/>
        </w:trPr>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8"/>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Dr. Shengxian Wu</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715,000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1,156,340</w:t>
            </w:r>
          </w:p>
        </w:tc>
      </w:tr>
      <w:tr>
        <w:trPr>
          <w:trHeight w:val="252"/>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Chief Operating Officer</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93,750</w:t>
            </w:r>
          </w:p>
        </w:tc>
        <w:tc>
          <w:tcPr>
            <w:tcW w:w="10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1,383,750</w:t>
            </w:r>
          </w:p>
        </w:tc>
      </w:tr>
      <w:tr>
        <w:trPr>
          <w:trHeight w:val="264"/>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Isida Tushe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715,000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1,211,508</w:t>
            </w:r>
          </w:p>
        </w:tc>
      </w:tr>
      <w:tr>
        <w:trPr>
          <w:trHeight w:val="199"/>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President, General</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3"/>
        </w:trPr>
        <w:tc>
          <w:tcPr>
            <w:tcW w:w="184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7"/>
                <w:szCs w:val="17"/>
                <w:i w:val="1"/>
                <w:iCs w:val="1"/>
                <w:color w:val="auto"/>
              </w:rPr>
              <w:t>Counsel and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7"/>
        </w:trPr>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7"/>
                <w:szCs w:val="17"/>
                <w:i w:val="1"/>
                <w:iCs w:val="1"/>
                <w:color w:val="auto"/>
              </w:rPr>
              <w:t>Corporate Secretary</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1,465,000</w:t>
            </w:r>
          </w:p>
        </w:tc>
      </w:tr>
    </w:tbl>
    <w:p>
      <w:pPr>
        <w:spacing w:after="0" w:line="305" w:lineRule="exact"/>
        <w:rPr>
          <w:sz w:val="20"/>
          <w:szCs w:val="20"/>
          <w:color w:val="auto"/>
        </w:rPr>
      </w:pPr>
    </w:p>
    <w:p>
      <w:pPr>
        <w:jc w:val="both"/>
        <w:ind w:left="320" w:hanging="317"/>
        <w:spacing w:after="0" w:line="245" w:lineRule="auto"/>
        <w:tabs>
          <w:tab w:leader="none" w:pos="308"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grant date fair value of stock awards granted to our named executive officers, computed in accordance with stock-based compensation accounting rules. The 2024 stock awards consist of grants of restricted stock units (“RSUs”) granted pursuant to the Microvast Holdings Inc 2021 Equity Incentive Plan (the “2021 Plan”). The terms of the 2025 RSUs and 2025 PSUs are summarized in “Elements of Executive Compensation—Long Term Incentives” below. The assumptions made when calculating the amounts reported are found in Note 20, “Share-Based Payment” to our consolidated financial statements included in Part II, Item 8 of this Annual Report. Assuming maximum level of performance, the aggregate grant date fair values of the RSUs and PSUs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RSUs</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PSUs</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57"/>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Yang Wu</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1,549,999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1,549,999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3,099,998</w:t>
            </w:r>
          </w:p>
        </w:tc>
      </w:tr>
      <w:tr>
        <w:trPr>
          <w:trHeight w:val="252"/>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Dr. Shengxian Wu</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457,000</w:t>
            </w:r>
          </w:p>
        </w:tc>
        <w:tc>
          <w:tcPr>
            <w:tcW w:w="8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258,000</w:t>
            </w:r>
          </w:p>
        </w:tc>
        <w:tc>
          <w:tcPr>
            <w:tcW w:w="8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715,000</w:t>
            </w:r>
          </w:p>
        </w:tc>
      </w:tr>
      <w:tr>
        <w:trPr>
          <w:trHeight w:val="264"/>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Isida Tushe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457,000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258,000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715,000</w:t>
            </w:r>
          </w:p>
        </w:tc>
      </w:tr>
    </w:tbl>
    <w:p>
      <w:pPr>
        <w:spacing w:after="0" w:line="267" w:lineRule="exact"/>
        <w:rPr>
          <w:sz w:val="20"/>
          <w:szCs w:val="20"/>
          <w:color w:val="auto"/>
        </w:rPr>
      </w:pPr>
    </w:p>
    <w:p>
      <w:pPr>
        <w:jc w:val="both"/>
        <w:ind w:left="320" w:hanging="317"/>
        <w:spacing w:after="0" w:line="236" w:lineRule="auto"/>
        <w:tabs>
          <w:tab w:leader="none" w:pos="418"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grant date fair value of stock options granted to our named executive officers, computed in accordance with stock-based compensation accounting rules. The assumptions made when calculating the amounts reported are found in Note 20, “Share-Based Payment” to our consolidated financial statements included in Part II, Item 8 of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Elements of Executive Compensation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Base Salary</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NEOs are designed to reflect each NEO’s scope of responsibility and accountability to us. The base salaries for each of our NEOs were as follows: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33"/>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Base Salary</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Base Salary</w:t>
            </w:r>
          </w:p>
        </w:tc>
      </w:tr>
      <w:tr>
        <w:trPr>
          <w:trHeight w:val="25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Yang Wu</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580,000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564,480</w:t>
            </w:r>
          </w:p>
        </w:tc>
      </w:tr>
      <w:tr>
        <w:trPr>
          <w:trHeight w:val="252"/>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Dr. Shengxian Wu</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8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6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Isida Tushe</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Short-Term Incentives</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2025, the Compensation Committee of the Board established an Annual Incentive Plan ("AIP"), providing short-term cash incentive opportunities for our NEOs. Payouts under the AIP are determined as a percentage of each executive's annual base salary contingent upon the achievement of specific, pre-determined performance goals including total revenue, operating profit margin and accounts receivable collection targets. For fiscal year 2025, the target opportunities under the AIP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7"/>
                <w:szCs w:val="17"/>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Target</w:t>
            </w:r>
          </w:p>
        </w:tc>
        <w:tc>
          <w:tcPr>
            <w:tcW w:w="460" w:type="dxa"/>
            <w:vAlign w:val="bottom"/>
          </w:tcPr>
          <w:p>
            <w:pPr>
              <w:spacing w:after="0"/>
              <w:rPr>
                <w:sz w:val="17"/>
                <w:szCs w:val="17"/>
                <w:color w:val="auto"/>
              </w:rPr>
            </w:pPr>
          </w:p>
        </w:tc>
        <w:tc>
          <w:tcPr>
            <w:tcW w:w="1620" w:type="dxa"/>
            <w:vAlign w:val="bottom"/>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AIP</w:t>
            </w:r>
          </w:p>
        </w:tc>
      </w:tr>
      <w:tr>
        <w:trPr>
          <w:trHeight w:val="23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Base Salary</w:t>
            </w:r>
          </w:p>
        </w:tc>
        <w:tc>
          <w:tcPr>
            <w:tcW w:w="8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 of Salary)</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Target</w:t>
            </w:r>
          </w:p>
        </w:tc>
      </w:tr>
      <w:tr>
        <w:trPr>
          <w:trHeight w:val="244"/>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Yang Wu</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580,000</w:t>
            </w: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493,000</w:t>
            </w:r>
          </w:p>
        </w:tc>
      </w:tr>
      <w:tr>
        <w:trPr>
          <w:trHeight w:val="23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Dr. Shengxian Wu</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8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20"/>
                <w:szCs w:val="20"/>
                <w:color w:val="auto"/>
              </w:rPr>
            </w:pP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51"/>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Isida Tushe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225,000</w:t>
            </w:r>
          </w:p>
        </w:tc>
      </w:tr>
    </w:tbl>
    <w:p>
      <w:pPr>
        <w:spacing w:after="0" w:line="26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Short-term incentives pay out between 0% of target and up to a maximum of 120% of target, based on achievement of performance goals. Payouts are linearly interpolated for performance between levels.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the weight and target goal for each performance metric and our achievement of each in 2025: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2025 Performance Goals</w:t>
            </w:r>
          </w:p>
        </w:tc>
        <w:tc>
          <w:tcPr>
            <w:tcW w:w="1640" w:type="dxa"/>
            <w:vAlign w:val="bottom"/>
          </w:tcPr>
          <w:p>
            <w:pPr>
              <w:spacing w:after="0"/>
              <w:rPr>
                <w:sz w:val="19"/>
                <w:szCs w:val="19"/>
                <w:color w:val="auto"/>
              </w:rPr>
            </w:pP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Threshold</w:t>
            </w:r>
          </w:p>
        </w:tc>
        <w:tc>
          <w:tcPr>
            <w:tcW w:w="80" w:type="dxa"/>
            <w:vAlign w:val="bottom"/>
          </w:tcPr>
          <w:p>
            <w:pPr>
              <w:spacing w:after="0"/>
              <w:rPr>
                <w:sz w:val="4"/>
                <w:szCs w:val="4"/>
                <w:color w:val="auto"/>
              </w:rPr>
            </w:pP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Target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4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227"/>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Metric</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Weight</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(50% Payout)</w:t>
            </w:r>
          </w:p>
        </w:tc>
        <w:tc>
          <w:tcPr>
            <w:tcW w:w="80" w:type="dxa"/>
            <w:vAlign w:val="bottom"/>
          </w:tcPr>
          <w:p>
            <w:pPr>
              <w:spacing w:after="0"/>
              <w:rPr>
                <w:sz w:val="19"/>
                <w:szCs w:val="19"/>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(100% Payout)</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(120% Payout)</w:t>
            </w:r>
          </w:p>
        </w:tc>
        <w:tc>
          <w:tcPr>
            <w:tcW w:w="8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Result</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Achievement</w:t>
            </w:r>
          </w:p>
        </w:tc>
        <w:tc>
          <w:tcPr>
            <w:tcW w:w="0" w:type="dxa"/>
            <w:vAlign w:val="bottom"/>
          </w:tcPr>
          <w:p>
            <w:pPr>
              <w:spacing w:after="0"/>
              <w:rPr>
                <w:sz w:val="1"/>
                <w:szCs w:val="1"/>
                <w:color w:val="auto"/>
              </w:rPr>
            </w:pPr>
          </w:p>
        </w:tc>
      </w:tr>
      <w:tr>
        <w:trPr>
          <w:trHeight w:val="25"/>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$425M</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$600M</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(85% of target)</w:t>
            </w: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7"/>
              </w:rPr>
              <w:t>$500M</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(120% of target)</w:t>
            </w: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$427.5M</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20.67%</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Profit Margin</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(80% of target)</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(120% of target)</w:t>
            </w:r>
          </w:p>
        </w:tc>
        <w:tc>
          <w:tcPr>
            <w:tcW w:w="14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0%</w:t>
            </w:r>
          </w:p>
        </w:tc>
        <w:tc>
          <w:tcPr>
            <w:tcW w:w="0" w:type="dxa"/>
            <w:vAlign w:val="bottom"/>
          </w:tcPr>
          <w:p>
            <w:pPr>
              <w:spacing w:after="0"/>
              <w:rPr>
                <w:sz w:val="1"/>
                <w:szCs w:val="1"/>
                <w:color w:val="auto"/>
              </w:rPr>
            </w:pPr>
          </w:p>
        </w:tc>
      </w:tr>
      <w:tr>
        <w:trPr>
          <w:trHeight w:val="25"/>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68</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 Collection</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(80% of target)</w:t>
            </w:r>
          </w:p>
        </w:tc>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85</w:t>
            </w:r>
          </w:p>
        </w:tc>
        <w:tc>
          <w:tcPr>
            <w:tcW w:w="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(120% of target)</w:t>
            </w: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0%</w:t>
            </w:r>
          </w:p>
        </w:tc>
        <w:tc>
          <w:tcPr>
            <w:tcW w:w="0" w:type="dxa"/>
            <w:vAlign w:val="bottom"/>
          </w:tcPr>
          <w:p>
            <w:pPr>
              <w:spacing w:after="0"/>
              <w:rPr>
                <w:sz w:val="1"/>
                <w:szCs w:val="1"/>
                <w:color w:val="auto"/>
              </w:rPr>
            </w:pPr>
          </w:p>
        </w:tc>
      </w:tr>
      <w:tr>
        <w:trPr>
          <w:trHeight w:val="232"/>
        </w:trPr>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20.67%</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Overall performance under the 2025 AIP, determined based on actual performance for each metric and relative weighting of each such metric, was achieved at 20.67% of target. Below are the payouts under the 2025 AIP for each NEO based on the performance results: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Target</w:t>
            </w:r>
          </w:p>
        </w:tc>
        <w:tc>
          <w:tcPr>
            <w:tcW w:w="340" w:type="dxa"/>
            <w:vAlign w:val="bottom"/>
          </w:tcPr>
          <w:p>
            <w:pPr>
              <w:spacing w:after="0"/>
              <w:rPr>
                <w:sz w:val="16"/>
                <w:szCs w:val="16"/>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AIP</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33"/>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Base Salary</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 of Salary)</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Target</w:t>
            </w:r>
          </w:p>
        </w:tc>
        <w:tc>
          <w:tcPr>
            <w:tcW w:w="8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Company Achievement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Total 2025 AIP Payout</w:t>
            </w:r>
          </w:p>
        </w:tc>
      </w:tr>
      <w:tr>
        <w:trPr>
          <w:trHeight w:val="244"/>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Yang Wu</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580,000</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493,000</w:t>
            </w: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20.67%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101,903</w:t>
            </w:r>
          </w:p>
        </w:tc>
      </w:tr>
      <w:tr>
        <w:trPr>
          <w:trHeight w:val="23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Dr. Shengxian Wu</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20.67%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41,340</w:t>
            </w:r>
          </w:p>
        </w:tc>
      </w:tr>
      <w:tr>
        <w:trPr>
          <w:trHeight w:val="25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Isida Tushe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225,000</w:t>
            </w: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20.67%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46,508</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Long-Term Incentives</w:t>
      </w:r>
    </w:p>
    <w:p>
      <w:pPr>
        <w:spacing w:after="0" w:line="234"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We provide equity incentive awards to our NEOs to support retention and focus on building long-term stockholder value through their future performance. During 2025, we granted annual equity awards in the form of service-based restricted stock units (“RSUs”) and performance-based restricted stock units (“PSUs”) to our NEOs. For our NEOs,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equity awards were allocated 50% to PSUs and 50% to RSUs. In 2025, the Compensation Committee approved the following annual equity awards: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ind w:left="560"/>
              <w:spacing w:after="0"/>
              <w:rPr>
                <w:sz w:val="20"/>
                <w:szCs w:val="20"/>
                <w:color w:val="auto"/>
              </w:rPr>
            </w:pPr>
            <w:r>
              <w:rPr>
                <w:rFonts w:ascii="Times New Roman" w:cs="Times New Roman" w:eastAsia="Times New Roman" w:hAnsi="Times New Roman"/>
                <w:sz w:val="17"/>
                <w:szCs w:val="17"/>
                <w:b w:val="1"/>
                <w:bCs w:val="1"/>
                <w:color w:val="auto"/>
              </w:rPr>
              <w:t>RSUs (50%)</w:t>
            </w:r>
          </w:p>
        </w:tc>
        <w:tc>
          <w:tcPr>
            <w:tcW w:w="2160" w:type="dxa"/>
            <w:vAlign w:val="bottom"/>
            <w:gridSpan w:val="2"/>
          </w:tcPr>
          <w:p>
            <w:pPr>
              <w:ind w:left="600"/>
              <w:spacing w:after="0"/>
              <w:rPr>
                <w:sz w:val="20"/>
                <w:szCs w:val="20"/>
                <w:color w:val="auto"/>
              </w:rPr>
            </w:pPr>
            <w:r>
              <w:rPr>
                <w:rFonts w:ascii="Times New Roman" w:cs="Times New Roman" w:eastAsia="Times New Roman" w:hAnsi="Times New Roman"/>
                <w:sz w:val="17"/>
                <w:szCs w:val="17"/>
                <w:b w:val="1"/>
                <w:bCs w:val="1"/>
                <w:color w:val="auto"/>
              </w:rPr>
              <w:t>PSUs (50%)</w:t>
            </w:r>
          </w:p>
        </w:tc>
        <w:tc>
          <w:tcPr>
            <w:tcW w:w="160" w:type="dxa"/>
            <w:vAlign w:val="bottom"/>
          </w:tcPr>
          <w:p>
            <w:pPr>
              <w:spacing w:after="0"/>
              <w:rPr>
                <w:sz w:val="17"/>
                <w:szCs w:val="17"/>
                <w:color w:val="auto"/>
              </w:rPr>
            </w:pPr>
          </w:p>
        </w:tc>
        <w:tc>
          <w:tcPr>
            <w:tcW w:w="1920" w:type="dxa"/>
            <w:vAlign w:val="bottom"/>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3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r>
      <w:tr>
        <w:trPr>
          <w:trHeight w:val="257"/>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Yang Wu</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450,581</w:t>
            </w:r>
          </w:p>
        </w:tc>
        <w:tc>
          <w:tcPr>
            <w:tcW w:w="80" w:type="dxa"/>
            <w:vAlign w:val="bottom"/>
            <w:shd w:val="clear" w:color="auto" w:fill="CCEEFF"/>
          </w:tcPr>
          <w:p>
            <w:pPr>
              <w:spacing w:after="0"/>
              <w:rPr>
                <w:sz w:val="22"/>
                <w:szCs w:val="22"/>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450,581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3,099,998</w:t>
            </w:r>
          </w:p>
        </w:tc>
      </w:tr>
      <w:tr>
        <w:trPr>
          <w:trHeight w:val="252"/>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Dr. Shengxian Wu</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516,000</w:t>
            </w:r>
          </w:p>
        </w:tc>
      </w:tr>
      <w:tr>
        <w:trPr>
          <w:trHeight w:val="264"/>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Isida Tushe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80" w:type="dxa"/>
            <w:vAlign w:val="bottom"/>
            <w:shd w:val="clear" w:color="auto" w:fill="CCEEFF"/>
          </w:tcPr>
          <w:p>
            <w:pPr>
              <w:spacing w:after="0"/>
              <w:rPr>
                <w:sz w:val="22"/>
                <w:szCs w:val="22"/>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516,000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RSU Annual Awards</w:t>
      </w:r>
    </w:p>
    <w:p>
      <w:pPr>
        <w:spacing w:after="0" w:line="23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Each annual RSU award granted in 2025 will vest ratably in annual installments over three years, subject to the NEO’s continued service through the applicable vesting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PSU Annual Awards</w:t>
      </w:r>
    </w:p>
    <w:p>
      <w:pPr>
        <w:spacing w:after="0" w:line="23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The annual PSU awards granted in 2025 provide the opportunity to earn and vest in a number of PSUs, based on the Company’s attainment of the same annual performance goals (revenue, operating profit margin, AR collection) as the 2025 STI. While the PSUs have a one-year performance period, vesting requires NEO’s continued service through the end of the vesting period, which is the third anniversary of the grant date (assuming threshold performance goals are achieved). Based on the performance of the 2025 goals, as described above, 20.67% of the NEOs' target PSUs granted in 2025 will vest on the third anniversary of the grant date, subject to continued service through the vesting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One-Time RSU Awards</w:t>
      </w:r>
    </w:p>
    <w:p>
      <w:pPr>
        <w:spacing w:after="0" w:line="23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Dr. Shengxian Wu and Ms. Tushe were each granted 100,000 RSUs in January 2025 These RSUs vest in near equal installments on each of December 31, 2025, 2026, and 2027, subject to continued employment with or services to us or one of our affiliates through the vesting date.</w:t>
      </w:r>
    </w:p>
    <w:p>
      <w:pPr>
        <w:spacing w:after="0" w:line="19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December 1, 2024, the Compensation Committee approved 2024 long-term incentive awards to the NEOs pursuant to the 2021 Plan. Mr. Wu, our CEO, received 500,000 RSUs, that were fully vested at grant. Ms. Tushe and Dr. Wu each received a grant of stock options to purchase 1,000,000 shares of the Company’s common stock at an exercise price per share of $1.29. The stock options vest in equal installments on each November 8, 2025, 2026, and 2027, subject to continued employment on each vesting date.</w:t>
      </w:r>
    </w:p>
    <w:p>
      <w:pPr>
        <w:spacing w:after="0" w:line="17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Dr. Wu received PSUs in 2023, which will vest, if at all, based on the Company’s achievement of TSR targets during the performance period from January 1, 2023 through December 31, 2025, provided that the recipient continues to provide services to the Company through the date achievement is certified by the Compensation Committee. Relative TSR is measured based on stock price appreciation (including reinvested dividends) of constituent companies in a predetermined peer group during the performance period. Companies in the peer group are ranked based on their TSR during the performance period and PSUs are earned based on the percentile rank of the Company’s TSR during the performance period relative to the TSR of the members of the comparator peer group. The PSUs are earned at 50% of target if the Company TSR performance is achieved at the 25th percentile and 150% of target if the Company TSR performance is achieved at the 75th percentile or higher, with payouts linearly interpolated for performance between levels, and there is 0% payout for Company TSR performance below the 25th percentile.</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Committee reviewed the Company’s relative TSR and determined that the 2023 PSUs were earned at 150% of target.</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16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Measurement</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Threshold</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Target</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Microvast TSR</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Microvast Percentile</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Achievement</w:t>
            </w:r>
          </w:p>
        </w:tc>
      </w:tr>
      <w:tr>
        <w:trPr>
          <w:trHeight w:val="227"/>
        </w:trPr>
        <w:tc>
          <w:tcPr>
            <w:tcW w:w="1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(50% Payout)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(100% Payout)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(150% Payout)</w:t>
            </w: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Rank</w:t>
            </w:r>
          </w:p>
        </w:tc>
        <w:tc>
          <w:tcPr>
            <w:tcW w:w="1600" w:type="dxa"/>
            <w:vAlign w:val="bottom"/>
            <w:tcBorders>
              <w:right w:val="single" w:sz="8" w:color="auto"/>
            </w:tcBorders>
          </w:tcPr>
          <w:p>
            <w:pPr>
              <w:spacing w:after="0"/>
              <w:rPr>
                <w:sz w:val="19"/>
                <w:szCs w:val="19"/>
                <w:color w:val="auto"/>
              </w:rPr>
            </w:pPr>
          </w:p>
        </w:tc>
      </w:tr>
      <w:tr>
        <w:trPr>
          <w:trHeight w:val="25"/>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183"/>
        </w:trPr>
        <w:tc>
          <w:tcPr>
            <w:tcW w:w="162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1/1/2023 –</w:t>
            </w:r>
          </w:p>
        </w:tc>
        <w:tc>
          <w:tcPr>
            <w:tcW w:w="16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25th percentile</w:t>
            </w:r>
          </w:p>
        </w:tc>
        <w:tc>
          <w:tcPr>
            <w:tcW w:w="16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50th percentile</w:t>
            </w:r>
          </w:p>
        </w:tc>
        <w:tc>
          <w:tcPr>
            <w:tcW w:w="16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75th percentile</w:t>
            </w:r>
          </w:p>
        </w:tc>
        <w:tc>
          <w:tcPr>
            <w:tcW w:w="1600" w:type="dxa"/>
            <w:vAlign w:val="bottom"/>
            <w:tcBorders>
              <w:right w:val="single" w:sz="8" w:color="auto"/>
            </w:tcBorders>
          </w:tcPr>
          <w:p>
            <w:pPr>
              <w:jc w:val="right"/>
              <w:ind w:right="574"/>
              <w:spacing w:after="0" w:line="183" w:lineRule="exact"/>
              <w:rPr>
                <w:sz w:val="20"/>
                <w:szCs w:val="20"/>
                <w:color w:val="auto"/>
              </w:rPr>
            </w:pPr>
            <w:r>
              <w:rPr>
                <w:rFonts w:ascii="Times New Roman" w:cs="Times New Roman" w:eastAsia="Times New Roman" w:hAnsi="Times New Roman"/>
                <w:sz w:val="17"/>
                <w:szCs w:val="17"/>
                <w:color w:val="auto"/>
              </w:rPr>
              <w:t>74%</w:t>
            </w:r>
          </w:p>
        </w:tc>
        <w:tc>
          <w:tcPr>
            <w:tcW w:w="16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80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Percentile</w:t>
            </w:r>
          </w:p>
        </w:tc>
        <w:tc>
          <w:tcPr>
            <w:tcW w:w="1600" w:type="dxa"/>
            <w:vAlign w:val="bottom"/>
            <w:tcBorders>
              <w:right w:val="single" w:sz="8" w:color="auto"/>
            </w:tcBorders>
          </w:tcPr>
          <w:p>
            <w:pPr>
              <w:jc w:val="right"/>
              <w:ind w:right="534"/>
              <w:spacing w:after="0" w:line="183" w:lineRule="exact"/>
              <w:rPr>
                <w:sz w:val="20"/>
                <w:szCs w:val="20"/>
                <w:color w:val="auto"/>
              </w:rPr>
            </w:pPr>
            <w:r>
              <w:rPr>
                <w:rFonts w:ascii="Times New Roman" w:cs="Times New Roman" w:eastAsia="Times New Roman" w:hAnsi="Times New Roman"/>
                <w:sz w:val="17"/>
                <w:szCs w:val="17"/>
                <w:color w:val="auto"/>
              </w:rPr>
              <w:t>150%</w:t>
            </w:r>
          </w:p>
        </w:tc>
      </w:tr>
      <w:tr>
        <w:trPr>
          <w:trHeight w:val="223"/>
        </w:trPr>
        <w:tc>
          <w:tcPr>
            <w:tcW w:w="1620" w:type="dxa"/>
            <w:vAlign w:val="bottom"/>
            <w:tcBorders>
              <w:left w:val="single" w:sz="8" w:color="auto"/>
              <w:right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12/31/2025</w:t>
            </w: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r>
      <w:tr>
        <w:trPr>
          <w:trHeight w:val="25"/>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 and Anti-Hedging and Anti-Pledging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69"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The Company has an insider trading policy which governs the purchase, sale and other dispositions of its securities by directors, officers, employees and other agents of the Company, as well as their immediate family members and other persons living in their households. We believe our insider trading policy is reasonably designed to promote compliance with insider trading laws, rules and regulations and any listing standards applicable to the Company. The insider trading policy prohibits covered persons from directly or indirectly purchasing or selling the Company’s securities while in possession of material non-public information concerning the Company, except in the limited circumstances described in the policy. Additionally, the Company’s directors, officers and employees are prohibited from engaging in hedging and pledging transactions with respect to the Company’s securities of the Company. The insider trading policy requires pre-approval of any transaction related to the Company’s securities by the Company’s directors, officers, certain employees and agents.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Recovery Policy</w:t>
      </w:r>
    </w:p>
    <w:p>
      <w:pPr>
        <w:spacing w:after="0" w:line="234"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We have adopted a compensation recovery policy in accordance with the listing standards and rules of the Nasdaq Stock Market, that requires the Board to recoup excess compensation paid to our executive officers as a result of a financial statement restatement, regardless of any misconduct, fault or illegal activity on the part of the executive officer. The clawback policy applies in the case of an accounting restatement due to the material noncompliance of the Company with any financial reporting requirement under the securities laws. The clawback policy applies to all incentive-based compensation, which is any compensation that is granted, earned, or vested based wholly or in part upon the attainment of a financial reporting measure, received by our executive officers.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Award Policies and Practices</w:t>
      </w:r>
    </w:p>
    <w:p>
      <w:pPr>
        <w:spacing w:after="0" w:line="234"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Although we have not adopted a formal policy pertaining to the timing of stock option grants to our named executive officers, it is our practice not to time the grant of equity awards, including stock options, in relation to the release of material non-public information. Similarly, the Company does not time the disclosure of material nonpublic information for the purpose of affecting the value of executive compensation. The Compensation Committee generally approves the grant of annual equity awards for the Company’s executive officers, including each of the named executive officers, in December of each year. In special circumstances, including the hiring or promotion of an individual or where the Compensation Committee determines it is in the best interest of the Company, the Compensation Committee may approve grants of equity awards at other times.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 with NEOs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Mr. Wu is a party to a written employment arrangement with the Company (the “Employment Agreement”). The material terms of that arrangement are summarized below. For a description of the compensation actually paid to the NEOs for Fiscal Year ended December 31, 2025, please refer to the “Summary Compensation Table” above. Dr. Wu, Ms. Tushe, Mr. Worthen are not parties to an employment agreement.</w:t>
      </w:r>
    </w:p>
    <w:p>
      <w:pPr>
        <w:spacing w:after="0" w:line="1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Subject to earlier termination in accordance with the Employment Agreement, Mr. Wu is engaged for a three-year term of employment, at the end of which his term of employment will be automatically extended for additional 12-month periods unless a notice of non-renewal is given by either party in accordance with the notice requirements of the Employment Agreement prior to the expiration of the term then in effect.</w:t>
      </w:r>
    </w:p>
    <w:p>
      <w:pPr>
        <w:spacing w:after="0" w:line="18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Employment Agreement provides for an annual base salary, the opportunity to participate in the Company’s annual incentive bonus plan for senior executives and the Company’s long-term incentive plan, each in accordance with the terms of such plans that may be in effect from time-to-time and subject to such other terms as the Board may approve and eligibility to participate in the benefit plans or programs of the Company generally provided to other similarly situated executives of the Company.</w:t>
      </w:r>
    </w:p>
    <w:p>
      <w:pPr>
        <w:spacing w:after="0" w:line="204"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The term of employment under the Employment Agreement may be terminated by either the Company or Mr. Wu at any time and for any reason upon thirty (30) days’ prior written notice. Upon a termination by the Company or Mr. Wu for any reason, Mr. Wu (or his estate upon a termination due to his death) will receive all accrued salary and any earned but unpaid bonuses through and including the date of termination. Following a termination due to death or disability of Mr. Wu, he (or his estate) will also receive: (i) a pro rata bonus for the annual bonus that he would have earned for the fiscal year in which the death or disability occurs based on performance as determined by the Board, prorated for the period of time during the fiscal year worked by Mr. Wu; and (ii) if the death or disability occurs within his three-year term, full acceleration of any equity awards or other long-term incentive awards held by Mr. Wu as of the effective time of his Employment Agreement that were granted to Mr. Wu prior to such effective time. Any other outstanding equity awards or long-term incentive awards granted to Mr. Wu following the effective time of his Employment Agreement will be treated in accordance with the terms of the applicable plans and award agreements.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Following a termination of employment by the Company without Cause (as defined in the Employment Agreement) or due to resignation by Mr. Wu for Good Reason (as defined in the Employment Agreement), in either case, prior to a Change in Control (as defined in the Employment Agreement), subject to the execution and non-revocation by Mr. Wu of a general release of claims in favor of the Company, Mr. Wu will be entitled to: (i) an amount equal to two and a half times the sum of (x) Mr. Wu’s then-current base salary plus (y) the greater of (A) the average amount of the annual bonus paid to Mr. Wu for each of the three fiscal years immediately prior to the fiscal year in which the termination or resignation occurs or (B) the target annual bonus for the fiscal year in which the termination or resignation occurs, payable in substantially equal monthly installments over a period of thirty (30) months; and (ii) if the termination without Cause or resignation for Good Reason occurs within three years following the effective time of his Employment Agreement, full acceleration of any equity awards or other long-term incentive awards held by Mr. Wu as of the effective time of his Employment Agreement that were granted to the executive prior to such effective time. Any other outstanding equity awards or long-term incentive awards granted to Mr. Wu following the effective time of his Employment Agreement will be treated in accordance with the terms of the applicable plans and award agreements.</w:t>
      </w:r>
    </w:p>
    <w:p>
      <w:pPr>
        <w:spacing w:after="0" w:line="201"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Following a termination by the Company without Cause or due to resignation by Mr. Wu for Good Reason on or within two years following the closing of a Change in Control, subject to the execution and non-revocation by Mr. Wu of a general release of claims in favor of the Company, Mr. Wu will be entitled to: (i) an amount equal to three times the sum of (x) Mr. Wu’s then-current base salary plus (y) the greater of (A) the average amount of the annual bonus paid to Mr. Wu for each of the three fiscal years immediately prior to the fiscal year in which the termination or resignation occurs or (B) the target annual bonus for the fiscal year in which the termination or resignation occurs, payable in a single lump sum within seventy-five (75) days of the termination or resignation; (ii) a pro rata bonus of the greater of (A) the average amount of the annual bonus paid to Mr. Wu for each of the three fiscal years immediately prior to the fiscal year in which the termination or resignation occurs or (B) the annual bonus Mr. Wu would have earned for the fiscal year in which the termination or resignation occurs based on performance as determined through the date of termination or resignation, prorated for the period of time during the fiscal year worked by Mr. Wu, payable in a single lump sum within seventy-five (75) days of the termination or resignation; and (iii) full acceleration of all outstanding equity awards held by Mr. Wu as of the date of termination or resignation.</w:t>
      </w:r>
    </w:p>
    <w:p>
      <w:pPr>
        <w:spacing w:after="0" w:line="21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Mr. Wu is subject to restrictive covenants as follows: (i) a post-termination non-compete covenant for a period of eighteen (18) months following his termination or resignation for any reason; (ii) confidentiality restrictions through the time period such confidential information remains not generally known to the public; and (iii) customer and employee non-solicitation and non-interference for a period of eighteen (18) months following his termination or resignation for any reason.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outstanding equity awards held by each of our NEOs as of December 31, 2025.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2"/>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3"/>
              </w:rPr>
              <w:t>Equity</w:t>
            </w:r>
          </w:p>
        </w:tc>
      </w:tr>
      <w:tr>
        <w:trPr>
          <w:trHeight w:val="168"/>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incentive</w:t>
            </w:r>
          </w:p>
        </w:tc>
      </w:tr>
      <w:tr>
        <w:trPr>
          <w:trHeight w:val="155"/>
        </w:trPr>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3"/>
                <w:szCs w:val="13"/>
                <w:color w:val="auto"/>
              </w:rPr>
            </w:pPr>
          </w:p>
        </w:tc>
        <w:tc>
          <w:tcPr>
            <w:tcW w:w="1000" w:type="dxa"/>
            <w:vAlign w:val="bottom"/>
          </w:tcPr>
          <w:p>
            <w:pPr>
              <w:jc w:val="center"/>
              <w:ind w:right="31"/>
              <w:spacing w:after="0" w:line="155" w:lineRule="exact"/>
              <w:rPr>
                <w:sz w:val="20"/>
                <w:szCs w:val="20"/>
                <w:color w:val="auto"/>
              </w:rPr>
            </w:pPr>
            <w:r>
              <w:rPr>
                <w:rFonts w:ascii="Times New Roman" w:cs="Times New Roman" w:eastAsia="Times New Roman" w:hAnsi="Times New Roman"/>
                <w:sz w:val="14"/>
                <w:szCs w:val="14"/>
                <w:b w:val="1"/>
                <w:bCs w:val="1"/>
                <w:color w:val="auto"/>
                <w:w w:val="99"/>
              </w:rPr>
              <w:t>plan awards:</w:t>
            </w:r>
          </w:p>
        </w:tc>
      </w:tr>
      <w:tr>
        <w:trPr>
          <w:trHeight w:val="168"/>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plan awards:</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Market or payout</w:t>
            </w:r>
          </w:p>
        </w:tc>
      </w:tr>
      <w:tr>
        <w:trPr>
          <w:trHeight w:val="168"/>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8"/>
              </w:rPr>
              <w:t>Market value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4"/>
                <w:szCs w:val="14"/>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value of</w:t>
            </w:r>
          </w:p>
        </w:tc>
      </w:tr>
      <w:tr>
        <w:trPr>
          <w:trHeight w:val="168"/>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6"/>
              </w:rPr>
              <w:t>securities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shares of units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100" w:type="dxa"/>
            <w:vAlign w:val="bottom"/>
          </w:tcPr>
          <w:p>
            <w:pPr>
              <w:spacing w:after="0"/>
              <w:rPr>
                <w:sz w:val="14"/>
                <w:szCs w:val="14"/>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5"/>
              </w:rPr>
              <w:t>unearned</w:t>
            </w:r>
          </w:p>
        </w:tc>
      </w:tr>
      <w:tr>
        <w:trPr>
          <w:trHeight w:val="155"/>
        </w:trPr>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left="51"/>
              <w:spacing w:after="0" w:line="155"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or</w:t>
            </w:r>
          </w:p>
        </w:tc>
        <w:tc>
          <w:tcPr>
            <w:tcW w:w="80" w:type="dxa"/>
            <w:vAlign w:val="bottom"/>
          </w:tcPr>
          <w:p>
            <w:pPr>
              <w:spacing w:after="0"/>
              <w:rPr>
                <w:sz w:val="13"/>
                <w:szCs w:val="13"/>
                <w:color w:val="auto"/>
              </w:rPr>
            </w:pPr>
          </w:p>
        </w:tc>
        <w:tc>
          <w:tcPr>
            <w:tcW w:w="1020" w:type="dxa"/>
            <w:vAlign w:val="bottom"/>
          </w:tcPr>
          <w:p>
            <w:pPr>
              <w:jc w:val="center"/>
              <w:ind w:right="11"/>
              <w:spacing w:after="0" w:line="155" w:lineRule="exact"/>
              <w:rPr>
                <w:sz w:val="20"/>
                <w:szCs w:val="20"/>
                <w:color w:val="auto"/>
              </w:rPr>
            </w:pPr>
            <w:r>
              <w:rPr>
                <w:rFonts w:ascii="Times New Roman" w:cs="Times New Roman" w:eastAsia="Times New Roman" w:hAnsi="Times New Roman"/>
                <w:sz w:val="14"/>
                <w:szCs w:val="14"/>
                <w:b w:val="1"/>
                <w:bCs w:val="1"/>
                <w:color w:val="auto"/>
                <w:w w:val="99"/>
              </w:rPr>
              <w:t>stock that have</w:t>
            </w:r>
          </w:p>
        </w:tc>
        <w:tc>
          <w:tcPr>
            <w:tcW w:w="13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8"/>
              </w:rPr>
              <w:t>shares, units or</w:t>
            </w:r>
          </w:p>
        </w:tc>
        <w:tc>
          <w:tcPr>
            <w:tcW w:w="100" w:type="dxa"/>
            <w:vAlign w:val="bottom"/>
          </w:tcPr>
          <w:p>
            <w:pPr>
              <w:spacing w:after="0"/>
              <w:rPr>
                <w:sz w:val="13"/>
                <w:szCs w:val="13"/>
                <w:color w:val="auto"/>
              </w:rPr>
            </w:pPr>
          </w:p>
        </w:tc>
        <w:tc>
          <w:tcPr>
            <w:tcW w:w="1000" w:type="dxa"/>
            <w:vAlign w:val="bottom"/>
          </w:tcPr>
          <w:p>
            <w:pPr>
              <w:jc w:val="center"/>
              <w:ind w:right="31"/>
              <w:spacing w:after="0" w:line="155" w:lineRule="exact"/>
              <w:rPr>
                <w:sz w:val="20"/>
                <w:szCs w:val="20"/>
                <w:color w:val="auto"/>
              </w:rPr>
            </w:pPr>
            <w:r>
              <w:rPr>
                <w:rFonts w:ascii="Times New Roman" w:cs="Times New Roman" w:eastAsia="Times New Roman" w:hAnsi="Times New Roman"/>
                <w:sz w:val="14"/>
                <w:szCs w:val="14"/>
                <w:b w:val="1"/>
                <w:bCs w:val="1"/>
                <w:color w:val="auto"/>
                <w:w w:val="98"/>
              </w:rPr>
              <w:t>shares, units or</w:t>
            </w:r>
          </w:p>
        </w:tc>
      </w:tr>
      <w:tr>
        <w:trPr>
          <w:trHeight w:val="168"/>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6"/>
              </w:rPr>
              <w:t>unexercised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units of stock that</w:t>
            </w:r>
          </w:p>
        </w:tc>
        <w:tc>
          <w:tcPr>
            <w:tcW w:w="80" w:type="dxa"/>
            <w:vAlign w:val="bottom"/>
          </w:tcPr>
          <w:p>
            <w:pPr>
              <w:spacing w:after="0"/>
              <w:rPr>
                <w:sz w:val="14"/>
                <w:szCs w:val="14"/>
                <w:color w:val="auto"/>
              </w:rPr>
            </w:pPr>
          </w:p>
        </w:tc>
        <w:tc>
          <w:tcPr>
            <w:tcW w:w="102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2"/>
              </w:rPr>
              <w:t>not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other rights that</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other rights that</w:t>
            </w:r>
          </w:p>
        </w:tc>
      </w:tr>
      <w:tr>
        <w:trPr>
          <w:trHeight w:val="167"/>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unexercised options</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have not vested</w:t>
            </w:r>
          </w:p>
        </w:tc>
        <w:tc>
          <w:tcPr>
            <w:tcW w:w="80" w:type="dxa"/>
            <w:vAlign w:val="bottom"/>
          </w:tcPr>
          <w:p>
            <w:pPr>
              <w:spacing w:after="0"/>
              <w:rPr>
                <w:sz w:val="14"/>
                <w:szCs w:val="14"/>
                <w:color w:val="auto"/>
              </w:rPr>
            </w:pPr>
          </w:p>
        </w:tc>
        <w:tc>
          <w:tcPr>
            <w:tcW w:w="102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have not vested</w:t>
            </w:r>
          </w:p>
        </w:tc>
        <w:tc>
          <w:tcPr>
            <w:tcW w:w="100" w:type="dxa"/>
            <w:vAlign w:val="bottom"/>
          </w:tcPr>
          <w:p>
            <w:pPr>
              <w:spacing w:after="0"/>
              <w:rPr>
                <w:sz w:val="14"/>
                <w:szCs w:val="14"/>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have not vested</w:t>
            </w:r>
          </w:p>
        </w:tc>
      </w:tr>
      <w:tr>
        <w:trPr>
          <w:trHeight w:val="219"/>
        </w:trPr>
        <w:tc>
          <w:tcPr>
            <w:tcW w:w="1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exercisable</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unexercisable</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color w:val="auto"/>
                <w:w w:val="87"/>
                <w:vertAlign w:val="superscript"/>
              </w:rPr>
              <w:t>(1)</w:t>
            </w:r>
          </w:p>
        </w:tc>
        <w:tc>
          <w:tcPr>
            <w:tcW w:w="1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color w:val="auto"/>
                <w:w w:val="87"/>
                <w:vertAlign w:val="superscript"/>
              </w:rPr>
              <w:t>(1)</w:t>
            </w:r>
          </w:p>
        </w:tc>
      </w:tr>
      <w:tr>
        <w:trPr>
          <w:trHeight w:val="199"/>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Yang Wu</w:t>
            </w:r>
          </w:p>
        </w:tc>
        <w:tc>
          <w:tcPr>
            <w:tcW w:w="9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450,581 </w:t>
            </w:r>
            <w:r>
              <w:rPr>
                <w:rFonts w:ascii="Times New Roman" w:cs="Times New Roman" w:eastAsia="Times New Roman" w:hAnsi="Times New Roman"/>
                <w:sz w:val="17"/>
                <w:szCs w:val="17"/>
                <w:color w:val="auto"/>
                <w:vertAlign w:val="superscript"/>
              </w:rPr>
              <w:t>(10)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1,261,627</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93,135 (2)</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260,778</w:t>
            </w:r>
          </w:p>
        </w:tc>
        <w:tc>
          <w:tcPr>
            <w:tcW w:w="13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6"/>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Dr. Shengxian Wu</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666,667 </w:t>
            </w:r>
            <w:r>
              <w:rPr>
                <w:rFonts w:ascii="Times New Roman" w:cs="Times New Roman" w:eastAsia="Times New Roman" w:hAnsi="Times New Roman"/>
                <w:sz w:val="17"/>
                <w:szCs w:val="17"/>
                <w:color w:val="auto"/>
                <w:vertAlign w:val="superscript"/>
              </w:rPr>
              <w:t>(3)</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12/5/2034</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160,300</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7/24/2027</w:t>
            </w:r>
          </w:p>
        </w:tc>
        <w:tc>
          <w:tcPr>
            <w:tcW w:w="10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6"/>
        </w:trPr>
        <w:tc>
          <w:tcPr>
            <w:tcW w:w="1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7/28/2030</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480,900</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12/25/2030</w:t>
            </w:r>
          </w:p>
        </w:tc>
        <w:tc>
          <w:tcPr>
            <w:tcW w:w="10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2"/>
        </w:trPr>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13,333 </w:t>
            </w:r>
            <w:r>
              <w:rPr>
                <w:rFonts w:ascii="Times New Roman" w:cs="Times New Roman" w:eastAsia="Times New Roman" w:hAnsi="Times New Roman"/>
                <w:sz w:val="17"/>
                <w:szCs w:val="17"/>
                <w:color w:val="auto"/>
                <w:vertAlign w:val="superscript"/>
              </w:rPr>
              <w:t>(7)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37,332</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66,667 </w:t>
            </w:r>
            <w:r>
              <w:rPr>
                <w:rFonts w:ascii="Times New Roman" w:cs="Times New Roman" w:eastAsia="Times New Roman" w:hAnsi="Times New Roman"/>
                <w:sz w:val="17"/>
                <w:szCs w:val="17"/>
                <w:color w:val="auto"/>
                <w:vertAlign w:val="superscript"/>
              </w:rPr>
              <w:t>(9)</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186,668</w:t>
            </w:r>
          </w:p>
        </w:tc>
        <w:tc>
          <w:tcPr>
            <w:tcW w:w="13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75,000 </w:t>
            </w:r>
            <w:r>
              <w:rPr>
                <w:rFonts w:ascii="Times New Roman" w:cs="Times New Roman" w:eastAsia="Times New Roman" w:hAnsi="Times New Roman"/>
                <w:sz w:val="17"/>
                <w:szCs w:val="17"/>
                <w:color w:val="auto"/>
                <w:vertAlign w:val="superscript"/>
              </w:rPr>
              <w:t>(10)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15,503 </w:t>
            </w:r>
            <w:r>
              <w:rPr>
                <w:rFonts w:ascii="Times New Roman" w:cs="Times New Roman" w:eastAsia="Times New Roman" w:hAnsi="Times New Roman"/>
                <w:sz w:val="17"/>
                <w:szCs w:val="17"/>
                <w:color w:val="auto"/>
                <w:vertAlign w:val="superscript"/>
              </w:rPr>
              <w:t>(2)</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43,408</w:t>
            </w:r>
          </w:p>
        </w:tc>
        <w:tc>
          <w:tcPr>
            <w:tcW w:w="13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60,000 </w:t>
            </w:r>
            <w:r>
              <w:rPr>
                <w:rFonts w:ascii="Times New Roman" w:cs="Times New Roman" w:eastAsia="Times New Roman" w:hAnsi="Times New Roman"/>
                <w:sz w:val="17"/>
                <w:szCs w:val="17"/>
                <w:color w:val="auto"/>
                <w:vertAlign w:val="superscript"/>
              </w:rPr>
              <w:t>(8)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168,000</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Isida Tushe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333,333</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666,667 </w:t>
            </w:r>
            <w:r>
              <w:rPr>
                <w:rFonts w:ascii="Times New Roman" w:cs="Times New Roman" w:eastAsia="Times New Roman" w:hAnsi="Times New Roman"/>
                <w:sz w:val="17"/>
                <w:szCs w:val="17"/>
                <w:color w:val="auto"/>
                <w:vertAlign w:val="superscript"/>
              </w:rPr>
              <w:t>(3)</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12/5/2034</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33,333 </w:t>
            </w:r>
            <w:r>
              <w:rPr>
                <w:rFonts w:ascii="Times New Roman" w:cs="Times New Roman" w:eastAsia="Times New Roman" w:hAnsi="Times New Roman"/>
                <w:sz w:val="17"/>
                <w:szCs w:val="17"/>
                <w:color w:val="auto"/>
                <w:vertAlign w:val="superscript"/>
              </w:rPr>
              <w:t>(4)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3/15/2033</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100,000 </w:t>
            </w:r>
            <w:r>
              <w:rPr>
                <w:rFonts w:ascii="Times New Roman" w:cs="Times New Roman" w:eastAsia="Times New Roman" w:hAnsi="Times New Roman"/>
                <w:sz w:val="17"/>
                <w:szCs w:val="17"/>
                <w:color w:val="auto"/>
                <w:vertAlign w:val="superscript"/>
              </w:rPr>
              <w:t>(5)</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8/9/2033</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66,667 </w:t>
            </w:r>
            <w:r>
              <w:rPr>
                <w:rFonts w:ascii="Times New Roman" w:cs="Times New Roman" w:eastAsia="Times New Roman" w:hAnsi="Times New Roman"/>
                <w:sz w:val="17"/>
                <w:szCs w:val="17"/>
                <w:color w:val="auto"/>
                <w:vertAlign w:val="superscript"/>
              </w:rPr>
              <w:t>(9)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186,668</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w w:val="85"/>
              </w:rPr>
              <w:t>—</w:t>
            </w:r>
          </w:p>
        </w:tc>
      </w:tr>
      <w:tr>
        <w:trPr>
          <w:trHeight w:val="20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75,000 </w:t>
            </w:r>
            <w:r>
              <w:rPr>
                <w:rFonts w:ascii="Times New Roman" w:cs="Times New Roman" w:eastAsia="Times New Roman" w:hAnsi="Times New Roman"/>
                <w:sz w:val="17"/>
                <w:szCs w:val="17"/>
                <w:color w:val="auto"/>
                <w:vertAlign w:val="superscript"/>
              </w:rPr>
              <w:t>(10)</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3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85"/>
              </w:rPr>
              <w:t>—</w:t>
            </w:r>
          </w:p>
        </w:tc>
      </w:tr>
      <w:tr>
        <w:trPr>
          <w:trHeight w:val="206"/>
        </w:trPr>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15,503</w:t>
            </w:r>
            <w:r>
              <w:rPr>
                <w:rFonts w:ascii="Times New Roman" w:cs="Times New Roman" w:eastAsia="Times New Roman" w:hAnsi="Times New Roman"/>
                <w:sz w:val="17"/>
                <w:szCs w:val="17"/>
                <w:color w:val="auto"/>
                <w:vertAlign w:val="superscript"/>
              </w:rPr>
              <w:t>(2)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43,408</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w w:val="85"/>
              </w:rPr>
              <w:t>—</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8" w:lineRule="exact"/>
        <w:rPr>
          <w:sz w:val="20"/>
          <w:szCs w:val="20"/>
          <w:color w:val="auto"/>
        </w:rPr>
      </w:pPr>
    </w:p>
    <w:p>
      <w:pPr>
        <w:ind w:left="320" w:hanging="317"/>
        <w:spacing w:after="0" w:line="225" w:lineRule="auto"/>
        <w:tabs>
          <w:tab w:leader="none" w:pos="308"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value presented in the table is equal to the product of the number of RSUs and PSUs, as applicable, that had not vested as of December 31, 2025 and the closing price of our common stock on such date, which was $2.80.</w:t>
      </w:r>
    </w:p>
    <w:p>
      <w:pPr>
        <w:spacing w:after="0" w:line="1" w:lineRule="exact"/>
        <w:rPr>
          <w:rFonts w:ascii="Times New Roman" w:cs="Times New Roman" w:eastAsia="Times New Roman" w:hAnsi="Times New Roman"/>
          <w:sz w:val="22"/>
          <w:szCs w:val="22"/>
          <w:color w:val="auto"/>
          <w:vertAlign w:val="superscript"/>
        </w:rPr>
      </w:pPr>
    </w:p>
    <w:p>
      <w:pPr>
        <w:jc w:val="both"/>
        <w:ind w:left="320" w:hanging="317"/>
        <w:spacing w:after="0" w:line="230" w:lineRule="auto"/>
        <w:tabs>
          <w:tab w:leader="none" w:pos="308"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shares earned under PSUs granted pursuant to the 2025 long term incentive plan. These shares were earned following certification of the applicable performance goals by the Compensation Committee. These earned PSUs remain subject to the NEO's continued employment with or services to us or one of our affiliates through the vesting date.</w:t>
      </w:r>
    </w:p>
    <w:p>
      <w:pPr>
        <w:spacing w:after="0" w:line="1" w:lineRule="exact"/>
        <w:rPr>
          <w:rFonts w:ascii="Times New Roman" w:cs="Times New Roman" w:eastAsia="Times New Roman" w:hAnsi="Times New Roman"/>
          <w:sz w:val="22"/>
          <w:szCs w:val="22"/>
          <w:color w:val="auto"/>
          <w:vertAlign w:val="superscript"/>
        </w:rPr>
      </w:pPr>
    </w:p>
    <w:p>
      <w:pPr>
        <w:jc w:val="both"/>
        <w:ind w:left="320" w:hanging="317"/>
        <w:spacing w:after="0" w:line="230" w:lineRule="auto"/>
        <w:tabs>
          <w:tab w:leader="none" w:pos="308"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stock options that vested one-third on November 8, 2025 and one-third will vest on each of November 8, 2026 and 2027, subject to the NEO’s continued employment with or services to us or one of our affiliates through the vesting date. 232,557 options are treated as incentive stock options which are intended to qualify for favorable tax treatment under Section 422 of the Internal Revenue Code.</w:t>
      </w:r>
    </w:p>
    <w:p>
      <w:pPr>
        <w:spacing w:after="0" w:line="1" w:lineRule="exact"/>
        <w:rPr>
          <w:rFonts w:ascii="Times New Roman" w:cs="Times New Roman" w:eastAsia="Times New Roman" w:hAnsi="Times New Roman"/>
          <w:sz w:val="22"/>
          <w:szCs w:val="22"/>
          <w:color w:val="auto"/>
          <w:vertAlign w:val="superscript"/>
        </w:rPr>
      </w:pPr>
    </w:p>
    <w:p>
      <w:pPr>
        <w:ind w:left="320" w:hanging="317"/>
        <w:spacing w:after="0" w:line="220" w:lineRule="auto"/>
        <w:tabs>
          <w:tab w:leader="none" w:pos="308"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stock options that vested one-third each on March 15, 2024 and 2025 and will vest one-third on March 15, 2026, subject to the NEO’s continued employment with or services to us or one of our affiliates through the vesting date.</w:t>
      </w:r>
    </w:p>
    <w:p>
      <w:pPr>
        <w:spacing w:after="0" w:line="1" w:lineRule="exact"/>
        <w:rPr>
          <w:rFonts w:ascii="Times New Roman" w:cs="Times New Roman" w:eastAsia="Times New Roman" w:hAnsi="Times New Roman"/>
          <w:sz w:val="22"/>
          <w:szCs w:val="22"/>
          <w:color w:val="auto"/>
          <w:vertAlign w:val="superscript"/>
        </w:rPr>
      </w:pPr>
    </w:p>
    <w:p>
      <w:pPr>
        <w:ind w:left="320" w:hanging="317"/>
        <w:spacing w:after="0" w:line="220" w:lineRule="auto"/>
        <w:tabs>
          <w:tab w:leader="none" w:pos="308"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stocks options that vested one-third each on August 9, 2024 and 2025 and will vest one-third on August 9, 2026, subject to the NEO’s continued employment with or services to us or one of our affiliates through the vesting date.</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5" w:lineRule="auto"/>
        <w:tabs>
          <w:tab w:leader="none" w:pos="30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stock options that vested in equal installments on each of July 23, 2022, 2023 and 2024.</w:t>
      </w:r>
    </w:p>
    <w:p>
      <w:pPr>
        <w:spacing w:after="0" w:line="1" w:lineRule="exact"/>
        <w:rPr>
          <w:rFonts w:ascii="Times New Roman" w:cs="Times New Roman" w:eastAsia="Times New Roman" w:hAnsi="Times New Roman"/>
          <w:sz w:val="22"/>
          <w:szCs w:val="22"/>
          <w:color w:val="auto"/>
          <w:vertAlign w:val="superscript"/>
        </w:rPr>
      </w:pPr>
    </w:p>
    <w:p>
      <w:pPr>
        <w:jc w:val="both"/>
        <w:ind w:left="320" w:hanging="317"/>
        <w:spacing w:after="0" w:line="230" w:lineRule="auto"/>
        <w:tabs>
          <w:tab w:leader="none" w:pos="308"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RSUs granted under the 2021 Plan that were unvested as of December 31, 2025. These RSUs were part of an award that vested one-third each on January 31, 2024 and 2025 and will vest one-third on January 31, 2026, subject to the NEO’s continued employment with or services to us or one of our affiliates through the vesting date.</w:t>
      </w:r>
    </w:p>
    <w:p>
      <w:pPr>
        <w:ind w:left="320" w:hanging="317"/>
        <w:spacing w:after="0" w:line="220" w:lineRule="auto"/>
        <w:tabs>
          <w:tab w:leader="none" w:pos="308"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shares earned under PSUs granted pursuant to the 2023 long term incentive plan. These shares were earned following certification of the applicable performance goals by the Compensation Committee. These earned PSUs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remain subject to the NEO's continued employment with or services to us or one of our affiliates through the vesting date.</w:t>
      </w:r>
    </w:p>
    <w:p>
      <w:pPr>
        <w:spacing w:after="0" w:line="18" w:lineRule="exact"/>
        <w:rPr>
          <w:sz w:val="20"/>
          <w:szCs w:val="20"/>
          <w:color w:val="auto"/>
        </w:rPr>
      </w:pPr>
    </w:p>
    <w:p>
      <w:pPr>
        <w:jc w:val="both"/>
        <w:ind w:left="320" w:hanging="317"/>
        <w:spacing w:after="0" w:line="230" w:lineRule="auto"/>
        <w:tabs>
          <w:tab w:leader="none" w:pos="308"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RSUs granted under the 2021 Plan that were unvested as of December 31, 2025. These RSUs were part of an award that vested one-third on December 31, 2025 and will vest one-third on each of December 31, 2026 and 2027, subject to the NEO's continued employment with or services to us or one of our affiliates through the vesting date.</w:t>
      </w:r>
    </w:p>
    <w:p>
      <w:pPr>
        <w:spacing w:after="0" w:line="1" w:lineRule="exact"/>
        <w:rPr>
          <w:rFonts w:ascii="Times New Roman" w:cs="Times New Roman" w:eastAsia="Times New Roman" w:hAnsi="Times New Roman"/>
          <w:sz w:val="22"/>
          <w:szCs w:val="22"/>
          <w:color w:val="auto"/>
          <w:vertAlign w:val="superscript"/>
        </w:rPr>
      </w:pPr>
    </w:p>
    <w:p>
      <w:pPr>
        <w:jc w:val="both"/>
        <w:ind w:left="320" w:hanging="317"/>
        <w:spacing w:after="0" w:line="234" w:lineRule="auto"/>
        <w:tabs>
          <w:tab w:leader="none" w:pos="312"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RSUs granted pursuant to the 2025 long term incentive plan that were unvested as of December 31, 2025. These RSUs were part of an award that vest one-third on each of June 5, 2026, 2027 and 2028, respectively, subject to the NEO's continued employment with or services to us or one of our affiliates through the vesting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Retirement Plans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sponsor a 401(k) plan covering substantially all our U.S. employees, including our U.S. NEOs. Eligible employees may elect to make pre-tax contributions to the plan, subject to limitations set forth by the plan and the Code. All eligible employees, including our NEOs, may participate in the plan on substantially the same terms. We do not provide matching employer contributions to employees’ accounts under the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Termination and Change in Control Provisions</w:t>
      </w:r>
    </w:p>
    <w:p>
      <w:pPr>
        <w:spacing w:after="0" w:line="24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Descriptions of the severance payments and benefits to be provided to our NEOs, including in respect of equity awards held by our NEOs, in connection with certain terminations of employment both in connection with a change in control and not in connection with a change in control, are set forth in “Elements of Executive Compensation—Long Term Incentives” and “Employment Agreements with NEOs”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sets forth information regarding non-employee director compensation for the year ended December 31, 2025.</w:t>
      </w:r>
    </w:p>
    <w:p>
      <w:pPr>
        <w:sectPr>
          <w:pgSz w:w="11900" w:h="16838" w:orient="portrait"/>
          <w:cols w:equalWidth="0" w:num="1">
            <w:col w:w="11240"/>
          </w:cols>
          <w:pgMar w:left="320" w:top="119" w:right="339" w:bottom="1440" w:gutter="0" w:footer="0" w:header="0"/>
        </w:sect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0" w:type="dxa"/>
            <w:vAlign w:val="bottom"/>
          </w:tcPr>
          <w:p>
            <w:pPr>
              <w:spacing w:after="0"/>
              <w:rPr>
                <w:sz w:val="20"/>
                <w:szCs w:val="20"/>
                <w:color w:val="auto"/>
              </w:rPr>
            </w:pPr>
          </w:p>
        </w:tc>
        <w:tc>
          <w:tcPr>
            <w:tcW w:w="2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Fees Earned or Paid in Cash</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360" w:type="dxa"/>
            <w:vAlign w:val="bottom"/>
            <w:tcBorders>
              <w:bottom w:val="single" w:sz="8" w:color="auto"/>
            </w:tcBorders>
          </w:tcPr>
          <w:p>
            <w:pPr>
              <w:spacing w:after="0"/>
              <w:rPr>
                <w:sz w:val="20"/>
                <w:szCs w:val="20"/>
                <w:color w:val="auto"/>
              </w:rPr>
            </w:pPr>
          </w:p>
        </w:tc>
      </w:tr>
      <w:tr>
        <w:trPr>
          <w:trHeight w:val="211"/>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Arthur Wong</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107,500</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106,073</w:t>
            </w:r>
          </w:p>
        </w:tc>
        <w:tc>
          <w:tcPr>
            <w:tcW w:w="3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(2)</w:t>
            </w:r>
          </w:p>
        </w:tc>
      </w:tr>
      <w:tr>
        <w:trPr>
          <w:trHeight w:val="24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Ying Wei</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84,709</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106,073</w:t>
            </w:r>
          </w:p>
        </w:tc>
        <w:tc>
          <w:tcPr>
            <w:tcW w:w="3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(2)</w:t>
            </w:r>
          </w:p>
        </w:tc>
      </w:tr>
      <w:tr>
        <w:trPr>
          <w:trHeight w:val="267"/>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Yixin Pan</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117,500</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3"/>
                <w:szCs w:val="23"/>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106,073</w:t>
            </w:r>
          </w:p>
        </w:tc>
        <w:tc>
          <w:tcPr>
            <w:tcW w:w="3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089140" cy="1555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8914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-466090</wp:posOffset>
            </wp:positionV>
            <wp:extent cx="7089140" cy="163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89140"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66"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213,573</w:t>
      </w:r>
    </w:p>
    <w:p>
      <w:pPr>
        <w:spacing w:after="0" w:line="49"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190,782</w:t>
      </w:r>
    </w:p>
    <w:p>
      <w:pPr>
        <w:spacing w:after="0" w:line="49"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223,573</w:t>
      </w:r>
    </w:p>
    <w:p>
      <w:pPr>
        <w:spacing w:after="0" w:line="113" w:lineRule="exact"/>
        <w:rPr>
          <w:sz w:val="20"/>
          <w:szCs w:val="20"/>
          <w:color w:val="auto"/>
        </w:rPr>
      </w:pPr>
    </w:p>
    <w:p>
      <w:pPr>
        <w:sectPr>
          <w:pgSz w:w="11900" w:h="16838" w:orient="portrait"/>
          <w:cols w:equalWidth="0" w:num="2">
            <w:col w:w="8920" w:space="100"/>
            <w:col w:w="2220"/>
          </w:cols>
          <w:pgMar w:left="320" w:top="11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8" w:lineRule="exact"/>
        <w:rPr>
          <w:sz w:val="20"/>
          <w:szCs w:val="20"/>
          <w:color w:val="auto"/>
        </w:rPr>
      </w:pPr>
    </w:p>
    <w:p>
      <w:pPr>
        <w:ind w:left="320" w:hanging="317"/>
        <w:spacing w:after="0" w:line="225" w:lineRule="auto"/>
        <w:tabs>
          <w:tab w:leader="none" w:pos="308"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Consists of (i) $85,000 paid as annual retainer fees, and (ii) $22,500 paid for his service as Chairman of the Audit Committee, all of which were earned and paid pursuant to the Company's director compensation policy as described below.</w:t>
      </w:r>
    </w:p>
    <w:p>
      <w:pPr>
        <w:spacing w:after="0" w:line="1" w:lineRule="exact"/>
        <w:rPr>
          <w:rFonts w:ascii="Times New Roman" w:cs="Times New Roman" w:eastAsia="Times New Roman" w:hAnsi="Times New Roman"/>
          <w:sz w:val="22"/>
          <w:szCs w:val="22"/>
          <w:color w:val="auto"/>
          <w:vertAlign w:val="superscript"/>
        </w:rPr>
      </w:pPr>
    </w:p>
    <w:p>
      <w:pPr>
        <w:jc w:val="both"/>
        <w:ind w:left="320" w:hanging="317"/>
        <w:spacing w:after="0" w:line="230" w:lineRule="auto"/>
        <w:tabs>
          <w:tab w:leader="none" w:pos="308"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the grant date fair value, based on the closing price of common stock on the date of grant of (i) $1.99 per unit, of 47,738 restricted stock units granted on January 23, 2025 and (ii) $4.19 per unit, of 2,643 restricted stock units granted on June 10, 2025, all of which vested in a single installment on December 31, 2025.</w:t>
      </w:r>
    </w:p>
    <w:p>
      <w:pPr>
        <w:spacing w:after="0" w:line="1" w:lineRule="exact"/>
        <w:rPr>
          <w:rFonts w:ascii="Times New Roman" w:cs="Times New Roman" w:eastAsia="Times New Roman" w:hAnsi="Times New Roman"/>
          <w:sz w:val="22"/>
          <w:szCs w:val="22"/>
          <w:color w:val="auto"/>
          <w:vertAlign w:val="superscript"/>
        </w:rPr>
      </w:pPr>
    </w:p>
    <w:p>
      <w:pPr>
        <w:jc w:val="both"/>
        <w:ind w:left="320" w:hanging="317"/>
        <w:spacing w:after="0" w:line="230" w:lineRule="auto"/>
        <w:tabs>
          <w:tab w:leader="none" w:pos="308"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the grant date fair value, based on the closing price of common stock on the date of grant of (i) $2.07 per unit, of 38,647 elective restricted stock units granted on January 1, 2025, and (ii) $3.56 per unit, of 1,323 elective restricted stock units granted on July 23, 2025. The elective restricted stock units vested on a quarterly basis in near equal installments and the restricted stock units vested in a single installment on December 31, 2025.</w:t>
      </w:r>
    </w:p>
    <w:p>
      <w:pPr>
        <w:spacing w:after="0" w:line="1" w:lineRule="exact"/>
        <w:rPr>
          <w:rFonts w:ascii="Times New Roman" w:cs="Times New Roman" w:eastAsia="Times New Roman" w:hAnsi="Times New Roman"/>
          <w:sz w:val="22"/>
          <w:szCs w:val="22"/>
          <w:color w:val="auto"/>
          <w:vertAlign w:val="superscript"/>
        </w:rPr>
      </w:pPr>
    </w:p>
    <w:p>
      <w:pPr>
        <w:ind w:left="320" w:hanging="317"/>
        <w:spacing w:after="0" w:line="220" w:lineRule="auto"/>
        <w:tabs>
          <w:tab w:leader="none" w:pos="308"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Consists of (i) $85,000 paid as annual retainer fees, (ii) $17,500 paid for her service as Chair of the Compensation Committee, and (iii) $15,000 paid for her service as Chair of the N&amp;GC Committee, all of which were earned and paid pursuant to the Company's director compensation policy as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year ended December 31, 2025, our non-employee directors were compensated for services in accordance with our amended and restated non-employee director compensation policy that was adopted by our Board on June 5, 2025 (the "2025 Director Compensation Policy"). The material terms of the 2025 Director Compensation Policy are described below.</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their service to the Company during 2025, each of our non-employee directors received an annual award of RSUs under the Director Compensation Policy, which vested on December 31, 2025, and was subject to the director's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continued service through such date. In addition, our non-employee directors may elect to receive all or a portion of their annual cash retainer and/or committee chair retainer in the form of RSUs (the “Elective RSUs”). The grant date of the Elective RSUs is the date the non-employee director makes the election to receive equity in lieu of his or her cash retainer and the value of the RSUs is equal to the amount of the non-employee director’s annual cash retainer that is foregone. The Elective RSUs vest in quarterly installments on the last day of each fiscal quarter. The number of Elective RSUs each non-employee director received in 2025 are set forth in footnote 3 to the "Director Compensation" table above. Our non-employee directors must make elections to receive equity in lieu of his or her cash retainer prior to the start of the calendar year, which elective RSUs will vest in equal installments on the last day of each fiscal quarter during the calendar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2025 Director Compensation Policy</w:t>
            </w:r>
          </w:p>
        </w:tc>
        <w:tc>
          <w:tcPr>
            <w:tcW w:w="120" w:type="dxa"/>
            <w:vAlign w:val="bottom"/>
          </w:tcPr>
          <w:p>
            <w:pPr>
              <w:spacing w:after="0"/>
              <w:rPr>
                <w:sz w:val="19"/>
                <w:szCs w:val="19"/>
                <w:color w:val="auto"/>
              </w:rPr>
            </w:pPr>
          </w:p>
        </w:tc>
        <w:tc>
          <w:tcPr>
            <w:tcW w:w="27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 Director Compensation Policy</w:t>
            </w:r>
          </w:p>
        </w:tc>
      </w:tr>
      <w:tr>
        <w:trPr>
          <w:trHeight w:val="25"/>
        </w:trPr>
        <w:tc>
          <w:tcPr>
            <w:tcW w:w="4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5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Board Member Retainer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w:t>
            </w:r>
          </w:p>
        </w:tc>
      </w:tr>
      <w:tr>
        <w:trPr>
          <w:trHeight w:val="252"/>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Lead Independent Director Retainer</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r>
      <w:tr>
        <w:trPr>
          <w:trHeight w:val="264"/>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Audit Committee Chair Retainer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52"/>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Committee Chair Retainer</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r>
      <w:tr>
        <w:trPr>
          <w:trHeight w:val="264"/>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N&amp;GC Committee Chair Retainer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45"/>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Annual Restricted Stock Units (Grant Date Fair Value)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information regarding the beneficial ownership of our common stock as of March 9, 2026, by:</w:t>
      </w:r>
    </w:p>
    <w:p>
      <w:pPr>
        <w:spacing w:after="0" w:line="217" w:lineRule="exact"/>
        <w:rPr>
          <w:sz w:val="20"/>
          <w:szCs w:val="20"/>
          <w:color w:val="auto"/>
        </w:rPr>
      </w:pPr>
    </w:p>
    <w:p>
      <w:pPr>
        <w:ind w:left="920" w:hanging="298"/>
        <w:spacing w:after="0"/>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us to be the beneficial owner of more than 5% of our outstanding shares of common stock;</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executive officer and director of the Company;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executive officers and directors as a group.</w:t>
      </w:r>
    </w:p>
    <w:p>
      <w:pPr>
        <w:spacing w:after="0" w:line="23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stock options and warrants that are currently exercisable or exercisable within 60 days and restricted stock units scheduled to vest within 60 days.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Percent Beneficially</w:t>
            </w:r>
          </w:p>
        </w:tc>
      </w:tr>
      <w:tr>
        <w:trPr>
          <w:trHeight w:val="240"/>
        </w:trPr>
        <w:tc>
          <w:tcPr>
            <w:tcW w:w="4420" w:type="dxa"/>
            <w:vAlign w:val="bottom"/>
          </w:tcPr>
          <w:p>
            <w:pPr>
              <w:ind w:left="20"/>
              <w:spacing w:after="0" w:line="241" w:lineRule="exact"/>
              <w:rPr>
                <w:sz w:val="20"/>
                <w:szCs w:val="20"/>
                <w:color w:val="auto"/>
              </w:rPr>
            </w:pPr>
            <w:r>
              <w:rPr>
                <w:rFonts w:ascii="Times New Roman" w:cs="Times New Roman" w:eastAsia="Times New Roman" w:hAnsi="Times New Roman"/>
                <w:sz w:val="17"/>
                <w:szCs w:val="17"/>
                <w:b w:val="1"/>
                <w:bCs w:val="1"/>
                <w:color w:val="auto"/>
              </w:rPr>
              <w:t xml:space="preserve">Names and Addresses of Beneficial Owners </w:t>
            </w:r>
            <w:r>
              <w:rPr>
                <w:rFonts w:ascii="Times New Roman" w:cs="Times New Roman" w:eastAsia="Times New Roman" w:hAnsi="Times New Roman"/>
                <w:sz w:val="22"/>
                <w:szCs w:val="22"/>
                <w:color w:val="auto"/>
                <w:vertAlign w:val="superscript"/>
              </w:rPr>
              <w:t>(1)</w:t>
            </w:r>
          </w:p>
        </w:tc>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620" w:type="dxa"/>
            <w:vAlign w:val="bottom"/>
          </w:tcPr>
          <w:p>
            <w:pPr>
              <w:jc w:val="right"/>
              <w:ind w:right="374"/>
              <w:spacing w:after="0" w:line="241" w:lineRule="exact"/>
              <w:rPr>
                <w:sz w:val="20"/>
                <w:szCs w:val="20"/>
                <w:color w:val="auto"/>
              </w:rPr>
            </w:pPr>
            <w:r>
              <w:rPr>
                <w:rFonts w:ascii="Times New Roman" w:cs="Times New Roman" w:eastAsia="Times New Roman" w:hAnsi="Times New Roman"/>
                <w:sz w:val="17"/>
                <w:szCs w:val="17"/>
                <w:b w:val="1"/>
                <w:bCs w:val="1"/>
                <w:color w:val="auto"/>
              </w:rPr>
              <w:t xml:space="preserve">Owned </w:t>
            </w:r>
            <w:r>
              <w:rPr>
                <w:rFonts w:ascii="Times New Roman" w:cs="Times New Roman" w:eastAsia="Times New Roman" w:hAnsi="Times New Roman"/>
                <w:sz w:val="22"/>
                <w:szCs w:val="22"/>
                <w:color w:val="auto"/>
                <w:vertAlign w:val="superscript"/>
              </w:rPr>
              <w:t>(2)</w:t>
            </w:r>
          </w:p>
        </w:tc>
      </w:tr>
      <w:tr>
        <w:trPr>
          <w:trHeight w:val="232"/>
        </w:trPr>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Directors and Executive Officers:</w:t>
            </w:r>
          </w:p>
        </w:tc>
        <w:tc>
          <w:tcPr>
            <w:tcW w:w="35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r>
      <w:tr>
        <w:trPr>
          <w:trHeight w:val="264"/>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Yang Wu </w:t>
            </w:r>
            <w:r>
              <w:rPr>
                <w:rFonts w:ascii="Times New Roman" w:cs="Times New Roman" w:eastAsia="Times New Roman" w:hAnsi="Times New Roman"/>
                <w:sz w:val="22"/>
                <w:szCs w:val="22"/>
                <w:color w:val="auto"/>
                <w:vertAlign w:val="superscript"/>
              </w:rPr>
              <w:t>(3)</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145,645,784</w:t>
            </w:r>
          </w:p>
        </w:tc>
        <w:tc>
          <w:tcPr>
            <w:tcW w:w="8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37.3 %</w:t>
            </w:r>
          </w:p>
        </w:tc>
      </w:tr>
      <w:tr>
        <w:trPr>
          <w:trHeight w:val="23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Rodney Worthen</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3,788</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4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Wei Ying </w:t>
            </w:r>
            <w:r>
              <w:rPr>
                <w:rFonts w:ascii="Times New Roman" w:cs="Times New Roman" w:eastAsia="Times New Roman" w:hAnsi="Times New Roman"/>
                <w:sz w:val="22"/>
                <w:szCs w:val="22"/>
                <w:color w:val="auto"/>
                <w:vertAlign w:val="superscript"/>
              </w:rPr>
              <w:t>(7)</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288,535</w:t>
            </w:r>
          </w:p>
        </w:tc>
        <w:tc>
          <w:tcPr>
            <w:tcW w:w="8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Yixin Pan</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130,739</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4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Dr. Wenjuan Mattis </w:t>
            </w:r>
            <w:r>
              <w:rPr>
                <w:rFonts w:ascii="Times New Roman" w:cs="Times New Roman" w:eastAsia="Times New Roman" w:hAnsi="Times New Roman"/>
                <w:sz w:val="22"/>
                <w:szCs w:val="22"/>
                <w:color w:val="auto"/>
                <w:vertAlign w:val="superscript"/>
              </w:rPr>
              <w:t>(4)</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2,525,557</w:t>
            </w:r>
          </w:p>
        </w:tc>
        <w:tc>
          <w:tcPr>
            <w:tcW w:w="8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Dr. Shengxian Wu </w:t>
            </w:r>
            <w:r>
              <w:rPr>
                <w:rFonts w:ascii="Times New Roman" w:cs="Times New Roman" w:eastAsia="Times New Roman" w:hAnsi="Times New Roman"/>
                <w:sz w:val="22"/>
                <w:szCs w:val="22"/>
                <w:color w:val="auto"/>
                <w:vertAlign w:val="superscript"/>
              </w:rPr>
              <w:t>(6)</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1,841,419</w:t>
            </w:r>
          </w:p>
        </w:tc>
        <w:tc>
          <w:tcPr>
            <w:tcW w:w="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Eric Garcia</w:t>
            </w:r>
          </w:p>
        </w:tc>
        <w:tc>
          <w:tcPr>
            <w:tcW w:w="3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Isida Tushe </w:t>
            </w:r>
            <w:r>
              <w:rPr>
                <w:rFonts w:ascii="Times New Roman" w:cs="Times New Roman" w:eastAsia="Times New Roman" w:hAnsi="Times New Roman"/>
                <w:sz w:val="22"/>
                <w:szCs w:val="22"/>
                <w:color w:val="auto"/>
                <w:vertAlign w:val="superscript"/>
              </w:rPr>
              <w:t>(5)</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682,169</w:t>
            </w:r>
          </w:p>
        </w:tc>
        <w:tc>
          <w:tcPr>
            <w:tcW w:w="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Arthur Wong</w:t>
            </w:r>
          </w:p>
        </w:tc>
        <w:tc>
          <w:tcPr>
            <w:tcW w:w="5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179,973</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877"/>
        </w:trPr>
        <w:tc>
          <w:tcPr>
            <w:tcW w:w="4420" w:type="dxa"/>
            <w:vAlign w:val="bottom"/>
          </w:tcPr>
          <w:p>
            <w:pPr>
              <w:spacing w:after="0"/>
              <w:rPr>
                <w:sz w:val="24"/>
                <w:szCs w:val="24"/>
                <w:color w:val="auto"/>
              </w:rPr>
            </w:pPr>
          </w:p>
        </w:tc>
        <w:tc>
          <w:tcPr>
            <w:tcW w:w="3540" w:type="dxa"/>
            <w:vAlign w:val="bottom"/>
          </w:tcPr>
          <w:p>
            <w:pPr>
              <w:jc w:val="right"/>
              <w:ind w:right="2114"/>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96"/>
        </w:trPr>
        <w:tc>
          <w:tcPr>
            <w:tcW w:w="442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620" w:type="dxa"/>
        <w:tblCellMar>
          <w:top w:w="0" w:type="dxa"/>
          <w:left w:w="0" w:type="dxa"/>
          <w:bottom w:w="0" w:type="dxa"/>
          <w:right w:w="0" w:type="dxa"/>
        </w:tblCellMar>
      </w:tblPr>
      <w:tr>
        <w:trPr>
          <w:trHeight w:val="25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 directors and executive officers as a group (9 persons)</w:t>
            </w:r>
          </w:p>
        </w:tc>
        <w:tc>
          <w:tcPr>
            <w:tcW w:w="442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7"/>
                <w:szCs w:val="17"/>
                <w:color w:val="auto"/>
              </w:rPr>
              <w:t>151,297,964</w:t>
            </w: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Five Percent Holders:</w:t>
            </w:r>
          </w:p>
        </w:tc>
        <w:tc>
          <w:tcPr>
            <w:tcW w:w="4420" w:type="dxa"/>
            <w:vAlign w:val="bottom"/>
          </w:tcPr>
          <w:p>
            <w:pPr>
              <w:spacing w:after="0"/>
              <w:rPr>
                <w:sz w:val="20"/>
                <w:szCs w:val="20"/>
                <w:color w:val="auto"/>
              </w:rPr>
            </w:pPr>
          </w:p>
        </w:tc>
      </w:tr>
      <w:tr>
        <w:trPr>
          <w:trHeight w:val="26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Yang Wu </w:t>
            </w:r>
            <w:r>
              <w:rPr>
                <w:rFonts w:ascii="Times New Roman" w:cs="Times New Roman" w:eastAsia="Times New Roman" w:hAnsi="Times New Roman"/>
                <w:sz w:val="22"/>
                <w:szCs w:val="22"/>
                <w:color w:val="auto"/>
                <w:vertAlign w:val="superscript"/>
              </w:rPr>
              <w:t>(3)</w:t>
            </w:r>
          </w:p>
        </w:tc>
        <w:tc>
          <w:tcPr>
            <w:tcW w:w="442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rPr>
              <w:t>145,645,784</w:t>
            </w:r>
          </w:p>
        </w:tc>
      </w:tr>
      <w:tr>
        <w:trPr>
          <w:trHeight w:val="29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CDH Griffin Holdings Company Limited </w:t>
            </w:r>
            <w:r>
              <w:rPr>
                <w:rFonts w:ascii="Times New Roman" w:cs="Times New Roman" w:eastAsia="Times New Roman" w:hAnsi="Times New Roman"/>
                <w:sz w:val="22"/>
                <w:szCs w:val="22"/>
                <w:color w:val="auto"/>
                <w:vertAlign w:val="superscript"/>
              </w:rPr>
              <w:t>(8)</w:t>
            </w:r>
          </w:p>
        </w:tc>
        <w:tc>
          <w:tcPr>
            <w:tcW w:w="442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rPr>
              <w:t>37,073,227</w:t>
            </w:r>
          </w:p>
        </w:tc>
      </w:tr>
    </w:tbl>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Less than one percent.</w:t>
      </w:r>
    </w:p>
    <w:p>
      <w:pPr>
        <w:spacing w:after="0" w:line="231" w:lineRule="exact"/>
        <w:rPr>
          <w:sz w:val="20"/>
          <w:szCs w:val="20"/>
          <w:color w:val="auto"/>
        </w:rPr>
      </w:pPr>
    </w:p>
    <w:p>
      <w:pPr>
        <w:ind w:left="320" w:right="100" w:hanging="317"/>
        <w:spacing w:after="0" w:line="229" w:lineRule="auto"/>
        <w:tabs>
          <w:tab w:leader="none" w:pos="308"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Unless otherwise indicated, the business address of each of the individuals listed is c/o Microvast Holdings, Inc., 12603 Southwest Freeway, Suite 300, Stafford, Texas 77477.</w:t>
      </w:r>
    </w:p>
    <w:p>
      <w:pPr>
        <w:spacing w:after="0" w:line="1" w:lineRule="exact"/>
        <w:rPr>
          <w:rFonts w:ascii="Times New Roman" w:cs="Times New Roman" w:eastAsia="Times New Roman" w:hAnsi="Times New Roman"/>
          <w:sz w:val="22"/>
          <w:szCs w:val="22"/>
          <w:color w:val="auto"/>
          <w:vertAlign w:val="superscript"/>
        </w:rPr>
      </w:pPr>
    </w:p>
    <w:p>
      <w:pPr>
        <w:jc w:val="both"/>
        <w:ind w:left="320" w:right="100" w:hanging="317"/>
        <w:spacing w:after="0" w:line="239" w:lineRule="auto"/>
        <w:tabs>
          <w:tab w:leader="none" w:pos="308"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percentage of beneficial ownership is calculated based on 332,032,946 shares of common stock currently issued and outstanding as of March 9, 2026. Shares issuable upon the exercise of warrants or stock options and restricted stock units scheduled to vest within 60 days are deemed outstanding in the denominator used for computing the percentage of the respective person or group holding such warrants, stock options or restricted stock units but are not outstanding for computing the percentage of any other person or group. Unless otherwise indicated, we believe that all persons named in the table have sole voting and investment power with respect to all shares of common stock beneficially owned by them.</w:t>
      </w:r>
    </w:p>
    <w:p>
      <w:pPr>
        <w:jc w:val="both"/>
        <w:ind w:left="320" w:right="100" w:hanging="317"/>
        <w:spacing w:after="0" w:line="235" w:lineRule="auto"/>
        <w:tabs>
          <w:tab w:leader="none" w:pos="308"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 53,015,696 shares that may be received upon the conversion of certain convertible loans in the aggregate amount of $26,507,848 for which the principal balance may be converted, in whole or in part, in increments of $100,000 into shares of common stock at an initial conversion rate of two shares of common stock per $1.00 of principal to be converted; (ii) presently exercisable warrants to purchase 5,500,000 shares of common stock, and (iii) 2,000,000 shares held by Mr. Wu’s children, for which Mr. Wu has sole voting and shared dispositive power.</w:t>
      </w:r>
    </w:p>
    <w:p>
      <w:pPr>
        <w:spacing w:after="0" w:line="3" w:lineRule="exact"/>
        <w:rPr>
          <w:rFonts w:ascii="Times New Roman" w:cs="Times New Roman" w:eastAsia="Times New Roman" w:hAnsi="Times New Roman"/>
          <w:sz w:val="22"/>
          <w:szCs w:val="22"/>
          <w:color w:val="auto"/>
          <w:vertAlign w:val="superscript"/>
        </w:rPr>
      </w:pPr>
    </w:p>
    <w:p>
      <w:pPr>
        <w:ind w:left="300" w:hanging="297"/>
        <w:spacing w:after="0" w:line="195" w:lineRule="auto"/>
        <w:tabs>
          <w:tab w:leader="none" w:pos="30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1,923,599 presently exercisable stock options.</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 600,000 presently exercisable stock options and (ii) 33,333 stock options that will vest and become exercisable on March 15, 2026.</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1,615,733 presently exercisable stock options.</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7,589 Elective RSUs that will vest on March 31, 2026.</w:t>
      </w:r>
    </w:p>
    <w:p>
      <w:pPr>
        <w:spacing w:after="0" w:line="1" w:lineRule="exact"/>
        <w:rPr>
          <w:rFonts w:ascii="Times New Roman" w:cs="Times New Roman" w:eastAsia="Times New Roman" w:hAnsi="Times New Roman"/>
          <w:sz w:val="22"/>
          <w:szCs w:val="22"/>
          <w:color w:val="auto"/>
          <w:vertAlign w:val="superscript"/>
        </w:rPr>
      </w:pPr>
    </w:p>
    <w:p>
      <w:pPr>
        <w:jc w:val="both"/>
        <w:ind w:left="320" w:right="100" w:hanging="317"/>
        <w:spacing w:after="0" w:line="249" w:lineRule="auto"/>
        <w:tabs>
          <w:tab w:leader="none" w:pos="308"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According to a Schedule 13G/A filed on February 13, 2026, Evergreen Ever Limited ("Evergreen") has sole voting and dispositive power over 28,597,614 shares of common stock and Aurora Sheen Limited ("Aurora") has sole voting and dispositive power over 5,220,347 shares of common stock. In addition, Hangzhou CDH New Trend Equity Investment Partnership (Limited Partnership) ("New Trend") has sole voting and dispositive power over 3,255,266 shares of common stock that were issued in the name of (and held on behalf of New Trend by) MVST SPV Inc., a wholly owned subsidiary of the Company, pursuant to a framework agreement dated February 1, 2021 by and among the Company, New Trend and other parties named therein. The sole shareholder of Evergreen is Piccadilly, L.P., ("Piccadilly") the sole general partner of which is CDH China HF Holdings Company Limited ("HF Holdings"). The sole shareholder of Aurora is Shanghai Dinghui Pingxun Investment Partnership (LLP) ("Shanghai Dinghui") , the sole general partner of which is CDH Shanghai Baifu Wealth Management Company ("Shanghai Baifu"). Dispositive and voting power of the securities held by Evergreen and Aurora is exercised by the members of the investment and risk committee (the “IR Committee”), comprising Wu Shangzhi, Ying Wei, Li Dan, Wei Bin and William Hsu. The IR Committee is appointed by HF Holdings and Shanghai Baifu, respectively. HF Holdings and Shanghai Baifu may be deemed to have beneficial ownership over the shares held by Evergreen and Aurora, respectively. The general partner of New Trend is Dinghui Equity Investment Management (Tianjin) Company Limited ("Dinghui Equity"). Dispositive and voting power of the securities beneficially owned by New Trend is exercised by the members of the investment committee (the “Investment Committee”), comprising Wu Shangzhi, Wang Lin, Huang Yan, Guo Qizhi and Gao Jieliang. The Investment Committee is appointed by Dinghui Equity. Dinghui Equity may be deemed to have beneficial ownership over the shares beneficially owned by New Trend. HF Holdings, Shanghai Baifu and Dinghui Equity are controlled by CDH Investment Management Company Limited ("CDH Investment"), and CDH Griffin Holdings Company Limited ("Griffin Holdings") holds a majority of the equity interests in CDH Investment. The ultimate parent entity is Griffin Holdings. The address for each of the foregoing entities is 1503, Level 15, International Commerce Centre, 1 Austin Road West, Kowloon, Hong Kong,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120"/>
        <w:spacing w:after="0" w:line="524" w:lineRule="auto"/>
        <w:rPr>
          <w:sz w:val="20"/>
          <w:szCs w:val="20"/>
          <w:color w:val="auto"/>
        </w:rPr>
      </w:pPr>
      <w:r>
        <w:rPr>
          <w:rFonts w:ascii="Times New Roman" w:cs="Times New Roman" w:eastAsia="Times New Roman" w:hAnsi="Times New Roman"/>
          <w:sz w:val="17"/>
          <w:szCs w:val="17"/>
          <w:b w:val="1"/>
          <w:bCs w:val="1"/>
          <w:color w:val="auto"/>
        </w:rPr>
        <w:t xml:space="preserve">ITEM 13. CERTAIN RELATIONSHIPS AND RELATED PARTY TRANSACTIONS, AND DIRECTOR INDEPENDENCE </w:t>
      </w:r>
      <w:r>
        <w:rPr>
          <w:rFonts w:ascii="Times New Roman" w:cs="Times New Roman" w:eastAsia="Times New Roman" w:hAnsi="Times New Roman"/>
          <w:sz w:val="17"/>
          <w:szCs w:val="17"/>
          <w:b w:val="1"/>
          <w:bCs w:val="1"/>
          <w:i w:val="1"/>
          <w:iCs w:val="1"/>
          <w:color w:val="auto"/>
        </w:rPr>
        <w:t>Stockholders Agreement</w:t>
      </w:r>
    </w:p>
    <w:p>
      <w:pPr>
        <w:spacing w:after="0" w:line="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on July 23, 2021, the Company, Mr. Yang Wu and Tuscan Holdings Acquisition LLC entered into an agreement (the “Stockholders Agreement”) which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“Wu Director”) less the number of Wu Directors then serving on the Board and whose terms in office are not expiring at such meeting. Yang Wu, Yanzhuan Zheng, Stanley Whittingham and Arthur Wong were nominated by Yang Wu as the initial Wu Directors. The Stockholders Agreement provides that any increase or decrease in the number of directors will require the affirmative vote of the Wu Directors. Under the terms of the Stockholders Agreement, there are currently two Wu Directors.</w:t>
      </w:r>
    </w:p>
    <w:p>
      <w:pPr>
        <w:spacing w:after="0" w:line="20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Stockholders Agreement also provides that, so long as Tuscan Holdings Acquisition LLC beneficially owns at least 5,175,000 shares of common stock, Tuscan Holdings Acquisition LLC will have the right, but not the obligation, to nominate for election to the Board at every meeting of the stockholders of the Company at which directors are elected, one individual (the “Tuscan Director”) less the number of Tuscan Directors then serving on the Board and whose terms in office are not expiring at such meeting. Stephen Vogel was nominated by Tuscan Holdings Acquisition LLC as the initial Tuscan Director. Since Tuscan Holdings Acquisition LLC no longer beneficially owns 5,175,000 shares of common stock, Tuscan Holdings Acquisition LLC no longer has the right to nominate a Tuscan Director.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Registration Rights and Lock-Up Agreement</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July 23, 2021, the Company entered into the Registration Rights and Lockup Agreement with stockholders of Microvast, Inc. prior to the consummation of the Business Combination, the affiliates of certain former investors in our subsidiary MPS, the Tuscan Group and certain officers and directors of the Company, pursuant to which the Company was obligated to file a registration statement promptly following the closing of the Business Combination to register the resale of certain securities of the Company held by the parties to the Registration Rights and Lock-Up Agreement. The Registration Rights and Lock-Up Agreement provides the parties thereto with “piggy-back” registration rights, subject to certain requirements and customary conditions.</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Subject to certain exceptions, the Registration Rights and Lock-Up Agreement further provides (1) Mr. Wu will be subject to a lock-up of two years for 75% of his shares of common stock, provided that, with respect to the 25% of his shares subject to the one-year lock-up, he can sell those shares if the shares trade at $15.00 or above for 20 days in any 30-day period, and (2) with respect to the shares of common stock owned by members of the Tuscan Group, certain officers and officers of the Company and the Tuscan Group such shares are subject to the transfer restrictions provided in the Amendment to the Escrow Agreement (as defined below).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Indemnity Agreements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July 23, 2021, we entered into indemnity agreements with Mr. Wu, Yanzhuan Zheng, Craig Webster, Wei Ying, Stanley Whittingham, Arthur Wong and Stephen Vogel, each of whom became a director following the Business Combination, and Wenjuan Mattis, Ph.D., Shane Smith, Shengxian Wu, and Sascha Rene Kelterborn, each of whom became an executive officer of the Company following the Business Combination. Each indemnity agreement provides that, subject to limited exceptions, we will indemnify the director or executive officer to the fullest extent permitted by law for claims arising in his or her capacity as our director or officer. On April 18, 2024, we entered into an indemnity agreement with Isida Tushe and on October 18, 2024, we entered into an indemnity agreement with Yixin Pan. On August 07, 2025, we entered into an indemnity agreement with Rodney Worthen.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Parent Support Agreement</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connection with the Business Combination, Tuscan and certain related parties entered into an amendment to the Escrow Agreement between Tuscan, the Company, Continental Stock Transfer &amp; Trust Company and the Tuscan Group</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(“Escrow Agreement”) pursuant to which 6,750,000 shares held by Tuscan Holdings Acquisition LLC, and the 30,000 shares held by each of Stefan M. Selig, Richard O. Rieger and Amy Butte (together with Tuscan Holdings Acquisition LLC, the “Founders”) are being held post-Business Combination. Pursuant to the amended Escrow Agreement:</w:t>
      </w:r>
    </w:p>
    <w:p>
      <w:pPr>
        <w:spacing w:after="0" w:line="230" w:lineRule="exact"/>
        <w:rPr>
          <w:sz w:val="20"/>
          <w:szCs w:val="20"/>
          <w:color w:val="auto"/>
        </w:rPr>
      </w:pPr>
    </w:p>
    <w:p>
      <w:pPr>
        <w:jc w:val="both"/>
        <w:ind w:left="620" w:hanging="307"/>
        <w:spacing w:after="0" w:line="241" w:lineRule="auto"/>
        <w:tabs>
          <w:tab w:leader="none" w:pos="615" w:val="left"/>
        </w:tabs>
        <w:numPr>
          <w:ilvl w:val="0"/>
          <w:numId w:val="55"/>
        </w:numPr>
        <w:rPr>
          <w:rFonts w:ascii="Arial" w:cs="Arial" w:eastAsia="Arial" w:hAnsi="Arial"/>
          <w:sz w:val="21"/>
          <w:szCs w:val="21"/>
          <w:color w:val="auto"/>
        </w:rPr>
      </w:pPr>
      <w:r>
        <w:rPr>
          <w:rFonts w:ascii="Times New Roman" w:cs="Times New Roman" w:eastAsia="Times New Roman" w:hAnsi="Times New Roman"/>
          <w:sz w:val="17"/>
          <w:szCs w:val="17"/>
          <w:color w:val="auto"/>
        </w:rPr>
        <w:t>The Escrow Agent will hold 843,750 shares of common stock held by Tuscan Holdings Acquisition LLC until the date on which the last sale price of our common stock equals or exceeds $12.00 per share for any 20 trading days within any 30-trading day period following the closing of the Business Combination (the “First Earn-Out Target”).</w:t>
      </w:r>
    </w:p>
    <w:p>
      <w:pPr>
        <w:spacing w:after="0" w:line="22" w:lineRule="exact"/>
        <w:rPr>
          <w:rFonts w:ascii="Arial" w:cs="Arial" w:eastAsia="Arial" w:hAnsi="Arial"/>
          <w:sz w:val="21"/>
          <w:szCs w:val="21"/>
          <w:color w:val="auto"/>
        </w:rPr>
      </w:pPr>
    </w:p>
    <w:p>
      <w:pPr>
        <w:jc w:val="both"/>
        <w:ind w:left="620" w:hanging="307"/>
        <w:spacing w:after="0" w:line="241" w:lineRule="auto"/>
        <w:tabs>
          <w:tab w:leader="none" w:pos="615" w:val="left"/>
        </w:tabs>
        <w:numPr>
          <w:ilvl w:val="0"/>
          <w:numId w:val="55"/>
        </w:numPr>
        <w:rPr>
          <w:rFonts w:ascii="Arial" w:cs="Arial" w:eastAsia="Arial" w:hAnsi="Arial"/>
          <w:sz w:val="21"/>
          <w:szCs w:val="21"/>
          <w:color w:val="auto"/>
        </w:rPr>
      </w:pPr>
      <w:r>
        <w:rPr>
          <w:rFonts w:ascii="Times New Roman" w:cs="Times New Roman" w:eastAsia="Times New Roman" w:hAnsi="Times New Roman"/>
          <w:sz w:val="17"/>
          <w:szCs w:val="17"/>
          <w:color w:val="auto"/>
        </w:rPr>
        <w:t>The Escrow Agent will hold an additional 843,750 shares of common stock held by Tuscan Holdings Acquisition LLC until the date on which the last sale price of our common stock equals or exceeds $15.00 per share for any 20 trading days within any 30-trading day period following the closing of the Business Combination (the “Second Earn-Out Target”).</w:t>
      </w:r>
    </w:p>
    <w:p>
      <w:pPr>
        <w:spacing w:after="0" w:line="22" w:lineRule="exact"/>
        <w:rPr>
          <w:rFonts w:ascii="Arial" w:cs="Arial" w:eastAsia="Arial" w:hAnsi="Arial"/>
          <w:sz w:val="21"/>
          <w:szCs w:val="21"/>
          <w:color w:val="auto"/>
        </w:rPr>
      </w:pPr>
    </w:p>
    <w:p>
      <w:pPr>
        <w:jc w:val="both"/>
        <w:ind w:left="620" w:hanging="307"/>
        <w:spacing w:after="0" w:line="250" w:lineRule="auto"/>
        <w:tabs>
          <w:tab w:leader="none" w:pos="615" w:val="left"/>
        </w:tabs>
        <w:numPr>
          <w:ilvl w:val="0"/>
          <w:numId w:val="55"/>
        </w:numPr>
        <w:rPr>
          <w:rFonts w:ascii="Arial" w:cs="Arial" w:eastAsia="Arial" w:hAnsi="Arial"/>
          <w:sz w:val="21"/>
          <w:szCs w:val="21"/>
          <w:color w:val="auto"/>
        </w:rPr>
      </w:pPr>
      <w:r>
        <w:rPr>
          <w:rFonts w:ascii="Times New Roman" w:cs="Times New Roman" w:eastAsia="Times New Roman" w:hAnsi="Times New Roman"/>
          <w:sz w:val="17"/>
          <w:szCs w:val="17"/>
          <w:color w:val="auto"/>
        </w:rPr>
        <w:t>If neither the First Earn-Out Target nor the Second Earn-Out Target is satisfied on or prior to the fifth anniversary of the closing of the Business Combination, then the Escrow Agent will release all the shares held in escrow to the Company for cancellation for no consideration. If only the First Earn-Out Target has been satisfied on or prior to the fifth anniversary of the closing of the Business Combination, then the Escrow Agent will release 834,750 shares of common stock to the Company for cancellation for no consideration.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Independence of Directors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Under the listing rules of the Nasdaq Capital Market, we are required to have a majority of independent directors serving on our Board. Our Board has determined that three of our five directors, namely, Yixin Pan, Wei Ying, and Arthur Wong are independent within the meaning of NASDAQ Rule 5605(a)(2).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Regarding Related Party Transactions</w:t>
      </w:r>
    </w:p>
    <w:p>
      <w:pPr>
        <w:spacing w:after="0" w:line="2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have adopted a written policy on transactions with “related persons,” defined in the policy as a director, executive officer, nominee for director, or greater than 5% beneficial owner of any class of the Company’s voting securities, and their immediate family members. For purposes of this policy, a “related person transaction” is defined as any transaction, arrangement or relationship in which the Company is a participant, the aggregate amount involved exceeds or may be expected to exceed $120,000 and in which a related person had, has or will have a direct or indirect material interest. The Board, acting through those members of the Audit Committee who are not interested in the transaction in question, will review related person transactions to determine whether the related person transaction is in, or is not inconsistent with, the best interests of the Company and its stockholders. If, after any such review, a related person transaction is determined to be in, or not inconsistent with, the best interests of the Company, then the related person transaction may be approved or ratified according to the procedures in the policy. If advance Audit Committee approval of a related person transaction requiring the Audit Committee’s approval is not practicable or desirable, then the chair of the Audit Committee may approve or ratify a related person transaction. In addition, the policy provides standing pre-approval for certain types of transactions that the Audit Committee has reviewed and determined will be deemed pre-approved.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following table sets forth the aggregate fees by categories specified below in connection with certain professional services rendered by Deloitte Touche Tohmatsu Certified Public Accountants LLP (PCAOB ID No. 1113) , an independent registered public accounting firm and our principal external auditors, for the periods indicated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4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49"/>
        </w:trPr>
        <w:tc>
          <w:tcPr>
            <w:tcW w:w="7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shd w:val="clear" w:color="auto" w:fill="CCEEFF"/>
              </w:rPr>
              <w:t>Audit fees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81"/>
                <w:shd w:val="clear" w:color="auto" w:fill="CCEEFF"/>
              </w:rPr>
              <w:t>(a)</w:t>
            </w:r>
          </w:p>
        </w:tc>
        <w:tc>
          <w:tcPr>
            <w:tcW w:w="3100" w:type="dxa"/>
            <w:vAlign w:val="bottom"/>
            <w:vMerge w:val="restart"/>
            <w:shd w:val="clear" w:color="auto" w:fill="CCEEFF"/>
          </w:tcPr>
          <w:p>
            <w:pPr>
              <w:spacing w:after="0"/>
              <w:rPr>
                <w:sz w:val="12"/>
                <w:szCs w:val="12"/>
                <w:color w:val="auto"/>
              </w:rPr>
            </w:pPr>
          </w:p>
        </w:tc>
        <w:tc>
          <w:tcPr>
            <w:tcW w:w="4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vMerge w:val="restart"/>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75"/>
        </w:trPr>
        <w:tc>
          <w:tcPr>
            <w:tcW w:w="780" w:type="dxa"/>
            <w:vAlign w:val="bottom"/>
            <w:tcBorders>
              <w:bottom w:val="single" w:sz="8" w:color="CCEEFF"/>
            </w:tcBorders>
            <w:gridSpan w:val="2"/>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100" w:type="dxa"/>
            <w:vAlign w:val="bottom"/>
            <w:tcBorders>
              <w:bottom w:val="single" w:sz="8" w:color="CCEEFF"/>
            </w:tcBorders>
            <w:vMerge w:val="continue"/>
            <w:shd w:val="clear" w:color="auto" w:fill="CCEEFF"/>
          </w:tcPr>
          <w:p>
            <w:pPr>
              <w:spacing w:after="0"/>
              <w:rPr>
                <w:sz w:val="6"/>
                <w:szCs w:val="6"/>
                <w:color w:val="auto"/>
              </w:rPr>
            </w:pPr>
          </w:p>
        </w:tc>
        <w:tc>
          <w:tcPr>
            <w:tcW w:w="4520" w:type="dxa"/>
            <w:vAlign w:val="bottom"/>
            <w:tcBorders>
              <w:bottom w:val="single" w:sz="8" w:color="CCEEFF"/>
            </w:tcBorders>
            <w:gridSpan w:val="2"/>
            <w:vMerge w:val="continue"/>
            <w:shd w:val="clear" w:color="auto" w:fill="CCEEFF"/>
          </w:tcPr>
          <w:p>
            <w:pPr>
              <w:spacing w:after="0"/>
              <w:rPr>
                <w:sz w:val="6"/>
                <w:szCs w:val="6"/>
                <w:color w:val="auto"/>
              </w:rPr>
            </w:pPr>
          </w:p>
        </w:tc>
        <w:tc>
          <w:tcPr>
            <w:tcW w:w="1160" w:type="dxa"/>
            <w:vAlign w:val="bottom"/>
            <w:tcBorders>
              <w:bottom w:val="single" w:sz="8" w:color="CCEEFF"/>
            </w:tcBorders>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vMerge w:val="continue"/>
            <w:shd w:val="clear" w:color="auto" w:fill="CCEEFF"/>
          </w:tcPr>
          <w:p>
            <w:pPr>
              <w:spacing w:after="0"/>
              <w:rPr>
                <w:sz w:val="6"/>
                <w:szCs w:val="6"/>
                <w:color w:val="auto"/>
              </w:rPr>
            </w:pPr>
          </w:p>
        </w:tc>
        <w:tc>
          <w:tcPr>
            <w:tcW w:w="11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4000" w:type="dxa"/>
            <w:vAlign w:val="bottom"/>
            <w:gridSpan w:val="4"/>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Audit-related fees </w:t>
            </w:r>
            <w:r>
              <w:rPr>
                <w:rFonts w:ascii="Times New Roman" w:cs="Times New Roman" w:eastAsia="Times New Roman" w:hAnsi="Times New Roman"/>
                <w:sz w:val="22"/>
                <w:szCs w:val="22"/>
                <w:color w:val="auto"/>
                <w:vertAlign w:val="superscript"/>
              </w:rPr>
              <w:t>(b)</w:t>
            </w:r>
          </w:p>
        </w:tc>
        <w:tc>
          <w:tcPr>
            <w:tcW w:w="4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0"/>
        </w:trPr>
        <w:tc>
          <w:tcPr>
            <w:tcW w:w="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shd w:val="clear" w:color="auto" w:fill="CCEEFF"/>
              </w:rPr>
              <w:t>Tax fees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97"/>
                <w:shd w:val="clear" w:color="auto" w:fill="CCEEFF"/>
              </w:rPr>
              <w:t>(c)</w:t>
            </w:r>
          </w:p>
        </w:tc>
        <w:tc>
          <w:tcPr>
            <w:tcW w:w="3220" w:type="dxa"/>
            <w:vAlign w:val="bottom"/>
            <w:gridSpan w:val="2"/>
            <w:vMerge w:val="restart"/>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75"/>
        </w:trPr>
        <w:tc>
          <w:tcPr>
            <w:tcW w:w="64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3220" w:type="dxa"/>
            <w:vAlign w:val="bottom"/>
            <w:tcBorders>
              <w:bottom w:val="single" w:sz="8" w:color="CCEEFF"/>
            </w:tcBorders>
            <w:gridSpan w:val="2"/>
            <w:vMerge w:val="continue"/>
            <w:shd w:val="clear" w:color="auto" w:fill="CCEEFF"/>
          </w:tcPr>
          <w:p>
            <w:pPr>
              <w:spacing w:after="0"/>
              <w:rPr>
                <w:sz w:val="6"/>
                <w:szCs w:val="6"/>
                <w:color w:val="auto"/>
              </w:rPr>
            </w:pPr>
          </w:p>
        </w:tc>
        <w:tc>
          <w:tcPr>
            <w:tcW w:w="418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240" w:type="dxa"/>
            <w:vAlign w:val="bottom"/>
            <w:tcBorders>
              <w:bottom w:val="single" w:sz="8" w:color="CCEEFF"/>
            </w:tcBorders>
            <w:gridSpan w:val="2"/>
            <w:vMerge w:val="continue"/>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1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40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 xml:space="preserve">All other fees </w:t>
            </w:r>
            <w:r>
              <w:rPr>
                <w:rFonts w:ascii="Times New Roman" w:cs="Times New Roman" w:eastAsia="Times New Roman" w:hAnsi="Times New Roman"/>
                <w:sz w:val="22"/>
                <w:szCs w:val="22"/>
                <w:color w:val="auto"/>
                <w:vertAlign w:val="superscript"/>
              </w:rPr>
              <w:t>(d)</w:t>
            </w:r>
          </w:p>
        </w:tc>
        <w:tc>
          <w:tcPr>
            <w:tcW w:w="41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4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b w:val="1"/>
                <w:bCs w:val="1"/>
                <w:color w:val="auto"/>
              </w:rPr>
              <w:t>2.5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b w:val="1"/>
                <w:bCs w:val="1"/>
                <w:color w:val="auto"/>
              </w:rPr>
              <w:t>2.1</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2334"/>
              <w:spacing w:after="0"/>
              <w:rPr>
                <w:sz w:val="20"/>
                <w:szCs w:val="20"/>
                <w:color w:val="auto"/>
              </w:rPr>
            </w:pPr>
            <w:r>
              <w:rPr>
                <w:rFonts w:ascii="Times New Roman" w:cs="Times New Roman" w:eastAsia="Times New Roman" w:hAnsi="Times New Roman"/>
                <w:sz w:val="17"/>
                <w:szCs w:val="17"/>
                <w:color w:val="auto"/>
              </w:rPr>
              <w:t>142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4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0" w:hanging="317"/>
        <w:spacing w:after="0" w:line="229" w:lineRule="auto"/>
        <w:tabs>
          <w:tab w:leader="none" w:pos="315" w:val="left"/>
        </w:tabs>
        <w:numPr>
          <w:ilvl w:val="0"/>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Audit fees represent fees for services provided in connection with the audit of our consolidated financial statements, review of our interim consolidated financial statements, and audit services provided in connection with other statutory or regulatory filings.</w:t>
      </w:r>
    </w:p>
    <w:p>
      <w:pPr>
        <w:spacing w:after="0" w:line="190" w:lineRule="exact"/>
        <w:rPr>
          <w:rFonts w:ascii="Times New Roman" w:cs="Times New Roman" w:eastAsia="Times New Roman" w:hAnsi="Times New Roman"/>
          <w:sz w:val="22"/>
          <w:szCs w:val="22"/>
          <w:color w:val="auto"/>
          <w:vertAlign w:val="superscript"/>
        </w:rPr>
      </w:pPr>
    </w:p>
    <w:p>
      <w:pPr>
        <w:ind w:left="320" w:hanging="317"/>
        <w:spacing w:after="0" w:line="229" w:lineRule="auto"/>
        <w:tabs>
          <w:tab w:leader="none" w:pos="308" w:val="left"/>
        </w:tabs>
        <w:numPr>
          <w:ilvl w:val="0"/>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Audit-related fees consist of assurance and related services rendered by the principal accountant related to the performance of the audit or review of our consolidated financial statements, which have not been reported under audit fees above.</w:t>
      </w:r>
    </w:p>
    <w:p>
      <w:pPr>
        <w:spacing w:after="0" w:line="161"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Tax fees represent fees for professional services rendered for tax compliance, tax advice and tax planning.</w:t>
      </w:r>
    </w:p>
    <w:p>
      <w:pPr>
        <w:spacing w:after="0" w:line="159"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other fees include fees for services provided other than the services reported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 Pre-Approval Policies and Procedures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At its regularly scheduled and special meetings, the Audit Committee of the Board considers and pre-approves any audit and non-audit services to be performed by the Company’s independent accountants. On July 25, 2021, the Audit Committee adopted its pre-approval policies and procedures. Since that date, there have been no audit or non-audit services rendered by the Company’s principal accountants that were not pre-approved.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21" w:lineRule="exact"/>
        <w:rPr>
          <w:sz w:val="20"/>
          <w:szCs w:val="20"/>
          <w:color w:val="auto"/>
        </w:rPr>
      </w:pPr>
    </w:p>
    <w:p>
      <w:pPr>
        <w:ind w:left="940" w:hanging="318"/>
        <w:spacing w:after="0"/>
        <w:tabs>
          <w:tab w:leader="none" w:pos="9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Statements—See “Index to Consolidated Financial Statements and Financial Statement Schedule” set forth on page 71.</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Schedule—See “Index to Consolidated Financial Statements and Financial Statement Schedule” set forth on page 71.</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Exhibits—See “Index to Exhibits” set forth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760" w:type="dxa"/>
            <w:vAlign w:val="bottom"/>
            <w:gridSpan w:val="25"/>
          </w:tcPr>
          <w:p>
            <w:pPr>
              <w:jc w:val="center"/>
              <w:ind w:right="4480"/>
              <w:spacing w:after="0"/>
              <w:rPr>
                <w:sz w:val="20"/>
                <w:szCs w:val="20"/>
                <w:color w:val="auto"/>
              </w:rPr>
            </w:pPr>
            <w:r>
              <w:rPr>
                <w:rFonts w:ascii="Times New Roman" w:cs="Times New Roman" w:eastAsia="Times New Roman" w:hAnsi="Times New Roman"/>
                <w:sz w:val="17"/>
                <w:szCs w:val="17"/>
                <w:b w:val="1"/>
                <w:bCs w:val="1"/>
                <w:color w:val="auto"/>
              </w:rPr>
              <w:t>INDEX TO EXHIBITS</w:t>
            </w:r>
          </w:p>
        </w:tc>
      </w:tr>
      <w:tr>
        <w:trPr>
          <w:trHeight w:val="430"/>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760" w:type="dxa"/>
            <w:vAlign w:val="bottom"/>
            <w:gridSpan w:val="25"/>
          </w:tcPr>
          <w:p>
            <w:pPr>
              <w:ind w:left="50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93"/>
        </w:trPr>
        <w:tc>
          <w:tcPr>
            <w:tcW w:w="980" w:type="dxa"/>
            <w:vAlign w:val="bottom"/>
            <w:tcBorders>
              <w:top w:val="single" w:sz="8" w:color="auto"/>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3.1</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680" w:type="dxa"/>
            <w:vAlign w:val="bottom"/>
            <w:tcBorders>
              <w:top w:val="single" w:sz="8" w:color="auto"/>
              <w:right w:val="single" w:sz="8" w:color="CCEEFF"/>
            </w:tcBorders>
            <w:gridSpan w:val="31"/>
            <w:shd w:val="clear" w:color="auto" w:fill="CCEEFF"/>
          </w:tcPr>
          <w:p>
            <w:pPr>
              <w:spacing w:after="0" w:line="193" w:lineRule="exact"/>
              <w:rPr>
                <w:rFonts w:ascii="Times New Roman" w:cs="Times New Roman" w:eastAsia="Times New Roman" w:hAnsi="Times New Roman"/>
                <w:sz w:val="17"/>
                <w:szCs w:val="17"/>
                <w:color w:val="auto"/>
              </w:rPr>
            </w:pPr>
            <w:hyperlink r:id="rId209">
              <w:r>
                <w:rPr>
                  <w:rFonts w:ascii="Times New Roman" w:cs="Times New Roman" w:eastAsia="Times New Roman" w:hAnsi="Times New Roman"/>
                  <w:sz w:val="17"/>
                  <w:szCs w:val="17"/>
                  <w:color w:val="auto"/>
                </w:rPr>
                <w:t>Second Amended and Restated Certificate of Incorporation of Microvast Holdings, Inc. (incorporated by reference from</w:t>
              </w:r>
            </w:hyperlink>
          </w:p>
        </w:tc>
        <w:tc>
          <w:tcPr>
            <w:tcW w:w="1480" w:type="dxa"/>
            <w:vAlign w:val="bottom"/>
          </w:tcPr>
          <w:p>
            <w:pPr>
              <w:spacing w:after="0"/>
              <w:rPr>
                <w:sz w:val="16"/>
                <w:szCs w:val="16"/>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260" w:type="dxa"/>
            <w:vAlign w:val="bottom"/>
            <w:tcBorders>
              <w:top w:val="single" w:sz="8" w:color="auto"/>
            </w:tcBorders>
            <w:gridSpan w:val="18"/>
            <w:shd w:val="clear" w:color="auto" w:fill="CCEEFF"/>
          </w:tcPr>
          <w:p>
            <w:pPr>
              <w:spacing w:after="0" w:line="173" w:lineRule="exact"/>
              <w:rPr>
                <w:rFonts w:ascii="Times New Roman" w:cs="Times New Roman" w:eastAsia="Times New Roman" w:hAnsi="Times New Roman"/>
                <w:sz w:val="17"/>
                <w:szCs w:val="17"/>
                <w:color w:val="auto"/>
              </w:rPr>
            </w:pPr>
            <w:hyperlink r:id="rId209">
              <w:r>
                <w:rPr>
                  <w:rFonts w:ascii="Times New Roman" w:cs="Times New Roman" w:eastAsia="Times New Roman" w:hAnsi="Times New Roman"/>
                  <w:sz w:val="17"/>
                  <w:szCs w:val="17"/>
                  <w:color w:val="auto"/>
                </w:rPr>
                <w:t>Exhibit 3.1 to the Company’s Current Report on Form 8-K, filed with the SEC on July 28, 2021).</w:t>
              </w:r>
            </w:hyperlink>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1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40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122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1380" w:type="dxa"/>
            <w:vAlign w:val="bottom"/>
            <w:tcBorders>
              <w:top w:val="single" w:sz="8" w:color="auto"/>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94" w:lineRule="exact"/>
              <w:rPr>
                <w:rFonts w:ascii="Times New Roman" w:cs="Times New Roman" w:eastAsia="Times New Roman" w:hAnsi="Times New Roman"/>
                <w:sz w:val="17"/>
                <w:szCs w:val="17"/>
                <w:color w:val="auto"/>
              </w:rPr>
            </w:pPr>
            <w:hyperlink r:id="rId210">
              <w:r>
                <w:rPr>
                  <w:rFonts w:ascii="Times New Roman" w:cs="Times New Roman" w:eastAsia="Times New Roman" w:hAnsi="Times New Roman"/>
                  <w:sz w:val="17"/>
                  <w:szCs w:val="17"/>
                  <w:color w:val="auto"/>
                </w:rPr>
                <w:t>Amended and Restated Bylaws of Microvast Holdings, Inc. (incorporated by reference from Exhibit 3.2 to the Company’s</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0" w:type="dxa"/>
            <w:vAlign w:val="bottom"/>
            <w:tcBorders>
              <w:top w:val="single" w:sz="8" w:color="auto"/>
            </w:tcBorders>
            <w:gridSpan w:val="20"/>
          </w:tcPr>
          <w:p>
            <w:pPr>
              <w:spacing w:after="0" w:line="173" w:lineRule="exact"/>
              <w:rPr>
                <w:rFonts w:ascii="Times New Roman" w:cs="Times New Roman" w:eastAsia="Times New Roman" w:hAnsi="Times New Roman"/>
                <w:sz w:val="17"/>
                <w:szCs w:val="17"/>
                <w:color w:val="auto"/>
              </w:rPr>
            </w:pPr>
            <w:hyperlink r:id="rId210">
              <w:r>
                <w:rPr>
                  <w:rFonts w:ascii="Times New Roman" w:cs="Times New Roman" w:eastAsia="Times New Roman" w:hAnsi="Times New Roman"/>
                  <w:sz w:val="17"/>
                  <w:szCs w:val="17"/>
                  <w:color w:val="auto"/>
                </w:rPr>
                <w:t>Current Report on Form 8-K, filed with the SEC on July 28, 2021).</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31"/>
            <w:shd w:val="clear" w:color="auto" w:fill="CCEEFF"/>
          </w:tcPr>
          <w:p>
            <w:pPr>
              <w:spacing w:after="0" w:line="194" w:lineRule="exact"/>
              <w:rPr>
                <w:rFonts w:ascii="Times New Roman" w:cs="Times New Roman" w:eastAsia="Times New Roman" w:hAnsi="Times New Roman"/>
                <w:sz w:val="17"/>
                <w:szCs w:val="17"/>
                <w:color w:val="auto"/>
              </w:rPr>
            </w:pPr>
            <w:hyperlink r:id="rId211">
              <w:r>
                <w:rPr>
                  <w:rFonts w:ascii="Times New Roman" w:cs="Times New Roman" w:eastAsia="Times New Roman" w:hAnsi="Times New Roman"/>
                  <w:sz w:val="17"/>
                  <w:szCs w:val="17"/>
                  <w:color w:val="auto"/>
                </w:rPr>
                <w:t>Description of Securities of the Registrant (incorporated by reference from Exhibit 4.1 to the Company's Annual Report on</w:t>
              </w:r>
            </w:hyperlink>
          </w:p>
        </w:tc>
        <w:tc>
          <w:tcPr>
            <w:tcW w:w="1480" w:type="dxa"/>
            <w:vAlign w:val="bottom"/>
          </w:tcPr>
          <w:p>
            <w:pPr>
              <w:spacing w:after="0"/>
              <w:rPr>
                <w:sz w:val="16"/>
                <w:szCs w:val="16"/>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60" w:type="dxa"/>
            <w:vAlign w:val="bottom"/>
            <w:tcBorders>
              <w:top w:val="single" w:sz="8" w:color="auto"/>
            </w:tcBorders>
            <w:gridSpan w:val="22"/>
            <w:shd w:val="clear" w:color="auto" w:fill="CCEEFF"/>
          </w:tcPr>
          <w:p>
            <w:pPr>
              <w:spacing w:after="0" w:line="173" w:lineRule="exact"/>
              <w:rPr>
                <w:rFonts w:ascii="Times New Roman" w:cs="Times New Roman" w:eastAsia="Times New Roman" w:hAnsi="Times New Roman"/>
                <w:sz w:val="17"/>
                <w:szCs w:val="17"/>
                <w:color w:val="auto"/>
              </w:rPr>
            </w:pPr>
            <w:hyperlink r:id="rId211">
              <w:r>
                <w:rPr>
                  <w:rFonts w:ascii="Times New Roman" w:cs="Times New Roman" w:eastAsia="Times New Roman" w:hAnsi="Times New Roman"/>
                  <w:sz w:val="17"/>
                  <w:szCs w:val="17"/>
                  <w:color w:val="auto"/>
                </w:rPr>
                <w:t>Form 10-K, filed with the SEC on April 1, 2024).</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1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40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3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94"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Specimen Common Stock Certificate (incorporated by reference from Exhibit 4.4 to the Company’s Current Report on Form</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0" w:type="dxa"/>
            <w:vAlign w:val="bottom"/>
            <w:tcBorders>
              <w:top w:val="single" w:sz="8" w:color="auto"/>
            </w:tcBorders>
            <w:gridSpan w:val="29"/>
          </w:tcPr>
          <w:p>
            <w:pPr>
              <w:spacing w:after="0" w:line="173"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8-K, filed with the SEC on July 28, 2021).</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31"/>
            <w:shd w:val="clear" w:color="auto" w:fill="CCEEFF"/>
          </w:tcPr>
          <w:p>
            <w:pPr>
              <w:spacing w:after="0" w:line="194" w:lineRule="exact"/>
              <w:rPr>
                <w:rFonts w:ascii="Times New Roman" w:cs="Times New Roman" w:eastAsia="Times New Roman" w:hAnsi="Times New Roman"/>
                <w:sz w:val="17"/>
                <w:szCs w:val="17"/>
                <w:color w:val="auto"/>
              </w:rPr>
            </w:pPr>
            <w:hyperlink r:id="rId213">
              <w:r>
                <w:rPr>
                  <w:rFonts w:ascii="Times New Roman" w:cs="Times New Roman" w:eastAsia="Times New Roman" w:hAnsi="Times New Roman"/>
                  <w:sz w:val="17"/>
                  <w:szCs w:val="17"/>
                  <w:color w:val="auto"/>
                </w:rPr>
                <w:t>Specimen Warrant Certificate (incorporated by reference from Exhibit 4.5 to the Company’s Current Report on Form 8-K,</w:t>
              </w:r>
            </w:hyperlink>
          </w:p>
        </w:tc>
        <w:tc>
          <w:tcPr>
            <w:tcW w:w="1480" w:type="dxa"/>
            <w:vAlign w:val="bottom"/>
          </w:tcPr>
          <w:p>
            <w:pPr>
              <w:spacing w:after="0"/>
              <w:rPr>
                <w:sz w:val="16"/>
                <w:szCs w:val="16"/>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00" w:type="dxa"/>
            <w:vAlign w:val="bottom"/>
            <w:tcBorders>
              <w:top w:val="single" w:sz="8" w:color="auto"/>
            </w:tcBorders>
            <w:gridSpan w:val="20"/>
            <w:shd w:val="clear" w:color="auto" w:fill="CCEEFF"/>
          </w:tcPr>
          <w:p>
            <w:pPr>
              <w:spacing w:after="0" w:line="173" w:lineRule="exact"/>
              <w:rPr>
                <w:rFonts w:ascii="Times New Roman" w:cs="Times New Roman" w:eastAsia="Times New Roman" w:hAnsi="Times New Roman"/>
                <w:sz w:val="17"/>
                <w:szCs w:val="17"/>
                <w:color w:val="auto"/>
              </w:rPr>
            </w:pPr>
            <w:hyperlink r:id="rId213">
              <w:r>
                <w:rPr>
                  <w:rFonts w:ascii="Times New Roman" w:cs="Times New Roman" w:eastAsia="Times New Roman" w:hAnsi="Times New Roman"/>
                  <w:sz w:val="17"/>
                  <w:szCs w:val="17"/>
                  <w:color w:val="auto"/>
                </w:rPr>
                <w:t>filed with the SEC on July 28,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1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3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94" w:lineRule="exact"/>
              <w:rPr>
                <w:rFonts w:ascii="Times New Roman" w:cs="Times New Roman" w:eastAsia="Times New Roman" w:hAnsi="Times New Roman"/>
                <w:sz w:val="17"/>
                <w:szCs w:val="17"/>
                <w:color w:val="auto"/>
              </w:rPr>
            </w:pPr>
            <w:hyperlink r:id="rId214">
              <w:r>
                <w:rPr>
                  <w:rFonts w:ascii="Times New Roman" w:cs="Times New Roman" w:eastAsia="Times New Roman" w:hAnsi="Times New Roman"/>
                  <w:sz w:val="17"/>
                  <w:szCs w:val="17"/>
                  <w:color w:val="auto"/>
                </w:rPr>
                <w:t>Warrant Agreement (incorporated by reference from Exhibit 4.4 to the Company’s Registration Statement on S-1, filed with</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tcBorders>
              <w:top w:val="single" w:sz="8" w:color="auto"/>
            </w:tcBorders>
            <w:gridSpan w:val="27"/>
          </w:tcPr>
          <w:p>
            <w:pPr>
              <w:spacing w:after="0" w:line="173" w:lineRule="exact"/>
              <w:rPr>
                <w:rFonts w:ascii="Times New Roman" w:cs="Times New Roman" w:eastAsia="Times New Roman" w:hAnsi="Times New Roman"/>
                <w:sz w:val="17"/>
                <w:szCs w:val="17"/>
                <w:color w:val="auto"/>
              </w:rPr>
            </w:pPr>
            <w:hyperlink r:id="rId214">
              <w:r>
                <w:rPr>
                  <w:rFonts w:ascii="Times New Roman" w:cs="Times New Roman" w:eastAsia="Times New Roman" w:hAnsi="Times New Roman"/>
                  <w:sz w:val="17"/>
                  <w:szCs w:val="17"/>
                  <w:color w:val="auto"/>
                </w:rPr>
                <w:t>the SEC on February 26, 2019).</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80" w:type="dxa"/>
            <w:vAlign w:val="bottom"/>
            <w:tcBorders>
              <w:bottom w:val="single" w:sz="8" w:color="auto"/>
            </w:tcBorders>
            <w:gridSpan w:val="16"/>
            <w:shd w:val="clear" w:color="auto" w:fill="CCEEFF"/>
          </w:tcPr>
          <w:p>
            <w:pPr>
              <w:spacing w:after="0" w:line="194"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Registration Rights and Lock-Up Agreement dated July 26, 2021, by and among (a) Microvast Holdings, Inc., (b) the</w:t>
              </w:r>
            </w:hyperlink>
          </w:p>
        </w:tc>
        <w:tc>
          <w:tcPr>
            <w:tcW w:w="600" w:type="dxa"/>
            <w:vAlign w:val="bottom"/>
            <w:tcBorders>
              <w:bottom w:val="single" w:sz="8" w:color="CCEEFF"/>
              <w:right w:val="single" w:sz="8" w:color="CCEEFF"/>
            </w:tcBorders>
            <w:gridSpan w:val="15"/>
            <w:shd w:val="clear" w:color="auto" w:fill="CCEEFF"/>
          </w:tcPr>
          <w:p>
            <w:pPr>
              <w:spacing w:after="0"/>
              <w:rPr>
                <w:sz w:val="16"/>
                <w:szCs w:val="16"/>
                <w:color w:val="auto"/>
              </w:rPr>
            </w:pPr>
          </w:p>
        </w:tc>
        <w:tc>
          <w:tcPr>
            <w:tcW w:w="1480" w:type="dxa"/>
            <w:vAlign w:val="bottom"/>
          </w:tcPr>
          <w:p>
            <w:pPr>
              <w:spacing w:after="0"/>
              <w:rPr>
                <w:sz w:val="16"/>
                <w:szCs w:val="16"/>
                <w:color w:val="auto"/>
              </w:rPr>
            </w:pPr>
          </w:p>
        </w:tc>
      </w:tr>
      <w:tr>
        <w:trPr>
          <w:trHeight w:val="173"/>
        </w:trPr>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680" w:type="dxa"/>
            <w:vAlign w:val="bottom"/>
            <w:tcBorders>
              <w:bottom w:val="single" w:sz="8" w:color="auto"/>
              <w:right w:val="single" w:sz="8" w:color="CCEEFF"/>
            </w:tcBorders>
            <w:gridSpan w:val="31"/>
            <w:shd w:val="clear" w:color="auto" w:fill="CCEEFF"/>
          </w:tcPr>
          <w:p>
            <w:pPr>
              <w:spacing w:after="0" w:line="173"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Microvast Equity Holders, (c) the CL Holders, (d) Tuscan Holdings Acquisition LLC, Stefan M. Selig, Richard O. Rieger and</w:t>
              </w:r>
            </w:hyperlink>
          </w:p>
        </w:tc>
        <w:tc>
          <w:tcPr>
            <w:tcW w:w="1480" w:type="dxa"/>
            <w:vAlign w:val="bottom"/>
          </w:tcPr>
          <w:p>
            <w:pPr>
              <w:spacing w:after="0"/>
              <w:rPr>
                <w:sz w:val="15"/>
                <w:szCs w:val="15"/>
                <w:color w:val="auto"/>
              </w:rPr>
            </w:pPr>
          </w:p>
        </w:tc>
      </w:tr>
      <w:tr>
        <w:trPr>
          <w:trHeight w:val="186"/>
        </w:trPr>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31"/>
            <w:shd w:val="clear" w:color="auto" w:fill="CCEEFF"/>
          </w:tcPr>
          <w:p>
            <w:pPr>
              <w:spacing w:after="0" w:line="186"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Amy Butte, and (e) EarlyBirdCapital, Inc. (incorporated by reference from Exhibit 4.1 to the Company’s Current Report on</w:t>
              </w:r>
            </w:hyperlink>
          </w:p>
        </w:tc>
        <w:tc>
          <w:tcPr>
            <w:tcW w:w="1480" w:type="dxa"/>
            <w:vAlign w:val="bottom"/>
          </w:tcPr>
          <w:p>
            <w:pPr>
              <w:spacing w:after="0"/>
              <w:rPr>
                <w:sz w:val="16"/>
                <w:szCs w:val="16"/>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520" w:type="dxa"/>
            <w:vAlign w:val="bottom"/>
            <w:tcBorders>
              <w:top w:val="single" w:sz="8" w:color="auto"/>
            </w:tcBorders>
            <w:gridSpan w:val="25"/>
            <w:shd w:val="clear" w:color="auto" w:fill="CCEEFF"/>
          </w:tcPr>
          <w:p>
            <w:pPr>
              <w:spacing w:after="0" w:line="173"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Form 8-K, filed with the SEC on July 28,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r>
      <w:tr>
        <w:trPr>
          <w:trHeight w:val="32"/>
        </w:trPr>
        <w:tc>
          <w:tcPr>
            <w:tcW w:w="9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480" w:type="dxa"/>
            <w:vAlign w:val="bottom"/>
          </w:tcPr>
          <w:p>
            <w:pPr>
              <w:spacing w:after="0"/>
              <w:rPr>
                <w:sz w:val="2"/>
                <w:szCs w:val="2"/>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94" w:lineRule="exact"/>
              <w:rPr>
                <w:rFonts w:ascii="Times New Roman" w:cs="Times New Roman" w:eastAsia="Times New Roman" w:hAnsi="Times New Roman"/>
                <w:sz w:val="17"/>
                <w:szCs w:val="17"/>
                <w:color w:val="auto"/>
              </w:rPr>
            </w:pPr>
            <w:hyperlink r:id="rId216">
              <w:r>
                <w:rPr>
                  <w:rFonts w:ascii="Times New Roman" w:cs="Times New Roman" w:eastAsia="Times New Roman" w:hAnsi="Times New Roman"/>
                  <w:sz w:val="17"/>
                  <w:szCs w:val="17"/>
                  <w:color w:val="auto"/>
                </w:rPr>
                <w:t>Stockholders Agreement dated July 26, 2021 by and among (a) Microvast Holdings, Inc., (b) Yang Wu and (c) Tuscan</w:t>
              </w:r>
            </w:hyperlink>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20" w:type="dxa"/>
            <w:vAlign w:val="bottom"/>
            <w:gridSpan w:val="6"/>
            <w:shd w:val="clear" w:color="auto" w:fill="000000"/>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20" w:type="dxa"/>
            <w:vAlign w:val="bottom"/>
            <w:tcBorders>
              <w:bottom w:val="single" w:sz="8" w:color="auto"/>
            </w:tcBorders>
            <w:gridSpan w:val="30"/>
          </w:tcPr>
          <w:p>
            <w:pPr>
              <w:spacing w:after="0" w:line="173" w:lineRule="exact"/>
              <w:rPr>
                <w:rFonts w:ascii="Times New Roman" w:cs="Times New Roman" w:eastAsia="Times New Roman" w:hAnsi="Times New Roman"/>
                <w:sz w:val="17"/>
                <w:szCs w:val="17"/>
                <w:color w:val="auto"/>
              </w:rPr>
            </w:pPr>
            <w:hyperlink r:id="rId216">
              <w:r>
                <w:rPr>
                  <w:rFonts w:ascii="Times New Roman" w:cs="Times New Roman" w:eastAsia="Times New Roman" w:hAnsi="Times New Roman"/>
                  <w:sz w:val="17"/>
                  <w:szCs w:val="17"/>
                  <w:color w:val="auto"/>
                </w:rPr>
                <w:t>Holdings Acquisition LLC. (incorporated by reference from Exhibit 4.2 to the Company’s Current Report on Form 8-K, filed</w:t>
              </w:r>
            </w:hyperlink>
          </w:p>
        </w:tc>
        <w:tc>
          <w:tcPr>
            <w:tcW w:w="1540" w:type="dxa"/>
            <w:vAlign w:val="bottom"/>
            <w:gridSpan w:val="2"/>
          </w:tcPr>
          <w:p>
            <w:pPr>
              <w:spacing w:after="0"/>
              <w:rPr>
                <w:sz w:val="15"/>
                <w:szCs w:val="15"/>
                <w:color w:val="auto"/>
              </w:rPr>
            </w:pPr>
          </w:p>
        </w:tc>
      </w:tr>
      <w:tr>
        <w:trPr>
          <w:trHeight w:val="186"/>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86" w:lineRule="exact"/>
              <w:rPr>
                <w:rFonts w:ascii="Times New Roman" w:cs="Times New Roman" w:eastAsia="Times New Roman" w:hAnsi="Times New Roman"/>
                <w:sz w:val="17"/>
                <w:szCs w:val="17"/>
                <w:color w:val="auto"/>
              </w:rPr>
            </w:pPr>
            <w:hyperlink r:id="rId216">
              <w:r>
                <w:rPr>
                  <w:rFonts w:ascii="Times New Roman" w:cs="Times New Roman" w:eastAsia="Times New Roman" w:hAnsi="Times New Roman"/>
                  <w:sz w:val="17"/>
                  <w:szCs w:val="17"/>
                  <w:color w:val="auto"/>
                </w:rPr>
                <w:t>with the SEC on July 28, 2021).</w:t>
              </w:r>
            </w:hyperlink>
          </w:p>
        </w:tc>
      </w:tr>
      <w:tr>
        <w:trPr>
          <w:trHeight w:val="32"/>
        </w:trPr>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3"/>
        </w:trPr>
        <w:tc>
          <w:tcPr>
            <w:tcW w:w="98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4.7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320" w:type="dxa"/>
            <w:vAlign w:val="bottom"/>
            <w:tcBorders>
              <w:bottom w:val="single" w:sz="8" w:color="auto"/>
            </w:tcBorders>
            <w:gridSpan w:val="19"/>
            <w:shd w:val="clear" w:color="auto" w:fill="CCEEFF"/>
          </w:tcPr>
          <w:p>
            <w:pPr>
              <w:spacing w:after="0" w:line="194" w:lineRule="exact"/>
              <w:rPr>
                <w:rFonts w:ascii="Times New Roman" w:cs="Times New Roman" w:eastAsia="Times New Roman" w:hAnsi="Times New Roman"/>
                <w:sz w:val="17"/>
                <w:szCs w:val="17"/>
                <w:color w:val="auto"/>
              </w:rPr>
            </w:pPr>
            <w:hyperlink r:id="rId217">
              <w:r>
                <w:rPr>
                  <w:rFonts w:ascii="Times New Roman" w:cs="Times New Roman" w:eastAsia="Times New Roman" w:hAnsi="Times New Roman"/>
                  <w:sz w:val="17"/>
                  <w:szCs w:val="17"/>
                  <w:color w:val="auto"/>
                </w:rPr>
                <w:t>Common Stock Purchase Warrant, dated May 28, 2024, issued by Microvast Holdings, Inc. to Yang Wu (incorporated by</w:t>
              </w:r>
            </w:hyperlink>
          </w:p>
        </w:tc>
        <w:tc>
          <w:tcPr>
            <w:tcW w:w="360" w:type="dxa"/>
            <w:vAlign w:val="bottom"/>
            <w:tcBorders>
              <w:bottom w:val="single" w:sz="8" w:color="CCEEFF"/>
              <w:right w:val="single" w:sz="8" w:color="CCEEFF"/>
            </w:tcBorders>
            <w:gridSpan w:val="12"/>
            <w:shd w:val="clear" w:color="auto" w:fill="CCEEFF"/>
          </w:tcPr>
          <w:p>
            <w:pPr>
              <w:spacing w:after="0"/>
              <w:rPr>
                <w:sz w:val="16"/>
                <w:szCs w:val="16"/>
                <w:color w:val="auto"/>
              </w:rPr>
            </w:pPr>
          </w:p>
        </w:tc>
        <w:tc>
          <w:tcPr>
            <w:tcW w:w="1480" w:type="dxa"/>
            <w:vAlign w:val="bottom"/>
          </w:tcPr>
          <w:p>
            <w:pPr>
              <w:spacing w:after="0"/>
              <w:rPr>
                <w:sz w:val="16"/>
                <w:szCs w:val="16"/>
                <w:color w:val="auto"/>
              </w:rPr>
            </w:pPr>
          </w:p>
        </w:tc>
      </w:tr>
      <w:tr>
        <w:trPr>
          <w:trHeight w:val="186"/>
        </w:trPr>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31"/>
            <w:shd w:val="clear" w:color="auto" w:fill="CCEEFF"/>
          </w:tcPr>
          <w:p>
            <w:pPr>
              <w:spacing w:after="0" w:line="186" w:lineRule="exact"/>
              <w:rPr>
                <w:rFonts w:ascii="Times New Roman" w:cs="Times New Roman" w:eastAsia="Times New Roman" w:hAnsi="Times New Roman"/>
                <w:sz w:val="17"/>
                <w:szCs w:val="17"/>
                <w:color w:val="auto"/>
              </w:rPr>
            </w:pPr>
            <w:hyperlink r:id="rId217">
              <w:r>
                <w:rPr>
                  <w:rFonts w:ascii="Times New Roman" w:cs="Times New Roman" w:eastAsia="Times New Roman" w:hAnsi="Times New Roman"/>
                  <w:sz w:val="17"/>
                  <w:szCs w:val="17"/>
                  <w:color w:val="auto"/>
                </w:rPr>
                <w:t>reference from Exhibit 4.1 to the Company’s Current Report on Form 8-K, filed with the SEC on June 4, 2024).</w:t>
              </w:r>
            </w:hyperlink>
          </w:p>
        </w:tc>
        <w:tc>
          <w:tcPr>
            <w:tcW w:w="1480" w:type="dxa"/>
            <w:vAlign w:val="bottom"/>
          </w:tcPr>
          <w:p>
            <w:pPr>
              <w:spacing w:after="0"/>
              <w:rPr>
                <w:sz w:val="16"/>
                <w:szCs w:val="16"/>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1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40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122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1380" w:type="dxa"/>
            <w:vAlign w:val="bottom"/>
            <w:tcBorders>
              <w:top w:val="single" w:sz="8" w:color="auto"/>
            </w:tcBorders>
            <w:shd w:val="clear" w:color="auto" w:fill="CCEEFF"/>
          </w:tcPr>
          <w:p>
            <w:pPr>
              <w:spacing w:after="0"/>
              <w:rPr>
                <w:sz w:val="3"/>
                <w:szCs w:val="3"/>
                <w:color w:val="auto"/>
              </w:rPr>
            </w:pPr>
          </w:p>
        </w:tc>
        <w:tc>
          <w:tcPr>
            <w:tcW w:w="46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94" w:lineRule="exact"/>
              <w:rPr>
                <w:rFonts w:ascii="Times New Roman" w:cs="Times New Roman" w:eastAsia="Times New Roman" w:hAnsi="Times New Roman"/>
                <w:sz w:val="17"/>
                <w:szCs w:val="17"/>
                <w:color w:val="auto"/>
              </w:rPr>
            </w:pPr>
            <w:hyperlink r:id="rId218">
              <w:r>
                <w:rPr>
                  <w:rFonts w:ascii="Times New Roman" w:cs="Times New Roman" w:eastAsia="Times New Roman" w:hAnsi="Times New Roman"/>
                  <w:sz w:val="17"/>
                  <w:szCs w:val="17"/>
                  <w:color w:val="auto"/>
                </w:rPr>
                <w:t>Form of Indemnity Agreement (incorporated by reference from Exhibit 10.1 to the Company’s Current Report on Form 8-K,</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tcBorders>
              <w:top w:val="single" w:sz="8" w:color="auto"/>
            </w:tcBorders>
            <w:gridSpan w:val="28"/>
          </w:tcPr>
          <w:p>
            <w:pPr>
              <w:spacing w:after="0" w:line="173" w:lineRule="exact"/>
              <w:rPr>
                <w:rFonts w:ascii="Times New Roman" w:cs="Times New Roman" w:eastAsia="Times New Roman" w:hAnsi="Times New Roman"/>
                <w:sz w:val="17"/>
                <w:szCs w:val="17"/>
                <w:color w:val="auto"/>
              </w:rPr>
            </w:pPr>
            <w:hyperlink r:id="rId218">
              <w:r>
                <w:rPr>
                  <w:rFonts w:ascii="Times New Roman" w:cs="Times New Roman" w:eastAsia="Times New Roman" w:hAnsi="Times New Roman"/>
                  <w:sz w:val="17"/>
                  <w:szCs w:val="17"/>
                  <w:color w:val="auto"/>
                </w:rPr>
                <w:t>filed with the SEC on July 28, 2021).</w:t>
              </w:r>
            </w:hyperlink>
          </w:p>
        </w:tc>
        <w:tc>
          <w:tcPr>
            <w:tcW w:w="1580" w:type="dxa"/>
            <w:vAlign w:val="bottom"/>
            <w:gridSpan w:val="4"/>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31"/>
            <w:shd w:val="clear" w:color="auto" w:fill="CCEEFF"/>
          </w:tcPr>
          <w:p>
            <w:pPr>
              <w:spacing w:after="0" w:line="194" w:lineRule="exact"/>
              <w:rPr>
                <w:rFonts w:ascii="Times New Roman" w:cs="Times New Roman" w:eastAsia="Times New Roman" w:hAnsi="Times New Roman"/>
                <w:sz w:val="17"/>
                <w:szCs w:val="17"/>
                <w:color w:val="auto"/>
              </w:rPr>
            </w:pPr>
            <w:hyperlink r:id="rId219">
              <w:r>
                <w:rPr>
                  <w:rFonts w:ascii="Times New Roman" w:cs="Times New Roman" w:eastAsia="Times New Roman" w:hAnsi="Times New Roman"/>
                  <w:sz w:val="17"/>
                  <w:szCs w:val="17"/>
                  <w:color w:val="auto"/>
                </w:rPr>
                <w:t>Employment Agreement, dated February 1, 2021, by and between Microvast, Inc. and Yang Wu (incorporated by reference</w:t>
              </w:r>
            </w:hyperlink>
          </w:p>
        </w:tc>
        <w:tc>
          <w:tcPr>
            <w:tcW w:w="1480" w:type="dxa"/>
            <w:vAlign w:val="bottom"/>
          </w:tcPr>
          <w:p>
            <w:pPr>
              <w:spacing w:after="0"/>
              <w:rPr>
                <w:sz w:val="16"/>
                <w:szCs w:val="16"/>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80" w:type="dxa"/>
            <w:vAlign w:val="bottom"/>
            <w:tcBorders>
              <w:top w:val="single" w:sz="8" w:color="auto"/>
            </w:tcBorders>
            <w:gridSpan w:val="23"/>
            <w:shd w:val="clear" w:color="auto" w:fill="CCEEFF"/>
          </w:tcPr>
          <w:p>
            <w:pPr>
              <w:spacing w:after="0" w:line="173" w:lineRule="exact"/>
              <w:rPr>
                <w:rFonts w:ascii="Times New Roman" w:cs="Times New Roman" w:eastAsia="Times New Roman" w:hAnsi="Times New Roman"/>
                <w:sz w:val="17"/>
                <w:szCs w:val="17"/>
                <w:color w:val="auto"/>
              </w:rPr>
            </w:pPr>
            <w:hyperlink r:id="rId219">
              <w:r>
                <w:rPr>
                  <w:rFonts w:ascii="Times New Roman" w:cs="Times New Roman" w:eastAsia="Times New Roman" w:hAnsi="Times New Roman"/>
                  <w:sz w:val="17"/>
                  <w:szCs w:val="17"/>
                  <w:color w:val="auto"/>
                </w:rPr>
                <w:t>from Exhibit 10.2 to the Company’s Current Report on Form 8-K, filed with the SEC on July 28,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right w:val="single" w:sz="8" w:color="CCEEFF"/>
            </w:tcBorders>
            <w:gridSpan w:val="5"/>
            <w:shd w:val="clear" w:color="auto" w:fill="CCEEFF"/>
          </w:tcPr>
          <w:p>
            <w:pPr>
              <w:spacing w:after="0"/>
              <w:rPr>
                <w:sz w:val="15"/>
                <w:szCs w:val="15"/>
                <w:color w:val="auto"/>
              </w:rPr>
            </w:pPr>
          </w:p>
        </w:tc>
        <w:tc>
          <w:tcPr>
            <w:tcW w:w="1480" w:type="dxa"/>
            <w:vAlign w:val="bottom"/>
          </w:tcPr>
          <w:p>
            <w:pPr>
              <w:spacing w:after="0"/>
              <w:rPr>
                <w:sz w:val="15"/>
                <w:szCs w:val="15"/>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1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40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122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1380" w:type="dxa"/>
            <w:vAlign w:val="bottom"/>
            <w:tcBorders>
              <w:top w:val="single" w:sz="8" w:color="auto"/>
            </w:tcBorders>
            <w:shd w:val="clear" w:color="auto" w:fill="CCEEFF"/>
          </w:tcPr>
          <w:p>
            <w:pPr>
              <w:spacing w:after="0"/>
              <w:rPr>
                <w:sz w:val="3"/>
                <w:szCs w:val="3"/>
                <w:color w:val="auto"/>
              </w:rPr>
            </w:pPr>
          </w:p>
        </w:tc>
        <w:tc>
          <w:tcPr>
            <w:tcW w:w="46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94" w:lineRule="exact"/>
              <w:rPr>
                <w:rFonts w:ascii="Times New Roman" w:cs="Times New Roman" w:eastAsia="Times New Roman" w:hAnsi="Times New Roman"/>
                <w:sz w:val="17"/>
                <w:szCs w:val="17"/>
                <w:color w:val="auto"/>
              </w:rPr>
            </w:pPr>
            <w:hyperlink r:id="rId220">
              <w:r>
                <w:rPr>
                  <w:rFonts w:ascii="Times New Roman" w:cs="Times New Roman" w:eastAsia="Times New Roman" w:hAnsi="Times New Roman"/>
                  <w:sz w:val="17"/>
                  <w:szCs w:val="17"/>
                  <w:color w:val="auto"/>
                </w:rPr>
                <w:t>Employment Agreement, dated February 1, 2021, by and between Microvast, Inc. and Wenjuan Mattis, Ph.D. (incorporated</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tcBorders>
              <w:top w:val="single" w:sz="8" w:color="auto"/>
            </w:tcBorders>
            <w:gridSpan w:val="26"/>
          </w:tcPr>
          <w:p>
            <w:pPr>
              <w:spacing w:after="0" w:line="173" w:lineRule="exact"/>
              <w:rPr>
                <w:rFonts w:ascii="Times New Roman" w:cs="Times New Roman" w:eastAsia="Times New Roman" w:hAnsi="Times New Roman"/>
                <w:sz w:val="17"/>
                <w:szCs w:val="17"/>
                <w:color w:val="auto"/>
              </w:rPr>
            </w:pPr>
            <w:hyperlink r:id="rId220">
              <w:r>
                <w:rPr>
                  <w:rFonts w:ascii="Times New Roman" w:cs="Times New Roman" w:eastAsia="Times New Roman" w:hAnsi="Times New Roman"/>
                  <w:sz w:val="17"/>
                  <w:szCs w:val="17"/>
                  <w:color w:val="auto"/>
                </w:rPr>
                <w:t>by reference from Exhibit 10.4 to the Company’s Current Report on Form 8-K, filed with the SEC on July 28, 2021).</w:t>
              </w:r>
            </w:hyperlink>
          </w:p>
        </w:tc>
        <w:tc>
          <w:tcPr>
            <w:tcW w:w="1620" w:type="dxa"/>
            <w:vAlign w:val="bottom"/>
            <w:gridSpan w:val="6"/>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31"/>
            <w:shd w:val="clear" w:color="auto" w:fill="CCEEFF"/>
          </w:tcPr>
          <w:p>
            <w:pPr>
              <w:spacing w:after="0" w:line="194" w:lineRule="exact"/>
              <w:rPr>
                <w:rFonts w:ascii="Times New Roman" w:cs="Times New Roman" w:eastAsia="Times New Roman" w:hAnsi="Times New Roman"/>
                <w:sz w:val="17"/>
                <w:szCs w:val="17"/>
                <w:color w:val="auto"/>
              </w:rPr>
            </w:pPr>
            <w:hyperlink r:id="rId221">
              <w:r>
                <w:rPr>
                  <w:rFonts w:ascii="Times New Roman" w:cs="Times New Roman" w:eastAsia="Times New Roman" w:hAnsi="Times New Roman"/>
                  <w:sz w:val="17"/>
                  <w:szCs w:val="17"/>
                  <w:color w:val="auto"/>
                </w:rPr>
                <w:t>Offer Letter, dated January 05, 2026, by and between Microvast Holdings, Inc. and Eric Garcia (incorporated by reference</w:t>
              </w:r>
            </w:hyperlink>
          </w:p>
        </w:tc>
        <w:tc>
          <w:tcPr>
            <w:tcW w:w="1480" w:type="dxa"/>
            <w:vAlign w:val="bottom"/>
          </w:tcPr>
          <w:p>
            <w:pPr>
              <w:spacing w:after="0"/>
              <w:rPr>
                <w:sz w:val="16"/>
                <w:szCs w:val="16"/>
                <w:color w:val="auto"/>
              </w:rPr>
            </w:pPr>
          </w:p>
        </w:tc>
      </w:tr>
      <w:tr>
        <w:trPr>
          <w:trHeight w:val="218"/>
        </w:trPr>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0" w:type="dxa"/>
            <w:vAlign w:val="bottom"/>
            <w:tcBorders>
              <w:top w:val="single" w:sz="8" w:color="auto"/>
              <w:bottom w:val="single" w:sz="8" w:color="auto"/>
            </w:tcBorders>
            <w:gridSpan w:val="12"/>
            <w:shd w:val="clear" w:color="auto" w:fill="CCEEFF"/>
          </w:tcPr>
          <w:p>
            <w:pPr>
              <w:spacing w:after="0" w:line="173" w:lineRule="exact"/>
              <w:rPr>
                <w:rFonts w:ascii="Times New Roman" w:cs="Times New Roman" w:eastAsia="Times New Roman" w:hAnsi="Times New Roman"/>
                <w:sz w:val="17"/>
                <w:szCs w:val="17"/>
                <w:color w:val="auto"/>
              </w:rPr>
            </w:pPr>
            <w:hyperlink r:id="rId221">
              <w:r>
                <w:rPr>
                  <w:rFonts w:ascii="Times New Roman" w:cs="Times New Roman" w:eastAsia="Times New Roman" w:hAnsi="Times New Roman"/>
                  <w:sz w:val="17"/>
                  <w:szCs w:val="17"/>
                  <w:color w:val="auto"/>
                </w:rPr>
                <w:t>from Exhibit 10.1 to the Company’s Current Report on Form 8-K, filed with the SEC on January 09, 2026).</w:t>
              </w:r>
            </w:hyperlink>
          </w:p>
        </w:tc>
        <w:tc>
          <w:tcPr>
            <w:tcW w:w="1020" w:type="dxa"/>
            <w:vAlign w:val="bottom"/>
            <w:tcBorders>
              <w:top w:val="single" w:sz="8" w:color="auto"/>
              <w:bottom w:val="single" w:sz="8" w:color="CCEEFF"/>
            </w:tcBorders>
            <w:gridSpan w:val="9"/>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80" w:type="dxa"/>
            <w:vAlign w:val="bottom"/>
            <w:tcBorders>
              <w:top w:val="single" w:sz="8" w:color="CCEEFF"/>
              <w:bottom w:val="single" w:sz="8" w:color="CCEEFF"/>
              <w:right w:val="single" w:sz="8" w:color="CCEEFF"/>
            </w:tcBorders>
            <w:gridSpan w:val="7"/>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94" w:lineRule="exact"/>
              <w:rPr>
                <w:rFonts w:ascii="Times New Roman" w:cs="Times New Roman" w:eastAsia="Times New Roman" w:hAnsi="Times New Roman"/>
                <w:sz w:val="17"/>
                <w:szCs w:val="17"/>
                <w:color w:val="auto"/>
              </w:rPr>
            </w:pPr>
            <w:hyperlink r:id="rId222">
              <w:r>
                <w:rPr>
                  <w:rFonts w:ascii="Times New Roman" w:cs="Times New Roman" w:eastAsia="Times New Roman" w:hAnsi="Times New Roman"/>
                  <w:sz w:val="17"/>
                  <w:szCs w:val="17"/>
                  <w:color w:val="auto"/>
                </w:rPr>
                <w:t>Microvast Holdings, Inc. 2021 Equity Incentive Plan (incorporated by reference from Exhibit 99.1 to the Company’s</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20" w:type="dxa"/>
            <w:vAlign w:val="bottom"/>
            <w:tcBorders>
              <w:top w:val="single" w:sz="8" w:color="auto"/>
            </w:tcBorders>
            <w:gridSpan w:val="14"/>
          </w:tcPr>
          <w:p>
            <w:pPr>
              <w:spacing w:after="0" w:line="173" w:lineRule="exact"/>
              <w:rPr>
                <w:rFonts w:ascii="Times New Roman" w:cs="Times New Roman" w:eastAsia="Times New Roman" w:hAnsi="Times New Roman"/>
                <w:sz w:val="17"/>
                <w:szCs w:val="17"/>
                <w:color w:val="auto"/>
              </w:rPr>
            </w:pPr>
            <w:hyperlink r:id="rId222">
              <w:r>
                <w:rPr>
                  <w:rFonts w:ascii="Times New Roman" w:cs="Times New Roman" w:eastAsia="Times New Roman" w:hAnsi="Times New Roman"/>
                  <w:sz w:val="17"/>
                  <w:szCs w:val="17"/>
                  <w:color w:val="auto"/>
                </w:rPr>
                <w:t>Registration Statement on Form S-8, filed with the SEC on October 1, 2021).</w:t>
              </w:r>
            </w:hyperlink>
          </w:p>
        </w:tc>
        <w:tc>
          <w:tcPr>
            <w:tcW w:w="300" w:type="dxa"/>
            <w:vAlign w:val="bottom"/>
            <w:gridSpan w:val="5"/>
          </w:tcPr>
          <w:p>
            <w:pPr>
              <w:spacing w:after="0"/>
              <w:rPr>
                <w:sz w:val="15"/>
                <w:szCs w:val="15"/>
                <w:color w:val="auto"/>
              </w:rPr>
            </w:pPr>
          </w:p>
        </w:tc>
        <w:tc>
          <w:tcPr>
            <w:tcW w:w="180" w:type="dxa"/>
            <w:vAlign w:val="bottom"/>
            <w:gridSpan w:val="5"/>
          </w:tcPr>
          <w:p>
            <w:pPr>
              <w:spacing w:after="0"/>
              <w:rPr>
                <w:sz w:val="15"/>
                <w:szCs w:val="15"/>
                <w:color w:val="auto"/>
              </w:rPr>
            </w:pPr>
          </w:p>
        </w:tc>
        <w:tc>
          <w:tcPr>
            <w:tcW w:w="1660" w:type="dxa"/>
            <w:vAlign w:val="bottom"/>
            <w:gridSpan w:val="8"/>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31"/>
            <w:shd w:val="clear" w:color="auto" w:fill="CCEEFF"/>
          </w:tcPr>
          <w:p>
            <w:pPr>
              <w:spacing w:after="0" w:line="194" w:lineRule="exact"/>
              <w:rPr>
                <w:rFonts w:ascii="Times New Roman" w:cs="Times New Roman" w:eastAsia="Times New Roman" w:hAnsi="Times New Roman"/>
                <w:sz w:val="17"/>
                <w:szCs w:val="17"/>
                <w:color w:val="auto"/>
              </w:rPr>
            </w:pPr>
            <w:hyperlink r:id="rId223">
              <w:r>
                <w:rPr>
                  <w:rFonts w:ascii="Times New Roman" w:cs="Times New Roman" w:eastAsia="Times New Roman" w:hAnsi="Times New Roman"/>
                  <w:sz w:val="17"/>
                  <w:szCs w:val="17"/>
                  <w:color w:val="auto"/>
                </w:rPr>
                <w:t>Stock Escrow Agreement, between the Registrant, Continental Stock Transfer &amp; Trust Company and the Company’s Initial</w:t>
              </w:r>
            </w:hyperlink>
          </w:p>
        </w:tc>
        <w:tc>
          <w:tcPr>
            <w:tcW w:w="1480" w:type="dxa"/>
            <w:vAlign w:val="bottom"/>
          </w:tcPr>
          <w:p>
            <w:pPr>
              <w:spacing w:after="0"/>
              <w:rPr>
                <w:sz w:val="16"/>
                <w:szCs w:val="16"/>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500" w:type="dxa"/>
            <w:vAlign w:val="bottom"/>
            <w:tcBorders>
              <w:top w:val="single" w:sz="8" w:color="auto"/>
            </w:tcBorders>
            <w:gridSpan w:val="24"/>
            <w:shd w:val="clear" w:color="auto" w:fill="CCEEFF"/>
          </w:tcPr>
          <w:p>
            <w:pPr>
              <w:spacing w:after="0" w:line="173" w:lineRule="exact"/>
              <w:rPr>
                <w:rFonts w:ascii="Times New Roman" w:cs="Times New Roman" w:eastAsia="Times New Roman" w:hAnsi="Times New Roman"/>
                <w:sz w:val="17"/>
                <w:szCs w:val="17"/>
                <w:color w:val="auto"/>
              </w:rPr>
            </w:pPr>
            <w:hyperlink r:id="rId223">
              <w:r>
                <w:rPr>
                  <w:rFonts w:ascii="Times New Roman" w:cs="Times New Roman" w:eastAsia="Times New Roman" w:hAnsi="Times New Roman"/>
                  <w:sz w:val="17"/>
                  <w:szCs w:val="17"/>
                  <w:color w:val="auto"/>
                </w:rPr>
                <w:t>Stockholder (incorporated by reference from Exhibit 10.6 to the Company’s Registration Statement on S-1, filed with the</w:t>
              </w:r>
            </w:hyperlink>
          </w:p>
        </w:tc>
        <w:tc>
          <w:tcPr>
            <w:tcW w:w="180" w:type="dxa"/>
            <w:vAlign w:val="bottom"/>
            <w:tcBorders>
              <w:top w:val="single" w:sz="8" w:color="CCEEFF"/>
              <w:right w:val="single" w:sz="8" w:color="CCEEFF"/>
            </w:tcBorders>
            <w:gridSpan w:val="7"/>
            <w:shd w:val="clear" w:color="auto" w:fill="CCEEFF"/>
          </w:tcPr>
          <w:p>
            <w:pPr>
              <w:spacing w:after="0"/>
              <w:rPr>
                <w:sz w:val="15"/>
                <w:szCs w:val="15"/>
                <w:color w:val="auto"/>
              </w:rPr>
            </w:pPr>
          </w:p>
        </w:tc>
        <w:tc>
          <w:tcPr>
            <w:tcW w:w="1480" w:type="dxa"/>
            <w:vAlign w:val="bottom"/>
          </w:tcPr>
          <w:p>
            <w:pPr>
              <w:spacing w:after="0"/>
              <w:rPr>
                <w:sz w:val="15"/>
                <w:szCs w:val="15"/>
                <w:color w:val="auto"/>
              </w:rPr>
            </w:pPr>
          </w:p>
        </w:tc>
      </w:tr>
      <w:tr>
        <w:trPr>
          <w:trHeight w:val="218"/>
        </w:trPr>
        <w:tc>
          <w:tcPr>
            <w:tcW w:w="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320" w:type="dxa"/>
            <w:vAlign w:val="bottom"/>
            <w:tcBorders>
              <w:top w:val="single" w:sz="8" w:color="auto"/>
            </w:tcBorders>
            <w:gridSpan w:val="19"/>
            <w:shd w:val="clear" w:color="auto" w:fill="CCEEFF"/>
          </w:tcPr>
          <w:p>
            <w:pPr>
              <w:spacing w:after="0" w:line="186" w:lineRule="exact"/>
              <w:rPr>
                <w:rFonts w:ascii="Times New Roman" w:cs="Times New Roman" w:eastAsia="Times New Roman" w:hAnsi="Times New Roman"/>
                <w:sz w:val="17"/>
                <w:szCs w:val="17"/>
                <w:color w:val="auto"/>
              </w:rPr>
            </w:pPr>
            <w:hyperlink r:id="rId223">
              <w:r>
                <w:rPr>
                  <w:rFonts w:ascii="Times New Roman" w:cs="Times New Roman" w:eastAsia="Times New Roman" w:hAnsi="Times New Roman"/>
                  <w:sz w:val="17"/>
                  <w:szCs w:val="17"/>
                  <w:color w:val="auto"/>
                </w:rPr>
                <w:t>Company on February 26, 2019).</w:t>
              </w:r>
            </w:hyperlink>
          </w:p>
        </w:tc>
        <w:tc>
          <w:tcPr>
            <w:tcW w:w="360" w:type="dxa"/>
            <w:vAlign w:val="bottom"/>
            <w:tcBorders>
              <w:top w:val="single" w:sz="8" w:color="CCEEFF"/>
              <w:right w:val="single" w:sz="8" w:color="CCEEFF"/>
            </w:tcBorders>
            <w:gridSpan w:val="12"/>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864"/>
        </w:trPr>
        <w:tc>
          <w:tcPr>
            <w:tcW w:w="9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80" w:type="dxa"/>
            <w:vAlign w:val="bottom"/>
            <w:tcBorders>
              <w:top w:val="single" w:sz="8" w:color="auto"/>
            </w:tcBorders>
            <w:gridSpan w:val="3"/>
          </w:tcPr>
          <w:p>
            <w:pPr>
              <w:spacing w:after="0"/>
              <w:rPr>
                <w:sz w:val="24"/>
                <w:szCs w:val="24"/>
                <w:color w:val="auto"/>
              </w:rPr>
            </w:pPr>
          </w:p>
        </w:tc>
        <w:tc>
          <w:tcPr>
            <w:tcW w:w="3020" w:type="dxa"/>
            <w:vAlign w:val="bottom"/>
            <w:tcBorders>
              <w:top w:val="single" w:sz="8" w:color="CCEEFF"/>
            </w:tcBorders>
            <w:gridSpan w:val="6"/>
          </w:tcPr>
          <w:p>
            <w:pPr>
              <w:jc w:val="right"/>
              <w:ind w:right="620"/>
              <w:spacing w:after="0"/>
              <w:rPr>
                <w:sz w:val="20"/>
                <w:szCs w:val="20"/>
                <w:color w:val="auto"/>
              </w:rPr>
            </w:pPr>
            <w:r>
              <w:rPr>
                <w:rFonts w:ascii="Times New Roman" w:cs="Times New Roman" w:eastAsia="Times New Roman" w:hAnsi="Times New Roman"/>
                <w:sz w:val="17"/>
                <w:szCs w:val="17"/>
                <w:color w:val="auto"/>
              </w:rPr>
              <w:t>144</w:t>
            </w:r>
          </w:p>
        </w:tc>
        <w:tc>
          <w:tcPr>
            <w:tcW w:w="13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80" w:type="dxa"/>
            <w:vAlign w:val="bottom"/>
          </w:tcPr>
          <w:p>
            <w:pPr>
              <w:spacing w:after="0"/>
              <w:rPr>
                <w:sz w:val="24"/>
                <w:szCs w:val="24"/>
                <w:color w:val="auto"/>
              </w:rPr>
            </w:pPr>
          </w:p>
        </w:tc>
      </w:tr>
      <w:tr>
        <w:trPr>
          <w:trHeight w:val="108"/>
        </w:trPr>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240" w:type="dxa"/>
            <w:vAlign w:val="bottom"/>
            <w:tcBorders>
              <w:bottom w:val="single" w:sz="8" w:color="auto"/>
            </w:tcBorders>
            <w:gridSpan w:val="34"/>
          </w:tcPr>
          <w:p>
            <w:pPr>
              <w:ind w:left="4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98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40" w:type="dxa"/>
            <w:vAlign w:val="bottom"/>
            <w:tcBorders>
              <w:bottom w:val="single" w:sz="8" w:color="auto"/>
            </w:tcBorders>
            <w:gridSpan w:val="31"/>
          </w:tcPr>
          <w:p>
            <w:pPr>
              <w:spacing w:after="0" w:line="193" w:lineRule="exact"/>
              <w:rPr>
                <w:rFonts w:ascii="Times New Roman" w:cs="Times New Roman" w:eastAsia="Times New Roman" w:hAnsi="Times New Roman"/>
                <w:sz w:val="17"/>
                <w:szCs w:val="17"/>
                <w:color w:val="auto"/>
              </w:rPr>
            </w:pPr>
            <w:hyperlink r:id="rId226">
              <w:r>
                <w:rPr>
                  <w:rFonts w:ascii="Times New Roman" w:cs="Times New Roman" w:eastAsia="Times New Roman" w:hAnsi="Times New Roman"/>
                  <w:sz w:val="17"/>
                  <w:szCs w:val="17"/>
                  <w:color w:val="auto"/>
                </w:rPr>
                <w:t>Amendment No. 1 to Stock Escrow Agreement, between the Registrant, Continental Stock Transfer &amp; Trust Company and</w:t>
              </w:r>
            </w:hyperlink>
          </w:p>
        </w:tc>
        <w:tc>
          <w:tcPr>
            <w:tcW w:w="172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tcBorders>
              <w:bottom w:val="single" w:sz="8" w:color="auto"/>
            </w:tcBorders>
            <w:gridSpan w:val="37"/>
          </w:tcPr>
          <w:p>
            <w:pPr>
              <w:spacing w:after="0" w:line="173" w:lineRule="exact"/>
              <w:rPr>
                <w:rFonts w:ascii="Times New Roman" w:cs="Times New Roman" w:eastAsia="Times New Roman" w:hAnsi="Times New Roman"/>
                <w:sz w:val="17"/>
                <w:szCs w:val="17"/>
                <w:color w:val="auto"/>
              </w:rPr>
            </w:pPr>
            <w:hyperlink r:id="rId226">
              <w:r>
                <w:rPr>
                  <w:rFonts w:ascii="Times New Roman" w:cs="Times New Roman" w:eastAsia="Times New Roman" w:hAnsi="Times New Roman"/>
                  <w:sz w:val="17"/>
                  <w:szCs w:val="17"/>
                  <w:color w:val="auto"/>
                </w:rPr>
                <w:t>the Company’s Initial Stockholder (incorporated by reference from Exhibit 10.13 to the Company’s Current Report on Form</w:t>
              </w:r>
            </w:hyperlink>
          </w:p>
        </w:tc>
        <w:tc>
          <w:tcPr>
            <w:tcW w:w="15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3"/>
          </w:tcPr>
          <w:p>
            <w:pPr>
              <w:spacing w:after="0" w:line="186" w:lineRule="exact"/>
              <w:rPr>
                <w:rFonts w:ascii="Times New Roman" w:cs="Times New Roman" w:eastAsia="Times New Roman" w:hAnsi="Times New Roman"/>
                <w:sz w:val="17"/>
                <w:szCs w:val="17"/>
                <w:color w:val="auto"/>
              </w:rPr>
            </w:pPr>
            <w:hyperlink r:id="rId226">
              <w:r>
                <w:rPr>
                  <w:rFonts w:ascii="Times New Roman" w:cs="Times New Roman" w:eastAsia="Times New Roman" w:hAnsi="Times New Roman"/>
                  <w:sz w:val="17"/>
                  <w:szCs w:val="17"/>
                  <w:color w:val="auto"/>
                </w:rPr>
                <w:t>8-K, filed with the SEC on July 28, 2021).</w:t>
              </w:r>
            </w:hyperlink>
          </w:p>
        </w:tc>
        <w:tc>
          <w:tcPr>
            <w:tcW w:w="0" w:type="dxa"/>
            <w:vAlign w:val="bottom"/>
          </w:tcPr>
          <w:p>
            <w:pPr>
              <w:spacing w:after="0"/>
              <w:rPr>
                <w:sz w:val="1"/>
                <w:szCs w:val="1"/>
                <w:color w:val="auto"/>
              </w:rPr>
            </w:pPr>
          </w:p>
        </w:tc>
      </w:tr>
      <w:tr>
        <w:trPr>
          <w:trHeight w:val="32"/>
        </w:trPr>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42"/>
            <w:shd w:val="clear" w:color="auto" w:fill="CCEEFF"/>
          </w:tcPr>
          <w:p>
            <w:pPr>
              <w:spacing w:after="0" w:line="194" w:lineRule="exact"/>
              <w:rPr>
                <w:rFonts w:ascii="Times New Roman" w:cs="Times New Roman" w:eastAsia="Times New Roman" w:hAnsi="Times New Roman"/>
                <w:sz w:val="17"/>
                <w:szCs w:val="17"/>
                <w:color w:val="auto"/>
              </w:rPr>
            </w:pPr>
            <w:hyperlink r:id="rId227">
              <w:r>
                <w:rPr>
                  <w:rFonts w:ascii="Times New Roman" w:cs="Times New Roman" w:eastAsia="Times New Roman" w:hAnsi="Times New Roman"/>
                  <w:sz w:val="17"/>
                  <w:szCs w:val="17"/>
                  <w:color w:val="auto"/>
                </w:rPr>
                <w:t>Form of Performance Stock Unit Award Agreement (incorporated by reference from Exhibit 99.1 to the Company’s Current</w:t>
              </w:r>
            </w:hyperlink>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540" w:type="dxa"/>
            <w:vAlign w:val="bottom"/>
            <w:tcBorders>
              <w:top w:val="single" w:sz="8" w:color="auto"/>
            </w:tcBorders>
            <w:gridSpan w:val="35"/>
            <w:shd w:val="clear" w:color="auto" w:fill="CCEEFF"/>
          </w:tcPr>
          <w:p>
            <w:pPr>
              <w:spacing w:after="0" w:line="173" w:lineRule="exact"/>
              <w:rPr>
                <w:rFonts w:ascii="Times New Roman" w:cs="Times New Roman" w:eastAsia="Times New Roman" w:hAnsi="Times New Roman"/>
                <w:sz w:val="17"/>
                <w:szCs w:val="17"/>
                <w:color w:val="auto"/>
              </w:rPr>
            </w:pPr>
            <w:hyperlink r:id="rId227">
              <w:r>
                <w:rPr>
                  <w:rFonts w:ascii="Times New Roman" w:cs="Times New Roman" w:eastAsia="Times New Roman" w:hAnsi="Times New Roman"/>
                  <w:sz w:val="17"/>
                  <w:szCs w:val="17"/>
                  <w:color w:val="auto"/>
                </w:rPr>
                <w:t>Report on Form 8-K, filed with the SEC on August 31,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Borders>
              <w:top w:val="single" w:sz="8" w:color="CCEEFF"/>
              <w:right w:val="single" w:sz="8" w:color="CCEEFF"/>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300" w:type="dxa"/>
            <w:vAlign w:val="bottom"/>
            <w:tcBorders>
              <w:top w:val="single" w:sz="8" w:color="auto"/>
            </w:tcBorders>
            <w:shd w:val="clear" w:color="auto" w:fill="CCEEFF"/>
          </w:tcPr>
          <w:p>
            <w:pPr>
              <w:spacing w:after="0"/>
              <w:rPr>
                <w:sz w:val="3"/>
                <w:szCs w:val="3"/>
                <w:color w:val="auto"/>
              </w:rPr>
            </w:pPr>
          </w:p>
        </w:tc>
        <w:tc>
          <w:tcPr>
            <w:tcW w:w="46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440" w:type="dxa"/>
            <w:vAlign w:val="bottom"/>
            <w:tcBorders>
              <w:top w:val="single" w:sz="8" w:color="auto"/>
            </w:tcBorders>
            <w:shd w:val="clear" w:color="auto" w:fill="CCEEFF"/>
          </w:tcPr>
          <w:p>
            <w:pPr>
              <w:spacing w:after="0"/>
              <w:rPr>
                <w:sz w:val="3"/>
                <w:szCs w:val="3"/>
                <w:color w:val="auto"/>
              </w:rPr>
            </w:pPr>
          </w:p>
        </w:tc>
        <w:tc>
          <w:tcPr>
            <w:tcW w:w="54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0" w:type="dxa"/>
            <w:vAlign w:val="bottom"/>
            <w:tcBorders>
              <w:top w:val="single" w:sz="8" w:color="CCEEFF"/>
              <w:right w:val="single" w:sz="8" w:color="CCEEFF"/>
            </w:tcBorders>
            <w:shd w:val="clear" w:color="auto" w:fill="CCEEFF"/>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3"/>
          </w:tcPr>
          <w:p>
            <w:pPr>
              <w:spacing w:after="0" w:line="194" w:lineRule="exact"/>
              <w:rPr>
                <w:rFonts w:ascii="Times New Roman" w:cs="Times New Roman" w:eastAsia="Times New Roman" w:hAnsi="Times New Roman"/>
                <w:sz w:val="17"/>
                <w:szCs w:val="17"/>
                <w:color w:val="auto"/>
              </w:rPr>
            </w:pPr>
            <w:hyperlink r:id="rId228">
              <w:r>
                <w:rPr>
                  <w:rFonts w:ascii="Times New Roman" w:cs="Times New Roman" w:eastAsia="Times New Roman" w:hAnsi="Times New Roman"/>
                  <w:sz w:val="17"/>
                  <w:szCs w:val="17"/>
                  <w:color w:val="auto"/>
                </w:rPr>
                <w:t>Form of Restricted Stock Unit Award Agreement (Performance Condition) (incorporated by reference from Exhibit 99.2 to</w:t>
              </w:r>
            </w:hyperlink>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60" w:type="dxa"/>
            <w:vAlign w:val="bottom"/>
            <w:tcBorders>
              <w:top w:val="single" w:sz="8" w:color="auto"/>
            </w:tcBorders>
            <w:gridSpan w:val="32"/>
          </w:tcPr>
          <w:p>
            <w:pPr>
              <w:spacing w:after="0" w:line="173" w:lineRule="exact"/>
              <w:rPr>
                <w:rFonts w:ascii="Times New Roman" w:cs="Times New Roman" w:eastAsia="Times New Roman" w:hAnsi="Times New Roman"/>
                <w:sz w:val="17"/>
                <w:szCs w:val="17"/>
                <w:color w:val="auto"/>
              </w:rPr>
            </w:pPr>
            <w:hyperlink r:id="rId228">
              <w:r>
                <w:rPr>
                  <w:rFonts w:ascii="Times New Roman" w:cs="Times New Roman" w:eastAsia="Times New Roman" w:hAnsi="Times New Roman"/>
                  <w:sz w:val="17"/>
                  <w:szCs w:val="17"/>
                  <w:color w:val="auto"/>
                </w:rPr>
                <w:t>the Company’s Current Report on Form 8-K, filed with the SEC on August 31, 2021).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10.10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42"/>
            <w:shd w:val="clear" w:color="auto" w:fill="CCEEFF"/>
          </w:tcPr>
          <w:p>
            <w:pPr>
              <w:spacing w:after="0" w:line="194" w:lineRule="exact"/>
              <w:rPr>
                <w:rFonts w:ascii="Times New Roman" w:cs="Times New Roman" w:eastAsia="Times New Roman" w:hAnsi="Times New Roman"/>
                <w:sz w:val="17"/>
                <w:szCs w:val="17"/>
                <w:color w:val="auto"/>
              </w:rPr>
            </w:pPr>
            <w:hyperlink r:id="rId229">
              <w:r>
                <w:rPr>
                  <w:rFonts w:ascii="Times New Roman" w:cs="Times New Roman" w:eastAsia="Times New Roman" w:hAnsi="Times New Roman"/>
                  <w:sz w:val="17"/>
                  <w:szCs w:val="17"/>
                  <w:color w:val="auto"/>
                </w:rPr>
                <w:t>Form of Restricted Stock Unit Award Agreement (without Performance Condition) (incorporated by reference from Exhibit</w:t>
              </w:r>
            </w:hyperlink>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40" w:type="dxa"/>
            <w:vAlign w:val="bottom"/>
            <w:tcBorders>
              <w:top w:val="single" w:sz="8" w:color="auto"/>
              <w:bottom w:val="single" w:sz="8" w:color="auto"/>
            </w:tcBorders>
            <w:gridSpan w:val="20"/>
            <w:shd w:val="clear" w:color="auto" w:fill="CCEEFF"/>
          </w:tcPr>
          <w:p>
            <w:pPr>
              <w:spacing w:after="0" w:line="173" w:lineRule="exact"/>
              <w:rPr>
                <w:rFonts w:ascii="Times New Roman" w:cs="Times New Roman" w:eastAsia="Times New Roman" w:hAnsi="Times New Roman"/>
                <w:sz w:val="17"/>
                <w:szCs w:val="17"/>
                <w:color w:val="auto"/>
              </w:rPr>
            </w:pPr>
            <w:hyperlink r:id="rId229">
              <w:r>
                <w:rPr>
                  <w:rFonts w:ascii="Times New Roman" w:cs="Times New Roman" w:eastAsia="Times New Roman" w:hAnsi="Times New Roman"/>
                  <w:sz w:val="17"/>
                  <w:szCs w:val="17"/>
                  <w:color w:val="auto"/>
                </w:rPr>
                <w:t>99.</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xml:space="preserve"> to the Company’s Current Report on Form 8-K, filed with the SEC on August 31, 2021).</w:t>
              </w:r>
            </w:hyperlink>
          </w:p>
        </w:tc>
        <w:tc>
          <w:tcPr>
            <w:tcW w:w="2060" w:type="dxa"/>
            <w:vAlign w:val="bottom"/>
            <w:tcBorders>
              <w:top w:val="single" w:sz="8" w:color="auto"/>
              <w:bottom w:val="single" w:sz="8" w:color="CCEEFF"/>
            </w:tcBorders>
            <w:gridSpan w:val="1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3"/>
          </w:tcPr>
          <w:p>
            <w:pPr>
              <w:spacing w:after="0" w:line="194" w:lineRule="exact"/>
              <w:rPr>
                <w:rFonts w:ascii="Times New Roman" w:cs="Times New Roman" w:eastAsia="Times New Roman" w:hAnsi="Times New Roman"/>
                <w:sz w:val="17"/>
                <w:szCs w:val="17"/>
                <w:color w:val="auto"/>
              </w:rPr>
            </w:pPr>
            <w:hyperlink r:id="rId230">
              <w:r>
                <w:rPr>
                  <w:rFonts w:ascii="Times New Roman" w:cs="Times New Roman" w:eastAsia="Times New Roman" w:hAnsi="Times New Roman"/>
                  <w:sz w:val="17"/>
                  <w:szCs w:val="17"/>
                  <w:color w:val="auto"/>
                </w:rPr>
                <w:t>Form of Restricted Stock Unit Award Agreement (Directors) (incorporated by reference from Exhibit 10.15 to the Company's</w:t>
              </w:r>
            </w:hyperlink>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80" w:type="dxa"/>
            <w:vAlign w:val="bottom"/>
            <w:tcBorders>
              <w:top w:val="single" w:sz="8" w:color="auto"/>
            </w:tcBorders>
            <w:gridSpan w:val="41"/>
          </w:tcPr>
          <w:p>
            <w:pPr>
              <w:spacing w:after="0" w:line="173" w:lineRule="exact"/>
              <w:rPr>
                <w:rFonts w:ascii="Times New Roman" w:cs="Times New Roman" w:eastAsia="Times New Roman" w:hAnsi="Times New Roman"/>
                <w:sz w:val="17"/>
                <w:szCs w:val="17"/>
                <w:color w:val="auto"/>
              </w:rPr>
            </w:pPr>
            <w:hyperlink r:id="rId230">
              <w:r>
                <w:rPr>
                  <w:rFonts w:ascii="Times New Roman" w:cs="Times New Roman" w:eastAsia="Times New Roman" w:hAnsi="Times New Roman"/>
                  <w:sz w:val="17"/>
                  <w:szCs w:val="17"/>
                  <w:color w:val="auto"/>
                </w:rPr>
                <w:t>Annual Report on Form 10-K, filed with the SEC on March 29, 2022).</w:t>
              </w:r>
            </w:hyperlink>
          </w:p>
        </w:tc>
        <w:tc>
          <w:tcPr>
            <w:tcW w:w="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10.12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42"/>
            <w:shd w:val="clear" w:color="auto" w:fill="CCEEFF"/>
          </w:tcPr>
          <w:p>
            <w:pPr>
              <w:spacing w:after="0" w:line="194" w:lineRule="exact"/>
              <w:rPr>
                <w:rFonts w:ascii="Times New Roman" w:cs="Times New Roman" w:eastAsia="Times New Roman" w:hAnsi="Times New Roman"/>
                <w:sz w:val="17"/>
                <w:szCs w:val="17"/>
                <w:color w:val="auto"/>
              </w:rPr>
            </w:pPr>
            <w:hyperlink r:id="rId231">
              <w:r>
                <w:rPr>
                  <w:rFonts w:ascii="Times New Roman" w:cs="Times New Roman" w:eastAsia="Times New Roman" w:hAnsi="Times New Roman"/>
                  <w:sz w:val="17"/>
                  <w:szCs w:val="17"/>
                  <w:color w:val="auto"/>
                </w:rPr>
                <w:t>Loan and Security Agreement, dated May 28, 2024, by and among Microvast Holdings, Inc., Microvast, Inc., the subsidiaries</w:t>
              </w:r>
            </w:hyperlink>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60" w:type="dxa"/>
            <w:vAlign w:val="bottom"/>
            <w:tcBorders>
              <w:top w:val="single" w:sz="8" w:color="auto"/>
            </w:tcBorders>
            <w:gridSpan w:val="40"/>
            <w:shd w:val="clear" w:color="auto" w:fill="CCEEFF"/>
          </w:tcPr>
          <w:p>
            <w:pPr>
              <w:spacing w:after="0" w:line="173" w:lineRule="exact"/>
              <w:rPr>
                <w:rFonts w:ascii="Times New Roman" w:cs="Times New Roman" w:eastAsia="Times New Roman" w:hAnsi="Times New Roman"/>
                <w:sz w:val="17"/>
                <w:szCs w:val="17"/>
                <w:color w:val="auto"/>
              </w:rPr>
            </w:pPr>
            <w:hyperlink r:id="rId231">
              <w:r>
                <w:rPr>
                  <w:rFonts w:ascii="Times New Roman" w:cs="Times New Roman" w:eastAsia="Times New Roman" w:hAnsi="Times New Roman"/>
                  <w:sz w:val="17"/>
                  <w:szCs w:val="17"/>
                  <w:color w:val="auto"/>
                </w:rPr>
                <w:t>of Microvast Holdings, Inc. party hereto, Yang Wu and Acquiom Agency Services, LLC. (incorporated by reference from</w:t>
              </w:r>
            </w:hyperlink>
          </w:p>
        </w:tc>
        <w:tc>
          <w:tcPr>
            <w:tcW w:w="2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700" w:type="dxa"/>
            <w:vAlign w:val="bottom"/>
            <w:tcBorders>
              <w:top w:val="single" w:sz="8" w:color="auto"/>
              <w:bottom w:val="single" w:sz="8" w:color="auto"/>
            </w:tcBorders>
            <w:gridSpan w:val="21"/>
            <w:shd w:val="clear" w:color="auto" w:fill="CCEEFF"/>
          </w:tcPr>
          <w:p>
            <w:pPr>
              <w:spacing w:after="0" w:line="186" w:lineRule="exact"/>
              <w:rPr>
                <w:rFonts w:ascii="Times New Roman" w:cs="Times New Roman" w:eastAsia="Times New Roman" w:hAnsi="Times New Roman"/>
                <w:sz w:val="17"/>
                <w:szCs w:val="17"/>
                <w:color w:val="auto"/>
              </w:rPr>
            </w:pPr>
            <w:hyperlink r:id="rId231">
              <w:r>
                <w:rPr>
                  <w:rFonts w:ascii="Times New Roman" w:cs="Times New Roman" w:eastAsia="Times New Roman" w:hAnsi="Times New Roman"/>
                  <w:sz w:val="17"/>
                  <w:szCs w:val="17"/>
                  <w:color w:val="auto"/>
                </w:rPr>
                <w:t>Exhibit 10.1 to the Company's Current Report on Form 8-K, filed with the SEC on June 4, 2024).</w:t>
              </w:r>
            </w:hyperlink>
          </w:p>
        </w:tc>
        <w:tc>
          <w:tcPr>
            <w:tcW w:w="1660" w:type="dxa"/>
            <w:vAlign w:val="bottom"/>
            <w:tcBorders>
              <w:top w:val="single" w:sz="8" w:color="auto"/>
              <w:bottom w:val="single" w:sz="8" w:color="CCEEFF"/>
            </w:tcBorders>
            <w:gridSpan w:val="7"/>
            <w:shd w:val="clear" w:color="auto" w:fill="CCEEFF"/>
          </w:tcPr>
          <w:p>
            <w:pPr>
              <w:spacing w:after="0"/>
              <w:rPr>
                <w:sz w:val="18"/>
                <w:szCs w:val="18"/>
                <w:color w:val="auto"/>
              </w:rPr>
            </w:pPr>
          </w:p>
        </w:tc>
        <w:tc>
          <w:tcPr>
            <w:tcW w:w="320" w:type="dxa"/>
            <w:vAlign w:val="bottom"/>
            <w:tcBorders>
              <w:top w:val="single" w:sz="8" w:color="CCEEFF"/>
              <w:bottom w:val="single" w:sz="8" w:color="CCEEFF"/>
              <w:right w:val="single" w:sz="8" w:color="CCEEFF"/>
            </w:tcBorders>
            <w:gridSpan w:val="14"/>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10.13*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3"/>
          </w:tcPr>
          <w:p>
            <w:pPr>
              <w:spacing w:after="0" w:line="194" w:lineRule="exact"/>
              <w:rPr>
                <w:sz w:val="20"/>
                <w:szCs w:val="20"/>
                <w:color w:val="auto"/>
              </w:rPr>
            </w:pPr>
            <w:r>
              <w:rPr>
                <w:rFonts w:ascii="Times New Roman" w:cs="Times New Roman" w:eastAsia="Times New Roman" w:hAnsi="Times New Roman"/>
                <w:sz w:val="17"/>
                <w:szCs w:val="17"/>
                <w:color w:val="auto"/>
              </w:rPr>
              <w:t>Form of 2026 Restricted Stock Unit Award Agreement (Executives).</w:t>
            </w:r>
          </w:p>
        </w:tc>
        <w:tc>
          <w:tcPr>
            <w:tcW w:w="0" w:type="dxa"/>
            <w:vAlign w:val="bottom"/>
          </w:tcPr>
          <w:p>
            <w:pPr>
              <w:spacing w:after="0"/>
              <w:rPr>
                <w:sz w:val="1"/>
                <w:szCs w:val="1"/>
                <w:color w:val="auto"/>
              </w:rPr>
            </w:pPr>
          </w:p>
        </w:tc>
      </w:tr>
      <w:tr>
        <w:trPr>
          <w:trHeight w:val="32"/>
        </w:trPr>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10.14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42"/>
            <w:shd w:val="clear" w:color="auto" w:fill="CCEEFF"/>
          </w:tcPr>
          <w:p>
            <w:pPr>
              <w:spacing w:after="0" w:line="194" w:lineRule="exact"/>
              <w:rPr>
                <w:rFonts w:ascii="Times New Roman" w:cs="Times New Roman" w:eastAsia="Times New Roman" w:hAnsi="Times New Roman"/>
                <w:sz w:val="17"/>
                <w:szCs w:val="17"/>
                <w:color w:val="auto"/>
              </w:rPr>
            </w:pPr>
            <w:hyperlink r:id="rId232">
              <w:r>
                <w:rPr>
                  <w:rFonts w:ascii="Times New Roman" w:cs="Times New Roman" w:eastAsia="Times New Roman" w:hAnsi="Times New Roman"/>
                  <w:sz w:val="17"/>
                  <w:szCs w:val="17"/>
                  <w:color w:val="auto"/>
                </w:rPr>
                <w:t>First Amendment to Loan and Security Agreement, dated March 17, 2025, by and among Microvast Holdings, Inc.,</w:t>
              </w:r>
            </w:hyperlink>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940" w:type="dxa"/>
            <w:vAlign w:val="bottom"/>
            <w:tcBorders>
              <w:top w:val="single" w:sz="8" w:color="auto"/>
              <w:bottom w:val="single" w:sz="8" w:color="auto"/>
            </w:tcBorders>
            <w:gridSpan w:val="23"/>
            <w:shd w:val="clear" w:color="auto" w:fill="CCEEFF"/>
          </w:tcPr>
          <w:p>
            <w:pPr>
              <w:spacing w:after="0" w:line="173" w:lineRule="exact"/>
              <w:rPr>
                <w:rFonts w:ascii="Times New Roman" w:cs="Times New Roman" w:eastAsia="Times New Roman" w:hAnsi="Times New Roman"/>
                <w:sz w:val="17"/>
                <w:szCs w:val="17"/>
                <w:color w:val="auto"/>
              </w:rPr>
            </w:pPr>
            <w:hyperlink r:id="rId232">
              <w:r>
                <w:rPr>
                  <w:rFonts w:ascii="Times New Roman" w:cs="Times New Roman" w:eastAsia="Times New Roman" w:hAnsi="Times New Roman"/>
                  <w:sz w:val="17"/>
                  <w:szCs w:val="17"/>
                  <w:color w:val="auto"/>
                </w:rPr>
                <w:t>Microvast, Inc., the subsidiaries of Microvast Holdings, Inc. party thereto, the Lenders party thereto and Acquiom</w:t>
              </w:r>
            </w:hyperlink>
          </w:p>
        </w:tc>
        <w:tc>
          <w:tcPr>
            <w:tcW w:w="480" w:type="dxa"/>
            <w:vAlign w:val="bottom"/>
            <w:tcBorders>
              <w:top w:val="single" w:sz="8" w:color="CCEEFF"/>
              <w:bottom w:val="single" w:sz="8" w:color="auto"/>
            </w:tcBorders>
            <w:gridSpan w:val="7"/>
            <w:shd w:val="clear" w:color="auto" w:fill="CCEEFF"/>
          </w:tcPr>
          <w:p>
            <w:pPr>
              <w:spacing w:after="0" w:line="173" w:lineRule="exact"/>
              <w:rPr>
                <w:rFonts w:ascii="Times New Roman" w:cs="Times New Roman" w:eastAsia="Times New Roman" w:hAnsi="Times New Roman"/>
                <w:sz w:val="17"/>
                <w:szCs w:val="17"/>
                <w:color w:val="auto"/>
                <w:w w:val="86"/>
              </w:rPr>
            </w:pPr>
            <w:hyperlink r:id="rId232">
              <w:r>
                <w:rPr>
                  <w:rFonts w:ascii="Times New Roman" w:cs="Times New Roman" w:eastAsia="Times New Roman" w:hAnsi="Times New Roman"/>
                  <w:sz w:val="17"/>
                  <w:szCs w:val="17"/>
                  <w:color w:val="auto"/>
                  <w:w w:val="86"/>
                </w:rPr>
                <w:t>Agency</w:t>
              </w:r>
            </w:hyperlink>
          </w:p>
        </w:tc>
        <w:tc>
          <w:tcPr>
            <w:tcW w:w="260" w:type="dxa"/>
            <w:vAlign w:val="bottom"/>
            <w:tcBorders>
              <w:top w:val="single" w:sz="8" w:color="CCEEFF"/>
              <w:bottom w:val="single" w:sz="8" w:color="CCEEFF"/>
              <w:right w:val="single" w:sz="8" w:color="CCEEFF"/>
            </w:tcBorders>
            <w:gridSpan w:val="12"/>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42"/>
            <w:shd w:val="clear" w:color="auto" w:fill="CCEEFF"/>
          </w:tcPr>
          <w:p>
            <w:pPr>
              <w:spacing w:after="0" w:line="186" w:lineRule="exact"/>
              <w:rPr>
                <w:rFonts w:ascii="Times New Roman" w:cs="Times New Roman" w:eastAsia="Times New Roman" w:hAnsi="Times New Roman"/>
                <w:sz w:val="17"/>
                <w:szCs w:val="17"/>
                <w:color w:val="auto"/>
              </w:rPr>
            </w:pPr>
            <w:hyperlink r:id="rId232">
              <w:r>
                <w:rPr>
                  <w:rFonts w:ascii="Times New Roman" w:cs="Times New Roman" w:eastAsia="Times New Roman" w:hAnsi="Times New Roman"/>
                  <w:sz w:val="17"/>
                  <w:szCs w:val="17"/>
                  <w:color w:val="auto"/>
                </w:rPr>
                <w:t>Services LLC. (incorporated by reference from Exhibit 10.1 to the Company’s Current Report on Form 8-K, filed with the</w:t>
              </w:r>
            </w:hyperlink>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00" w:type="dxa"/>
            <w:vAlign w:val="bottom"/>
            <w:tcBorders>
              <w:top w:val="single" w:sz="8" w:color="auto"/>
            </w:tcBorders>
            <w:gridSpan w:val="29"/>
            <w:shd w:val="clear" w:color="auto" w:fill="CCEEFF"/>
          </w:tcPr>
          <w:p>
            <w:pPr>
              <w:spacing w:after="0" w:line="173" w:lineRule="exact"/>
              <w:rPr>
                <w:rFonts w:ascii="Times New Roman" w:cs="Times New Roman" w:eastAsia="Times New Roman" w:hAnsi="Times New Roman"/>
                <w:sz w:val="17"/>
                <w:szCs w:val="17"/>
                <w:color w:val="auto"/>
              </w:rPr>
            </w:pPr>
            <w:hyperlink r:id="rId232">
              <w:r>
                <w:rPr>
                  <w:rFonts w:ascii="Times New Roman" w:cs="Times New Roman" w:eastAsia="Times New Roman" w:hAnsi="Times New Roman"/>
                  <w:sz w:val="17"/>
                  <w:szCs w:val="17"/>
                  <w:color w:val="auto"/>
                </w:rPr>
                <w:t>SEC on March 17, 2025).</w:t>
              </w:r>
            </w:hyperlink>
          </w:p>
        </w:tc>
        <w:tc>
          <w:tcPr>
            <w:tcW w:w="120" w:type="dxa"/>
            <w:vAlign w:val="bottom"/>
            <w:tcBorders>
              <w:top w:val="single" w:sz="8" w:color="CCEEFF"/>
            </w:tcBorders>
            <w:gridSpan w:val="5"/>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gridSpan w:val="3"/>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9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right w:val="single" w:sz="8" w:color="CCEEFF"/>
            </w:tcBorders>
            <w:shd w:val="clear" w:color="auto" w:fill="CCEEFF"/>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10.15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3"/>
          </w:tcPr>
          <w:p>
            <w:pPr>
              <w:spacing w:after="0" w:line="194" w:lineRule="exact"/>
              <w:rPr>
                <w:rFonts w:ascii="Times New Roman" w:cs="Times New Roman" w:eastAsia="Times New Roman" w:hAnsi="Times New Roman"/>
                <w:sz w:val="17"/>
                <w:szCs w:val="17"/>
                <w:color w:val="auto"/>
              </w:rPr>
            </w:pPr>
            <w:hyperlink r:id="rId233">
              <w:r>
                <w:rPr>
                  <w:rFonts w:ascii="Times New Roman" w:cs="Times New Roman" w:eastAsia="Times New Roman" w:hAnsi="Times New Roman"/>
                  <w:sz w:val="17"/>
                  <w:szCs w:val="17"/>
                  <w:color w:val="auto"/>
                </w:rPr>
                <w:t>Transition Services Agreement, between Microvast Holdings, Inc. and Craig Webster dated April 10, 2024 (incorporated by</w:t>
              </w:r>
            </w:hyperlink>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tcBorders>
              <w:top w:val="single" w:sz="8" w:color="auto"/>
            </w:tcBorders>
            <w:gridSpan w:val="34"/>
          </w:tcPr>
          <w:p>
            <w:pPr>
              <w:spacing w:after="0" w:line="173" w:lineRule="exact"/>
              <w:rPr>
                <w:rFonts w:ascii="Times New Roman" w:cs="Times New Roman" w:eastAsia="Times New Roman" w:hAnsi="Times New Roman"/>
                <w:sz w:val="17"/>
                <w:szCs w:val="17"/>
                <w:color w:val="auto"/>
              </w:rPr>
            </w:pPr>
            <w:hyperlink r:id="rId233">
              <w:r>
                <w:rPr>
                  <w:rFonts w:ascii="Times New Roman" w:cs="Times New Roman" w:eastAsia="Times New Roman" w:hAnsi="Times New Roman"/>
                  <w:sz w:val="17"/>
                  <w:szCs w:val="17"/>
                  <w:color w:val="auto"/>
                </w:rPr>
                <w:t>reference from Exhibit 10.1 to the Company's Current Report on Form 8-K, filed with the SEC on April 12, 2024).</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3"/>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10.16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42"/>
            <w:shd w:val="clear" w:color="auto" w:fill="CCEEFF"/>
          </w:tcPr>
          <w:p>
            <w:pPr>
              <w:spacing w:after="0" w:line="194" w:lineRule="exact"/>
              <w:rPr>
                <w:rFonts w:ascii="Times New Roman" w:cs="Times New Roman" w:eastAsia="Times New Roman" w:hAnsi="Times New Roman"/>
                <w:sz w:val="17"/>
                <w:szCs w:val="17"/>
                <w:color w:val="auto"/>
              </w:rPr>
            </w:pPr>
            <w:hyperlink r:id="rId234">
              <w:r>
                <w:rPr>
                  <w:rFonts w:ascii="Times New Roman" w:cs="Times New Roman" w:eastAsia="Times New Roman" w:hAnsi="Times New Roman"/>
                  <w:sz w:val="17"/>
                  <w:szCs w:val="17"/>
                  <w:color w:val="auto"/>
                </w:rPr>
                <w:t>Pledge Agreement, dated May 28, 2024, by and among Microvast Holdings, Inc., Microvast, Inc., the subsidiaries of</w:t>
              </w:r>
            </w:hyperlink>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20" w:type="dxa"/>
            <w:vAlign w:val="bottom"/>
            <w:tcBorders>
              <w:top w:val="single" w:sz="8" w:color="auto"/>
              <w:bottom w:val="single" w:sz="8" w:color="auto"/>
            </w:tcBorders>
            <w:gridSpan w:val="24"/>
            <w:shd w:val="clear" w:color="auto" w:fill="CCEEFF"/>
          </w:tcPr>
          <w:p>
            <w:pPr>
              <w:spacing w:after="0" w:line="173" w:lineRule="exact"/>
              <w:rPr>
                <w:rFonts w:ascii="Times New Roman" w:cs="Times New Roman" w:eastAsia="Times New Roman" w:hAnsi="Times New Roman"/>
                <w:sz w:val="17"/>
                <w:szCs w:val="17"/>
                <w:color w:val="auto"/>
              </w:rPr>
            </w:pPr>
            <w:hyperlink r:id="rId234">
              <w:r>
                <w:rPr>
                  <w:rFonts w:ascii="Times New Roman" w:cs="Times New Roman" w:eastAsia="Times New Roman" w:hAnsi="Times New Roman"/>
                  <w:sz w:val="17"/>
                  <w:szCs w:val="17"/>
                  <w:color w:val="auto"/>
                </w:rPr>
                <w:t>Microvast Holdings, Inc. party thereto and Acquiom Agency Services LLC. (incorporated by reference from Exhibit</w:t>
              </w:r>
            </w:hyperlink>
          </w:p>
        </w:tc>
        <w:tc>
          <w:tcPr>
            <w:tcW w:w="560" w:type="dxa"/>
            <w:vAlign w:val="bottom"/>
            <w:tcBorders>
              <w:top w:val="single" w:sz="8" w:color="CCEEFF"/>
              <w:bottom w:val="single" w:sz="8" w:color="auto"/>
            </w:tcBorders>
            <w:gridSpan w:val="13"/>
            <w:shd w:val="clear" w:color="auto" w:fill="CCEEFF"/>
          </w:tcPr>
          <w:p>
            <w:pPr>
              <w:ind w:left="40"/>
              <w:spacing w:after="0" w:line="173" w:lineRule="exact"/>
              <w:rPr>
                <w:rFonts w:ascii="Times New Roman" w:cs="Times New Roman" w:eastAsia="Times New Roman" w:hAnsi="Times New Roman"/>
                <w:sz w:val="17"/>
                <w:szCs w:val="17"/>
                <w:color w:val="auto"/>
                <w:w w:val="97"/>
              </w:rPr>
            </w:pPr>
            <w:hyperlink r:id="rId234">
              <w:r>
                <w:rPr>
                  <w:rFonts w:ascii="Times New Roman" w:cs="Times New Roman" w:eastAsia="Times New Roman" w:hAnsi="Times New Roman"/>
                  <w:sz w:val="17"/>
                  <w:szCs w:val="17"/>
                  <w:color w:val="auto"/>
                  <w:w w:val="97"/>
                </w:rPr>
                <w:t>10.2. to</w:t>
              </w:r>
            </w:hyperlink>
          </w:p>
        </w:tc>
        <w:tc>
          <w:tcPr>
            <w:tcW w:w="100" w:type="dxa"/>
            <w:vAlign w:val="bottom"/>
            <w:tcBorders>
              <w:top w:val="single" w:sz="8" w:color="CCEEFF"/>
              <w:bottom w:val="single" w:sz="8" w:color="CCEEFF"/>
              <w:right w:val="single" w:sz="8" w:color="CCEEFF"/>
            </w:tcBorders>
            <w:gridSpan w:val="5"/>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42"/>
            <w:shd w:val="clear" w:color="auto" w:fill="CCEEFF"/>
          </w:tcPr>
          <w:p>
            <w:pPr>
              <w:spacing w:after="0" w:line="186" w:lineRule="exact"/>
              <w:rPr>
                <w:rFonts w:ascii="Times New Roman" w:cs="Times New Roman" w:eastAsia="Times New Roman" w:hAnsi="Times New Roman"/>
                <w:sz w:val="17"/>
                <w:szCs w:val="17"/>
                <w:color w:val="auto"/>
              </w:rPr>
            </w:pPr>
            <w:hyperlink r:id="rId234">
              <w:r>
                <w:rPr>
                  <w:rFonts w:ascii="Times New Roman" w:cs="Times New Roman" w:eastAsia="Times New Roman" w:hAnsi="Times New Roman"/>
                  <w:sz w:val="17"/>
                  <w:szCs w:val="17"/>
                  <w:color w:val="auto"/>
                </w:rPr>
                <w:t>the Company's Current Report on Form 8-K, filed with the SEC on June 4, 2024).</w:t>
              </w:r>
            </w:hyperlink>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9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54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right w:val="single" w:sz="8" w:color="CCEEFF"/>
            </w:tcBorders>
            <w:shd w:val="clear" w:color="auto" w:fill="CCEEFF"/>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10.17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3"/>
          </w:tcPr>
          <w:p>
            <w:pPr>
              <w:spacing w:after="0" w:line="194" w:lineRule="exact"/>
              <w:rPr>
                <w:rFonts w:ascii="Times New Roman" w:cs="Times New Roman" w:eastAsia="Times New Roman" w:hAnsi="Times New Roman"/>
                <w:sz w:val="17"/>
                <w:szCs w:val="17"/>
                <w:color w:val="auto"/>
              </w:rPr>
            </w:pPr>
            <w:hyperlink r:id="rId235">
              <w:r>
                <w:rPr>
                  <w:rFonts w:ascii="Times New Roman" w:cs="Times New Roman" w:eastAsia="Times New Roman" w:hAnsi="Times New Roman"/>
                  <w:sz w:val="17"/>
                  <w:szCs w:val="17"/>
                  <w:color w:val="auto"/>
                </w:rPr>
                <w:t>Form of Stock Option Award Agreement (incorporated by reference from Exhibit 10.3 to the Company's Quarterly Report on</w:t>
              </w:r>
            </w:hyperlink>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20" w:type="dxa"/>
            <w:vAlign w:val="bottom"/>
            <w:tcBorders>
              <w:top w:val="single" w:sz="8" w:color="auto"/>
            </w:tcBorders>
            <w:gridSpan w:val="38"/>
          </w:tcPr>
          <w:p>
            <w:pPr>
              <w:spacing w:after="0" w:line="173" w:lineRule="exact"/>
              <w:rPr>
                <w:rFonts w:ascii="Times New Roman" w:cs="Times New Roman" w:eastAsia="Times New Roman" w:hAnsi="Times New Roman"/>
                <w:sz w:val="17"/>
                <w:szCs w:val="17"/>
                <w:color w:val="auto"/>
              </w:rPr>
            </w:pPr>
            <w:hyperlink r:id="rId235">
              <w:r>
                <w:rPr>
                  <w:rFonts w:ascii="Times New Roman" w:cs="Times New Roman" w:eastAsia="Times New Roman" w:hAnsi="Times New Roman"/>
                  <w:sz w:val="17"/>
                  <w:szCs w:val="17"/>
                  <w:color w:val="auto"/>
                </w:rPr>
                <w:t>Form 10-Q, filed with the SEC on May 16, 2022).</w:t>
              </w:r>
            </w:hyperlink>
          </w:p>
        </w:tc>
        <w:tc>
          <w:tcPr>
            <w:tcW w:w="20" w:type="dxa"/>
            <w:vAlign w:val="bottom"/>
          </w:tcPr>
          <w:p>
            <w:pPr>
              <w:spacing w:after="0"/>
              <w:rPr>
                <w:sz w:val="15"/>
                <w:szCs w:val="15"/>
                <w:color w:val="auto"/>
              </w:rPr>
            </w:pPr>
          </w:p>
        </w:tc>
        <w:tc>
          <w:tcPr>
            <w:tcW w:w="40" w:type="dxa"/>
            <w:vAlign w:val="bottom"/>
            <w:gridSpan w:val="3"/>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10.18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42"/>
            <w:shd w:val="clear" w:color="auto" w:fill="CCEEFF"/>
          </w:tcPr>
          <w:p>
            <w:pPr>
              <w:spacing w:after="0" w:line="194" w:lineRule="exact"/>
              <w:rPr>
                <w:rFonts w:ascii="Times New Roman" w:cs="Times New Roman" w:eastAsia="Times New Roman" w:hAnsi="Times New Roman"/>
                <w:sz w:val="17"/>
                <w:szCs w:val="17"/>
                <w:color w:val="auto"/>
              </w:rPr>
            </w:pPr>
            <w:hyperlink r:id="rId236">
              <w:r>
                <w:rPr>
                  <w:rFonts w:ascii="Times New Roman" w:cs="Times New Roman" w:eastAsia="Times New Roman" w:hAnsi="Times New Roman"/>
                  <w:sz w:val="17"/>
                  <w:szCs w:val="17"/>
                  <w:color w:val="auto"/>
                </w:rPr>
                <w:t>English Translation of Syndicated Loan Agreement, dated September 27, 2022, by and among Microvast Power Systems Co.,</w:t>
              </w:r>
            </w:hyperlink>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560" w:type="dxa"/>
            <w:vAlign w:val="bottom"/>
            <w:tcBorders>
              <w:top w:val="single" w:sz="8" w:color="auto"/>
              <w:bottom w:val="single" w:sz="8" w:color="auto"/>
            </w:tcBorders>
            <w:gridSpan w:val="36"/>
            <w:shd w:val="clear" w:color="auto" w:fill="CCEEFF"/>
          </w:tcPr>
          <w:p>
            <w:pPr>
              <w:spacing w:after="0" w:line="173" w:lineRule="exact"/>
              <w:rPr>
                <w:rFonts w:ascii="Times New Roman" w:cs="Times New Roman" w:eastAsia="Times New Roman" w:hAnsi="Times New Roman"/>
                <w:sz w:val="17"/>
                <w:szCs w:val="17"/>
                <w:color w:val="auto"/>
              </w:rPr>
            </w:pPr>
            <w:hyperlink r:id="rId236">
              <w:r>
                <w:rPr>
                  <w:rFonts w:ascii="Times New Roman" w:cs="Times New Roman" w:eastAsia="Times New Roman" w:hAnsi="Times New Roman"/>
                  <w:sz w:val="17"/>
                  <w:szCs w:val="17"/>
                  <w:color w:val="auto"/>
                </w:rPr>
                <w:t>Ltd. and Lenders listed thereto (incorporated by reference from Exhibit 10.1 to the Company's Current Report on Form 8-K,</w:t>
              </w:r>
            </w:hyperlink>
          </w:p>
        </w:tc>
        <w:tc>
          <w:tcPr>
            <w:tcW w:w="120" w:type="dxa"/>
            <w:vAlign w:val="bottom"/>
            <w:tcBorders>
              <w:top w:val="single" w:sz="8" w:color="auto"/>
              <w:bottom w:val="single" w:sz="8" w:color="CCEEFF"/>
              <w:right w:val="single" w:sz="8" w:color="CCEEFF"/>
            </w:tcBorders>
            <w:gridSpan w:val="6"/>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42"/>
            <w:shd w:val="clear" w:color="auto" w:fill="CCEEFF"/>
          </w:tcPr>
          <w:p>
            <w:pPr>
              <w:spacing w:after="0" w:line="186" w:lineRule="exact"/>
              <w:rPr>
                <w:rFonts w:ascii="Times New Roman" w:cs="Times New Roman" w:eastAsia="Times New Roman" w:hAnsi="Times New Roman"/>
                <w:sz w:val="17"/>
                <w:szCs w:val="17"/>
                <w:color w:val="auto"/>
              </w:rPr>
            </w:pPr>
            <w:hyperlink r:id="rId236">
              <w:r>
                <w:rPr>
                  <w:rFonts w:ascii="Times New Roman" w:cs="Times New Roman" w:eastAsia="Times New Roman" w:hAnsi="Times New Roman"/>
                  <w:sz w:val="17"/>
                  <w:szCs w:val="17"/>
                  <w:color w:val="auto"/>
                </w:rPr>
                <w:t>filed with the SEC on September 29, 2022).</w:t>
              </w:r>
            </w:hyperlink>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9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right w:val="single" w:sz="8" w:color="CCEEFF"/>
            </w:tcBorders>
            <w:shd w:val="clear" w:color="auto" w:fill="CCEEFF"/>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3"/>
          </w:tcPr>
          <w:p>
            <w:pPr>
              <w:spacing w:after="0" w:line="194" w:lineRule="exact"/>
              <w:rPr>
                <w:rFonts w:ascii="Times New Roman" w:cs="Times New Roman" w:eastAsia="Times New Roman" w:hAnsi="Times New Roman"/>
                <w:sz w:val="17"/>
                <w:szCs w:val="17"/>
                <w:color w:val="auto"/>
              </w:rPr>
            </w:pPr>
            <w:hyperlink r:id="rId237">
              <w:r>
                <w:rPr>
                  <w:rFonts w:ascii="Times New Roman" w:cs="Times New Roman" w:eastAsia="Times New Roman" w:hAnsi="Times New Roman"/>
                  <w:sz w:val="17"/>
                  <w:szCs w:val="17"/>
                  <w:color w:val="auto"/>
                </w:rPr>
                <w:t>Form of Performance Stock Option Award Agreement (incorporated by reference from Exhibit 10.2 to the Company's</w:t>
              </w:r>
            </w:hyperlink>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00" w:type="dxa"/>
            <w:vAlign w:val="bottom"/>
            <w:tcBorders>
              <w:top w:val="single" w:sz="8" w:color="auto"/>
            </w:tcBorders>
            <w:gridSpan w:val="25"/>
          </w:tcPr>
          <w:p>
            <w:pPr>
              <w:spacing w:after="0" w:line="173" w:lineRule="exact"/>
              <w:rPr>
                <w:rFonts w:ascii="Times New Roman" w:cs="Times New Roman" w:eastAsia="Times New Roman" w:hAnsi="Times New Roman"/>
                <w:sz w:val="17"/>
                <w:szCs w:val="17"/>
                <w:color w:val="auto"/>
              </w:rPr>
            </w:pPr>
            <w:hyperlink r:id="rId237">
              <w:r>
                <w:rPr>
                  <w:rFonts w:ascii="Times New Roman" w:cs="Times New Roman" w:eastAsia="Times New Roman" w:hAnsi="Times New Roman"/>
                  <w:sz w:val="17"/>
                  <w:szCs w:val="17"/>
                  <w:color w:val="auto"/>
                </w:rPr>
                <w:t>Current Report on Form 8-K, filed with the SEC on August 8, 2023).</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3"/>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98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10.20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200" w:type="dxa"/>
            <w:vAlign w:val="bottom"/>
            <w:tcBorders>
              <w:bottom w:val="single" w:sz="8" w:color="auto"/>
            </w:tcBorders>
            <w:gridSpan w:val="26"/>
            <w:shd w:val="clear" w:color="auto" w:fill="CCEEFF"/>
          </w:tcPr>
          <w:p>
            <w:pPr>
              <w:spacing w:after="0" w:line="194" w:lineRule="exact"/>
              <w:rPr>
                <w:rFonts w:ascii="Times New Roman" w:cs="Times New Roman" w:eastAsia="Times New Roman" w:hAnsi="Times New Roman"/>
                <w:sz w:val="17"/>
                <w:szCs w:val="17"/>
                <w:color w:val="auto"/>
              </w:rPr>
            </w:pPr>
            <w:hyperlink r:id="rId238">
              <w:r>
                <w:rPr>
                  <w:rFonts w:ascii="Times New Roman" w:cs="Times New Roman" w:eastAsia="Times New Roman" w:hAnsi="Times New Roman"/>
                  <w:sz w:val="17"/>
                  <w:szCs w:val="17"/>
                  <w:color w:val="auto"/>
                </w:rPr>
                <w:t>Guaranty Agreement, dated May 28, 2024, by and among Microvast Holdings, Inc., Microvast, Inc., the subsidiaries of</w:t>
              </w:r>
            </w:hyperlink>
          </w:p>
        </w:tc>
        <w:tc>
          <w:tcPr>
            <w:tcW w:w="480" w:type="dxa"/>
            <w:vAlign w:val="bottom"/>
            <w:tcBorders>
              <w:bottom w:val="single" w:sz="8" w:color="CCEEFF"/>
              <w:right w:val="single" w:sz="8" w:color="CCEEFF"/>
            </w:tcBorders>
            <w:gridSpan w:val="16"/>
            <w:shd w:val="clear" w:color="auto" w:fill="CCEEFF"/>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42"/>
            <w:shd w:val="clear" w:color="auto" w:fill="CCEEFF"/>
          </w:tcPr>
          <w:p>
            <w:pPr>
              <w:spacing w:after="0" w:line="186" w:lineRule="exact"/>
              <w:rPr>
                <w:rFonts w:ascii="Times New Roman" w:cs="Times New Roman" w:eastAsia="Times New Roman" w:hAnsi="Times New Roman"/>
                <w:sz w:val="17"/>
                <w:szCs w:val="17"/>
                <w:color w:val="auto"/>
              </w:rPr>
            </w:pPr>
            <w:hyperlink r:id="rId238">
              <w:r>
                <w:rPr>
                  <w:rFonts w:ascii="Times New Roman" w:cs="Times New Roman" w:eastAsia="Times New Roman" w:hAnsi="Times New Roman"/>
                  <w:sz w:val="17"/>
                  <w:szCs w:val="17"/>
                  <w:color w:val="auto"/>
                </w:rPr>
                <w:t>Microvast Holdings, Inc. party thereto and Acquiom Services LLC. (incorporated by reference from Exhibit 10.3 to the</w:t>
              </w:r>
            </w:hyperlink>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380" w:type="dxa"/>
            <w:vAlign w:val="bottom"/>
            <w:tcBorders>
              <w:top w:val="single" w:sz="8" w:color="auto"/>
              <w:bottom w:val="single" w:sz="8" w:color="auto"/>
            </w:tcBorders>
            <w:gridSpan w:val="17"/>
            <w:shd w:val="clear" w:color="auto" w:fill="CCEEFF"/>
          </w:tcPr>
          <w:p>
            <w:pPr>
              <w:spacing w:after="0" w:line="186" w:lineRule="exact"/>
              <w:rPr>
                <w:rFonts w:ascii="Times New Roman" w:cs="Times New Roman" w:eastAsia="Times New Roman" w:hAnsi="Times New Roman"/>
                <w:sz w:val="17"/>
                <w:szCs w:val="17"/>
                <w:color w:val="auto"/>
              </w:rPr>
            </w:pPr>
            <w:hyperlink r:id="rId238">
              <w:r>
                <w:rPr>
                  <w:rFonts w:ascii="Times New Roman" w:cs="Times New Roman" w:eastAsia="Times New Roman" w:hAnsi="Times New Roman"/>
                  <w:sz w:val="17"/>
                  <w:szCs w:val="17"/>
                  <w:color w:val="auto"/>
                </w:rPr>
                <w:t>Company's Current Report on Form 8-K, filed with the SEC on June 4, 2024).</w:t>
              </w:r>
            </w:hyperlink>
          </w:p>
        </w:tc>
        <w:tc>
          <w:tcPr>
            <w:tcW w:w="2820" w:type="dxa"/>
            <w:vAlign w:val="bottom"/>
            <w:tcBorders>
              <w:top w:val="single" w:sz="8" w:color="auto"/>
              <w:bottom w:val="single" w:sz="8" w:color="CCEEFF"/>
            </w:tcBorders>
            <w:gridSpan w:val="9"/>
            <w:shd w:val="clear" w:color="auto" w:fill="CCEEFF"/>
          </w:tcPr>
          <w:p>
            <w:pPr>
              <w:spacing w:after="0"/>
              <w:rPr>
                <w:sz w:val="20"/>
                <w:szCs w:val="20"/>
                <w:color w:val="auto"/>
              </w:rPr>
            </w:pPr>
          </w:p>
        </w:tc>
        <w:tc>
          <w:tcPr>
            <w:tcW w:w="480" w:type="dxa"/>
            <w:vAlign w:val="bottom"/>
            <w:tcBorders>
              <w:top w:val="single" w:sz="8" w:color="CCEEFF"/>
              <w:bottom w:val="single" w:sz="8" w:color="CCEEFF"/>
              <w:right w:val="single" w:sz="8" w:color="CCEEFF"/>
            </w:tcBorders>
            <w:gridSpan w:val="16"/>
            <w:shd w:val="clear" w:color="auto" w:fill="CCEEFF"/>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3"/>
          </w:tcPr>
          <w:p>
            <w:pPr>
              <w:spacing w:after="0" w:line="194" w:lineRule="exact"/>
              <w:rPr>
                <w:sz w:val="20"/>
                <w:szCs w:val="20"/>
                <w:color w:val="auto"/>
              </w:rPr>
            </w:pPr>
            <w:r>
              <w:rPr>
                <w:rFonts w:ascii="Times New Roman" w:cs="Times New Roman" w:eastAsia="Times New Roman" w:hAnsi="Times New Roman"/>
                <w:sz w:val="17"/>
                <w:szCs w:val="17"/>
                <w:color w:val="auto"/>
              </w:rPr>
              <w:t>Form of Director and Officer Indemnification Agreement.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4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10.22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60" w:type="dxa"/>
            <w:vAlign w:val="bottom"/>
            <w:gridSpan w:val="3"/>
            <w:vMerge w:val="restart"/>
          </w:tcPr>
          <w:p>
            <w:pPr>
              <w:spacing w:after="0"/>
              <w:rPr>
                <w:rFonts w:ascii="Times New Roman" w:cs="Times New Roman" w:eastAsia="Times New Roman" w:hAnsi="Times New Roman"/>
                <w:sz w:val="17"/>
                <w:szCs w:val="17"/>
                <w:color w:val="auto"/>
                <w:w w:val="99"/>
              </w:rPr>
            </w:pPr>
            <w:hyperlink r:id="rId239">
              <w:r>
                <w:rPr>
                  <w:rFonts w:ascii="Times New Roman" w:cs="Times New Roman" w:eastAsia="Times New Roman" w:hAnsi="Times New Roman"/>
                  <w:sz w:val="17"/>
                  <w:szCs w:val="17"/>
                  <w:color w:val="auto"/>
                  <w:w w:val="99"/>
                </w:rPr>
                <w:t>Controlled Equity Offering</w:t>
              </w:r>
            </w:hyperlink>
          </w:p>
        </w:tc>
        <w:tc>
          <w:tcPr>
            <w:tcW w:w="160" w:type="dxa"/>
            <w:vAlign w:val="bottom"/>
            <w:tcBorders>
              <w:bottom w:val="single" w:sz="8" w:color="auto"/>
            </w:tcBorders>
          </w:tcPr>
          <w:p>
            <w:pPr>
              <w:spacing w:after="0" w:line="109" w:lineRule="exact"/>
              <w:rPr>
                <w:rFonts w:ascii="Times New Roman" w:cs="Times New Roman" w:eastAsia="Times New Roman" w:hAnsi="Times New Roman"/>
                <w:sz w:val="11"/>
                <w:szCs w:val="11"/>
                <w:color w:val="auto"/>
                <w:w w:val="87"/>
              </w:rPr>
            </w:pPr>
            <w:hyperlink r:id="rId239">
              <w:r>
                <w:rPr>
                  <w:rFonts w:ascii="Times New Roman" w:cs="Times New Roman" w:eastAsia="Times New Roman" w:hAnsi="Times New Roman"/>
                  <w:sz w:val="11"/>
                  <w:szCs w:val="11"/>
                  <w:color w:val="auto"/>
                  <w:w w:val="87"/>
                </w:rPr>
                <w:t>SM</w:t>
              </w:r>
            </w:hyperlink>
          </w:p>
        </w:tc>
        <w:tc>
          <w:tcPr>
            <w:tcW w:w="6620" w:type="dxa"/>
            <w:vAlign w:val="bottom"/>
            <w:gridSpan w:val="35"/>
            <w:vMerge w:val="restart"/>
          </w:tcPr>
          <w:p>
            <w:pPr>
              <w:ind w:left="40"/>
              <w:spacing w:after="0"/>
              <w:rPr>
                <w:rFonts w:ascii="Times New Roman" w:cs="Times New Roman" w:eastAsia="Times New Roman" w:hAnsi="Times New Roman"/>
                <w:sz w:val="17"/>
                <w:szCs w:val="17"/>
                <w:color w:val="auto"/>
              </w:rPr>
            </w:pPr>
            <w:hyperlink r:id="rId239">
              <w:r>
                <w:rPr>
                  <w:rFonts w:ascii="Times New Roman" w:cs="Times New Roman" w:eastAsia="Times New Roman" w:hAnsi="Times New Roman"/>
                  <w:sz w:val="17"/>
                  <w:szCs w:val="17"/>
                  <w:color w:val="auto"/>
                </w:rPr>
                <w:t>Sales Agreement, dated October 3, 2025, by and among the Company, Cantor Fitzgerald &amp; Co.</w:t>
              </w:r>
            </w:hyperlink>
          </w:p>
        </w:tc>
        <w:tc>
          <w:tcPr>
            <w:tcW w:w="40" w:type="dxa"/>
            <w:vAlign w:val="bottom"/>
            <w:gridSpan w:val="3"/>
            <w:vMerge w:val="restart"/>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60" w:type="dxa"/>
            <w:vAlign w:val="bottom"/>
            <w:tcBorders>
              <w:bottom w:val="single" w:sz="8" w:color="auto"/>
            </w:tcBorders>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6620" w:type="dxa"/>
            <w:vAlign w:val="bottom"/>
            <w:tcBorders>
              <w:bottom w:val="single" w:sz="8" w:color="auto"/>
            </w:tcBorders>
            <w:gridSpan w:val="35"/>
            <w:vMerge w:val="continue"/>
          </w:tcPr>
          <w:p>
            <w:pPr>
              <w:spacing w:after="0"/>
              <w:rPr>
                <w:sz w:val="8"/>
                <w:szCs w:val="8"/>
                <w:color w:val="auto"/>
              </w:rPr>
            </w:pPr>
          </w:p>
        </w:tc>
        <w:tc>
          <w:tcPr>
            <w:tcW w:w="40" w:type="dxa"/>
            <w:vAlign w:val="bottom"/>
            <w:gridSpan w:val="3"/>
            <w:vMerge w:val="continue"/>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80" w:type="dxa"/>
            <w:vAlign w:val="bottom"/>
            <w:gridSpan w:val="42"/>
          </w:tcPr>
          <w:p>
            <w:pPr>
              <w:spacing w:after="0" w:line="186" w:lineRule="exact"/>
              <w:rPr>
                <w:rFonts w:ascii="Times New Roman" w:cs="Times New Roman" w:eastAsia="Times New Roman" w:hAnsi="Times New Roman"/>
                <w:sz w:val="17"/>
                <w:szCs w:val="17"/>
                <w:color w:val="auto"/>
              </w:rPr>
            </w:pPr>
            <w:hyperlink r:id="rId239">
              <w:r>
                <w:rPr>
                  <w:rFonts w:ascii="Times New Roman" w:cs="Times New Roman" w:eastAsia="Times New Roman" w:hAnsi="Times New Roman"/>
                  <w:sz w:val="17"/>
                  <w:szCs w:val="17"/>
                  <w:color w:val="auto"/>
                </w:rPr>
                <w:t>and Needham &amp; Company, LLC. (incorporated by reference from Exhibit 1.1 to the Company’s Current Report on Form 8-K,</w:t>
              </w:r>
            </w:hyperlink>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80" w:type="dxa"/>
            <w:vAlign w:val="bottom"/>
            <w:tcBorders>
              <w:top w:val="single" w:sz="8" w:color="auto"/>
            </w:tcBorders>
            <w:gridSpan w:val="42"/>
          </w:tcPr>
          <w:p>
            <w:pPr>
              <w:spacing w:after="0" w:line="186" w:lineRule="exact"/>
              <w:rPr>
                <w:rFonts w:ascii="Times New Roman" w:cs="Times New Roman" w:eastAsia="Times New Roman" w:hAnsi="Times New Roman"/>
                <w:sz w:val="17"/>
                <w:szCs w:val="17"/>
                <w:color w:val="auto"/>
              </w:rPr>
            </w:pPr>
            <w:hyperlink r:id="rId239">
              <w:r>
                <w:rPr>
                  <w:rFonts w:ascii="Times New Roman" w:cs="Times New Roman" w:eastAsia="Times New Roman" w:hAnsi="Times New Roman"/>
                  <w:sz w:val="17"/>
                  <w:szCs w:val="17"/>
                  <w:color w:val="auto"/>
                </w:rPr>
                <w:t>filed with the SEC on October 3, 2025).</w:t>
              </w:r>
            </w:hyperlink>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43"/>
          </w:tcPr>
          <w:p>
            <w:pPr>
              <w:spacing w:after="0"/>
              <w:rPr>
                <w:rFonts w:ascii="Times New Roman" w:cs="Times New Roman" w:eastAsia="Times New Roman" w:hAnsi="Times New Roman"/>
                <w:sz w:val="17"/>
                <w:szCs w:val="17"/>
                <w:color w:val="auto"/>
              </w:rPr>
            </w:pPr>
            <w:hyperlink r:id="rId240">
              <w:r>
                <w:rPr>
                  <w:rFonts w:ascii="Times New Roman" w:cs="Times New Roman" w:eastAsia="Times New Roman" w:hAnsi="Times New Roman"/>
                  <w:sz w:val="17"/>
                  <w:szCs w:val="17"/>
                  <w:color w:val="auto"/>
                </w:rPr>
                <w:t>Microvast Holdings, Inc. Insider Trading Policy. (incorporated by reference from Exhibit 19.1 to the Company's Annual</w:t>
              </w:r>
            </w:hyperlink>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60" w:type="dxa"/>
            <w:vAlign w:val="bottom"/>
            <w:tcBorders>
              <w:top w:val="single" w:sz="8" w:color="auto"/>
            </w:tcBorders>
            <w:gridSpan w:val="27"/>
          </w:tcPr>
          <w:p>
            <w:pPr>
              <w:spacing w:after="0" w:line="173" w:lineRule="exact"/>
              <w:rPr>
                <w:rFonts w:ascii="Times New Roman" w:cs="Times New Roman" w:eastAsia="Times New Roman" w:hAnsi="Times New Roman"/>
                <w:sz w:val="17"/>
                <w:szCs w:val="17"/>
                <w:color w:val="auto"/>
              </w:rPr>
            </w:pPr>
            <w:hyperlink r:id="rId240">
              <w:r>
                <w:rPr>
                  <w:rFonts w:ascii="Times New Roman" w:cs="Times New Roman" w:eastAsia="Times New Roman" w:hAnsi="Times New Roman"/>
                  <w:sz w:val="17"/>
                  <w:szCs w:val="17"/>
                  <w:color w:val="auto"/>
                </w:rPr>
                <w:t>Report on Form 10-K, filed with the SEC on March 31, 2025).</w:t>
              </w:r>
            </w:hyperlink>
          </w:p>
        </w:tc>
        <w:tc>
          <w:tcPr>
            <w:tcW w:w="380" w:type="dxa"/>
            <w:vAlign w:val="bottom"/>
            <w:gridSpan w:val="12"/>
          </w:tcPr>
          <w:p>
            <w:pPr>
              <w:spacing w:after="0"/>
              <w:rPr>
                <w:sz w:val="15"/>
                <w:szCs w:val="15"/>
                <w:color w:val="auto"/>
              </w:rPr>
            </w:pPr>
          </w:p>
        </w:tc>
        <w:tc>
          <w:tcPr>
            <w:tcW w:w="15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21.1*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4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Subsidiaries of the Registrant.</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9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right w:val="single" w:sz="8" w:color="CCEEFF"/>
            </w:tcBorders>
            <w:shd w:val="clear" w:color="auto" w:fill="CCEEFF"/>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3"/>
          </w:tcPr>
          <w:p>
            <w:pPr>
              <w:spacing w:after="0" w:line="194" w:lineRule="exact"/>
              <w:rPr>
                <w:sz w:val="20"/>
                <w:szCs w:val="20"/>
                <w:color w:val="auto"/>
              </w:rPr>
            </w:pPr>
            <w:r>
              <w:rPr>
                <w:rFonts w:ascii="Times New Roman" w:cs="Times New Roman" w:eastAsia="Times New Roman" w:hAnsi="Times New Roman"/>
                <w:sz w:val="17"/>
                <w:szCs w:val="17"/>
                <w:color w:val="auto"/>
              </w:rPr>
              <w:t>Consent of Deloitte Touche Tohmatsu Certified Public Accountants LLP.</w:t>
            </w:r>
          </w:p>
        </w:tc>
        <w:tc>
          <w:tcPr>
            <w:tcW w:w="0" w:type="dxa"/>
            <w:vAlign w:val="bottom"/>
          </w:tcPr>
          <w:p>
            <w:pPr>
              <w:spacing w:after="0"/>
              <w:rPr>
                <w:sz w:val="1"/>
                <w:szCs w:val="1"/>
                <w:color w:val="auto"/>
              </w:rPr>
            </w:pPr>
          </w:p>
        </w:tc>
      </w:tr>
      <w:tr>
        <w:trPr>
          <w:trHeight w:val="32"/>
        </w:trPr>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4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Power of Attorney.</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9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right w:val="single" w:sz="8" w:color="CCEEFF"/>
            </w:tcBorders>
            <w:shd w:val="clear" w:color="auto" w:fill="CCEEFF"/>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3"/>
          </w:tcPr>
          <w:p>
            <w:pPr>
              <w:spacing w:after="0" w:line="194" w:lineRule="exact"/>
              <w:rPr>
                <w:sz w:val="20"/>
                <w:szCs w:val="20"/>
                <w:color w:val="auto"/>
              </w:rPr>
            </w:pPr>
            <w:r>
              <w:rPr>
                <w:rFonts w:ascii="Times New Roman" w:cs="Times New Roman" w:eastAsia="Times New Roman" w:hAnsi="Times New Roman"/>
                <w:sz w:val="17"/>
                <w:szCs w:val="17"/>
                <w:color w:val="auto"/>
              </w:rPr>
              <w:t>Certification of Principal Executive Officer Pursuant to Securities Exchange Act Rules 13a-14(a) and 15(d)-14(a), as adopted</w:t>
            </w: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40" w:type="dxa"/>
            <w:vAlign w:val="bottom"/>
            <w:tcBorders>
              <w:top w:val="single" w:sz="8" w:color="auto"/>
            </w:tcBorders>
            <w:gridSpan w:val="39"/>
          </w:tcPr>
          <w:p>
            <w:pPr>
              <w:spacing w:after="0" w:line="173" w:lineRule="exact"/>
              <w:rPr>
                <w:sz w:val="20"/>
                <w:szCs w:val="20"/>
                <w:color w:val="auto"/>
              </w:rPr>
            </w:pPr>
            <w:r>
              <w:rPr>
                <w:rFonts w:ascii="Times New Roman" w:cs="Times New Roman" w:eastAsia="Times New Roman" w:hAnsi="Times New Roman"/>
                <w:sz w:val="17"/>
                <w:szCs w:val="17"/>
                <w:color w:val="auto"/>
              </w:rPr>
              <w:t>Pursuant to Section 302 of the Sarbanes-Oxley Act of 2002.</w:t>
            </w:r>
          </w:p>
        </w:tc>
        <w:tc>
          <w:tcPr>
            <w:tcW w:w="15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909"/>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top w:val="single" w:sz="8" w:color="auto"/>
            </w:tcBorders>
            <w:gridSpan w:val="10"/>
          </w:tcPr>
          <w:p>
            <w:pPr>
              <w:spacing w:after="0"/>
              <w:rPr>
                <w:sz w:val="24"/>
                <w:szCs w:val="24"/>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145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-2094865</wp:posOffset>
            </wp:positionV>
            <wp:extent cx="6196965" cy="425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6196965" cy="42545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680" w:type="dxa"/>
            <w:vAlign w:val="bottom"/>
            <w:gridSpan w:val="7"/>
          </w:tcPr>
          <w:p>
            <w:pPr>
              <w:ind w:left="190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93"/>
        </w:trPr>
        <w:tc>
          <w:tcPr>
            <w:tcW w:w="980" w:type="dxa"/>
            <w:vAlign w:val="bottom"/>
            <w:tcBorders>
              <w:top w:val="single" w:sz="8" w:color="auto"/>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31.2*</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680" w:type="dxa"/>
            <w:vAlign w:val="bottom"/>
            <w:tcBorders>
              <w:top w:val="single" w:sz="8" w:color="auto"/>
            </w:tcBorders>
            <w:gridSpan w:val="8"/>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Certification of Principal Financial Officer Pursuant to Securities Exchange Act Rules 13a-14(a) and 15(d)-14(a), as adopted</w:t>
            </w: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580" w:type="dxa"/>
            <w:vAlign w:val="bottom"/>
            <w:tcBorders>
              <w:top w:val="single" w:sz="8" w:color="auto"/>
            </w:tcBorders>
            <w:gridSpan w:val="7"/>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auto"/>
              </w:rPr>
              <w:t>Pursuant to Section 302 of the Sarbanes-Oxley Act of 2002.</w:t>
            </w:r>
          </w:p>
        </w:tc>
        <w:tc>
          <w:tcPr>
            <w:tcW w:w="100" w:type="dxa"/>
            <w:vAlign w:val="bottom"/>
            <w:tcBorders>
              <w:top w:val="single" w:sz="8" w:color="CCEEFF"/>
            </w:tcBorders>
            <w:shd w:val="clear" w:color="auto" w:fill="CCEEFF"/>
          </w:tcPr>
          <w:p>
            <w:pPr>
              <w:spacing w:after="0"/>
              <w:rPr>
                <w:sz w:val="15"/>
                <w:szCs w:val="15"/>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0" w:type="dxa"/>
            <w:vAlign w:val="bottom"/>
            <w:tcBorders>
              <w:top w:val="single" w:sz="8" w:color="auto"/>
            </w:tcBorders>
            <w:shd w:val="clear" w:color="auto" w:fill="CCEEFF"/>
          </w:tcPr>
          <w:p>
            <w:pPr>
              <w:spacing w:after="0"/>
              <w:rPr>
                <w:sz w:val="3"/>
                <w:szCs w:val="3"/>
                <w:color w:val="auto"/>
              </w:rPr>
            </w:pPr>
          </w:p>
        </w:tc>
        <w:tc>
          <w:tcPr>
            <w:tcW w:w="2120" w:type="dxa"/>
            <w:vAlign w:val="bottom"/>
            <w:tcBorders>
              <w:top w:val="single" w:sz="8" w:color="auto"/>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26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80" w:type="dxa"/>
            <w:vAlign w:val="bottom"/>
            <w:gridSpan w:val="8"/>
          </w:tcPr>
          <w:p>
            <w:pPr>
              <w:spacing w:after="0" w:line="194" w:lineRule="exact"/>
              <w:rPr>
                <w:sz w:val="20"/>
                <w:szCs w:val="20"/>
                <w:color w:val="auto"/>
              </w:rPr>
            </w:pPr>
            <w:r>
              <w:rPr>
                <w:rFonts w:ascii="Times New Roman" w:cs="Times New Roman" w:eastAsia="Times New Roman" w:hAnsi="Times New Roman"/>
                <w:sz w:val="17"/>
                <w:szCs w:val="17"/>
                <w:color w:val="auto"/>
              </w:rPr>
              <w:t>Certification of Principal Executive Officer Pursuant to 18 U.S.C. Section 1350, as adopted Pursuant to Section 906 of the</w:t>
            </w:r>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0" w:type="dxa"/>
            <w:vAlign w:val="bottom"/>
            <w:tcBorders>
              <w:top w:val="single" w:sz="8" w:color="auto"/>
            </w:tcBorders>
            <w:gridSpan w:val="6"/>
          </w:tcPr>
          <w:p>
            <w:pPr>
              <w:spacing w:after="0" w:line="173" w:lineRule="exact"/>
              <w:rPr>
                <w:sz w:val="20"/>
                <w:szCs w:val="20"/>
                <w:color w:val="auto"/>
              </w:rPr>
            </w:pPr>
            <w:r>
              <w:rPr>
                <w:rFonts w:ascii="Times New Roman" w:cs="Times New Roman" w:eastAsia="Times New Roman" w:hAnsi="Times New Roman"/>
                <w:sz w:val="17"/>
                <w:szCs w:val="17"/>
                <w:color w:val="auto"/>
              </w:rPr>
              <w:t>Sarbanes-Oxley Act of 2002.</w:t>
            </w:r>
          </w:p>
        </w:tc>
        <w:tc>
          <w:tcPr>
            <w:tcW w:w="280" w:type="dxa"/>
            <w:vAlign w:val="bottom"/>
            <w:gridSpan w:val="2"/>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2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32.2**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Certification of Principal Financial Officer Pursuant to 18 U.S.C. Section 1350, as adopted Pursuant to Section 906 of the</w:t>
            </w: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360" w:type="dxa"/>
            <w:vAlign w:val="bottom"/>
            <w:tcBorders>
              <w:top w:val="single" w:sz="8" w:color="auto"/>
            </w:tcBorders>
            <w:gridSpan w:val="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auto"/>
              </w:rPr>
              <w:t>Sarbanes-Oxley Act of 2002.</w:t>
            </w:r>
          </w:p>
        </w:tc>
        <w:tc>
          <w:tcPr>
            <w:tcW w:w="320" w:type="dxa"/>
            <w:vAlign w:val="bottom"/>
            <w:tcBorders>
              <w:top w:val="single" w:sz="8" w:color="CCEEFF"/>
            </w:tcBorders>
            <w:gridSpan w:val="3"/>
            <w:shd w:val="clear" w:color="auto" w:fill="CCEEFF"/>
          </w:tcPr>
          <w:p>
            <w:pPr>
              <w:spacing w:after="0"/>
              <w:rPr>
                <w:sz w:val="15"/>
                <w:szCs w:val="15"/>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0" w:type="dxa"/>
            <w:vAlign w:val="bottom"/>
            <w:tcBorders>
              <w:top w:val="single" w:sz="8" w:color="auto"/>
            </w:tcBorders>
            <w:shd w:val="clear" w:color="auto" w:fill="CCEEFF"/>
          </w:tcPr>
          <w:p>
            <w:pPr>
              <w:spacing w:after="0"/>
              <w:rPr>
                <w:sz w:val="3"/>
                <w:szCs w:val="3"/>
                <w:color w:val="auto"/>
              </w:rPr>
            </w:pPr>
          </w:p>
        </w:tc>
        <w:tc>
          <w:tcPr>
            <w:tcW w:w="212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26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97.1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80" w:type="dxa"/>
            <w:vAlign w:val="bottom"/>
            <w:gridSpan w:val="8"/>
          </w:tcPr>
          <w:p>
            <w:pPr>
              <w:spacing w:after="0" w:line="194" w:lineRule="exact"/>
              <w:rPr>
                <w:rFonts w:ascii="Times New Roman" w:cs="Times New Roman" w:eastAsia="Times New Roman" w:hAnsi="Times New Roman"/>
                <w:sz w:val="17"/>
                <w:szCs w:val="17"/>
                <w:color w:val="auto"/>
              </w:rPr>
            </w:pPr>
            <w:hyperlink r:id="rId244">
              <w:r>
                <w:rPr>
                  <w:rFonts w:ascii="Times New Roman" w:cs="Times New Roman" w:eastAsia="Times New Roman" w:hAnsi="Times New Roman"/>
                  <w:sz w:val="17"/>
                  <w:szCs w:val="17"/>
                  <w:color w:val="auto"/>
                </w:rPr>
                <w:t>Microvast Holdings, Inc. Amended and Restated Clawback Policy (incorporated by reference from Exhibit 97.1 to the</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20" w:type="dxa"/>
            <w:vAlign w:val="bottom"/>
            <w:tcBorders>
              <w:top w:val="single" w:sz="8" w:color="auto"/>
            </w:tcBorders>
            <w:gridSpan w:val="4"/>
          </w:tcPr>
          <w:p>
            <w:pPr>
              <w:spacing w:after="0" w:line="173" w:lineRule="exact"/>
              <w:rPr>
                <w:rFonts w:ascii="Times New Roman" w:cs="Times New Roman" w:eastAsia="Times New Roman" w:hAnsi="Times New Roman"/>
                <w:sz w:val="17"/>
                <w:szCs w:val="17"/>
                <w:color w:val="auto"/>
              </w:rPr>
            </w:pPr>
            <w:hyperlink r:id="rId244">
              <w:r>
                <w:rPr>
                  <w:rFonts w:ascii="Times New Roman" w:cs="Times New Roman" w:eastAsia="Times New Roman" w:hAnsi="Times New Roman"/>
                  <w:sz w:val="17"/>
                  <w:szCs w:val="17"/>
                  <w:color w:val="auto"/>
                </w:rPr>
                <w:t>Company's Annual Report on Form 10-K, filed with the SEC on April 1, 2024).</w:t>
              </w:r>
            </w:hyperlink>
          </w:p>
        </w:tc>
        <w:tc>
          <w:tcPr>
            <w:tcW w:w="560" w:type="dxa"/>
            <w:vAlign w:val="bottom"/>
            <w:gridSpan w:val="4"/>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21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5"/>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shd w:val="clear" w:color="auto" w:fill="CCEEFF"/>
          </w:tcPr>
          <w:p>
            <w:pPr>
              <w:spacing w:after="0"/>
              <w:rPr>
                <w:sz w:val="21"/>
                <w:szCs w:val="21"/>
                <w:color w:val="auto"/>
              </w:rPr>
            </w:pPr>
          </w:p>
        </w:tc>
        <w:tc>
          <w:tcPr>
            <w:tcW w:w="86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0"/>
                <w:szCs w:val="20"/>
                <w:color w:val="auto"/>
              </w:rPr>
            </w:pPr>
          </w:p>
        </w:tc>
        <w:tc>
          <w:tcPr>
            <w:tcW w:w="86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51"/>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shd w:val="clear" w:color="auto" w:fill="CCEEFF"/>
          </w:tcPr>
          <w:p>
            <w:pPr>
              <w:spacing w:after="0"/>
              <w:rPr>
                <w:sz w:val="21"/>
                <w:szCs w:val="21"/>
                <w:color w:val="auto"/>
              </w:rPr>
            </w:pPr>
          </w:p>
        </w:tc>
        <w:tc>
          <w:tcPr>
            <w:tcW w:w="86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0"/>
                <w:szCs w:val="20"/>
                <w:color w:val="auto"/>
              </w:rPr>
            </w:pPr>
          </w:p>
        </w:tc>
        <w:tc>
          <w:tcPr>
            <w:tcW w:w="86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51"/>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shd w:val="clear" w:color="auto" w:fill="CCEEFF"/>
          </w:tcPr>
          <w:p>
            <w:pPr>
              <w:spacing w:after="0"/>
              <w:rPr>
                <w:sz w:val="21"/>
                <w:szCs w:val="21"/>
                <w:color w:val="auto"/>
              </w:rPr>
            </w:pPr>
          </w:p>
        </w:tc>
        <w:tc>
          <w:tcPr>
            <w:tcW w:w="86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0"/>
                <w:szCs w:val="20"/>
                <w:color w:val="auto"/>
              </w:rPr>
            </w:pPr>
          </w:p>
        </w:tc>
        <w:tc>
          <w:tcPr>
            <w:tcW w:w="86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5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6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8" w:lineRule="exact"/>
        <w:rPr>
          <w:sz w:val="20"/>
          <w:szCs w:val="20"/>
          <w:color w:val="auto"/>
        </w:rPr>
      </w:pPr>
    </w:p>
    <w:p>
      <w:pPr>
        <w:ind w:right="8839" w:firstLine="3"/>
        <w:spacing w:after="0" w:line="266" w:lineRule="auto"/>
        <w:tabs>
          <w:tab w:leader="none" w:pos="258"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 ** Furnished.</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None.</w:t>
      </w:r>
    </w:p>
    <w:p>
      <w:pPr>
        <w:spacing w:after="0" w:line="200" w:lineRule="exact"/>
        <w:rPr>
          <w:sz w:val="20"/>
          <w:szCs w:val="20"/>
          <w:color w:val="auto"/>
        </w:rPr>
      </w:pPr>
    </w:p>
    <w:p>
      <w:pPr>
        <w:spacing w:after="0" w:line="38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 on March 16, 2026.</w:t>
      </w:r>
    </w:p>
    <w:p>
      <w:pPr>
        <w:spacing w:after="0" w:line="19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208" w:lineRule="exact"/>
        <w:rPr>
          <w:sz w:val="20"/>
          <w:szCs w:val="20"/>
          <w:color w:val="auto"/>
        </w:rPr>
      </w:pPr>
    </w:p>
    <w:p>
      <w:pPr>
        <w:ind w:left="6500"/>
        <w:spacing w:after="0"/>
        <w:tabs>
          <w:tab w:leader="none" w:pos="71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Rodney Worthen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25400</wp:posOffset>
            </wp:positionV>
            <wp:extent cx="25952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4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Name: Rodney Worthen</w:t>
      </w:r>
    </w:p>
    <w:p>
      <w:pPr>
        <w:spacing w:after="0" w:line="4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Yang Wu and Rodney Worthen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0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0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0" w:type="dxa"/>
            <w:vAlign w:val="bottom"/>
          </w:tcPr>
          <w:p>
            <w:pPr>
              <w:spacing w:after="0"/>
              <w:rPr>
                <w:sz w:val="1"/>
                <w:szCs w:val="1"/>
                <w:color w:val="auto"/>
              </w:rPr>
            </w:pPr>
          </w:p>
        </w:tc>
      </w:tr>
      <w:tr>
        <w:trPr>
          <w:trHeight w:val="502"/>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 Yang Wu</w:t>
            </w:r>
          </w:p>
        </w:tc>
        <w:tc>
          <w:tcPr>
            <w:tcW w:w="100" w:type="dxa"/>
            <w:vAlign w:val="bottom"/>
          </w:tcPr>
          <w:p>
            <w:pPr>
              <w:spacing w:after="0"/>
              <w:rPr>
                <w:sz w:val="24"/>
                <w:szCs w:val="24"/>
                <w:color w:val="auto"/>
              </w:rPr>
            </w:pPr>
          </w:p>
        </w:tc>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Executive Officer and Chairman of the Board (Principal Executive</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84"/>
        </w:trPr>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Yang Wu</w:t>
            </w:r>
          </w:p>
        </w:tc>
        <w:tc>
          <w:tcPr>
            <w:tcW w:w="100" w:type="dxa"/>
            <w:vAlign w:val="bottom"/>
          </w:tcPr>
          <w:p>
            <w:pPr>
              <w:spacing w:after="0"/>
              <w:rPr>
                <w:sz w:val="7"/>
                <w:szCs w:val="7"/>
                <w:color w:val="auto"/>
              </w:rPr>
            </w:pPr>
          </w:p>
        </w:tc>
        <w:tc>
          <w:tcPr>
            <w:tcW w:w="5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w w:val="98"/>
              </w:rPr>
              <w:t>Officer)</w:t>
            </w: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520" w:type="dxa"/>
            <w:vAlign w:val="bottom"/>
            <w:gridSpan w:val="2"/>
            <w:vMerge w:val="continue"/>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Rodney Worthen</w:t>
            </w:r>
          </w:p>
        </w:tc>
        <w:tc>
          <w:tcPr>
            <w:tcW w:w="100" w:type="dxa"/>
            <w:vAlign w:val="bottom"/>
          </w:tcPr>
          <w:p>
            <w:pPr>
              <w:spacing w:after="0"/>
              <w:rPr>
                <w:sz w:val="24"/>
                <w:szCs w:val="24"/>
                <w:color w:val="auto"/>
              </w:rPr>
            </w:pPr>
          </w:p>
        </w:tc>
        <w:tc>
          <w:tcPr>
            <w:tcW w:w="5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91"/>
        </w:trPr>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Rodney Worthen</w:t>
            </w:r>
          </w:p>
        </w:tc>
        <w:tc>
          <w:tcPr>
            <w:tcW w:w="100" w:type="dxa"/>
            <w:vAlign w:val="bottom"/>
          </w:tcPr>
          <w:p>
            <w:pPr>
              <w:spacing w:after="0"/>
              <w:rPr>
                <w:sz w:val="7"/>
                <w:szCs w:val="7"/>
                <w:color w:val="auto"/>
              </w:rPr>
            </w:pPr>
          </w:p>
        </w:tc>
        <w:tc>
          <w:tcPr>
            <w:tcW w:w="5520" w:type="dxa"/>
            <w:vAlign w:val="bottom"/>
            <w:gridSpan w:val="2"/>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Eric Garcia</w:t>
            </w:r>
          </w:p>
        </w:tc>
        <w:tc>
          <w:tcPr>
            <w:tcW w:w="100" w:type="dxa"/>
            <w:vAlign w:val="bottom"/>
          </w:tcPr>
          <w:p>
            <w:pPr>
              <w:spacing w:after="0"/>
              <w:rPr>
                <w:sz w:val="24"/>
                <w:szCs w:val="24"/>
                <w:color w:val="auto"/>
              </w:rPr>
            </w:pPr>
          </w:p>
        </w:tc>
        <w:tc>
          <w:tcPr>
            <w:tcW w:w="5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Chief Accounting Officer (Principal Accounting Officer)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91"/>
        </w:trPr>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Eric Garcia</w:t>
            </w:r>
          </w:p>
        </w:tc>
        <w:tc>
          <w:tcPr>
            <w:tcW w:w="100" w:type="dxa"/>
            <w:vAlign w:val="bottom"/>
          </w:tcPr>
          <w:p>
            <w:pPr>
              <w:spacing w:after="0"/>
              <w:rPr>
                <w:sz w:val="7"/>
                <w:szCs w:val="7"/>
                <w:color w:val="auto"/>
              </w:rPr>
            </w:pPr>
          </w:p>
        </w:tc>
        <w:tc>
          <w:tcPr>
            <w:tcW w:w="5520" w:type="dxa"/>
            <w:vAlign w:val="bottom"/>
            <w:gridSpan w:val="2"/>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Arthur Wong</w:t>
            </w:r>
          </w:p>
        </w:tc>
        <w:tc>
          <w:tcPr>
            <w:tcW w:w="100" w:type="dxa"/>
            <w:vAlign w:val="bottom"/>
          </w:tcPr>
          <w:p>
            <w:pPr>
              <w:spacing w:after="0"/>
              <w:rPr>
                <w:sz w:val="24"/>
                <w:szCs w:val="24"/>
                <w:color w:val="auto"/>
              </w:rPr>
            </w:pPr>
          </w:p>
        </w:tc>
        <w:tc>
          <w:tcPr>
            <w:tcW w:w="5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91"/>
        </w:trPr>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Arthur Wong</w:t>
            </w:r>
          </w:p>
        </w:tc>
        <w:tc>
          <w:tcPr>
            <w:tcW w:w="100" w:type="dxa"/>
            <w:vAlign w:val="bottom"/>
          </w:tcPr>
          <w:p>
            <w:pPr>
              <w:spacing w:after="0"/>
              <w:rPr>
                <w:sz w:val="7"/>
                <w:szCs w:val="7"/>
                <w:color w:val="auto"/>
              </w:rPr>
            </w:pPr>
          </w:p>
        </w:tc>
        <w:tc>
          <w:tcPr>
            <w:tcW w:w="5520" w:type="dxa"/>
            <w:vAlign w:val="bottom"/>
            <w:gridSpan w:val="2"/>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Yixin Pan</w:t>
            </w:r>
          </w:p>
        </w:tc>
        <w:tc>
          <w:tcPr>
            <w:tcW w:w="100" w:type="dxa"/>
            <w:vAlign w:val="bottom"/>
          </w:tcPr>
          <w:p>
            <w:pPr>
              <w:spacing w:after="0"/>
              <w:rPr>
                <w:sz w:val="24"/>
                <w:szCs w:val="24"/>
                <w:color w:val="auto"/>
              </w:rPr>
            </w:pPr>
          </w:p>
        </w:tc>
        <w:tc>
          <w:tcPr>
            <w:tcW w:w="5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91"/>
        </w:trPr>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Yixin Pan</w:t>
            </w:r>
          </w:p>
        </w:tc>
        <w:tc>
          <w:tcPr>
            <w:tcW w:w="100" w:type="dxa"/>
            <w:vAlign w:val="bottom"/>
          </w:tcPr>
          <w:p>
            <w:pPr>
              <w:spacing w:after="0"/>
              <w:rPr>
                <w:sz w:val="7"/>
                <w:szCs w:val="7"/>
                <w:color w:val="auto"/>
              </w:rPr>
            </w:pPr>
          </w:p>
        </w:tc>
        <w:tc>
          <w:tcPr>
            <w:tcW w:w="5520" w:type="dxa"/>
            <w:vAlign w:val="bottom"/>
            <w:gridSpan w:val="2"/>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Wei Ying</w:t>
            </w:r>
          </w:p>
        </w:tc>
        <w:tc>
          <w:tcPr>
            <w:tcW w:w="100" w:type="dxa"/>
            <w:vAlign w:val="bottom"/>
          </w:tcPr>
          <w:p>
            <w:pPr>
              <w:spacing w:after="0"/>
              <w:rPr>
                <w:sz w:val="24"/>
                <w:szCs w:val="24"/>
                <w:color w:val="auto"/>
              </w:rPr>
            </w:pPr>
          </w:p>
        </w:tc>
        <w:tc>
          <w:tcPr>
            <w:tcW w:w="5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91"/>
        </w:trPr>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 Ying</w:t>
            </w:r>
          </w:p>
        </w:tc>
        <w:tc>
          <w:tcPr>
            <w:tcW w:w="100" w:type="dxa"/>
            <w:vAlign w:val="bottom"/>
          </w:tcPr>
          <w:p>
            <w:pPr>
              <w:spacing w:after="0"/>
              <w:rPr>
                <w:sz w:val="7"/>
                <w:szCs w:val="7"/>
                <w:color w:val="auto"/>
              </w:rPr>
            </w:pPr>
          </w:p>
        </w:tc>
        <w:tc>
          <w:tcPr>
            <w:tcW w:w="5520" w:type="dxa"/>
            <w:vAlign w:val="bottom"/>
            <w:gridSpan w:val="2"/>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Isida Tushe</w:t>
            </w:r>
          </w:p>
        </w:tc>
        <w:tc>
          <w:tcPr>
            <w:tcW w:w="100" w:type="dxa"/>
            <w:vAlign w:val="bottom"/>
          </w:tcPr>
          <w:p>
            <w:pPr>
              <w:spacing w:after="0"/>
              <w:rPr>
                <w:sz w:val="22"/>
                <w:szCs w:val="22"/>
                <w:color w:val="auto"/>
              </w:rPr>
            </w:pPr>
          </w:p>
        </w:tc>
        <w:tc>
          <w:tcPr>
            <w:tcW w:w="5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91"/>
        </w:trPr>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Isida Tushe</w:t>
            </w:r>
          </w:p>
        </w:tc>
        <w:tc>
          <w:tcPr>
            <w:tcW w:w="100" w:type="dxa"/>
            <w:vAlign w:val="bottom"/>
          </w:tcPr>
          <w:p>
            <w:pPr>
              <w:spacing w:after="0"/>
              <w:rPr>
                <w:sz w:val="7"/>
                <w:szCs w:val="7"/>
                <w:color w:val="auto"/>
              </w:rPr>
            </w:pPr>
          </w:p>
        </w:tc>
        <w:tc>
          <w:tcPr>
            <w:tcW w:w="5520" w:type="dxa"/>
            <w:vAlign w:val="bottom"/>
            <w:gridSpan w:val="2"/>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ectPr>
          <w:pgSz w:w="11900" w:h="16838" w:orient="portrait"/>
          <w:cols w:equalWidth="0" w:num="1">
            <w:col w:w="11240"/>
          </w:cols>
          <w:pgMar w:left="320" w:top="119" w:right="339" w:bottom="1440" w:gutter="0" w:footer="0" w:header="0"/>
        </w:sectPr>
      </w:pPr>
    </w:p>
    <w:bookmarkStart w:id="158" w:name="page159"/>
    <w:bookmarkEnd w:id="158"/>
    <w:p>
      <w:pPr>
        <w:ind w:left="10080"/>
        <w:spacing w:after="0"/>
        <w:rPr>
          <w:sz w:val="20"/>
          <w:szCs w:val="20"/>
          <w:color w:val="auto"/>
        </w:rPr>
      </w:pPr>
      <w:r>
        <w:rPr>
          <w:rFonts w:ascii="Times New Roman" w:cs="Times New Roman" w:eastAsia="Times New Roman" w:hAnsi="Times New Roman"/>
          <w:sz w:val="20"/>
          <w:szCs w:val="20"/>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214" w:lineRule="exact"/>
        <w:rPr>
          <w:sz w:val="20"/>
          <w:szCs w:val="20"/>
          <w:color w:val="auto"/>
        </w:rPr>
      </w:pPr>
    </w:p>
    <w:p>
      <w:pPr>
        <w:jc w:val="both"/>
        <w:ind w:firstLine="253"/>
        <w:spacing w:after="0" w:line="269" w:lineRule="auto"/>
        <w:rPr>
          <w:sz w:val="20"/>
          <w:szCs w:val="20"/>
          <w:color w:val="auto"/>
        </w:rPr>
      </w:pPr>
      <w:r>
        <w:rPr>
          <w:rFonts w:ascii="Times New Roman" w:cs="Times New Roman" w:eastAsia="Times New Roman" w:hAnsi="Times New Roman"/>
          <w:sz w:val="21"/>
          <w:szCs w:val="21"/>
          <w:color w:val="auto"/>
        </w:rPr>
        <w:t>You have been selected to receive a grant of Restricted Stock Units (the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under the Microvast Holdings, Inc. 2021 Equity Incentive Plan, as in effect and as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as stated below:</w:t>
      </w:r>
    </w:p>
    <w:p>
      <w:pPr>
        <w:spacing w:after="0" w:line="164"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1"/>
          <w:szCs w:val="21"/>
          <w:b w:val="1"/>
          <w:bCs w:val="1"/>
          <w:color w:val="auto"/>
        </w:rPr>
        <w:t>Participant Name</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1"/>
          <w:szCs w:val="21"/>
          <w:b w:val="1"/>
          <w:bCs w:val="1"/>
          <w:color w:val="auto"/>
        </w:rPr>
        <w:t>Grant Date:</w:t>
      </w:r>
      <w:r>
        <w:rPr>
          <w:sz w:val="20"/>
          <w:szCs w:val="20"/>
          <w:color w:val="auto"/>
        </w:rPr>
        <w:tab/>
      </w:r>
      <w:r>
        <w:rPr>
          <w:rFonts w:ascii="Times New Roman" w:cs="Times New Roman" w:eastAsia="Times New Roman" w:hAnsi="Times New Roman"/>
          <w:sz w:val="20"/>
          <w:szCs w:val="20"/>
          <w:color w:val="auto"/>
        </w:rPr>
        <w:t>[●]</w:t>
      </w:r>
    </w:p>
    <w:p>
      <w:pPr>
        <w:spacing w:after="0" w:line="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b w:val="1"/>
          <w:bCs w:val="1"/>
          <w:color w:val="auto"/>
        </w:rPr>
        <w:t>RSUs:</w:t>
      </w:r>
      <w:r>
        <w:rPr>
          <w:sz w:val="20"/>
          <w:szCs w:val="20"/>
          <w:color w:val="auto"/>
        </w:rPr>
        <w:tab/>
      </w:r>
      <w:r>
        <w:rPr>
          <w:rFonts w:ascii="Times New Roman" w:cs="Times New Roman" w:eastAsia="Times New Roman" w:hAnsi="Times New Roman"/>
          <w:sz w:val="21"/>
          <w:szCs w:val="21"/>
          <w:color w:val="auto"/>
        </w:rPr>
        <w:t>[●]</w:t>
      </w:r>
    </w:p>
    <w:p>
      <w:pPr>
        <w:spacing w:after="0" w:line="3"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1"/>
          <w:szCs w:val="21"/>
          <w:b w:val="1"/>
          <w:bCs w:val="1"/>
          <w:color w:val="auto"/>
        </w:rPr>
        <w:t>Vesting Date(s):</w:t>
      </w:r>
      <w:r>
        <w:rPr>
          <w:sz w:val="20"/>
          <w:szCs w:val="20"/>
          <w:color w:val="auto"/>
        </w:rPr>
        <w:tab/>
      </w:r>
      <w:r>
        <w:rPr>
          <w:rFonts w:ascii="Times New Roman" w:cs="Times New Roman" w:eastAsia="Times New Roman" w:hAnsi="Times New Roman"/>
          <w:sz w:val="20"/>
          <w:szCs w:val="20"/>
          <w:color w:val="auto"/>
        </w:rPr>
        <w:t>First anniversary of the Grant Date</w:t>
      </w: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Second anniversary of the Grant Date</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Third anniversary of the Grant Date</w:t>
      </w:r>
    </w:p>
    <w:p>
      <w:pPr>
        <w:spacing w:after="0" w:line="200"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between Microvast Holdings,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the Participant whose name appears above, is made effective as of the Grant Date set forth above and pursuant to the Plan. Capitalized terms that are not defined herein shall have the meanings given to such terms in the Plan.</w:t>
      </w:r>
    </w:p>
    <w:p>
      <w:pPr>
        <w:spacing w:after="0" w:line="164" w:lineRule="exact"/>
        <w:rPr>
          <w:sz w:val="20"/>
          <w:szCs w:val="20"/>
          <w:color w:val="auto"/>
        </w:rPr>
      </w:pPr>
    </w:p>
    <w:p>
      <w:pPr>
        <w:jc w:val="both"/>
        <w:ind w:firstLine="3"/>
        <w:spacing w:after="0" w:line="257" w:lineRule="auto"/>
        <w:tabs>
          <w:tab w:leader="none" w:pos="431"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Grant of RSUs</w:t>
      </w:r>
      <w:r>
        <w:rPr>
          <w:rFonts w:ascii="Times New Roman" w:cs="Times New Roman" w:eastAsia="Times New Roman" w:hAnsi="Times New Roman"/>
          <w:sz w:val="21"/>
          <w:szCs w:val="21"/>
          <w:color w:val="auto"/>
        </w:rPr>
        <w:t>. The Company hereby evidences and confirms the grant to the Participant of the number of RSUs set forth above.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entered into pursuant to, and the terms of the RSUs are subject to, the terms and conditions of the Plan, which is incorporated by reference herein. If there is any inconsistency between this Agreement and the terms of the Plan, the terms of the Plan shall govern.</w:t>
      </w:r>
    </w:p>
    <w:p>
      <w:pPr>
        <w:spacing w:after="0" w:line="164" w:lineRule="exact"/>
        <w:rPr>
          <w:rFonts w:ascii="Times New Roman" w:cs="Times New Roman" w:eastAsia="Times New Roman" w:hAnsi="Times New Roman"/>
          <w:sz w:val="21"/>
          <w:szCs w:val="21"/>
          <w:b w:val="1"/>
          <w:bCs w:val="1"/>
          <w:color w:val="auto"/>
        </w:rPr>
      </w:pPr>
    </w:p>
    <w:p>
      <w:pPr>
        <w:ind w:left="360" w:hanging="357"/>
        <w:spacing w:after="0"/>
        <w:tabs>
          <w:tab w:leader="none" w:pos="360"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 of RSUs; Effect of Termination of Employment</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21"/>
          <w:szCs w:val="21"/>
          <w:b w:val="1"/>
          <w:bCs w:val="1"/>
          <w:color w:val="auto"/>
        </w:rPr>
      </w:pPr>
    </w:p>
    <w:p>
      <w:pPr>
        <w:jc w:val="both"/>
        <w:ind w:firstLine="622"/>
        <w:spacing w:after="0" w:line="262" w:lineRule="auto"/>
        <w:tabs>
          <w:tab w:leader="none" w:pos="1093"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xml:space="preserve">. Except as otherwise provided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one-third of the RSUs shall vest, if at all, on each of the vesting dates set forth above (each,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subject to the Participant’s continued employment with the Company or Affiliate through the applicable Vesting Date.</w:t>
      </w:r>
    </w:p>
    <w:p>
      <w:pPr>
        <w:spacing w:after="0" w:line="163" w:lineRule="exact"/>
        <w:rPr>
          <w:rFonts w:ascii="Times New Roman" w:cs="Times New Roman" w:eastAsia="Times New Roman" w:hAnsi="Times New Roman"/>
          <w:sz w:val="21"/>
          <w:szCs w:val="21"/>
          <w:color w:val="auto"/>
        </w:rPr>
      </w:pPr>
    </w:p>
    <w:p>
      <w:pPr>
        <w:jc w:val="both"/>
        <w:ind w:firstLine="622"/>
        <w:spacing w:after="0" w:line="261" w:lineRule="auto"/>
        <w:tabs>
          <w:tab w:leader="none" w:pos="113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 Except as otherwise set forth in the Participant’s employment offer letter or agreement, as applicable, with the Company or its Affiliates, all unvested RSUs granted to the Participant pursuant to this Agreement shall be forfeited and cancelled for no consideration upon the Participant’s Termination of Employment for any reason. Notwithstanding the foregoing, upon the Participant’s Termination of Employment for Cause (as defined in the Participant’s employment offer letter or agreement, as applicable, with the Company or its Affiliates or, in the absence of such provision, as defined in this Agreement), all RSUs granted hereunder, whether vested but not settled or unvested shall be forfeited and cancelled for no consideration. As used in this Agreement,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xml:space="preserve">” shall mean the Participant’s Termination of Employment due to: (i) the Participant’s indictment or conviction for, or plea of guilty, no contest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any crime, whether such crime is a felony (or the state law equivalent) or misdemeanor, or that impairs the Participant’s ability to function according to the Participant’s job description and responsibilities with the Company; (ii) commission of an act of fraud, embezzlement, misappropriation of funds, misrepresentation, malfeasance, breach of</w:t>
      </w:r>
    </w:p>
    <w:p>
      <w:pPr>
        <w:sectPr>
          <w:pgSz w:w="11900" w:h="16838" w:orient="portrait"/>
          <w:cols w:equalWidth="0" w:num="1">
            <w:col w:w="11240"/>
          </w:cols>
          <w:pgMar w:left="320" w:top="123" w:right="339" w:bottom="1440" w:gutter="0" w:footer="0" w:header="0"/>
        </w:sectPr>
      </w:pPr>
    </w:p>
    <w:bookmarkStart w:id="159" w:name="page160"/>
    <w:bookmarkEnd w:id="159"/>
    <w:p>
      <w:pPr>
        <w:jc w:val="both"/>
        <w:spacing w:after="0" w:line="256" w:lineRule="auto"/>
        <w:rPr>
          <w:sz w:val="20"/>
          <w:szCs w:val="20"/>
          <w:color w:val="auto"/>
        </w:rPr>
      </w:pPr>
      <w:r>
        <w:rPr>
          <w:rFonts w:ascii="Times New Roman" w:cs="Times New Roman" w:eastAsia="Times New Roman" w:hAnsi="Times New Roman"/>
          <w:sz w:val="21"/>
          <w:szCs w:val="21"/>
          <w:color w:val="auto"/>
        </w:rPr>
        <w:t>fiduciary duty or other act of misconduct; (iii) conduct that results in or is reasonably likely to result in harm to the reputation or business of the Company or any of its Affiliates or breach of any Company policy; (iv) negligence, neglect of the Participant’s duties or misconduct in connection with the Participant’s job duties; or (v) breach of this Agreement or violation of the Company’s policies or codes of conduct.</w:t>
      </w:r>
    </w:p>
    <w:p>
      <w:pPr>
        <w:spacing w:after="0" w:line="169" w:lineRule="exact"/>
        <w:rPr>
          <w:sz w:val="20"/>
          <w:szCs w:val="20"/>
          <w:color w:val="auto"/>
        </w:rPr>
      </w:pPr>
    </w:p>
    <w:p>
      <w:pPr>
        <w:jc w:val="both"/>
        <w:ind w:firstLine="622"/>
        <w:spacing w:after="0" w:line="256" w:lineRule="auto"/>
        <w:tabs>
          <w:tab w:leader="none" w:pos="1117"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Discretion</w:t>
      </w:r>
      <w:r>
        <w:rPr>
          <w:rFonts w:ascii="Times New Roman" w:cs="Times New Roman" w:eastAsia="Times New Roman" w:hAnsi="Times New Roman"/>
          <w:sz w:val="21"/>
          <w:szCs w:val="21"/>
          <w:color w:val="auto"/>
        </w:rPr>
        <w:t xml:space="preserve">. Notwithstanding anything contained in this Agreement to the contrary, subject to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of the Plan, the Committee, in its sole discretion, may accelerate the vesting with respect to any RSUs under this Agreement, at such times and upon such terms and conditions as the Committee shall determine.</w:t>
      </w:r>
    </w:p>
    <w:p>
      <w:pPr>
        <w:spacing w:after="0" w:line="164" w:lineRule="exact"/>
        <w:rPr>
          <w:rFonts w:ascii="Times New Roman" w:cs="Times New Roman" w:eastAsia="Times New Roman" w:hAnsi="Times New Roman"/>
          <w:sz w:val="21"/>
          <w:szCs w:val="21"/>
          <w:color w:val="auto"/>
        </w:rPr>
      </w:pPr>
    </w:p>
    <w:p>
      <w:pPr>
        <w:jc w:val="both"/>
        <w:ind w:firstLine="3"/>
        <w:spacing w:after="0" w:line="251" w:lineRule="auto"/>
        <w:tabs>
          <w:tab w:leader="none" w:pos="374"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Settlement of RSUs</w:t>
      </w:r>
      <w:r>
        <w:rPr>
          <w:rFonts w:ascii="Times New Roman" w:cs="Times New Roman" w:eastAsia="Times New Roman" w:hAnsi="Times New Roman"/>
          <w:sz w:val="21"/>
          <w:szCs w:val="21"/>
          <w:color w:val="auto"/>
        </w:rPr>
        <w:t>. The Company shall deliver to the Participant one Share, or at the option of the Company, pay the Participant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cash value as set forth in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in settlement of each outstanding RSU that has vested as provided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on or as soon as is administratively practicable following the first to occur of (i) the applicable Vesting Date or (ii) such accelerated date of vesting provided in accordance with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but in no event later than March 15 of the year following (i) or (ii), as applicable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in Shares by either, (x) issuing one or more certificates evidencing the Shares to the Participant or (y) registering the issuance of the Shares in the name of the Participant through a book entry credit in the records of the Company’s transfer agent. In the event that the Company elects to make payment of the RSUs in cash, the cash value of each RSU shall be equal to the Fair Market Value of a Share on the applicable Vesting Date.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If the participant is deemed a “specified employee” within the meaning of Section 409A of the Code, as determined by the Committee, at a time when the Participant becomes eligible for settlement of the RSUs upon the Participant’s “separation from service” within the meaning of Section 409A of the Code, then to the extent necessary to prevent any accelerated or additional tax under Section 409A of the Code, such settlement will be delayed until the earlier of: (a) the date that is six months following the Participant’s separation from service and (b) the Participant’s death.</w:t>
      </w:r>
    </w:p>
    <w:p>
      <w:pPr>
        <w:spacing w:after="0" w:line="167" w:lineRule="exact"/>
        <w:rPr>
          <w:sz w:val="20"/>
          <w:szCs w:val="20"/>
          <w:color w:val="auto"/>
        </w:rPr>
      </w:pPr>
    </w:p>
    <w:p>
      <w:pPr>
        <w:jc w:val="both"/>
        <w:ind w:firstLine="3"/>
        <w:spacing w:after="0" w:line="252" w:lineRule="auto"/>
        <w:tabs>
          <w:tab w:leader="none" w:pos="464"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Securities Law Compliance</w:t>
      </w:r>
      <w:r>
        <w:rPr>
          <w:rFonts w:ascii="Times New Roman" w:cs="Times New Roman" w:eastAsia="Times New Roman" w:hAnsi="Times New Roman"/>
          <w:sz w:val="21"/>
          <w:szCs w:val="21"/>
          <w:color w:val="auto"/>
        </w:rPr>
        <w:t>. Notwithstanding any other provision of this Agreement, the Participant may not sell the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acquired upon vesting of the RSUs unless such Shares are registered under the Securities Act of 1933, as amended (the “</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or, if such Shares are not then so registered, such sale would be exempt from the registration requirements of the Securities Act. The sale of such Shares must also comply with other applicable laws and regulations governing the Shares, including the applicable requirements of any stock exchange on which the Company’s Shares may be listed, and the Participant may not sell the Shares if the Company determines that such sale would not be in material compliance with such laws and regulations.</w:t>
      </w:r>
    </w:p>
    <w:p>
      <w:pPr>
        <w:spacing w:after="0" w:line="167" w:lineRule="exact"/>
        <w:rPr>
          <w:rFonts w:ascii="Times New Roman" w:cs="Times New Roman" w:eastAsia="Times New Roman" w:hAnsi="Times New Roman"/>
          <w:sz w:val="21"/>
          <w:szCs w:val="21"/>
          <w:b w:val="1"/>
          <w:bCs w:val="1"/>
          <w:color w:val="auto"/>
        </w:rPr>
      </w:pPr>
    </w:p>
    <w:p>
      <w:pPr>
        <w:ind w:left="360" w:hanging="357"/>
        <w:spacing w:after="0"/>
        <w:tabs>
          <w:tab w:leader="none" w:pos="360"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Participant’s Rights with Respect to the RSUs</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21"/>
          <w:szCs w:val="21"/>
          <w:b w:val="1"/>
          <w:bCs w:val="1"/>
          <w:color w:val="auto"/>
        </w:rPr>
      </w:pPr>
    </w:p>
    <w:p>
      <w:pPr>
        <w:jc w:val="both"/>
        <w:ind w:firstLine="622"/>
        <w:spacing w:after="0" w:line="256" w:lineRule="auto"/>
        <w:tabs>
          <w:tab w:leader="none" w:pos="1093"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Transferability</w:t>
      </w:r>
      <w:r>
        <w:rPr>
          <w:rFonts w:ascii="Times New Roman" w:cs="Times New Roman" w:eastAsia="Times New Roman" w:hAnsi="Times New Roman"/>
          <w:sz w:val="21"/>
          <w:szCs w:val="21"/>
          <w:color w:val="auto"/>
        </w:rPr>
        <w:t>. The RSUs granted hereby are not assignable or transferable, in whole or in part, and may not, directly or indirectly, be offered, transferred, sold, pledged, assigned, alienated, hypothecated or otherwise disposed of or encumbered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5" w:right="339" w:bottom="1440" w:gutter="0" w:footer="0" w:header="0"/>
        </w:sectPr>
      </w:pPr>
    </w:p>
    <w:bookmarkStart w:id="160" w:name="page161"/>
    <w:bookmarkEnd w:id="160"/>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without limitation by gift, operation of law or otherwise) other than by will or by the laws of descent and distribution to the estate of the Participant upon the Participant’s death;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 Any attempt to assign, alienate, pledge, attach, sell or otherwise transfer or encumber the RSUs or the rights relating thereto, other than by will or by the laws of descent and distribution to the estate of the Participant upon the Participant’s death, shall be wholly ineffective and, if any, such attempt is made, the RSUs will be forfeited for no consideration and all of the Participant’s rights to such units shall immediately terminate without any payment or consideration by the Company.</w:t>
      </w:r>
    </w:p>
    <w:p>
      <w:pPr>
        <w:spacing w:after="0" w:line="187" w:lineRule="exact"/>
        <w:rPr>
          <w:sz w:val="20"/>
          <w:szCs w:val="20"/>
          <w:color w:val="auto"/>
        </w:rPr>
      </w:pPr>
    </w:p>
    <w:p>
      <w:pPr>
        <w:jc w:val="both"/>
        <w:ind w:firstLine="622"/>
        <w:spacing w:after="0" w:line="256" w:lineRule="auto"/>
        <w:tabs>
          <w:tab w:leader="none" w:pos="1143"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as Stockholder</w:t>
      </w:r>
      <w:r>
        <w:rPr>
          <w:rFonts w:ascii="Times New Roman" w:cs="Times New Roman" w:eastAsia="Times New Roman" w:hAnsi="Times New Roman"/>
          <w:sz w:val="21"/>
          <w:szCs w:val="21"/>
          <w:color w:val="auto"/>
        </w:rPr>
        <w:t>. The Participant shall not have any rights as a stockholder including any voting, dividend or other rights or privileges as a stockholder of the Company with respect to any Shares corresponding to the RSUs granted hereby unless and until Shares are issued to the Participant in respect thereof.</w:t>
      </w:r>
    </w:p>
    <w:p>
      <w:pPr>
        <w:spacing w:after="0" w:line="168" w:lineRule="exact"/>
        <w:rPr>
          <w:rFonts w:ascii="Times New Roman" w:cs="Times New Roman" w:eastAsia="Times New Roman" w:hAnsi="Times New Roman"/>
          <w:sz w:val="21"/>
          <w:szCs w:val="21"/>
          <w:color w:val="auto"/>
        </w:rPr>
      </w:pPr>
    </w:p>
    <w:p>
      <w:pPr>
        <w:jc w:val="both"/>
        <w:ind w:firstLine="622"/>
        <w:spacing w:after="0" w:line="249" w:lineRule="auto"/>
        <w:tabs>
          <w:tab w:leader="none" w:pos="108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Dividends</w:t>
      </w:r>
      <w:r>
        <w:rPr>
          <w:rFonts w:ascii="Times New Roman" w:cs="Times New Roman" w:eastAsia="Times New Roman" w:hAnsi="Times New Roman"/>
          <w:sz w:val="21"/>
          <w:szCs w:val="21"/>
          <w:color w:val="auto"/>
        </w:rPr>
        <w:t>. The Participant shall be credited with Dividend Equivalents equal to the dividends the Participant would have received if the Participant had been the owner of a number of Shares equal to the number of RSUs credited to the Participant on such dividend payment date. Any Dividend Equivalent deriving from a cash dividend shall be converted into additional RSUs based on the Fair Market Value of Common Stock on the dividend payment date (or, if the dividend payment date is not a day during which the Nasdaq is open for trading (“</w:t>
      </w:r>
      <w:r>
        <w:rPr>
          <w:rFonts w:ascii="Times New Roman" w:cs="Times New Roman" w:eastAsia="Times New Roman" w:hAnsi="Times New Roman"/>
          <w:sz w:val="21"/>
          <w:szCs w:val="21"/>
          <w:u w:val="single" w:color="auto"/>
          <w:color w:val="auto"/>
        </w:rPr>
        <w:t>Nasdaq Trading Day</w:t>
      </w:r>
      <w:r>
        <w:rPr>
          <w:rFonts w:ascii="Times New Roman" w:cs="Times New Roman" w:eastAsia="Times New Roman" w:hAnsi="Times New Roman"/>
          <w:sz w:val="21"/>
          <w:szCs w:val="21"/>
          <w:color w:val="auto"/>
        </w:rPr>
        <w:t xml:space="preserve">”), then on the first Nasdaq Trading Day following the dividend payment date). Subject to </w:t>
      </w:r>
      <w:r>
        <w:rPr>
          <w:rFonts w:ascii="Times New Roman" w:cs="Times New Roman" w:eastAsia="Times New Roman" w:hAnsi="Times New Roman"/>
          <w:sz w:val="21"/>
          <w:szCs w:val="21"/>
          <w:u w:val="single" w:color="auto"/>
          <w:color w:val="auto"/>
        </w:rPr>
        <w:t>Article 18</w:t>
      </w:r>
      <w:r>
        <w:rPr>
          <w:rFonts w:ascii="Times New Roman" w:cs="Times New Roman" w:eastAsia="Times New Roman" w:hAnsi="Times New Roman"/>
          <w:sz w:val="21"/>
          <w:szCs w:val="21"/>
          <w:color w:val="auto"/>
        </w:rPr>
        <w:t xml:space="preserve"> of the Plan, any Dividend Equivalent deriving from a dividend of Shares shall be converted into additional RSUs on a one-for-one basis. The Participant shall continue to be credited with Dividend Equivalents until the Settlement Date (or, if applicable, the forfeiture of the corresponding Award). The Dividend Equivalents so credited shall be subject to the same terms and conditions as the corresponding Award, and they shall vest, if at all, and be settled in the same manner and at the same time as the corresponding Award, as if they had been granted at the same time as such Award.</w:t>
      </w:r>
    </w:p>
    <w:p>
      <w:pPr>
        <w:spacing w:after="0" w:line="172" w:lineRule="exact"/>
        <w:rPr>
          <w:rFonts w:ascii="Times New Roman" w:cs="Times New Roman" w:eastAsia="Times New Roman" w:hAnsi="Times New Roman"/>
          <w:sz w:val="21"/>
          <w:szCs w:val="21"/>
          <w:color w:val="auto"/>
        </w:rPr>
      </w:pPr>
    </w:p>
    <w:p>
      <w:pPr>
        <w:ind w:firstLine="3"/>
        <w:spacing w:after="0" w:line="273" w:lineRule="auto"/>
        <w:tabs>
          <w:tab w:leader="none" w:pos="438"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In the event of a Change in Control prior to the final Vesting Date, all unvested RSUs shall be treated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the Plan. Any vested RSUs that have yet to be settled shall be settled immediately prior to the Change in Control.</w:t>
      </w:r>
    </w:p>
    <w:p>
      <w:pPr>
        <w:spacing w:after="0" w:line="146" w:lineRule="exact"/>
        <w:rPr>
          <w:rFonts w:ascii="Times New Roman" w:cs="Times New Roman" w:eastAsia="Times New Roman" w:hAnsi="Times New Roman"/>
          <w:sz w:val="21"/>
          <w:szCs w:val="21"/>
          <w:b w:val="1"/>
          <w:bCs w:val="1"/>
          <w:color w:val="auto"/>
        </w:rPr>
      </w:pPr>
    </w:p>
    <w:p>
      <w:pPr>
        <w:jc w:val="both"/>
        <w:ind w:firstLine="3"/>
        <w:spacing w:after="0" w:line="257" w:lineRule="auto"/>
        <w:tabs>
          <w:tab w:leader="none" w:pos="478"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Adjustments</w:t>
      </w:r>
      <w:r>
        <w:rPr>
          <w:rFonts w:ascii="Times New Roman" w:cs="Times New Roman" w:eastAsia="Times New Roman" w:hAnsi="Times New Roman"/>
          <w:sz w:val="21"/>
          <w:szCs w:val="21"/>
          <w:color w:val="auto"/>
        </w:rPr>
        <w:t>. The number, class or other terms of any outstanding RSUs may be adjusted by the Committee to reflect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extraordinary dividend, stock dividend, stock split or share combination or any recapitalization, business combination, merger, consolidation, spin-off, exchange of shares, liquidation or dissolution of the Company or other similar transaction affecting the Shares in such manner as the Committee determines in its sole discretion.</w:t>
      </w:r>
    </w:p>
    <w:p>
      <w:pPr>
        <w:spacing w:after="0" w:line="164" w:lineRule="exact"/>
        <w:rPr>
          <w:rFonts w:ascii="Times New Roman" w:cs="Times New Roman" w:eastAsia="Times New Roman" w:hAnsi="Times New Roman"/>
          <w:sz w:val="21"/>
          <w:szCs w:val="21"/>
          <w:b w:val="1"/>
          <w:bCs w:val="1"/>
          <w:color w:val="auto"/>
        </w:rPr>
      </w:pPr>
    </w:p>
    <w:p>
      <w:pPr>
        <w:jc w:val="both"/>
        <w:ind w:firstLine="3"/>
        <w:spacing w:after="0" w:line="258" w:lineRule="auto"/>
        <w:tabs>
          <w:tab w:leader="none" w:pos="429"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 Withholding</w:t>
      </w:r>
      <w:r>
        <w:rPr>
          <w:rFonts w:ascii="Times New Roman" w:cs="Times New Roman" w:eastAsia="Times New Roman" w:hAnsi="Times New Roman"/>
          <w:sz w:val="21"/>
          <w:szCs w:val="21"/>
          <w:color w:val="auto"/>
        </w:rPr>
        <w:t>. The Participant must satisfy any federal, state, local or foreign tax withholding requirements applicable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the settlement of the RSUs subject to this Agreement. The Company may require or permit the Participant to satisfy such tax withholding obligations through the Company withholding of Shares (up to the maximum statutory tax rate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5" w:right="339" w:bottom="1440" w:gutter="0" w:footer="0" w:header="0"/>
        </w:sectPr>
      </w:pPr>
    </w:p>
    <w:bookmarkStart w:id="161" w:name="page162"/>
    <w:bookmarkEnd w:id="161"/>
    <w:p>
      <w:pPr>
        <w:jc w:val="both"/>
        <w:spacing w:after="0" w:line="249" w:lineRule="auto"/>
        <w:rPr>
          <w:sz w:val="20"/>
          <w:szCs w:val="20"/>
          <w:color w:val="auto"/>
        </w:rPr>
      </w:pPr>
      <w:r>
        <w:rPr>
          <w:rFonts w:ascii="Times New Roman" w:cs="Times New Roman" w:eastAsia="Times New Roman" w:hAnsi="Times New Roman"/>
          <w:sz w:val="21"/>
          <w:szCs w:val="21"/>
          <w:color w:val="auto"/>
        </w:rPr>
        <w:t>the relevant jurisdiction) that would otherwise be received by such individual upon the settlement of the RSUs subject to this Agreement. The obligations of the Company to deliver the Shares under this Agreement shall be conditioned upon the Participant’s payment of all applicable taxes and the Company shall, to the extent permitted by law, have the right to deduct any such taxes from any payment of any kind otherwise due to the Participant. Nothing in this Agreement or any other document with respect to the RSUs shall be construed as the Company’s representation or undertaking regarding any tax obligations in connection with the grant, vesting or settlement of the RSUs or the subsequent sale of any Shares acquired upon settlement, and the Company shall have no obligation to structure the RSUs to reduce or eliminate the Participant’s liability for any tax obligations.</w:t>
      </w:r>
    </w:p>
    <w:p>
      <w:pPr>
        <w:spacing w:after="0" w:line="180" w:lineRule="exact"/>
        <w:rPr>
          <w:sz w:val="20"/>
          <w:szCs w:val="20"/>
          <w:color w:val="auto"/>
        </w:rPr>
      </w:pPr>
    </w:p>
    <w:p>
      <w:pPr>
        <w:jc w:val="both"/>
        <w:ind w:firstLine="3"/>
        <w:spacing w:after="0" w:line="251" w:lineRule="auto"/>
        <w:tabs>
          <w:tab w:leader="none" w:pos="438"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 that may be incurred by the Participant on account of non-compliance with Section 409A of the Code.</w:t>
      </w:r>
    </w:p>
    <w:p>
      <w:pPr>
        <w:spacing w:after="0" w:line="169" w:lineRule="exact"/>
        <w:rPr>
          <w:rFonts w:ascii="Times New Roman" w:cs="Times New Roman" w:eastAsia="Times New Roman" w:hAnsi="Times New Roman"/>
          <w:sz w:val="21"/>
          <w:szCs w:val="21"/>
          <w:b w:val="1"/>
          <w:bCs w:val="1"/>
          <w:color w:val="auto"/>
        </w:rPr>
      </w:pPr>
    </w:p>
    <w:p>
      <w:pPr>
        <w:ind w:left="460" w:hanging="457"/>
        <w:spacing w:after="0"/>
        <w:tabs>
          <w:tab w:leader="none" w:pos="460"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b w:val="1"/>
          <w:bCs w:val="1"/>
          <w:color w:val="auto"/>
        </w:rPr>
      </w:pPr>
    </w:p>
    <w:p>
      <w:pPr>
        <w:jc w:val="both"/>
        <w:ind w:firstLine="622"/>
        <w:spacing w:after="0" w:line="252" w:lineRule="auto"/>
        <w:tabs>
          <w:tab w:leader="none" w:pos="1093"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 Benefits</w:t>
      </w:r>
      <w:r>
        <w:rPr>
          <w:rFonts w:ascii="Times New Roman" w:cs="Times New Roman" w:eastAsia="Times New Roman" w:hAnsi="Times New Roman"/>
          <w:sz w:val="21"/>
          <w:szCs w:val="21"/>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71" w:lineRule="exact"/>
        <w:rPr>
          <w:rFonts w:ascii="Times New Roman" w:cs="Times New Roman" w:eastAsia="Times New Roman" w:hAnsi="Times New Roman"/>
          <w:sz w:val="21"/>
          <w:szCs w:val="21"/>
          <w:color w:val="auto"/>
        </w:rPr>
      </w:pPr>
    </w:p>
    <w:p>
      <w:pPr>
        <w:ind w:firstLine="622"/>
        <w:spacing w:after="0" w:line="282" w:lineRule="auto"/>
        <w:tabs>
          <w:tab w:leader="none" w:pos="1117"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 to Continued Employment</w:t>
      </w:r>
      <w:r>
        <w:rPr>
          <w:rFonts w:ascii="Times New Roman" w:cs="Times New Roman" w:eastAsia="Times New Roman" w:hAnsi="Times New Roman"/>
          <w:sz w:val="21"/>
          <w:szCs w:val="21"/>
          <w:color w:val="auto"/>
        </w:rPr>
        <w:t>. Nothing in the Plan or this Agreement shall interfere with or limit in any way any right to terminate the Participant’s employment with the Company.</w:t>
      </w:r>
    </w:p>
    <w:p>
      <w:pPr>
        <w:spacing w:after="0" w:line="141" w:lineRule="exact"/>
        <w:rPr>
          <w:rFonts w:ascii="Times New Roman" w:cs="Times New Roman" w:eastAsia="Times New Roman" w:hAnsi="Times New Roman"/>
          <w:sz w:val="21"/>
          <w:szCs w:val="21"/>
          <w:color w:val="auto"/>
        </w:rPr>
      </w:pPr>
    </w:p>
    <w:p>
      <w:pPr>
        <w:jc w:val="both"/>
        <w:ind w:firstLine="622"/>
        <w:spacing w:after="0" w:line="256" w:lineRule="auto"/>
        <w:tabs>
          <w:tab w:leader="none" w:pos="1105"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The Committee shall have full power and discretion to construe and interpret the Plan (and any rules and regulations issued thereunder) and this Award. Any determination or interpretation by the Committee under or pursuant to the Plan or this Award shall be final and binding and conclusive on all Persons affected hereby.</w:t>
      </w:r>
    </w:p>
    <w:p>
      <w:pPr>
        <w:spacing w:after="0" w:line="168" w:lineRule="exact"/>
        <w:rPr>
          <w:sz w:val="20"/>
          <w:szCs w:val="20"/>
          <w:color w:val="auto"/>
        </w:rPr>
      </w:pPr>
    </w:p>
    <w:p>
      <w:pPr>
        <w:ind w:firstLine="622"/>
        <w:spacing w:after="0" w:line="282" w:lineRule="auto"/>
        <w:tabs>
          <w:tab w:leader="none" w:pos="1067"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This Agreement shall be governed by and construed in accordance with the law of the State of Delaware regardless of the application of rules of conflict of law that would apply the laws of any other jurisdiction.</w:t>
      </w:r>
    </w:p>
    <w:p>
      <w:pPr>
        <w:spacing w:after="0" w:line="141" w:lineRule="exact"/>
        <w:rPr>
          <w:rFonts w:ascii="Times New Roman" w:cs="Times New Roman" w:eastAsia="Times New Roman" w:hAnsi="Times New Roman"/>
          <w:sz w:val="21"/>
          <w:szCs w:val="21"/>
          <w:color w:val="auto"/>
        </w:rPr>
      </w:pPr>
    </w:p>
    <w:p>
      <w:pPr>
        <w:jc w:val="both"/>
        <w:ind w:firstLine="622"/>
        <w:spacing w:after="0" w:line="256" w:lineRule="auto"/>
        <w:tabs>
          <w:tab w:leader="none" w:pos="1083"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on Rights; No Right to Future Grants; Extraordinary Item of Compensation</w:t>
      </w:r>
      <w:r>
        <w:rPr>
          <w:rFonts w:ascii="Times New Roman" w:cs="Times New Roman" w:eastAsia="Times New Roman" w:hAnsi="Times New Roman"/>
          <w:sz w:val="21"/>
          <w:szCs w:val="21"/>
          <w:color w:val="auto"/>
        </w:rPr>
        <w:t>. By entering into this Agreement and accepting the RSUs evidenced hereby, the Participant acknowledges: (i) that the Plan is discretionary in nature and may be suspended or terminated by the Board at any time; (ii) that the Award does not create any contractual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5" w:right="339" w:bottom="1440" w:gutter="0" w:footer="0" w:header="0"/>
        </w:sectPr>
      </w:pPr>
    </w:p>
    <w:bookmarkStart w:id="162" w:name="page163"/>
    <w:bookmarkEnd w:id="162"/>
    <w:p>
      <w:pPr>
        <w:spacing w:after="0" w:line="269" w:lineRule="auto"/>
        <w:rPr>
          <w:sz w:val="20"/>
          <w:szCs w:val="20"/>
          <w:color w:val="auto"/>
        </w:rPr>
      </w:pPr>
      <w:r>
        <w:rPr>
          <w:rFonts w:ascii="Times New Roman" w:cs="Times New Roman" w:eastAsia="Times New Roman" w:hAnsi="Times New Roman"/>
          <w:sz w:val="21"/>
          <w:szCs w:val="21"/>
          <w:color w:val="auto"/>
        </w:rPr>
        <w:t>right to receive future grants of Awards; (iii) that participation in the Plan is voluntary; and (iv) that the future value of the Shares is unknown and cannot be predicted with certainty.</w:t>
      </w:r>
    </w:p>
    <w:p>
      <w:pPr>
        <w:spacing w:after="0" w:line="155" w:lineRule="exact"/>
        <w:rPr>
          <w:sz w:val="20"/>
          <w:szCs w:val="20"/>
          <w:color w:val="auto"/>
        </w:rPr>
      </w:pPr>
    </w:p>
    <w:p>
      <w:pPr>
        <w:ind w:left="1180" w:hanging="558"/>
        <w:spacing w:after="0"/>
        <w:tabs>
          <w:tab w:leader="none" w:pos="1180"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 Data Privacy</w:t>
      </w:r>
      <w:r>
        <w:rPr>
          <w:rFonts w:ascii="Times New Roman" w:cs="Times New Roman" w:eastAsia="Times New Roman" w:hAnsi="Times New Roman"/>
          <w:sz w:val="21"/>
          <w:szCs w:val="21"/>
          <w:color w:val="auto"/>
        </w:rPr>
        <w:t>. By entering into this Agreement and accepting the RSUs evidenced hereby, the Participant:</w:t>
      </w:r>
    </w:p>
    <w:p>
      <w:pPr>
        <w:spacing w:after="0" w:line="26" w:lineRule="exact"/>
        <w:rPr>
          <w:rFonts w:ascii="Times New Roman" w:cs="Times New Roman" w:eastAsia="Times New Roman" w:hAnsi="Times New Roman"/>
          <w:sz w:val="21"/>
          <w:szCs w:val="21"/>
          <w:color w:val="auto"/>
        </w:rPr>
      </w:pPr>
    </w:p>
    <w:p>
      <w:pPr>
        <w:jc w:val="both"/>
        <w:ind w:firstLine="3"/>
        <w:spacing w:after="0" w:line="265" w:lineRule="auto"/>
        <w:tabs>
          <w:tab w:leader="none" w:pos="25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authorizes the Company, the Participant’s employer, if different, and any agent of the Company administering the Plan or providing Plan recordkeeping services, to disclose to the Company or any of its affiliates any information and Data the Company requests in order to facilitate the grant of the Award and the administration of the Plan; (ii) waives any data privacy rights the Participant may have with respect to such information; and (iii) authorizes the Company and its agents to store and transmit such information in electronic form.</w:t>
      </w:r>
    </w:p>
    <w:p>
      <w:pPr>
        <w:spacing w:after="0" w:line="160" w:lineRule="exact"/>
        <w:rPr>
          <w:rFonts w:ascii="Times New Roman" w:cs="Times New Roman" w:eastAsia="Times New Roman" w:hAnsi="Times New Roman"/>
          <w:sz w:val="20"/>
          <w:szCs w:val="20"/>
          <w:color w:val="auto"/>
        </w:rPr>
      </w:pPr>
    </w:p>
    <w:p>
      <w:pPr>
        <w:jc w:val="both"/>
        <w:ind w:firstLine="622"/>
        <w:spacing w:after="0" w:line="256" w:lineRule="auto"/>
        <w:tabs>
          <w:tab w:leader="none" w:pos="1066"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 to Electronic Delivery</w:t>
      </w:r>
      <w:r>
        <w:rPr>
          <w:rFonts w:ascii="Times New Roman" w:cs="Times New Roman" w:eastAsia="Times New Roman" w:hAnsi="Times New Roman"/>
          <w:sz w:val="21"/>
          <w:szCs w:val="21"/>
          <w:color w:val="auto"/>
        </w:rPr>
        <w:t>. By entering into this Agreement and accepting the RSUs evidenced hereby, the Participant hereby consents to the delivery of information (including, without limitation, information required to be delivered to the Participant pursuant to applicable securities laws) regarding the Company and the Affiliates, the Plan, this Agreement and the RSUs via Company website, email or other electronic delivery.</w:t>
      </w:r>
    </w:p>
    <w:p>
      <w:pPr>
        <w:spacing w:after="0" w:line="168" w:lineRule="exact"/>
        <w:rPr>
          <w:rFonts w:ascii="Times New Roman" w:cs="Times New Roman" w:eastAsia="Times New Roman" w:hAnsi="Times New Roman"/>
          <w:sz w:val="21"/>
          <w:szCs w:val="21"/>
          <w:color w:val="auto"/>
        </w:rPr>
      </w:pPr>
    </w:p>
    <w:p>
      <w:pPr>
        <w:ind w:firstLine="622"/>
        <w:spacing w:after="0" w:line="269" w:lineRule="auto"/>
        <w:tabs>
          <w:tab w:leader="none" w:pos="1071"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 and Captions</w:t>
      </w:r>
      <w:r>
        <w:rPr>
          <w:rFonts w:ascii="Times New Roman" w:cs="Times New Roman" w:eastAsia="Times New Roman" w:hAnsi="Times New Roman"/>
          <w:sz w:val="21"/>
          <w:szCs w:val="21"/>
          <w:color w:val="auto"/>
        </w:rPr>
        <w:t>. The section and other headings contained in this Agreement are for reference purposes only and shall not affect the meaning or interpretation of this Agreement.</w:t>
      </w:r>
    </w:p>
    <w:p>
      <w:pPr>
        <w:spacing w:after="0" w:line="154" w:lineRule="exact"/>
        <w:rPr>
          <w:rFonts w:ascii="Times New Roman" w:cs="Times New Roman" w:eastAsia="Times New Roman" w:hAnsi="Times New Roman"/>
          <w:sz w:val="21"/>
          <w:szCs w:val="21"/>
          <w:color w:val="auto"/>
        </w:rPr>
      </w:pPr>
    </w:p>
    <w:p>
      <w:pPr>
        <w:ind w:firstLine="622"/>
        <w:spacing w:after="0" w:line="282" w:lineRule="auto"/>
        <w:tabs>
          <w:tab w:leader="none" w:pos="1084"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each of which shall be deemed to be an original and all of which together shall constitute one and the same instrument.</w:t>
      </w:r>
    </w:p>
    <w:p>
      <w:pPr>
        <w:spacing w:after="0" w:line="141" w:lineRule="exact"/>
        <w:rPr>
          <w:rFonts w:ascii="Times New Roman" w:cs="Times New Roman" w:eastAsia="Times New Roman" w:hAnsi="Times New Roman"/>
          <w:sz w:val="21"/>
          <w:szCs w:val="21"/>
          <w:color w:val="auto"/>
        </w:rPr>
      </w:pPr>
    </w:p>
    <w:p>
      <w:pPr>
        <w:jc w:val="both"/>
        <w:ind w:firstLine="622"/>
        <w:spacing w:after="0" w:line="256" w:lineRule="auto"/>
        <w:tabs>
          <w:tab w:leader="none" w:pos="1117"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The RSUs subject to this Agreement shall be subject to clawback or recoupment, as mandated by applicable law, rules or regulations or as approved by the Board or Committee or by any policy adopted by the Company and approved by the Board as in effect from time to time.</w:t>
      </w:r>
    </w:p>
    <w:p>
      <w:pPr>
        <w:spacing w:after="0" w:line="168" w:lineRule="exact"/>
        <w:rPr>
          <w:rFonts w:ascii="Times New Roman" w:cs="Times New Roman" w:eastAsia="Times New Roman" w:hAnsi="Times New Roman"/>
          <w:sz w:val="21"/>
          <w:szCs w:val="21"/>
          <w:color w:val="auto"/>
        </w:rPr>
      </w:pPr>
    </w:p>
    <w:p>
      <w:pPr>
        <w:jc w:val="both"/>
        <w:ind w:firstLine="622"/>
        <w:spacing w:after="0" w:line="249" w:lineRule="auto"/>
        <w:tabs>
          <w:tab w:leader="none" w:pos="1174"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 of RSUs and Agreement</w:t>
      </w:r>
      <w:r>
        <w:rPr>
          <w:rFonts w:ascii="Times New Roman" w:cs="Times New Roman" w:eastAsia="Times New Roman" w:hAnsi="Times New Roman"/>
          <w:sz w:val="21"/>
          <w:szCs w:val="21"/>
          <w:color w:val="auto"/>
        </w:rPr>
        <w:t>. By signing below, the Participant has indicated the Participant’s consent and acknowledgement of the terms of this Agreement. The Participant acknowledges receipt of the Plan, represents to the Company that the Participant has read and understood this Agreement and the Plan, and, as an express condition to the grant of the RSUs under this Agreement, agrees to be bound by the terms of this Agreement and the Plan. The Participant and the Company each agrees and acknowledges that the use of electronic media (including, without limitation, a clickthrough button or checkbox on a website of the Company or a third-party administrator) to indicate the Participant’s confirmation, consent, signature, agreement and delivery of this Agreement and the RSUs is legally valid and has the same legal force and effect as if the Participant and the Company signed and executed this Agreement in paper form. The same use of electronic media may be used for any amendment or waiver of this Agreement.</w:t>
      </w:r>
    </w:p>
    <w:p>
      <w:pPr>
        <w:spacing w:after="0" w:line="178" w:lineRule="exact"/>
        <w:rPr>
          <w:sz w:val="20"/>
          <w:szCs w:val="20"/>
          <w:color w:val="auto"/>
        </w:rPr>
      </w:pPr>
    </w:p>
    <w:p>
      <w:pPr>
        <w:spacing w:after="0"/>
        <w:tabs>
          <w:tab w:leader="none" w:pos="2400" w:val="left"/>
        </w:tabs>
        <w:rPr>
          <w:sz w:val="20"/>
          <w:szCs w:val="20"/>
          <w:color w:val="auto"/>
        </w:rPr>
      </w:pPr>
      <w:r>
        <w:rPr>
          <w:rFonts w:ascii="Times New Roman" w:cs="Times New Roman" w:eastAsia="Times New Roman" w:hAnsi="Times New Roman"/>
          <w:sz w:val="21"/>
          <w:szCs w:val="21"/>
          <w:b w:val="1"/>
          <w:bCs w:val="1"/>
          <w:color w:val="auto"/>
        </w:rPr>
        <w:t>PARTICIPANT</w:t>
      </w:r>
      <w:r>
        <w:rPr>
          <w:sz w:val="20"/>
          <w:szCs w:val="20"/>
          <w:color w:val="auto"/>
        </w:rPr>
        <w:tab/>
      </w:r>
      <w:r>
        <w:rPr>
          <w:rFonts w:ascii="Times New Roman" w:cs="Times New Roman" w:eastAsia="Times New Roman" w:hAnsi="Times New Roman"/>
          <w:sz w:val="21"/>
          <w:szCs w:val="21"/>
          <w:b w:val="1"/>
          <w:bCs w:val="1"/>
          <w:color w:val="auto"/>
        </w:rPr>
        <w:t>MICROVAST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5" w:right="339" w:bottom="1440" w:gutter="0" w:footer="0" w:header="0"/>
        </w:sectPr>
      </w:pPr>
    </w:p>
    <w:bookmarkStart w:id="163" w:name="page164"/>
    <w:bookmarkEnd w:id="163"/>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__________________________</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__________________________</w:t>
      </w:r>
    </w:p>
    <w:p>
      <w:pPr>
        <w:spacing w:after="0" w:line="200" w:lineRule="exact"/>
        <w:rPr>
          <w:sz w:val="20"/>
          <w:szCs w:val="20"/>
          <w:color w:val="auto"/>
        </w:rPr>
      </w:pPr>
    </w:p>
    <w:p>
      <w:pPr>
        <w:sectPr>
          <w:pgSz w:w="11900" w:h="16838" w:orient="portrait"/>
          <w:cols w:equalWidth="0" w:num="2">
            <w:col w:w="3640" w:space="420"/>
            <w:col w:w="6079"/>
          </w:cols>
          <w:pgMar w:left="320" w:top="1440" w:right="1440"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Printed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Printed Name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ectPr>
          <w:pgSz w:w="11900" w:h="16838" w:orient="portrait"/>
          <w:cols w:equalWidth="0" w:num="2">
            <w:col w:w="1600" w:space="720"/>
            <w:col w:w="7819"/>
          </w:cols>
          <w:pgMar w:left="320" w:top="1440" w:right="1440" w:bottom="1440" w:gutter="0" w:footer="0" w:header="0"/>
          <w:type w:val="continuous"/>
        </w:sectPr>
      </w:pPr>
    </w:p>
    <w:p>
      <w:pPr>
        <w:spacing w:after="0" w:line="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w:t>
      </w:r>
    </w:p>
    <w:p>
      <w:pPr>
        <w:sectPr>
          <w:pgSz w:w="11900" w:h="16838" w:orient="portrait"/>
          <w:cols w:equalWidth="0" w:num="1">
            <w:col w:w="1013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139"/>
          </w:cols>
          <w:pgMar w:left="320" w:top="1440" w:right="1440" w:bottom="1440" w:gutter="0" w:footer="0" w:header="0"/>
          <w:type w:val="continuous"/>
        </w:sectPr>
      </w:pPr>
    </w:p>
    <w:bookmarkStart w:id="164" w:name="page165"/>
    <w:bookmarkEnd w:id="164"/>
    <w:p>
      <w:pPr>
        <w:ind w:left="10080"/>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DIRECTOR AND OFFICER INDEMNIFICATION AGREEMENT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This Director and Officer Indemnification Agreement, dated as of [_____]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by and between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Microvast Holdings,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[_____]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188" w:lineRule="exact"/>
        <w:rPr>
          <w:sz w:val="20"/>
          <w:szCs w:val="20"/>
          <w:color w:val="auto"/>
        </w:rPr>
      </w:pPr>
    </w:p>
    <w:p>
      <w:pPr>
        <w:ind w:left="80" w:firstLine="619"/>
        <w:spacing w:after="0" w:line="235" w:lineRule="auto"/>
        <w:tabs>
          <w:tab w:leader="none" w:pos="1235"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141 of the Delaware General Corporation Law provides that the business and affairs of a corporation shall be managed by or under the direction of its board of directors.</w:t>
      </w:r>
    </w:p>
    <w:p>
      <w:pPr>
        <w:spacing w:after="0" w:line="145" w:lineRule="exact"/>
        <w:rPr>
          <w:rFonts w:ascii="Times New Roman" w:cs="Times New Roman" w:eastAsia="Times New Roman" w:hAnsi="Times New Roman"/>
          <w:sz w:val="21"/>
          <w:szCs w:val="21"/>
          <w:color w:val="auto"/>
        </w:rPr>
      </w:pPr>
    </w:p>
    <w:p>
      <w:pPr>
        <w:ind w:left="80" w:firstLine="619"/>
        <w:spacing w:after="0" w:line="235" w:lineRule="auto"/>
        <w:tabs>
          <w:tab w:leader="none" w:pos="123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Sections 141 and 142 of the Delaware General Corporation Law, significant authority with respect to the management of the Company has been delegated to the officers of the Company.</w:t>
      </w:r>
    </w:p>
    <w:p>
      <w:pPr>
        <w:spacing w:after="0" w:line="145" w:lineRule="exact"/>
        <w:rPr>
          <w:rFonts w:ascii="Times New Roman" w:cs="Times New Roman" w:eastAsia="Times New Roman" w:hAnsi="Times New Roman"/>
          <w:sz w:val="21"/>
          <w:szCs w:val="21"/>
          <w:color w:val="auto"/>
        </w:rPr>
      </w:pPr>
    </w:p>
    <w:p>
      <w:pPr>
        <w:ind w:left="80" w:firstLine="619"/>
        <w:spacing w:after="0" w:line="235" w:lineRule="auto"/>
        <w:tabs>
          <w:tab w:leader="none" w:pos="123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virtue of the managerial prerogatives vested in the directors and officers of a Delaware corporation, directors and officers act as fiduciaries of the corporation and its stockholders.</w:t>
      </w:r>
    </w:p>
    <w:p>
      <w:pPr>
        <w:spacing w:after="0" w:line="145" w:lineRule="exact"/>
        <w:rPr>
          <w:rFonts w:ascii="Times New Roman" w:cs="Times New Roman" w:eastAsia="Times New Roman" w:hAnsi="Times New Roman"/>
          <w:sz w:val="21"/>
          <w:szCs w:val="21"/>
          <w:color w:val="auto"/>
        </w:rPr>
      </w:pPr>
    </w:p>
    <w:p>
      <w:pPr>
        <w:ind w:left="80" w:firstLine="619"/>
        <w:spacing w:after="0" w:line="235" w:lineRule="auto"/>
        <w:tabs>
          <w:tab w:leader="none" w:pos="1235"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Thus, it is critically important to the Company and its stockholders that the Company be able to attract and retain the most capable persons reasonably available to serve as directors and officers of the Company.</w:t>
      </w:r>
    </w:p>
    <w:p>
      <w:pPr>
        <w:spacing w:after="0" w:line="145" w:lineRule="exact"/>
        <w:rPr>
          <w:rFonts w:ascii="Times New Roman" w:cs="Times New Roman" w:eastAsia="Times New Roman" w:hAnsi="Times New Roman"/>
          <w:sz w:val="21"/>
          <w:szCs w:val="21"/>
          <w:color w:val="auto"/>
        </w:rPr>
      </w:pPr>
    </w:p>
    <w:p>
      <w:pPr>
        <w:jc w:val="both"/>
        <w:ind w:left="80" w:firstLine="619"/>
        <w:spacing w:after="0" w:line="225" w:lineRule="auto"/>
        <w:tabs>
          <w:tab w:leader="none" w:pos="1237"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recognition of the need for corporations to be able to induce capable and responsible persons to accept positions in corporate management, Delaware law authorizes (and in some instances requires) corporations to indemnify their directors and officers, and further authorizes corporations to purchase and maintain insurance for the benefit of their directors and officers.</w:t>
      </w:r>
    </w:p>
    <w:p>
      <w:pPr>
        <w:spacing w:after="0" w:line="145" w:lineRule="exact"/>
        <w:rPr>
          <w:rFonts w:ascii="Times New Roman" w:cs="Times New Roman" w:eastAsia="Times New Roman" w:hAnsi="Times New Roman"/>
          <w:sz w:val="21"/>
          <w:szCs w:val="21"/>
          <w:color w:val="auto"/>
        </w:rPr>
      </w:pPr>
    </w:p>
    <w:p>
      <w:pPr>
        <w:jc w:val="both"/>
        <w:ind w:left="80" w:firstLine="619"/>
        <w:spacing w:after="0" w:line="220" w:lineRule="auto"/>
        <w:tabs>
          <w:tab w:leader="none" w:pos="122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Delaware courts have recognized that indemnification by a corporation serves the dual policies of (1) allowing corporate officials to resist unjustified lawsuits, secure in the knowledge that, if vindicated, the corporation will bear the expense of litigation and (2) encouraging capable women and men to serve as corporate directors and officers, secure in the knowledge that the corporation will absorb the costs of defending their honesty and integrity.</w:t>
      </w:r>
    </w:p>
    <w:p>
      <w:pPr>
        <w:spacing w:after="0" w:line="145" w:lineRule="exact"/>
        <w:rPr>
          <w:rFonts w:ascii="Times New Roman" w:cs="Times New Roman" w:eastAsia="Times New Roman" w:hAnsi="Times New Roman"/>
          <w:sz w:val="21"/>
          <w:szCs w:val="21"/>
          <w:color w:val="auto"/>
        </w:rPr>
      </w:pPr>
    </w:p>
    <w:p>
      <w:pPr>
        <w:jc w:val="both"/>
        <w:ind w:left="80" w:firstLine="619"/>
        <w:spacing w:after="0" w:line="220" w:lineRule="auto"/>
        <w:tabs>
          <w:tab w:leader="none" w:pos="1235"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lawsuits challenging the judgment and actions of directors and officers of Delaware corporations, the costs of defending those lawsuits, and the threat to directors’ and officers’ personal assets have all materially increased over the past several years, chilling the willingness of capable women and men to undertake the responsibilities imposed on corporate directors and officers.</w:t>
      </w:r>
    </w:p>
    <w:p>
      <w:pPr>
        <w:spacing w:after="0" w:line="145" w:lineRule="exact"/>
        <w:rPr>
          <w:rFonts w:ascii="Times New Roman" w:cs="Times New Roman" w:eastAsia="Times New Roman" w:hAnsi="Times New Roman"/>
          <w:sz w:val="21"/>
          <w:szCs w:val="21"/>
          <w:color w:val="auto"/>
        </w:rPr>
      </w:pPr>
    </w:p>
    <w:p>
      <w:pPr>
        <w:jc w:val="both"/>
        <w:ind w:left="80" w:firstLine="619"/>
        <w:spacing w:after="0" w:line="225" w:lineRule="auto"/>
        <w:tabs>
          <w:tab w:leader="none" w:pos="1235"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Federal legislation and rules adopted by the Securities and Exchange Commission and the national securities exchanges have imposed additional disclosure and corporate governance obligations on directors and officers of public companies and have exposed such directors and officers to new and substantially broadened civil liabilities.</w:t>
      </w:r>
    </w:p>
    <w:p>
      <w:pPr>
        <w:spacing w:after="0" w:line="145" w:lineRule="exact"/>
        <w:rPr>
          <w:rFonts w:ascii="Times New Roman" w:cs="Times New Roman" w:eastAsia="Times New Roman" w:hAnsi="Times New Roman"/>
          <w:sz w:val="21"/>
          <w:szCs w:val="21"/>
          <w:color w:val="auto"/>
        </w:rPr>
      </w:pPr>
    </w:p>
    <w:p>
      <w:pPr>
        <w:ind w:left="80" w:firstLine="619"/>
        <w:spacing w:after="0" w:line="235" w:lineRule="auto"/>
        <w:tabs>
          <w:tab w:leader="none" w:pos="123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legislative and regulatory initiatives have also exposed directors and officers of public companies to a significantly greater risk of criminal proceedings, with attendant defense costs and potential criminal fines and penalties.</w:t>
      </w:r>
    </w:p>
    <w:p>
      <w:pPr>
        <w:spacing w:after="0" w:line="145" w:lineRule="exact"/>
        <w:rPr>
          <w:rFonts w:ascii="Times New Roman" w:cs="Times New Roman" w:eastAsia="Times New Roman" w:hAnsi="Times New Roman"/>
          <w:sz w:val="21"/>
          <w:szCs w:val="21"/>
          <w:color w:val="auto"/>
        </w:rPr>
      </w:pPr>
    </w:p>
    <w:p>
      <w:pPr>
        <w:jc w:val="both"/>
        <w:ind w:left="80" w:firstLine="619"/>
        <w:spacing w:after="0" w:line="225" w:lineRule="auto"/>
        <w:tabs>
          <w:tab w:leader="none" w:pos="123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Delaware law, a director’s or officer’s right to be reimbursed for the costs of defense of criminal actions, whether such claims are asserted under state or federal law, does not depend upon the merits of the claims asserted against the director or officer and is separate</w:t>
      </w:r>
    </w:p>
    <w:p>
      <w:pPr>
        <w:sectPr>
          <w:pgSz w:w="11900" w:h="16838" w:orient="portrait"/>
          <w:cols w:equalWidth="0" w:num="1">
            <w:col w:w="11240"/>
          </w:cols>
          <w:pgMar w:left="320" w:top="123" w:right="339" w:bottom="1440" w:gutter="0" w:footer="0" w:header="0"/>
        </w:sectPr>
      </w:pPr>
    </w:p>
    <w:bookmarkStart w:id="165" w:name="page166"/>
    <w:bookmarkEnd w:id="165"/>
    <w:p>
      <w:pPr>
        <w:ind w:left="80"/>
        <w:spacing w:after="0" w:line="235" w:lineRule="auto"/>
        <w:rPr>
          <w:sz w:val="20"/>
          <w:szCs w:val="20"/>
          <w:color w:val="auto"/>
        </w:rPr>
      </w:pPr>
      <w:r>
        <w:rPr>
          <w:rFonts w:ascii="Times New Roman" w:cs="Times New Roman" w:eastAsia="Times New Roman" w:hAnsi="Times New Roman"/>
          <w:sz w:val="21"/>
          <w:szCs w:val="21"/>
          <w:color w:val="auto"/>
        </w:rPr>
        <w:t>and distinct from any right to indemnification the director or officer may be able to establish, and indemnification of the director or officer against criminal fines and penalties is permitted if the director or officer satisfies the applicable standard of conduct.</w:t>
      </w:r>
    </w:p>
    <w:p>
      <w:pPr>
        <w:spacing w:after="0" w:line="146" w:lineRule="exact"/>
        <w:rPr>
          <w:sz w:val="20"/>
          <w:szCs w:val="20"/>
          <w:color w:val="auto"/>
        </w:rPr>
      </w:pPr>
    </w:p>
    <w:p>
      <w:pPr>
        <w:jc w:val="both"/>
        <w:ind w:left="80" w:firstLine="619"/>
        <w:spacing w:after="0" w:line="225" w:lineRule="auto"/>
        <w:tabs>
          <w:tab w:leader="none" w:pos="123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Indemnitee is a director or officer of the Company and his or her willingness to serve in such capacity is predicated, in substantial part, upon the Company’s willingness to indemnify him or her in accordance with the principles reflected above, to the fullest extent permitted by the laws of the state of Delaware, and upon the other undertakings set forth in this Agreement.</w:t>
      </w:r>
    </w:p>
    <w:p>
      <w:pPr>
        <w:spacing w:after="0" w:line="145" w:lineRule="exact"/>
        <w:rPr>
          <w:rFonts w:ascii="Times New Roman" w:cs="Times New Roman" w:eastAsia="Times New Roman" w:hAnsi="Times New Roman"/>
          <w:sz w:val="21"/>
          <w:szCs w:val="21"/>
          <w:color w:val="auto"/>
        </w:rPr>
      </w:pPr>
    </w:p>
    <w:p>
      <w:pPr>
        <w:jc w:val="both"/>
        <w:ind w:left="80" w:firstLine="619"/>
        <w:spacing w:after="0" w:line="212" w:lineRule="auto"/>
        <w:tabs>
          <w:tab w:leader="none" w:pos="123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Therefore, in recognition of the need to provide Indemnitee with substantial protection against personal liability, in order to procure Indemnitee’s continued service as a director or officer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Times New Roman" w:cs="Times New Roman" w:eastAsia="Times New Roman" w:hAnsi="Times New Roman"/>
          <w:sz w:val="21"/>
          <w:szCs w:val="21"/>
          <w:u w:val="single" w:color="auto"/>
          <w:color w:val="auto"/>
        </w:rPr>
        <w:t>Constituent Documents</w:t>
      </w:r>
      <w:r>
        <w:rPr>
          <w:rFonts w:ascii="Times New Roman" w:cs="Times New Roman" w:eastAsia="Times New Roman" w:hAnsi="Times New Roman"/>
          <w:sz w:val="21"/>
          <w:szCs w:val="21"/>
          <w:color w:val="auto"/>
        </w:rPr>
        <w:t>”), any change in the composition of the Company’s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xml:space="preserve">”) or any change-in-control or business combination transaction relating to the Company), the Company wishes to provide in this Agreement for the indemnification of and the advancement of Expenses (as defined in </w:t>
      </w:r>
      <w:r>
        <w:rPr>
          <w:rFonts w:ascii="Times New Roman" w:cs="Times New Roman" w:eastAsia="Times New Roman" w:hAnsi="Times New Roman"/>
          <w:sz w:val="21"/>
          <w:szCs w:val="21"/>
          <w:u w:val="single" w:color="auto"/>
          <w:color w:val="auto"/>
        </w:rPr>
        <w:t>Section 1(f)</w:t>
      </w:r>
      <w:r>
        <w:rPr>
          <w:rFonts w:ascii="Times New Roman" w:cs="Times New Roman" w:eastAsia="Times New Roman" w:hAnsi="Times New Roman"/>
          <w:sz w:val="21"/>
          <w:szCs w:val="21"/>
          <w:color w:val="auto"/>
        </w:rPr>
        <w:t>) to Indemnitee as set forth in this Agreement and for the continued coverage of Indemnitee under the Company’s directors’ and officers’ liability insurance policies.</w:t>
      </w:r>
    </w:p>
    <w:p>
      <w:pPr>
        <w:spacing w:after="0" w:line="149" w:lineRule="exact"/>
        <w:rPr>
          <w:rFonts w:ascii="Times New Roman" w:cs="Times New Roman" w:eastAsia="Times New Roman" w:hAnsi="Times New Roman"/>
          <w:sz w:val="21"/>
          <w:szCs w:val="21"/>
          <w:color w:val="auto"/>
        </w:rPr>
      </w:pPr>
    </w:p>
    <w:p>
      <w:pPr>
        <w:jc w:val="both"/>
        <w:ind w:left="80" w:firstLine="619"/>
        <w:spacing w:after="0" w:line="225" w:lineRule="auto"/>
        <w:tabs>
          <w:tab w:leader="none" w:pos="123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light of the considerations referred to in the preceding recitals, it is the Company’s intention and desire that the provisions of this Agreement be construed liberally, subject to their express terms, to maximize the protections to be provided to Indemnitee hereunder.</w:t>
      </w:r>
    </w:p>
    <w:p>
      <w:pPr>
        <w:spacing w:after="0" w:line="16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NOW, THEREFORE, the parties hereby agree as follows:</w:t>
      </w:r>
    </w:p>
    <w:p>
      <w:pPr>
        <w:spacing w:after="0" w:line="184" w:lineRule="exact"/>
        <w:rPr>
          <w:sz w:val="20"/>
          <w:szCs w:val="20"/>
          <w:color w:val="auto"/>
        </w:rPr>
      </w:pPr>
    </w:p>
    <w:p>
      <w:pPr>
        <w:ind w:firstLine="622"/>
        <w:spacing w:after="0" w:line="215" w:lineRule="auto"/>
        <w:tabs>
          <w:tab w:leader="none" w:pos="123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Definitions</w:t>
      </w:r>
      <w:r>
        <w:rPr>
          <w:rFonts w:ascii="Times New Roman" w:cs="Times New Roman" w:eastAsia="Times New Roman" w:hAnsi="Times New Roman"/>
          <w:sz w:val="21"/>
          <w:szCs w:val="21"/>
          <w:color w:val="auto"/>
        </w:rPr>
        <w:t>. In addition to terms defined elsewhere herein, the following terms have the following meanings when used in this Agreement with initial capital letters:</w:t>
      </w:r>
    </w:p>
    <w:p>
      <w:pPr>
        <w:spacing w:after="0" w:line="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left="620" w:firstLine="1240"/>
        <w:spacing w:after="0" w:line="217" w:lineRule="auto"/>
        <w:tabs>
          <w:tab w:leader="none" w:pos="2465"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following the date hereof by any individual, entity or group (a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including any “person” within the meaning of Section 13(d)(3) or 14(d)(2)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of beneficial ownership (within the meaning of Rule 13d-3 promulgated under the Exchange Act) of 20% or more of either (A) the then outstanding shares of common stock of the Company (the “</w:t>
      </w:r>
      <w:r>
        <w:rPr>
          <w:rFonts w:ascii="Times New Roman" w:cs="Times New Roman" w:eastAsia="Times New Roman" w:hAnsi="Times New Roman"/>
          <w:sz w:val="20"/>
          <w:szCs w:val="20"/>
          <w:u w:val="single" w:color="auto"/>
          <w:color w:val="auto"/>
        </w:rPr>
        <w:t>Outstanding Common Stock</w:t>
      </w:r>
      <w:r>
        <w:rPr>
          <w:rFonts w:ascii="Times New Roman" w:cs="Times New Roman" w:eastAsia="Times New Roman" w:hAnsi="Times New Roman"/>
          <w:sz w:val="20"/>
          <w:szCs w:val="20"/>
          <w:color w:val="auto"/>
        </w:rPr>
        <w:t>”) or (B) the combined voting power of the then outstanding securities of the Company entitled to vote generally in the election of directors (the “</w:t>
      </w:r>
      <w:r>
        <w:rPr>
          <w:rFonts w:ascii="Times New Roman" w:cs="Times New Roman" w:eastAsia="Times New Roman" w:hAnsi="Times New Roman"/>
          <w:sz w:val="20"/>
          <w:szCs w:val="20"/>
          <w:u w:val="single" w:color="auto"/>
          <w:color w:val="auto"/>
        </w:rPr>
        <w:t>Outstanding Voting Securities</w:t>
      </w:r>
      <w:r>
        <w:rPr>
          <w:rFonts w:ascii="Times New Roman" w:cs="Times New Roman" w:eastAsia="Times New Roman" w:hAnsi="Times New Roman"/>
          <w:sz w:val="20"/>
          <w:szCs w:val="20"/>
          <w:color w:val="auto"/>
        </w:rPr>
        <w:t>”); excluding, however, the following: (1) any acquisition directly from the Company (excluding any acquisition resulting from the exercise of an exercise, conversion or exchange privilege unless the security being so exercised, converted or exchanged was acquired directly from the Company), (2) any acquisition by the Company, (3) any acquisition by an employee benefit plan (or related trust) sponsored or maintained by the Company or any corporation controlled by the Company, or (4) any acquisition by any corporation pursuant to a transaction which complies with clauses (A),</w:t>
      </w:r>
    </w:p>
    <w:p>
      <w:pPr>
        <w:spacing w:after="0" w:line="5" w:lineRule="exact"/>
        <w:rPr>
          <w:rFonts w:ascii="Times New Roman" w:cs="Times New Roman" w:eastAsia="Times New Roman" w:hAnsi="Times New Roman"/>
          <w:sz w:val="20"/>
          <w:szCs w:val="20"/>
          <w:color w:val="auto"/>
        </w:rPr>
      </w:pPr>
    </w:p>
    <w:p>
      <w:pPr>
        <w:ind w:left="620"/>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(B) and (C) of subsection (iii) of this </w:t>
      </w:r>
      <w:r>
        <w:rPr>
          <w:rFonts w:ascii="Times New Roman" w:cs="Times New Roman" w:eastAsia="Times New Roman" w:hAnsi="Times New Roman"/>
          <w:sz w:val="21"/>
          <w:szCs w:val="21"/>
          <w:u w:val="single" w:color="auto"/>
          <w:color w:val="auto"/>
        </w:rPr>
        <w:t>Section 1(a)</w:t>
      </w:r>
      <w:r>
        <w:rPr>
          <w:rFonts w:ascii="Times New Roman" w:cs="Times New Roman" w:eastAsia="Times New Roman" w:hAnsi="Times New Roman"/>
          <w:sz w:val="21"/>
          <w:szCs w:val="21"/>
          <w:color w:val="auto"/>
        </w:rPr>
        <w:t>; provided further, that for purposes of clause (2), if any person (other than the Company or any employee benefit plan (or related trust) sponsored or maintained by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39" w:right="339" w:bottom="1440" w:gutter="0" w:footer="0" w:header="0"/>
        </w:sectPr>
      </w:pPr>
    </w:p>
    <w:bookmarkStart w:id="166" w:name="page167"/>
    <w:bookmarkEnd w:id="166"/>
    <w:p>
      <w:pPr>
        <w:jc w:val="both"/>
        <w:ind w:left="620"/>
        <w:spacing w:after="0" w:line="217" w:lineRule="auto"/>
        <w:rPr>
          <w:sz w:val="20"/>
          <w:szCs w:val="20"/>
          <w:color w:val="auto"/>
        </w:rPr>
      </w:pPr>
      <w:r>
        <w:rPr>
          <w:rFonts w:ascii="Times New Roman" w:cs="Times New Roman" w:eastAsia="Times New Roman" w:hAnsi="Times New Roman"/>
          <w:sz w:val="21"/>
          <w:szCs w:val="21"/>
          <w:color w:val="auto"/>
        </w:rPr>
        <w:t>corporation controlled by the Company) shall become the beneficial owner of 20% or more of the Outstanding Common Stock or 20% or more of the Outstanding Voting Securities by reason of an acquisition by the Company, and such person shall, after such acquisition by the Company, become the beneficial owner of any additional shares of the Outstanding Common Stock or any additional Outstanding Voting Securities and such beneficial ownership is publicly announced, such additional beneficial ownership shall constitute a Change in Control; or</w:t>
      </w:r>
    </w:p>
    <w:p>
      <w:pPr>
        <w:spacing w:after="0" w:line="146" w:lineRule="exact"/>
        <w:rPr>
          <w:sz w:val="20"/>
          <w:szCs w:val="20"/>
          <w:color w:val="auto"/>
        </w:rPr>
      </w:pPr>
    </w:p>
    <w:p>
      <w:pPr>
        <w:ind w:left="2480" w:hanging="620"/>
        <w:spacing w:after="0"/>
        <w:tabs>
          <w:tab w:leader="none" w:pos="248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cessation of Incumbent Directors to comprise at least a majority of the Board; or</w:t>
      </w:r>
    </w:p>
    <w:p>
      <w:pPr>
        <w:spacing w:after="0" w:line="171" w:lineRule="exact"/>
        <w:rPr>
          <w:rFonts w:ascii="Times New Roman" w:cs="Times New Roman" w:eastAsia="Times New Roman" w:hAnsi="Times New Roman"/>
          <w:sz w:val="21"/>
          <w:szCs w:val="21"/>
          <w:color w:val="auto"/>
        </w:rPr>
      </w:pPr>
    </w:p>
    <w:p>
      <w:pPr>
        <w:jc w:val="both"/>
        <w:ind w:left="620" w:firstLine="1240"/>
        <w:spacing w:after="0" w:line="208" w:lineRule="auto"/>
        <w:tabs>
          <w:tab w:leader="none" w:pos="2476"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reorganization, merger or consolidation or sale or other disposition of all or substantially all of the assets of the Company (a “</w:t>
      </w:r>
      <w:r>
        <w:rPr>
          <w:rFonts w:ascii="Times New Roman" w:cs="Times New Roman" w:eastAsia="Times New Roman" w:hAnsi="Times New Roman"/>
          <w:sz w:val="21"/>
          <w:szCs w:val="21"/>
          <w:u w:val="single" w:color="auto"/>
          <w:color w:val="auto"/>
        </w:rPr>
        <w:t>Corporate Transaction</w:t>
      </w:r>
      <w:r>
        <w:rPr>
          <w:rFonts w:ascii="Times New Roman" w:cs="Times New Roman" w:eastAsia="Times New Roman" w:hAnsi="Times New Roman"/>
          <w:sz w:val="21"/>
          <w:szCs w:val="21"/>
          <w:color w:val="auto"/>
        </w:rPr>
        <w:t>”); excluding, however, a Corporate Transaction pursuant to which (A) all or substantially all of the individuals or entities who are the beneficial owners, respectively, of the Outstanding Common Stock and the Outstanding Voting Securities immediately prior to such Corporate Transaction will beneficially own, directly or indirectly, more than 50% of, respectively, the outstanding shares of common stock, and the combined voting power of the outstanding securities entitled to vote generally in the election of directors, as the case may be, of the corporation resulting from such Corporate Transaction (including, without limitation, a corporation which as a result of such transaction owns, directly or indirectly, the Company or all or substantially all of the Company’s assets) in substantially the same proportions relative to each other as their ownership, immediately prior to such Corporate Transaction, of the Outstanding Common Stock and the Outstanding Voting Securities, as the case may be, (B) no person (other than: the Company; any employee benefit plan (or related trust) sponsored or maintained by the Company or any corporation controlled by the Company; the corporation resulting from such Corporate Transaction; and any person which beneficially owned, immediately prior to such Corporate Transaction, directly or indirectly, 20% or more of the Outstanding Common Stock or the Outstanding Voting Securities, as the case may be) will beneficially own, directly or indirectly, 20% or more of, respectively, the outstanding shares of common stock of the corporation resulting from such Corporate Transaction or the combined voting power of the outstanding securities of such corporation entitled to vote generally in the election of directors and (C) Incumbent Directors will constitute at least a majority of the members of the board of directors of the corporation resulting from such Corporate Transaction; or</w:t>
      </w:r>
    </w:p>
    <w:p>
      <w:pPr>
        <w:spacing w:after="0" w:line="152"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plan of complete liquidation or dissolution of the Company.</w:t>
      </w:r>
    </w:p>
    <w:p>
      <w:pPr>
        <w:spacing w:after="0" w:line="171"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Claim</w:t>
      </w:r>
      <w:r>
        <w:rPr>
          <w:rFonts w:ascii="Times New Roman" w:cs="Times New Roman" w:eastAsia="Times New Roman" w:hAnsi="Times New Roman"/>
          <w:sz w:val="21"/>
          <w:szCs w:val="21"/>
          <w:color w:val="auto"/>
        </w:rPr>
        <w:t>” means (i) any threatened, asserted, pending or completed claim, demand, arbitration, action, suit or proceeding, whether civil, criminal, administrative, arbitrative, investigative or other, including any appeal therefrom, and whether made pursuant to federal, state or other law; and (ii) any threatened, pending or completed inquiry or investigation, whether made, instituted or conducted by the Company or any other person, including any federal, state or other governmental entity, that Indemnitee determines might lead to the institution of any such claim, demand, action, suit or proceeding.</w:t>
      </w:r>
    </w:p>
    <w:p>
      <w:pPr>
        <w:spacing w:after="0" w:line="145"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Controlled Affiliate</w:t>
      </w:r>
      <w:r>
        <w:rPr>
          <w:rFonts w:ascii="Times New Roman" w:cs="Times New Roman" w:eastAsia="Times New Roman" w:hAnsi="Times New Roman"/>
          <w:sz w:val="21"/>
          <w:szCs w:val="21"/>
          <w:color w:val="auto"/>
        </w:rPr>
        <w:t>” means any corporation, limited liability company, partnership, joint venture, trust or other entity or enterprise, whether or not for profit, that is directly or indirectly controlled by the Company. For purposes of this definition, “control” means the possession, directly or indirectly, of the power to direct or cause the direction of the management or policies of an entity or enterprise, whether through the ownership of voting securities, through other voting rights, by contract or otherwise; provided that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39" w:right="339" w:bottom="1440" w:gutter="0" w:footer="0" w:header="0"/>
        </w:sectPr>
      </w:pPr>
    </w:p>
    <w:bookmarkStart w:id="167" w:name="page168"/>
    <w:bookmarkEnd w:id="167"/>
    <w:p>
      <w:pPr>
        <w:jc w:val="both"/>
        <w:spacing w:after="0" w:line="225" w:lineRule="auto"/>
        <w:rPr>
          <w:sz w:val="20"/>
          <w:szCs w:val="20"/>
          <w:color w:val="auto"/>
        </w:rPr>
      </w:pPr>
      <w:r>
        <w:rPr>
          <w:rFonts w:ascii="Times New Roman" w:cs="Times New Roman" w:eastAsia="Times New Roman" w:hAnsi="Times New Roman"/>
          <w:sz w:val="21"/>
          <w:szCs w:val="21"/>
          <w:color w:val="auto"/>
        </w:rPr>
        <w:t>beneficial ownership of capital stock or other interests in an entity or enterprise entitling the holder to cast 20% or more of the total number of votes generally entitled to be cast in the election of directors (or persons performing comparable functions) of such entity or enterprise shall be deemed to constitute control for purposes of this definition.</w:t>
      </w:r>
    </w:p>
    <w:p>
      <w:pPr>
        <w:spacing w:after="0" w:line="146" w:lineRule="exact"/>
        <w:rPr>
          <w:sz w:val="20"/>
          <w:szCs w:val="20"/>
          <w:color w:val="auto"/>
        </w:rPr>
      </w:pPr>
    </w:p>
    <w:p>
      <w:pPr>
        <w:ind w:firstLine="1241"/>
        <w:spacing w:after="0" w:line="235" w:lineRule="auto"/>
        <w:tabs>
          <w:tab w:leader="none" w:pos="185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Disinterested Director</w:t>
      </w:r>
      <w:r>
        <w:rPr>
          <w:rFonts w:ascii="Times New Roman" w:cs="Times New Roman" w:eastAsia="Times New Roman" w:hAnsi="Times New Roman"/>
          <w:sz w:val="21"/>
          <w:szCs w:val="21"/>
          <w:color w:val="auto"/>
        </w:rPr>
        <w:t>” means a director of the Company who is not and was not a party to the Claim in respect of which indemnification is sought by Indemnitee.</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Losses</w:t>
      </w:r>
      <w:r>
        <w:rPr>
          <w:rFonts w:ascii="Times New Roman" w:cs="Times New Roman" w:eastAsia="Times New Roman" w:hAnsi="Times New Roman"/>
          <w:sz w:val="21"/>
          <w:szCs w:val="21"/>
          <w:color w:val="auto"/>
        </w:rPr>
        <w:t>” means any taxes, penalties or other liabilities under the Employee Retirement Income Security Act of 1974, as amended, or Section 4975 of the Internal Revenue Code of 1986, as amended.</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means attorneys’ and experts’ reasonable fees and expenses and all other reasonable costs and expenses paid or payable in connection with investigating, defending, being a witness in or participating in (including on appeal), or preparing to investigate, defend, be a witness in or participate in (including on appeal), any Claim.</w:t>
      </w:r>
    </w:p>
    <w:p>
      <w:pPr>
        <w:spacing w:after="0" w:line="145"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Incumbent Directors</w:t>
      </w:r>
      <w:r>
        <w:rPr>
          <w:rFonts w:ascii="Times New Roman" w:cs="Times New Roman" w:eastAsia="Times New Roman" w:hAnsi="Times New Roman"/>
          <w:sz w:val="21"/>
          <w:szCs w:val="21"/>
          <w:color w:val="auto"/>
        </w:rPr>
        <w:t>” means the individuals who, as of the date hereof, are directors of the Company and any individual becoming a director subsequent to the date hereof whose election, nomination for election by the Company’s stockholders, or appointment, was approved in accordance with the terms of the Constituent Documents; provided, however,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145" w:lineRule="exact"/>
        <w:rPr>
          <w:rFonts w:ascii="Times New Roman" w:cs="Times New Roman" w:eastAsia="Times New Roman" w:hAnsi="Times New Roman"/>
          <w:sz w:val="21"/>
          <w:szCs w:val="21"/>
          <w:color w:val="auto"/>
        </w:rPr>
      </w:pPr>
    </w:p>
    <w:p>
      <w:pPr>
        <w:jc w:val="both"/>
        <w:ind w:firstLine="1241"/>
        <w:spacing w:after="0" w:line="218" w:lineRule="auto"/>
        <w:tabs>
          <w:tab w:leader="none" w:pos="185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Indemnifiable Claim</w:t>
      </w:r>
      <w:r>
        <w:rPr>
          <w:rFonts w:ascii="Times New Roman" w:cs="Times New Roman" w:eastAsia="Times New Roman" w:hAnsi="Times New Roman"/>
          <w:sz w:val="20"/>
          <w:szCs w:val="20"/>
          <w:color w:val="auto"/>
        </w:rPr>
        <w:t>” means any Claim based upon, arising out of or resulting from (i) any actual, alleged or suspected act or failure to act by Indemnitee in his or her capacity as a director, officer, employee or agent of the Company or as a director, officer, employee, member, manager, trustee or agent of any other corporation, limited liability company, partnership, joint venture, trust or other entity or enterprise, whether or not for profit (including any employee benefit plan or related trust), as to which Indemnitee is or was serving at the request of the Company as a director, officer, employee, member, manager, trustee or agent, (ii) any actual, alleged or suspected act or failure to act by Indemnitee in respect of any business, transaction, communication, filing, disclosure or other activity of the Company or any other entity or enterprise referred to in clause (i) of this sentence, or (iii) Indemnitee’s status as a current or former director, officer, employee or agent of the Company or as a current or former director, officer, employee, member, manager, trustee or agent of any other entity or enterprise referred to in clause (i) of this sentence or any actual, alleged or suspected act or failure to act by Indemnitee in connection with any obligation or restriction imposed upon Indemnitee by reason of such status. In addition to any service at the actual request of the Company, for purposes of this Agreement, Indemnitee shall be deemed to be serving or to have served at the request of the Company as a director, officer, employee, member, manager, trustee or agent of another entity or enterprise if Indemnitee is or was serving as a director, officer, employee, member, manager, trustee or agent of such entity or enterprise and (x) such entity or enterprise is or at the time of such service was a Controlled Affiliate, (y) such entity or enterprise is or at the time of such service was an employee benefit plan (or related trust) sponsored or maintained by the Company or a Controlled Affiliate, or (z) the Company or a Controlled Affiliate directly or indirectly caused or authorized Indemnitee to be nominated, elected, appointed, designated, employed, engaged or selected to serve in such capacity. Notwithstanding any provision in this Agreement to the contrary, an Indemnifiable Claim shall not include, and the Company shall not be obligated under this Agreement to indemnify, defend and hold harmless Indemnitee, or advance any Expenses to Indemnitee, in connection with any Claim (or any part of any Claim) initiated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39" w:right="339" w:bottom="1440" w:gutter="0" w:footer="0" w:header="0"/>
        </w:sectPr>
      </w:pPr>
    </w:p>
    <w:bookmarkStart w:id="168" w:name="page169"/>
    <w:bookmarkEnd w:id="168"/>
    <w:p>
      <w:pPr>
        <w:jc w:val="both"/>
        <w:spacing w:after="0" w:line="208" w:lineRule="auto"/>
        <w:rPr>
          <w:sz w:val="20"/>
          <w:szCs w:val="20"/>
          <w:color w:val="auto"/>
        </w:rPr>
      </w:pPr>
      <w:r>
        <w:rPr>
          <w:rFonts w:ascii="Times New Roman" w:cs="Times New Roman" w:eastAsia="Times New Roman" w:hAnsi="Times New Roman"/>
          <w:sz w:val="21"/>
          <w:szCs w:val="21"/>
          <w:color w:val="auto"/>
        </w:rPr>
        <w:t>by Indemnitee against the Company or any of its Controlled Affiliates, or any of their respective directors, officers, employees, agents or other indemnitees, and likewise the Company shall not be obligated to indemnify, defend and hold harmless Indemnitee, or advance any Expenses to Indemnitee, in connection with the defense of any counterclaims asserted by the Company or any of its Controlled Affiliates in response to any Claim (or any part of any Claim) initiated by Indemnitee, whether compulsory or permissive, unless (A) the Company’s Board of Directors, in its sole discretion, has expressly authorized indemnification or advancement of Expenses (as applicable) for Indemnitee in connection with such Claim or counterclaim pursuant to the powers vested in the Company under applicable law or (B) the Company has joined in or consented to the initiation of such Claim by Indemnitee. Furthermore, and notwithstanding any provision in this Agreement to the contrary, an Indemnifiable Claim shall also not include, and the Company shall not be obligated under this Agreement to indemnify, defend and hold harmless Indemnitee, or advance any Expenses to Indemnitee, in connection with any Claim (or any part of any Claim): (1) for an accounting or disgorgement of profits pursuant to Section 16(b) of the Exchange Act or similar provisions of federal, state or local statutory law or common law, if Indemnitee is held liable therefor (including pursuant to any settlement arrangements); (2) for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cs="Times New Roman" w:eastAsia="Times New Roman" w:hAnsi="Times New Roman"/>
          <w:sz w:val="21"/>
          <w:szCs w:val="21"/>
          <w:b w:val="1"/>
          <w:bCs w:val="1"/>
          <w:i w:val="1"/>
          <w:iCs w:val="1"/>
          <w:color w:val="auto"/>
        </w:rPr>
        <w:t>Sarbanes-Oxley Act</w:t>
      </w:r>
      <w:r>
        <w:rPr>
          <w:rFonts w:ascii="Times New Roman" w:cs="Times New Roman" w:eastAsia="Times New Roman" w:hAnsi="Times New Roman"/>
          <w:sz w:val="21"/>
          <w:szCs w:val="21"/>
          <w:color w:val="auto"/>
        </w:rPr>
        <w:t>”); or (3) for the payment to the Company of profits arising from the purchase and sale by Indemnitee of securities in violation of Section 306 of the Sarbanes-Oxley Act), if Indemnitee is held liable therefor (including pursuant to any settlement arrangement).</w:t>
      </w:r>
    </w:p>
    <w:p>
      <w:pPr>
        <w:spacing w:after="0" w:line="155" w:lineRule="exact"/>
        <w:rPr>
          <w:sz w:val="20"/>
          <w:szCs w:val="20"/>
          <w:color w:val="auto"/>
        </w:rPr>
      </w:pPr>
    </w:p>
    <w:p>
      <w:pPr>
        <w:ind w:firstLine="1241"/>
        <w:spacing w:after="0" w:line="235" w:lineRule="auto"/>
        <w:tabs>
          <w:tab w:leader="none" w:pos="184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Indemnifiable Losses</w:t>
      </w:r>
      <w:r>
        <w:rPr>
          <w:rFonts w:ascii="Times New Roman" w:cs="Times New Roman" w:eastAsia="Times New Roman" w:hAnsi="Times New Roman"/>
          <w:sz w:val="21"/>
          <w:szCs w:val="21"/>
          <w:color w:val="auto"/>
        </w:rPr>
        <w:t xml:space="preserve">” means any and all Losses relating to, arising out of or resulting from any Indemnifiable Claim, subject to the provisions and exclusions of </w:t>
      </w:r>
      <w:r>
        <w:rPr>
          <w:rFonts w:ascii="Times New Roman" w:cs="Times New Roman" w:eastAsia="Times New Roman" w:hAnsi="Times New Roman"/>
          <w:sz w:val="21"/>
          <w:szCs w:val="21"/>
          <w:u w:val="single" w:color="auto"/>
          <w:color w:val="auto"/>
        </w:rPr>
        <w:t>Section 1(h)</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41"/>
        <w:spacing w:after="0" w:line="212" w:lineRule="auto"/>
        <w:tabs>
          <w:tab w:leader="none" w:pos="184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Counsel</w:t>
      </w:r>
      <w:r>
        <w:rPr>
          <w:rFonts w:ascii="Times New Roman" w:cs="Times New Roman" w:eastAsia="Times New Roman" w:hAnsi="Times New Roman"/>
          <w:sz w:val="21"/>
          <w:szCs w:val="21"/>
          <w:color w:val="auto"/>
        </w:rPr>
        <w:t>” means a law firm, or a member of a law firm, that is experienced in matters of corporation law and neither presently is, nor in the past five years has been, retained to represent (i) the Company (or any Subsidiary) or Indemnitee in any matter material to either such party (other than with respect to matters concerning Indemnitee under this Agreement, or of other indemnitees under similar indemnification agreements) or (ii) any other named (or, as to a threatened matter, reasonably likely to be named) party to the Indemnifiable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49"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means any and all Expenses, damages, losses, liabilities, judgments, fines, penalties (whether civil, criminal or other), ERISA Losses and amounts paid in settlement, including all interest, assessments and other charges paid or payable in connection with or in respect of any of the foregoing.</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4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 Obligations</w:t>
      </w:r>
      <w:r>
        <w:rPr>
          <w:rFonts w:ascii="Times New Roman" w:cs="Times New Roman" w:eastAsia="Times New Roman" w:hAnsi="Times New Roman"/>
          <w:sz w:val="21"/>
          <w:szCs w:val="21"/>
          <w:color w:val="auto"/>
        </w:rPr>
        <w:t>” means, collectively, all indemnification obligations, advancements of expenses, legal fees and expenses and other payment obligations of the Company under and pursuant to this Agreement.</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4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an entity in which the Company directly or indirectly beneficially owns 50% or more of the outstanding Voting Stock.</w:t>
      </w:r>
    </w:p>
    <w:p>
      <w:pPr>
        <w:spacing w:after="0" w:line="132"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Voting Stock</w:t>
      </w:r>
      <w:r>
        <w:rPr>
          <w:rFonts w:ascii="Times New Roman" w:cs="Times New Roman" w:eastAsia="Times New Roman" w:hAnsi="Times New Roman"/>
          <w:sz w:val="21"/>
          <w:szCs w:val="21"/>
          <w:color w:val="auto"/>
        </w:rPr>
        <w:t>” means securities entitled to vote generally in the election of directors (or similar governing</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39" w:right="339" w:bottom="1440" w:gutter="0" w:footer="0" w:header="0"/>
        </w:sectPr>
      </w:pPr>
    </w:p>
    <w:bookmarkStart w:id="169" w:name="page170"/>
    <w:bookmarkEnd w:id="169"/>
    <w:p>
      <w:pPr>
        <w:jc w:val="both"/>
        <w:ind w:firstLine="622"/>
        <w:spacing w:after="0" w:line="213" w:lineRule="auto"/>
        <w:tabs>
          <w:tab w:leader="none" w:pos="123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Obligation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the Company shall indemnify, defend and hold harmless Indemnitee, to the fullest extent permitted or required by the laws of the State of Delaware in effect on the date hereof or as such laws may from time to time hereafter be amended to increase the scope of such permitted or required indemnification, against any and all Indemnifiable Claims and Indemnifiable Losses (subject to the provisions and exclusions of </w:t>
      </w:r>
      <w:r>
        <w:rPr>
          <w:rFonts w:ascii="Times New Roman" w:cs="Times New Roman" w:eastAsia="Times New Roman" w:hAnsi="Times New Roman"/>
          <w:sz w:val="21"/>
          <w:szCs w:val="21"/>
          <w:u w:val="single" w:color="auto"/>
          <w:color w:val="auto"/>
        </w:rPr>
        <w:t>Section 1(h</w:t>
      </w:r>
      <w:r>
        <w:rPr>
          <w:rFonts w:ascii="Times New Roman" w:cs="Times New Roman" w:eastAsia="Times New Roman" w:hAnsi="Times New Roman"/>
          <w:sz w:val="21"/>
          <w:szCs w:val="21"/>
          <w:b w:val="1"/>
          <w:bCs w:val="1"/>
          <w:u w:val="single" w:color="auto"/>
          <w:color w:val="auto"/>
        </w:rPr>
        <w: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except as provided in </w:t>
      </w:r>
      <w:r>
        <w:rPr>
          <w:rFonts w:ascii="Times New Roman" w:cs="Times New Roman" w:eastAsia="Times New Roman" w:hAnsi="Times New Roman"/>
          <w:sz w:val="21"/>
          <w:szCs w:val="21"/>
          <w:u w:val="single" w:color="auto"/>
          <w:color w:val="auto"/>
        </w:rPr>
        <w:t>Sections 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 repeal or amendment of any law of the State of Delaware shall in any way diminish or adversely affect the rights of Indemnitee pursuant to this Agreement in respect of any occurrence or matter arising prior to any such repeal or amendment.</w:t>
      </w:r>
    </w:p>
    <w:p>
      <w:pPr>
        <w:spacing w:after="0" w:line="149" w:lineRule="exact"/>
        <w:rPr>
          <w:rFonts w:ascii="Times New Roman" w:cs="Times New Roman" w:eastAsia="Times New Roman" w:hAnsi="Times New Roman"/>
          <w:sz w:val="21"/>
          <w:szCs w:val="21"/>
          <w:color w:val="auto"/>
        </w:rPr>
      </w:pPr>
    </w:p>
    <w:p>
      <w:pPr>
        <w:jc w:val="both"/>
        <w:ind w:firstLine="622"/>
        <w:spacing w:after="0" w:line="208" w:lineRule="auto"/>
        <w:tabs>
          <w:tab w:leader="none" w:pos="123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Advancement of Expenses</w:t>
      </w:r>
      <w:r>
        <w:rPr>
          <w:rFonts w:ascii="Times New Roman" w:cs="Times New Roman" w:eastAsia="Times New Roman" w:hAnsi="Times New Roman"/>
          <w:sz w:val="21"/>
          <w:szCs w:val="21"/>
          <w:color w:val="auto"/>
        </w:rPr>
        <w:t xml:space="preserve">. Indemnitee shall have the right to advancement by the Company prior to the final disposition of any Indemnifiable Claim of any and all Expenses relating to, arising out of or resulting from any Indemnifiable Claim paid or incurred by Indemnitee or which Indemnitee determines are reasonably likely to be paid or incurred by Indemnitee. Indemnitee’s right to such advancement is not subject to the satisfaction of any standard of conduct and is not conditioned upon any prior determination that Indemnitee is entitled to indemnification under this Agreement with respect to the Indemnifiable Claim or the absence of any prior determination to the contrary. Without limiting the generality or effect of the foregoing, within 20 days after any request by Indemnitee, the Company shall, in accordance with such request (but without duplication), (a) pay such Expenses on behalf of Indemnitee, (b) advance to Indemnitee funds in an amount sufficient to pay such Expenses, or (c) reimburse Indemnitee for such Expenses;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Indemnitee shall repay without interest any amounts actually advanced to Indemnitee that, at the final disposition of the Indemnifiable Claim to which the advance related, were in excess of amounts paid or payable by Indemnitee in respect of Expenses relating to, arising out of or resulting from such Indemnifiable Claim. In connection with any such payment, advancement or reimbursement, if delivery of an undertaking is a legally required condition precedent to such payment, advance or reimbursement, Indemnitee shall execute and deliver to the Company an undertaking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(subject to Indemnitee filling in the blanks therein and selecting from among the bracketed alternatives therein), which need not be secured and shall be accepted without reference to Indemnitee’s ability to repay the Expenses. In no event shall Indemnitee’s right to the payment, advancement, or reimbursement of Expenses pursuant to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be conditioned upon any undertaking that is less favorable to Indemnitee than, or that is in addition to, the undertaking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jc w:val="both"/>
        <w:ind w:firstLine="622"/>
        <w:spacing w:after="0" w:line="210" w:lineRule="auto"/>
        <w:tabs>
          <w:tab w:leader="none" w:pos="123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for Additional Expenses</w:t>
      </w:r>
      <w:r>
        <w:rPr>
          <w:rFonts w:ascii="Times New Roman" w:cs="Times New Roman" w:eastAsia="Times New Roman" w:hAnsi="Times New Roman"/>
          <w:sz w:val="21"/>
          <w:szCs w:val="21"/>
          <w:color w:val="auto"/>
        </w:rPr>
        <w:t>. Without limiting the generality or effect of the foregoing, the Company shall indemnify and hold harmless Indemnitee against and, if requested by Indemnitee, shall reimburse Indemnitee for, or advance to Indemnitee, within 20 days of such request, any and all Expenses paid or incurred by Indemnitee or which Indemnitee determines are reasonably likely to be paid or incurred by Indemnitee in connection with any Claim made, instituted or conducted by Indemnitee for</w:t>
      </w:r>
    </w:p>
    <w:p>
      <w:pPr>
        <w:spacing w:after="0" w:line="1" w:lineRule="exact"/>
        <w:rPr>
          <w:rFonts w:ascii="Times New Roman" w:cs="Times New Roman" w:eastAsia="Times New Roman" w:hAnsi="Times New Roman"/>
          <w:sz w:val="21"/>
          <w:szCs w:val="21"/>
          <w:color w:val="auto"/>
        </w:rPr>
      </w:pPr>
    </w:p>
    <w:p>
      <w:pPr>
        <w:jc w:val="both"/>
        <w:ind w:firstLine="3"/>
        <w:spacing w:after="0" w:line="211" w:lineRule="auto"/>
        <w:tabs>
          <w:tab w:leader="none" w:pos="29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indemnification or payment, advancement or reimbursement of Expenses by the Company under any provision of this Agreement, or under any other agreement or provision of the Constituent Documents now or hereafter in effect relating to Indemnifiable Claims, and/or (b) recovery under any directors’ and officers’ liability insurance policies maintained by the Company, regardless in each case of whether Indemnitee ultimately is determined to be entitled to such indemnification, reimbursement, advance or insurance recovery, as the case may be;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Indemnitee shall return, without interest, any such advance of Expenses (or portion thereof) which remains unspent at the final disposition of the Claim to which the advance related.</w:t>
      </w:r>
    </w:p>
    <w:p>
      <w:pPr>
        <w:spacing w:after="0" w:line="148"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8"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Contribution</w:t>
      </w:r>
      <w:r>
        <w:rPr>
          <w:rFonts w:ascii="Times New Roman" w:cs="Times New Roman" w:eastAsia="Times New Roman" w:hAnsi="Times New Roman"/>
          <w:sz w:val="21"/>
          <w:szCs w:val="21"/>
          <w:color w:val="auto"/>
        </w:rPr>
        <w:t>. To the fullest extent permissible under applicable law in effect on the date hereof or as such law may from time to time hereafter be amended to increase the scope of permitted or required indemnification, if the indemnification provided for in this Agreement is unavailable to Indemnitee for any reason whatsoever, the Company, in lieu of indemnifying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39" w:right="339" w:bottom="1440" w:gutter="0" w:footer="0" w:header="0"/>
        </w:sectPr>
      </w:pPr>
    </w:p>
    <w:bookmarkStart w:id="170" w:name="page171"/>
    <w:bookmarkEnd w:id="170"/>
    <w:p>
      <w:pPr>
        <w:jc w:val="both"/>
        <w:spacing w:after="0" w:line="213" w:lineRule="auto"/>
        <w:rPr>
          <w:sz w:val="20"/>
          <w:szCs w:val="20"/>
          <w:color w:val="auto"/>
        </w:rPr>
      </w:pPr>
      <w:r>
        <w:rPr>
          <w:rFonts w:ascii="Times New Roman" w:cs="Times New Roman" w:eastAsia="Times New Roman" w:hAnsi="Times New Roman"/>
          <w:sz w:val="21"/>
          <w:szCs w:val="21"/>
          <w:color w:val="auto"/>
        </w:rPr>
        <w:t xml:space="preserve">Indemnitee, shall contribute to the payment of any and all Indemnifiable Claims or Indemnifiable Losses, in such proportion as is fair and reasonable in light of all of the circumstances in order to reflect (i) the relative benefits received by the Company and Indemnitee as a result of the event(s) and/or transaction(s) giving cause to such Indemnifiable Claim or Indemnifiable Loss and/or (ii) the relative fault of the Company (and its other directors, officers, employees and agents) and Indemnitee in connection with such event(s) and/or transaction(s);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contribution shall not be required where it is determined, pursuant to a final disposition of such Indemnifiable Claim or Indemnifiable Loss in accordance with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that Indemnitee is not entitled to indemnification by the Company with respect to such Indemnifiable Claim or Indemnifiable Loss.</w:t>
      </w:r>
    </w:p>
    <w:p>
      <w:pPr>
        <w:spacing w:after="0" w:line="150" w:lineRule="exact"/>
        <w:rPr>
          <w:sz w:val="20"/>
          <w:szCs w:val="20"/>
          <w:color w:val="auto"/>
        </w:rPr>
      </w:pPr>
    </w:p>
    <w:p>
      <w:pPr>
        <w:jc w:val="both"/>
        <w:ind w:firstLine="622"/>
        <w:spacing w:after="0" w:line="225" w:lineRule="auto"/>
        <w:tabs>
          <w:tab w:leader="none" w:pos="123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Partial Indemnity</w:t>
      </w:r>
      <w:r>
        <w:rPr>
          <w:rFonts w:ascii="Times New Roman" w:cs="Times New Roman" w:eastAsia="Times New Roman" w:hAnsi="Times New Roman"/>
          <w:sz w:val="21"/>
          <w:szCs w:val="21"/>
          <w:color w:val="auto"/>
        </w:rPr>
        <w:t>. If Indemnitee is entitled under any provision of this Agreement to indemnification by the Company for some or a portion of any Indemnifiable Loss, but not for all of the total amount thereof, the Company shall nevertheless indemnify Indemnitee for the portion thereof to which Indemnitee is entitled.</w:t>
      </w:r>
    </w:p>
    <w:p>
      <w:pPr>
        <w:spacing w:after="0" w:line="145" w:lineRule="exact"/>
        <w:rPr>
          <w:rFonts w:ascii="Times New Roman" w:cs="Times New Roman" w:eastAsia="Times New Roman" w:hAnsi="Times New Roman"/>
          <w:sz w:val="21"/>
          <w:szCs w:val="21"/>
          <w:color w:val="auto"/>
        </w:rPr>
      </w:pPr>
    </w:p>
    <w:p>
      <w:pPr>
        <w:jc w:val="both"/>
        <w:ind w:firstLine="622"/>
        <w:spacing w:after="0" w:line="210" w:lineRule="auto"/>
        <w:tabs>
          <w:tab w:leader="none" w:pos="123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 for Notification</w:t>
      </w:r>
      <w:r>
        <w:rPr>
          <w:rFonts w:ascii="Times New Roman" w:cs="Times New Roman" w:eastAsia="Times New Roman" w:hAnsi="Times New Roman"/>
          <w:sz w:val="21"/>
          <w:szCs w:val="21"/>
          <w:color w:val="auto"/>
        </w:rPr>
        <w:t>. To obtain indemnification under this Agreement in respect of an Indemnifiable Claim or Indemnifiable Loss, Indemnitee shall submit to the Company a written request therefor, including a brief description (based upon information then available to Indemnitee) of such Indemnifiable Claim or Indemnifiable Loss. If, at the time of the receipt of such request, the Company has directors’ and officers’ liability insurance in effect under which coverage for such Indemnifiable Claim or Indemnifiable Loss is potentially available, the Company shall give prompt written notice of such Indemnifiable Claim or Indemnifiable Loss to the applicable insurers in accordance with the procedures set forth in the applicable policies. The Company shall provide to Indemnitee a copy of such notice delivered to the applicable insurers, and copies of all subsequent correspondence between the Company and such insurers regarding the Indemnifiable Claim or Indemnifiable Loss, in each case substantially concurrently with the delivery or receipt thereof by the Company. The failure by Indemnitee to timely notify the Company of any Indemnifiable Claim or Indemnifiable Loss shall not relieve the Company from any liability hereunder unless, and only to the extent that, the Company did not otherwise learn of such Indemnifiable Claim or Indemnifiable Loss and such failure results in forfeiture by the Company of substantial defenses, rights or insurance coverage.</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Determination of Right to Indemnification</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3"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Indemnitee shall have been successful on the merits or otherwise in defense of any Indemnifiable Claim or any portion thereof or in defense of any issue or matter therein, including dismissal without prejudice, Indemnitee shall be indemnified against Indemnifiable Losses relating to, arising out of or resulting from such Indemnifiable Claim in accordance with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and no Standard of Conduct Determination (as defined in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shall be required.</w:t>
      </w:r>
    </w:p>
    <w:p>
      <w:pPr>
        <w:spacing w:after="0" w:line="145" w:lineRule="exact"/>
        <w:rPr>
          <w:rFonts w:ascii="Times New Roman" w:cs="Times New Roman" w:eastAsia="Times New Roman" w:hAnsi="Times New Roman"/>
          <w:sz w:val="21"/>
          <w:szCs w:val="21"/>
          <w:color w:val="auto"/>
        </w:rPr>
      </w:pPr>
    </w:p>
    <w:p>
      <w:pPr>
        <w:jc w:val="both"/>
        <w:ind w:firstLine="1241"/>
        <w:spacing w:after="0" w:line="211" w:lineRule="auto"/>
        <w:tabs>
          <w:tab w:leader="none" w:pos="1852"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a Change in Control (other than a Change in Control approved by a majority of the Board (including a majority of Incumbent Directors)), the determination of whether Indemnitee has satisfied any applicable standard of conduct under Delaware law that is a legally required condition precedent to indemnification of Indemnitee hereunder shall be made by Independent Counsel, selected by the Board, subject to the consent of Indemnitee, which consent shall only be withheld if Independent Counsel selected by the Board does not meet the requirements set forth in the definition of “</w:t>
      </w:r>
      <w:r>
        <w:rPr>
          <w:rFonts w:ascii="Times New Roman" w:cs="Times New Roman" w:eastAsia="Times New Roman" w:hAnsi="Times New Roman"/>
          <w:sz w:val="21"/>
          <w:szCs w:val="21"/>
          <w:u w:val="single" w:color="auto"/>
          <w:color w:val="auto"/>
        </w:rPr>
        <w:t>Independent Counsel</w:t>
      </w:r>
      <w:r>
        <w:rPr>
          <w:rFonts w:ascii="Times New Roman" w:cs="Times New Roman" w:eastAsia="Times New Roman" w:hAnsi="Times New Roman"/>
          <w:sz w:val="21"/>
          <w:szCs w:val="21"/>
          <w:color w:val="auto"/>
        </w:rPr>
        <w:t>.” With respect to all matters arising from such a Change in Control concerning the rights of the Indemnitee to indemnity payments and Expense advances under this agreement or any other agreement or under applicable law or the Constituent Documents now or hereafter in effect relating to indemnification for purported Indemnifiable Claims, the Company shall seek legal advice only from Independent Counsel. Such counsel, among other things, shall render its written opinion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39"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1"/>
          <w:szCs w:val="21"/>
          <w:color w:val="auto"/>
        </w:rPr>
        <w:t>the Board and Indemnitee as to whether and to what extent the Indemnitee should be indemnified under applicable law.</w:t>
      </w:r>
    </w:p>
    <w:p>
      <w:pPr>
        <w:spacing w:after="0" w:line="171" w:lineRule="exact"/>
        <w:rPr>
          <w:sz w:val="20"/>
          <w:szCs w:val="20"/>
          <w:color w:val="auto"/>
        </w:rPr>
      </w:pPr>
    </w:p>
    <w:p>
      <w:pPr>
        <w:jc w:val="both"/>
        <w:ind w:firstLine="1241"/>
        <w:spacing w:after="0" w:line="209" w:lineRule="auto"/>
        <w:tabs>
          <w:tab w:leader="none" w:pos="185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the provisions of </w:t>
      </w:r>
      <w:r>
        <w:rPr>
          <w:rFonts w:ascii="Times New Roman" w:cs="Times New Roman" w:eastAsia="Times New Roman" w:hAnsi="Times New Roman"/>
          <w:sz w:val="21"/>
          <w:szCs w:val="21"/>
          <w:u w:val="single" w:color="auto"/>
          <w:color w:val="auto"/>
        </w:rPr>
        <w:t>Section 8(a)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8(b)</w:t>
      </w:r>
      <w:r>
        <w:rPr>
          <w:rFonts w:ascii="Times New Roman" w:cs="Times New Roman" w:eastAsia="Times New Roman" w:hAnsi="Times New Roman"/>
          <w:sz w:val="21"/>
          <w:szCs w:val="21"/>
          <w:color w:val="auto"/>
        </w:rPr>
        <w:t xml:space="preserve"> are inapplicable to an Indemnifiable Claim that shall have been finally disposed of, any determination of whether Indemnitee has satisfied any applicable standard of conduct under Delaware law that is a legally required condition precedent to indemnification of Indemnitee hereunder against Indemnifiable Losses relating to, arising out of or resulting from such Indemnifiable Claim (a “</w:t>
      </w:r>
      <w:r>
        <w:rPr>
          <w:rFonts w:ascii="Times New Roman" w:cs="Times New Roman" w:eastAsia="Times New Roman" w:hAnsi="Times New Roman"/>
          <w:sz w:val="21"/>
          <w:szCs w:val="21"/>
          <w:u w:val="single" w:color="auto"/>
          <w:color w:val="auto"/>
        </w:rPr>
        <w:t>Standard of Conduct Determination</w:t>
      </w:r>
      <w:r>
        <w:rPr>
          <w:rFonts w:ascii="Times New Roman" w:cs="Times New Roman" w:eastAsia="Times New Roman" w:hAnsi="Times New Roman"/>
          <w:sz w:val="21"/>
          <w:szCs w:val="21"/>
          <w:color w:val="auto"/>
        </w:rPr>
        <w:t>”) shall be made as follows: (i) by a majority vote of the Disinterested Directors, even if less than a quorum of the Board; (ii) if such Disinterested Directors so direct, by a majority vote of a committee of Disinterested Directors designated by a majority vote of all Disinterested Directors; or (iii) if there are no such Disinterested Directors or if Indemnitee so requests, by Independent Counsel selected by the Indemnitee and approved by the Board (such approval not to be unreasonably withheld, delayed or conditioned), in a written opinion addressed to the Board, a copy of which shall be delivered to Indemnitee. Indemnitee will cooperate with the person or persons making such Standard of Conduct Determination, including providing to such person or persons, upon reasonable advance request, any documentation or information which is not privileged or otherwise protected from disclosure and which is reasonably available to Indemnitee and reasonably necessary to such determination. The Company shall indemnify and hold harmless Indemnitee against and, if requested by Indemnitee, shall reimburse Indemnitee for, or advance to Indemnitee, within 20 days of such request, any and all costs and expenses (including Expenses) incurred by Indemnitee in so cooperating with the person or persons making such Standard of Conduct Determination.</w:t>
      </w:r>
    </w:p>
    <w:p>
      <w:pPr>
        <w:spacing w:after="0" w:line="145" w:lineRule="exact"/>
        <w:rPr>
          <w:rFonts w:ascii="Times New Roman" w:cs="Times New Roman" w:eastAsia="Times New Roman" w:hAnsi="Times New Roman"/>
          <w:sz w:val="21"/>
          <w:szCs w:val="21"/>
          <w:color w:val="auto"/>
        </w:rPr>
      </w:pPr>
    </w:p>
    <w:p>
      <w:pPr>
        <w:jc w:val="both"/>
        <w:ind w:firstLine="1241"/>
        <w:spacing w:after="0" w:line="211" w:lineRule="auto"/>
        <w:tabs>
          <w:tab w:leader="none" w:pos="1852"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use its reasonable best efforts to cause any Standard of Conduct Determination required under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xml:space="preserve"> to be made as promptly as practicable. If (i) the person or persons empowered or selected under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xml:space="preserve"> to make the Standard of Conduct Determination shall not have made a determination within 30 days after the later of (A) receipt by the Company of written notice from Indemnitee advising the Company of the final disposition of the applicable Indemnifiable Claim (the date of such receipt being the “</w:t>
      </w:r>
      <w:r>
        <w:rPr>
          <w:rFonts w:ascii="Times New Roman" w:cs="Times New Roman" w:eastAsia="Times New Roman" w:hAnsi="Times New Roman"/>
          <w:sz w:val="21"/>
          <w:szCs w:val="21"/>
          <w:u w:val="single" w:color="auto"/>
          <w:color w:val="auto"/>
        </w:rPr>
        <w:t>Notification Date</w:t>
      </w:r>
      <w:r>
        <w:rPr>
          <w:rFonts w:ascii="Times New Roman" w:cs="Times New Roman" w:eastAsia="Times New Roman" w:hAnsi="Times New Roman"/>
          <w:sz w:val="21"/>
          <w:szCs w:val="21"/>
          <w:color w:val="auto"/>
        </w:rPr>
        <w:t xml:space="preserve">”) and (B) the selection of an Independent Counsel, if such determination is to be made by Independent Counsel, and (ii) Indemnitee shall have fulfilled his or her obligations set forth in the second sentence of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xml:space="preserve">, then Indemnitee shall be deemed to have satisfied the applicable standard of conduct;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upon written notice to the Indemnitee such 30-day period may be extended for a reasonable time, not to exceed an additional 30 days, if the person or persons making such determination in good faith requires such additional time for the obtaining or evaluation or documentation and/or information relating thereto.</w:t>
      </w:r>
    </w:p>
    <w:p>
      <w:pPr>
        <w:spacing w:after="0" w:line="145" w:lineRule="exact"/>
        <w:rPr>
          <w:rFonts w:ascii="Times New Roman" w:cs="Times New Roman" w:eastAsia="Times New Roman" w:hAnsi="Times New Roman"/>
          <w:sz w:val="21"/>
          <w:szCs w:val="21"/>
          <w:color w:val="auto"/>
        </w:rPr>
      </w:pPr>
    </w:p>
    <w:p>
      <w:pPr>
        <w:jc w:val="both"/>
        <w:ind w:firstLine="1241"/>
        <w:spacing w:after="0" w:line="211" w:lineRule="auto"/>
        <w:tabs>
          <w:tab w:leader="none" w:pos="185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 Indemnitee shall be entitled to indemnification hereunder against any Indemnifiable Losses pursuant to </w:t>
      </w:r>
      <w:r>
        <w:rPr>
          <w:rFonts w:ascii="Times New Roman" w:cs="Times New Roman" w:eastAsia="Times New Roman" w:hAnsi="Times New Roman"/>
          <w:sz w:val="21"/>
          <w:szCs w:val="21"/>
          <w:u w:val="single" w:color="auto"/>
          <w:color w:val="auto"/>
        </w:rPr>
        <w:t>Section 8(a)</w:t>
      </w:r>
      <w:r>
        <w:rPr>
          <w:rFonts w:ascii="Times New Roman" w:cs="Times New Roman" w:eastAsia="Times New Roman" w:hAnsi="Times New Roman"/>
          <w:sz w:val="21"/>
          <w:szCs w:val="21"/>
          <w:color w:val="auto"/>
        </w:rPr>
        <w:t xml:space="preserve">, (ii) no determination of whether Indemnitee has satisfied any applicable standard of conduct under Delaware law is a legally required condition precedent to indemnification of Indemnitee hereunder against any Indemnifiable Losses, or (iii) Indemnitee has been determined or deemed pursuant to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to have satisfied any applicable standard of conduct under Delaware law which is a legally required condition precedent to indemnification of Indemnitee hereunder against any Indemnifiable Losses, then the Company shall pay to Indemnitee, within 20 days after the later of (x) the Notification Date in respect of the Indemnifiable Claim or portion thereof to which such Indemnifiable Losses are related, out of which such Indemnifiable Losses arose or from which such Indemnifiable Losses resulted, and (y) the earliest date on which the applicable criterion specified in clause (i), (ii) or (iii) above shall have been satisfied, an amount equal to the amount of such Indemnifiable Losses.</w:t>
      </w:r>
    </w:p>
    <w:p>
      <w:pPr>
        <w:spacing w:after="0" w:line="151"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Presumption of Entitlement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39" w:right="339" w:bottom="1440" w:gutter="0" w:footer="0" w:header="0"/>
        </w:sectPr>
      </w:pPr>
    </w:p>
    <w:bookmarkStart w:id="172" w:name="page173"/>
    <w:bookmarkEnd w:id="172"/>
    <w:p>
      <w:pPr>
        <w:jc w:val="both"/>
        <w:ind w:firstLine="1241"/>
        <w:spacing w:after="0" w:line="213" w:lineRule="auto"/>
        <w:tabs>
          <w:tab w:leader="none" w:pos="1853"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making any Standard of Conduct Determination, the person or persons making such determination shall presume that Indemnitee has satisfied the applicable standard of conduct, and the Company may overcome such presumption only by its adducing a preponderance of the evidence to the contrary. Any Standard of Conduct Determination that is adverse to Indemnitee may be challenged by Indemnitee in the Court of Chancery of the State of Delaware. No determination by the Company (including by its directors or any Independent Counsel) that Indemnitee has not satisfied any applicable standard of conduct shall be a defense to any Claim by Indemnitee for indemnification or reimbursement or advance payment of Expenses by the Company hereunder or create a presumption that Indemnitee has not met any applicable standard of conduct.</w:t>
      </w:r>
    </w:p>
    <w:p>
      <w:pPr>
        <w:spacing w:after="0" w:line="149" w:lineRule="exact"/>
        <w:rPr>
          <w:rFonts w:ascii="Times New Roman" w:cs="Times New Roman" w:eastAsia="Times New Roman" w:hAnsi="Times New Roman"/>
          <w:sz w:val="21"/>
          <w:szCs w:val="21"/>
          <w:color w:val="auto"/>
        </w:rPr>
      </w:pPr>
    </w:p>
    <w:p>
      <w:pPr>
        <w:jc w:val="both"/>
        <w:ind w:firstLine="1241"/>
        <w:spacing w:after="0" w:line="210" w:lineRule="auto"/>
        <w:tabs>
          <w:tab w:leader="none" w:pos="1852"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generality or effect of </w:t>
      </w:r>
      <w:r>
        <w:rPr>
          <w:rFonts w:ascii="Times New Roman" w:cs="Times New Roman" w:eastAsia="Times New Roman" w:hAnsi="Times New Roman"/>
          <w:sz w:val="21"/>
          <w:szCs w:val="21"/>
          <w:u w:val="single" w:color="auto"/>
          <w:color w:val="auto"/>
        </w:rPr>
        <w:t>Section 9(a)</w:t>
      </w:r>
      <w:r>
        <w:rPr>
          <w:rFonts w:ascii="Times New Roman" w:cs="Times New Roman" w:eastAsia="Times New Roman" w:hAnsi="Times New Roman"/>
          <w:sz w:val="21"/>
          <w:szCs w:val="21"/>
          <w:color w:val="auto"/>
        </w:rPr>
        <w:t>, (i) to the extent that any Indemnifiable Claim relates to any entity or enterprise referred to in clause (i) of the first sentence of the definition of “</w:t>
      </w:r>
      <w:r>
        <w:rPr>
          <w:rFonts w:ascii="Times New Roman" w:cs="Times New Roman" w:eastAsia="Times New Roman" w:hAnsi="Times New Roman"/>
          <w:sz w:val="21"/>
          <w:szCs w:val="21"/>
          <w:u w:val="single" w:color="auto"/>
          <w:color w:val="auto"/>
        </w:rPr>
        <w:t>Indemnifiable Claim</w:t>
      </w:r>
      <w:r>
        <w:rPr>
          <w:rFonts w:ascii="Times New Roman" w:cs="Times New Roman" w:eastAsia="Times New Roman" w:hAnsi="Times New Roman"/>
          <w:sz w:val="21"/>
          <w:szCs w:val="21"/>
          <w:color w:val="auto"/>
        </w:rPr>
        <w:t>,” Indemnitee shall be deemed to have satisfied the applicable standard of conduct if Indemnitee acted in good faith and in a manner Indemnitee reasonably believed to be in or not opposed to the interests of such entity or enterprise (or the owners or beneficiaries thereof, including in the case of any employee benefit plan the participants and beneficiaries thereof) and, with respect to any criminal action or proceeding, had no reasonable cause to believe that his or her conduct was unlawful, and (ii) in all cases, any belief of Indemnitee that is based on the records or books of account of the Company, including financial statements, or on information supplied to Indemnitee by the directors or officers of the Company in the course of their duties, or on the advice of legal counsel for the Company, its Board, any committee of the Board or any director, or on information or records given or reports made to the Company, its Board, any committee of the Board or any director by an independent certified public accountant or by an appraiser or other expert selected by or on behalf of the Company, its Board, any committee of the Board or any director shall be deemed to be reasonable.</w:t>
      </w:r>
    </w:p>
    <w:p>
      <w:pPr>
        <w:spacing w:after="0" w:line="150"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Adverse Presumption</w:t>
      </w:r>
      <w:r>
        <w:rPr>
          <w:rFonts w:ascii="Times New Roman" w:cs="Times New Roman" w:eastAsia="Times New Roman" w:hAnsi="Times New Roman"/>
          <w:sz w:val="21"/>
          <w:szCs w:val="21"/>
          <w:color w:val="auto"/>
        </w:rPr>
        <w:t xml:space="preserve">. For purposes of this Agreement, the termination of any Claim by judgment, order, settlement (whether with or without court approval) or conviction, or upon a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or its equivalent, will not create a presumption that Indemnitee did not meet any applicable standard of conduct or that indemnification hereunder is otherwise not permitted.</w:t>
      </w:r>
    </w:p>
    <w:p>
      <w:pPr>
        <w:spacing w:after="0" w:line="145" w:lineRule="exact"/>
        <w:rPr>
          <w:rFonts w:ascii="Times New Roman" w:cs="Times New Roman" w:eastAsia="Times New Roman" w:hAnsi="Times New Roman"/>
          <w:sz w:val="21"/>
          <w:szCs w:val="21"/>
          <w:color w:val="auto"/>
        </w:rPr>
      </w:pPr>
    </w:p>
    <w:p>
      <w:pPr>
        <w:jc w:val="both"/>
        <w:ind w:firstLine="622"/>
        <w:spacing w:after="0" w:line="221" w:lineRule="auto"/>
        <w:tabs>
          <w:tab w:leader="none" w:pos="123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Non-Exclusivity</w:t>
      </w:r>
      <w:r>
        <w:rPr>
          <w:rFonts w:ascii="Times New Roman" w:cs="Times New Roman" w:eastAsia="Times New Roman" w:hAnsi="Times New Roman"/>
          <w:sz w:val="20"/>
          <w:szCs w:val="20"/>
          <w:color w:val="auto"/>
        </w:rPr>
        <w:t>. The rights of Indemnitee hereunder will be in addition to any other rights Indemnitee may have under the Constituent Documents, or the substantive laws of the Company’s jurisdiction of incorporation, any other contract or otherwise (collectively, “</w:t>
      </w:r>
      <w:r>
        <w:rPr>
          <w:rFonts w:ascii="Times New Roman" w:cs="Times New Roman" w:eastAsia="Times New Roman" w:hAnsi="Times New Roman"/>
          <w:sz w:val="20"/>
          <w:szCs w:val="20"/>
          <w:u w:val="single" w:color="auto"/>
          <w:color w:val="auto"/>
        </w:rPr>
        <w:t>Other Indemnity Provisions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 to the extent that Indemnitee otherwise would have any greater right to indemnification under any Other Indemnity Provision, Indemnitee will be deemed to have such greater right hereunder and (b) to the extent that any change is made to any Other Indemnity Provision which permits any greater right to indemnification than that provided under this Agreement as of the date hereof, Indemnitee will be deemed to have such greater right hereunder. If the Indemnitee is entitled to indemnification under certain agreements containing indemnity provisions with another entity or protections under the organization documents of such other entity, the Company is still wholly liable for making any indemnification payments for all Indemnifiable Claims or Indemnifiable Losses notwithstanding the payment obligation of such amounts by a third party to the Indemnitee. The Company will not adopt any amendment to any of the Constituent Documents the effect of which would be to deny, diminish, or encumber Indemnitee’s right to indemnification under this Agreement or any Other Indemnity Provision.</w:t>
      </w:r>
    </w:p>
    <w:p>
      <w:pPr>
        <w:spacing w:after="0" w:line="145" w:lineRule="exact"/>
        <w:rPr>
          <w:rFonts w:ascii="Times New Roman" w:cs="Times New Roman" w:eastAsia="Times New Roman" w:hAnsi="Times New Roman"/>
          <w:sz w:val="20"/>
          <w:szCs w:val="20"/>
          <w:color w:val="auto"/>
        </w:rPr>
      </w:pPr>
    </w:p>
    <w:p>
      <w:pPr>
        <w:jc w:val="both"/>
        <w:ind w:firstLine="622"/>
        <w:spacing w:after="0" w:line="225" w:lineRule="auto"/>
        <w:tabs>
          <w:tab w:leader="none" w:pos="123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Liability Insurance and Funding</w:t>
      </w:r>
      <w:r>
        <w:rPr>
          <w:rFonts w:ascii="Times New Roman" w:cs="Times New Roman" w:eastAsia="Times New Roman" w:hAnsi="Times New Roman"/>
          <w:sz w:val="21"/>
          <w:szCs w:val="21"/>
          <w:color w:val="auto"/>
        </w:rPr>
        <w:t>. For the duration of Indemnitee’s service as a director and/or officer of the Company, and thereafter for so long as Indemnitee shall be subject to any pending or possible Indemnifiable Claim, the Company shall use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39" w:right="339" w:bottom="1440" w:gutter="0" w:footer="0" w:header="0"/>
        </w:sectPr>
      </w:pPr>
    </w:p>
    <w:bookmarkStart w:id="173" w:name="page174"/>
    <w:bookmarkEnd w:id="173"/>
    <w:p>
      <w:pPr>
        <w:jc w:val="both"/>
        <w:spacing w:after="0" w:line="219" w:lineRule="auto"/>
        <w:rPr>
          <w:sz w:val="20"/>
          <w:szCs w:val="20"/>
          <w:color w:val="auto"/>
        </w:rPr>
      </w:pPr>
      <w:r>
        <w:rPr>
          <w:rFonts w:ascii="Times New Roman" w:cs="Times New Roman" w:eastAsia="Times New Roman" w:hAnsi="Times New Roman"/>
          <w:sz w:val="20"/>
          <w:szCs w:val="20"/>
          <w:color w:val="auto"/>
        </w:rPr>
        <w:t>efforts (taking into account the scope and amount of coverage available relative to the cost thereof) to cause to be maintained in effect policies of directors’ and officers’ liability insurance providing coverage for directors and/or officers of the Company that is at least substantially comparable in scope and amount to that provided by the Company’s current policies of directors’ and officers’ liability insurance. The Company shall, upon request, provide Indemnitee with a copy of all directors’ and officers’ liability insurance applications, binders, policies, declarations, endorsements, and other related materials, and shall provide Indemnitee with a reasonable opportunity to review and comment on the same. Without limiting the generality or effect of the two immediately preceding sentences, the Company shall not discontinue or significantly reduce the scope or amount of coverage from one policy period to the next (a) without the prior approval thereof by a majority vote of the Incumbent Directors, even if less than a quorum, or (b) if at the time that any such discontinuation or significant reduction in the scope or amount of coverage is proposed there are no Incumbent Directors, without the prior written consent of Indemnitee. In all policies of directors’ and officers’ liability insurance obtained by the Company, Indemnitee shall be named as an insured in such a manner as to provide Indemnitee the same rights and benefits, subject to the same limitations, as are accorded to the Company’s directors and officers most favorably insured by such policy. The Company may, but shall not be required to, create a trust fund, grant a security interest, or use other means, including a letter of credit, to ensure the payment of such amounts as may be necessary to satisfy its obligations to indemnify and advance expenses pursuant to this Agreement.</w:t>
      </w:r>
    </w:p>
    <w:p>
      <w:pPr>
        <w:spacing w:after="0" w:line="156" w:lineRule="exact"/>
        <w:rPr>
          <w:sz w:val="20"/>
          <w:szCs w:val="20"/>
          <w:color w:val="auto"/>
        </w:rPr>
      </w:pPr>
    </w:p>
    <w:p>
      <w:pPr>
        <w:jc w:val="both"/>
        <w:ind w:firstLine="622"/>
        <w:spacing w:after="0" w:line="217" w:lineRule="auto"/>
        <w:tabs>
          <w:tab w:leader="none" w:pos="123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Subrogation</w:t>
      </w:r>
      <w:r>
        <w:rPr>
          <w:rFonts w:ascii="Times New Roman" w:cs="Times New Roman" w:eastAsia="Times New Roman" w:hAnsi="Times New Roman"/>
          <w:sz w:val="21"/>
          <w:szCs w:val="21"/>
          <w:color w:val="auto"/>
        </w:rPr>
        <w:t>. In the event of payment under this Agreement, the Company shall be subrogated to the extent of such payment to all of the related rights of recovery of Indemnitee against other persons or entities (other than Indemnitee’s successors), including any entity or enterprise referred to in clause (i) of the definition of “</w:t>
      </w:r>
      <w:r>
        <w:rPr>
          <w:rFonts w:ascii="Times New Roman" w:cs="Times New Roman" w:eastAsia="Times New Roman" w:hAnsi="Times New Roman"/>
          <w:sz w:val="21"/>
          <w:szCs w:val="21"/>
          <w:u w:val="single" w:color="auto"/>
          <w:color w:val="auto"/>
        </w:rPr>
        <w:t>Indemnifiable Claim</w:t>
      </w:r>
      <w:r>
        <w:rPr>
          <w:rFonts w:ascii="Times New Roman" w:cs="Times New Roman" w:eastAsia="Times New Roman" w:hAnsi="Times New Roman"/>
          <w:sz w:val="21"/>
          <w:szCs w:val="21"/>
          <w:color w:val="auto"/>
        </w:rPr>
        <w:t xml:space="preserve">” in </w:t>
      </w:r>
      <w:r>
        <w:rPr>
          <w:rFonts w:ascii="Times New Roman" w:cs="Times New Roman" w:eastAsia="Times New Roman" w:hAnsi="Times New Roman"/>
          <w:sz w:val="21"/>
          <w:szCs w:val="21"/>
          <w:u w:val="single" w:color="auto"/>
          <w:color w:val="auto"/>
        </w:rPr>
        <w:t>Section 1(h)</w:t>
      </w:r>
      <w:r>
        <w:rPr>
          <w:rFonts w:ascii="Times New Roman" w:cs="Times New Roman" w:eastAsia="Times New Roman" w:hAnsi="Times New Roman"/>
          <w:sz w:val="21"/>
          <w:szCs w:val="21"/>
          <w:color w:val="auto"/>
        </w:rPr>
        <w:t>. Indemnitee shall execute all papers reasonably required to evidence such rights (all of Indemnitee’s reasonable Expenses, including attorneys’ fees and charges, related thereto to be reimbursed by or, at the option of Indemnitee, advanced by the Company).</w:t>
      </w:r>
    </w:p>
    <w:p>
      <w:pPr>
        <w:spacing w:after="0" w:line="145" w:lineRule="exact"/>
        <w:rPr>
          <w:rFonts w:ascii="Times New Roman" w:cs="Times New Roman" w:eastAsia="Times New Roman" w:hAnsi="Times New Roman"/>
          <w:sz w:val="21"/>
          <w:szCs w:val="21"/>
          <w:color w:val="auto"/>
        </w:rPr>
      </w:pPr>
    </w:p>
    <w:p>
      <w:pPr>
        <w:jc w:val="both"/>
        <w:ind w:firstLine="622"/>
        <w:spacing w:after="0" w:line="228" w:lineRule="auto"/>
        <w:tabs>
          <w:tab w:leader="none" w:pos="123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Duplication of Payments</w:t>
      </w:r>
      <w:r>
        <w:rPr>
          <w:rFonts w:ascii="Times New Roman" w:cs="Times New Roman" w:eastAsia="Times New Roman" w:hAnsi="Times New Roman"/>
          <w:sz w:val="20"/>
          <w:szCs w:val="20"/>
          <w:color w:val="auto"/>
        </w:rPr>
        <w:t>. The Company shall not be liable under this Agreement to make any payment to Indemnitee in respect of any Indemnifiable Losses to the extent Indemnitee has otherwise actually received payment (net of any Expenses incurred in connection therewith and any repayment by Indemnitee made with respect thereto) under any insurance policy, the Constituent Documents and Other Indemnity Provisions or otherwise (including from any entity or enterprise referred to in clause (i) of the definition of “</w:t>
      </w:r>
      <w:r>
        <w:rPr>
          <w:rFonts w:ascii="Times New Roman" w:cs="Times New Roman" w:eastAsia="Times New Roman" w:hAnsi="Times New Roman"/>
          <w:sz w:val="20"/>
          <w:szCs w:val="20"/>
          <w:u w:val="single" w:color="auto"/>
          <w:color w:val="auto"/>
        </w:rPr>
        <w:t>Indemnifiable Claim</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0"/>
          <w:szCs w:val="20"/>
          <w:u w:val="single" w:color="auto"/>
          <w:color w:val="auto"/>
        </w:rPr>
        <w:t>Section 1(h)</w:t>
      </w:r>
      <w:r>
        <w:rPr>
          <w:rFonts w:ascii="Times New Roman" w:cs="Times New Roman" w:eastAsia="Times New Roman" w:hAnsi="Times New Roman"/>
          <w:sz w:val="20"/>
          <w:szCs w:val="20"/>
          <w:color w:val="auto"/>
        </w:rPr>
        <w:t>) in respect of such Indemnifiable Losses otherwise indemnifiable hereunder.</w:t>
      </w:r>
    </w:p>
    <w:p>
      <w:pPr>
        <w:spacing w:after="0" w:line="145" w:lineRule="exact"/>
        <w:rPr>
          <w:rFonts w:ascii="Times New Roman" w:cs="Times New Roman" w:eastAsia="Times New Roman" w:hAnsi="Times New Roman"/>
          <w:sz w:val="20"/>
          <w:szCs w:val="20"/>
          <w:color w:val="auto"/>
        </w:rPr>
      </w:pPr>
    </w:p>
    <w:p>
      <w:pPr>
        <w:jc w:val="both"/>
        <w:ind w:firstLine="622"/>
        <w:spacing w:after="0" w:line="210" w:lineRule="auto"/>
        <w:tabs>
          <w:tab w:leader="none" w:pos="123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Defense of Claims</w:t>
      </w:r>
      <w:r>
        <w:rPr>
          <w:rFonts w:ascii="Times New Roman" w:cs="Times New Roman" w:eastAsia="Times New Roman" w:hAnsi="Times New Roman"/>
          <w:sz w:val="21"/>
          <w:szCs w:val="21"/>
          <w:color w:val="auto"/>
        </w:rPr>
        <w:t xml:space="preserve">. The Company shall be entitled to participate in the defense of any Indemnifiable Claim or to assume the defense thereof, with counsel reasonably satisfactory to Indemnitee;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Indemnitee believes, after consultation with counsel selected by Indemnitee, that (a) the use of counsel chosen by the Company to represent Indemnitee would present such counsel with an actual or potential conflict, (b) the named parties in any such Indemnifiable Claim (including any impleaded parties) include both the Company and Indemnitee and Indemnitee shall conclude that there may be one or more legal defenses available to him or her that are different from or in addition to those available to the Company, or (c) any such representation by such counsel would be precluded under the applicable standards of professional conduct then prevailing, the Indemnitee shall be entitled to retain separate counsel (but not more than one law firm plus, if applicable, local counsel in respect of any particular Indemnifiable Claim) at the Company’s expense. The Company shall not be liable to Indemnitee under this Agreement for any amounts paid in settlement of any threatened or pending Indemnifiable Claim effected without the Company’s prior written consent, unless such settlement solely involves the payment of money and includes a complete and unconditional release of Indemnitee from all liability on any claims that are the subject matter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39" w:right="339" w:bottom="1440" w:gutter="0" w:footer="0" w:header="0"/>
        </w:sectPr>
      </w:pPr>
    </w:p>
    <w:bookmarkStart w:id="174" w:name="page175"/>
    <w:bookmarkEnd w:id="174"/>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Indemnifiable Claim. The Company shall not, without the prior written consent of Indemnitee, effect any settlement of any threatened or pending Indemnifiable Claim to which Indemnitee is, or could have been, a party unless such settlement solely involves the payment of money and includes (i) a complete and unconditional release of Indemnitee from all liability on any claims that are the subject matter of such Indemnifiable Claim and (ii) no admission by the Indemnitee of any guilt or wrongdoing. Neither the Company nor Indemnitee shall unreasonably withhold its consent to any proposed settlement;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Indemnitee may withhold consent to any settlement that does not provide a complete and unconditional release of Indemnitee.</w:t>
      </w:r>
    </w:p>
    <w:p>
      <w:pPr>
        <w:spacing w:after="0" w:line="146" w:lineRule="exact"/>
        <w:rPr>
          <w:sz w:val="20"/>
          <w:szCs w:val="20"/>
          <w:color w:val="auto"/>
        </w:rPr>
      </w:pPr>
    </w:p>
    <w:p>
      <w:pPr>
        <w:jc w:val="both"/>
        <w:ind w:firstLine="622"/>
        <w:spacing w:after="0" w:line="225" w:lineRule="auto"/>
        <w:tabs>
          <w:tab w:leader="none" w:pos="123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Liability of Company</w:t>
      </w:r>
      <w:r>
        <w:rPr>
          <w:rFonts w:ascii="Times New Roman" w:cs="Times New Roman" w:eastAsia="Times New Roman" w:hAnsi="Times New Roman"/>
          <w:sz w:val="21"/>
          <w:szCs w:val="21"/>
          <w:color w:val="auto"/>
        </w:rPr>
        <w:t>. Indemnitee agrees that neither the stockholders nor the directors nor any officer, employee, representative or agent of the Company shall be personally liable for the satisfaction of the Company’s obligations under this Agreement and Indemnitee shall look solely to the assets of the Company for satisfaction of any claims hereunder.</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Binding Agreement</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1241"/>
        <w:spacing w:after="0" w:line="212" w:lineRule="auto"/>
        <w:tabs>
          <w:tab w:leader="none" w:pos="1853"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require any successor (whether direct or indirect, by purchase, merger, consolidation, reorganization or otherwise) to all or substantially all of the business or assets of the Company, by agreement in form and substance satisfactory to Indemnitee and his or her counsel, expressly to assume and agree to perform this Agreement in the same manner and to the same extent the Company would be required to perform if no such succession had taken place. This Agreement shall be binding upon and inure to the benefit of the Company and any successor to the Company, including any person acquiring directly or indirectly all or substantially all of the business or assets of the Company whether by purchase, merger, consolidation, reorganization or otherwise (and such successor will thereafter be deemed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for purposes of this Agreement), but shall not otherwise be assignable or delegable by the Company.</w:t>
      </w:r>
    </w:p>
    <w:p>
      <w:pPr>
        <w:spacing w:after="0" w:line="149"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inure to the benefit of and be enforceable by Indemnitee’s personal or legal representatives, executors, administrators, heirs, distributees, legatees, and other successors.</w:t>
      </w:r>
    </w:p>
    <w:p>
      <w:pPr>
        <w:spacing w:after="0" w:line="145"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3"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is personal in nature and neither of the parties hereto shall, without the consent of the other, assign or delegate this Agreement or any rights or obligations hereunder except as expressly provided in </w:t>
      </w:r>
      <w:r>
        <w:rPr>
          <w:rFonts w:ascii="Times New Roman" w:cs="Times New Roman" w:eastAsia="Times New Roman" w:hAnsi="Times New Roman"/>
          <w:sz w:val="21"/>
          <w:szCs w:val="21"/>
          <w:u w:val="single" w:color="auto"/>
          <w:color w:val="auto"/>
        </w:rPr>
        <w:t>Sections 17(a)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17(b)</w:t>
      </w:r>
      <w:r>
        <w:rPr>
          <w:rFonts w:ascii="Times New Roman" w:cs="Times New Roman" w:eastAsia="Times New Roman" w:hAnsi="Times New Roman"/>
          <w:sz w:val="21"/>
          <w:szCs w:val="21"/>
          <w:color w:val="auto"/>
        </w:rPr>
        <w:t xml:space="preserve">. Without limiting the generality or effect of the foregoing, Indemnitee’s right to receive payments hereunder shall not be assignable, whether by pledge, creation of a security interest or otherwise, other than by a transfer by Indemnitee’s will or by the laws of descent and distribution, and, in the event of any attempted assignment or transfer contrary to this </w:t>
      </w:r>
      <w:r>
        <w:rPr>
          <w:rFonts w:ascii="Times New Roman" w:cs="Times New Roman" w:eastAsia="Times New Roman" w:hAnsi="Times New Roman"/>
          <w:sz w:val="21"/>
          <w:szCs w:val="21"/>
          <w:u w:val="single" w:color="auto"/>
          <w:color w:val="auto"/>
        </w:rPr>
        <w:t>Section 17(c)</w:t>
      </w:r>
      <w:r>
        <w:rPr>
          <w:rFonts w:ascii="Times New Roman" w:cs="Times New Roman" w:eastAsia="Times New Roman" w:hAnsi="Times New Roman"/>
          <w:sz w:val="21"/>
          <w:szCs w:val="21"/>
          <w:color w:val="auto"/>
        </w:rPr>
        <w:t>, the Company shall have no liability to pay any amount so attempted to be assigned or transferred.</w:t>
      </w:r>
    </w:p>
    <w:p>
      <w:pPr>
        <w:spacing w:after="0" w:line="145" w:lineRule="exact"/>
        <w:rPr>
          <w:rFonts w:ascii="Times New Roman" w:cs="Times New Roman" w:eastAsia="Times New Roman" w:hAnsi="Times New Roman"/>
          <w:sz w:val="21"/>
          <w:szCs w:val="21"/>
          <w:color w:val="auto"/>
        </w:rPr>
      </w:pPr>
    </w:p>
    <w:p>
      <w:pPr>
        <w:jc w:val="both"/>
        <w:ind w:firstLine="622"/>
        <w:spacing w:after="0" w:line="212" w:lineRule="auto"/>
        <w:tabs>
          <w:tab w:leader="none" w:pos="123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For all purposes of this Agreement, all communications, including notices, consents, requests or approvals, required or permitted to be given hereunder shall be in writing and shall be deemed to have been duly given when hand delivered or on the date sent if delivered by email so long as such communication is furnished to a nationally recognized overnight courier for next business day delivery or five business days after having been mailed by United States registered or certified mail, return receipt requested, postage prepaid or one business day after having been sent for next-day delivery by a nationally recognized overnight courier service, addressed to the Company (to the attention of the secretary of the Company) and to Indemnitee at the applicable address shown on the signature page hereto, or to such other address as any party may have furnished to the other in writing and in accordance herewith, except that notices of changes of address will be effective only upon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39" w:right="339" w:bottom="1440" w:gutter="0" w:footer="0" w:header="0"/>
        </w:sectPr>
      </w:pPr>
    </w:p>
    <w:bookmarkStart w:id="175" w:name="page176"/>
    <w:bookmarkEnd w:id="175"/>
    <w:p>
      <w:pPr>
        <w:jc w:val="both"/>
        <w:ind w:firstLine="622"/>
        <w:spacing w:after="0" w:line="217" w:lineRule="auto"/>
        <w:tabs>
          <w:tab w:leader="none" w:pos="123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validity, interpretation, construction, and performance of this Agreement shall be governed by and construed in accordance with the substantive laws of the State of Delaware, without giving effect to the principles of conflict of laws of such State. The Company and Indemnitee each hereby irrevocably consent to the jurisdiction of the Chancery Court of the State of Delaware for all purposes in connection with any action or proceeding which arises out of or relates to this Agreement and agree that any action instituted under this Agreement shall be brought only in the Chancery Court of the State of Delaware.</w:t>
      </w:r>
    </w:p>
    <w:p>
      <w:pPr>
        <w:spacing w:after="0" w:line="145" w:lineRule="exact"/>
        <w:rPr>
          <w:rFonts w:ascii="Times New Roman" w:cs="Times New Roman" w:eastAsia="Times New Roman" w:hAnsi="Times New Roman"/>
          <w:sz w:val="21"/>
          <w:szCs w:val="21"/>
          <w:color w:val="auto"/>
        </w:rPr>
      </w:pPr>
    </w:p>
    <w:p>
      <w:pPr>
        <w:jc w:val="both"/>
        <w:ind w:firstLine="622"/>
        <w:spacing w:after="0" w:line="211" w:lineRule="auto"/>
        <w:tabs>
          <w:tab w:leader="none" w:pos="123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Validity</w:t>
      </w:r>
      <w:r>
        <w:rPr>
          <w:rFonts w:ascii="Times New Roman" w:cs="Times New Roman" w:eastAsia="Times New Roman" w:hAnsi="Times New Roman"/>
          <w:sz w:val="21"/>
          <w:szCs w:val="21"/>
          <w:color w:val="auto"/>
        </w:rPr>
        <w:t>. If any provision of this Agreement or the application of any provision hereof to any person or circumstance is held invalid, unenforceable or otherwise illegal, the remainder of this Agreement and the application of such provision to any other person or circumstance shall not be affected, and the provision so held to be invalid, unenforceable or otherwise illegal shall be reformed to the extent, and only to the extent, necessary to make it enforceable, valid or legal. In the event that any court or other adjudicative body shall decline to reform any provision of this Agreement held to be invalid, unenforceable or otherwise illegal as contemplated by the immediately preceding sentence, the parties thereto shall take all such action as may be necessary or appropriate to replace the provision so held to be invalid, unenforceable or otherwise illegal with one or more alternative provisions that effectuate the purpose and intent of the original provisions of this Agreement as fully as possible without being invalid, unenforceable or otherwise illegal.</w:t>
      </w:r>
    </w:p>
    <w:p>
      <w:pPr>
        <w:spacing w:after="0" w:line="151"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No provision of this Agreement may be waived, modified or discharged unless such waiver, modification or discharge is agreed to in writing signed by Indemnitee and the Company. No waiver by either party hereto at any time of any breach by the other party hereto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expressed or implied with respect to the subject matter hereof have been made by either party that are not set forth expressly in this Agreement. References to Sections are references to Sections of this Agreement.</w:t>
      </w:r>
    </w:p>
    <w:p>
      <w:pPr>
        <w:spacing w:after="0" w:line="150" w:lineRule="exact"/>
        <w:rPr>
          <w:rFonts w:ascii="Times New Roman" w:cs="Times New Roman" w:eastAsia="Times New Roman" w:hAnsi="Times New Roman"/>
          <w:sz w:val="20"/>
          <w:szCs w:val="20"/>
          <w:color w:val="auto"/>
        </w:rPr>
      </w:pPr>
    </w:p>
    <w:p>
      <w:pPr>
        <w:ind w:left="1240" w:hanging="618"/>
        <w:spacing w:after="0"/>
        <w:tabs>
          <w:tab w:leader="none" w:pos="124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Fees and Expenses; Interest</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1241"/>
        <w:spacing w:after="0" w:line="219" w:lineRule="auto"/>
        <w:tabs>
          <w:tab w:leader="none" w:pos="1853"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the intent of the Company that Indemnitee not be required to incur legal fees and/or other Expenses associated with the interpretation, enforcement or defense of Indemnitee’s rights under this Agreement by litigation or otherwise because the cost and expense thereof would substantially detract from the benefits intended to be extended to Indemnitee hereunder. Accordingly, without limiting the generality or effect of any other provision hereof, if it should appear to Indemnitee that the Company has failed to comply with any of its obligations under this Agreement (including its obligations under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or in the event that the Company or any other person takes or threatens to take any action to declare this Agreement void or unenforceable, or institutes any litigation or other action or proceeding designed to deny, or to recover from, Indemnitee the benefits provided or intended to be provided to Indemnitee hereunder, the Company irrevocably authorizes Indemnitee from time to time to retain counsel of Indemnitee’s choice, at the expense of the Company as hereafter provided, to advise and represent Indemnitee in connection with any such interpretation, enforcement or defense, including the initiation or defense of any litigation or other legal action, whether by or against the Company or any director, officer, stockholder or other person affiliated with the Company, in any jurisdiction. Notwithstanding any existing or prior attorney-client relationship between the Company and such counsel, the Company irrevocably consents to Indemnitee’s entering into an attorney-client relationship with such counsel, and in that connection the Company and Indemnitee agree that a confidential relationship shall exist between Indemnitee and such counsel. Without respect to whether Indemnitee prevails, in whole or in part, in connection with any of the foregoing, the Company will pay and be solely financially responsible for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39" w:right="339" w:bottom="1440" w:gutter="0" w:footer="0" w:header="0"/>
        </w:sectPr>
      </w:pPr>
    </w:p>
    <w:bookmarkStart w:id="176" w:name="page177"/>
    <w:bookmarkEnd w:id="176"/>
    <w:p>
      <w:pPr>
        <w:jc w:val="both"/>
        <w:spacing w:after="0" w:line="225" w:lineRule="auto"/>
        <w:rPr>
          <w:sz w:val="20"/>
          <w:szCs w:val="20"/>
          <w:color w:val="auto"/>
        </w:rPr>
      </w:pPr>
      <w:r>
        <w:rPr>
          <w:rFonts w:ascii="Times New Roman" w:cs="Times New Roman" w:eastAsia="Times New Roman" w:hAnsi="Times New Roman"/>
          <w:sz w:val="21"/>
          <w:szCs w:val="21"/>
          <w:color w:val="auto"/>
        </w:rPr>
        <w:t>attorneys’ and related fees and expenses incurred by Indemnitee in connection with any of the foregoing to the fullest extent permitted or required by the laws of the State of Delaware in effect on the date hereof or as such laws may from time to time hereafter be amended to increase the scope of such permitted or required payment of such fees and expenses.</w:t>
      </w:r>
    </w:p>
    <w:p>
      <w:pPr>
        <w:spacing w:after="0" w:line="146" w:lineRule="exact"/>
        <w:rPr>
          <w:sz w:val="20"/>
          <w:szCs w:val="20"/>
          <w:color w:val="auto"/>
        </w:rPr>
      </w:pPr>
    </w:p>
    <w:p>
      <w:pPr>
        <w:jc w:val="both"/>
        <w:ind w:firstLine="1241"/>
        <w:spacing w:after="0" w:line="225" w:lineRule="auto"/>
        <w:tabs>
          <w:tab w:leader="none" w:pos="1852" w:val="left"/>
        </w:tabs>
        <w:numPr>
          <w:ilvl w:val="2"/>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due to Indemnitee under this Agreement that is not paid by the Company by the date on which it is due will accrue interest at the maximum legal rate under Delaware law from the date on which such amount is due to the date on which such amount is paid to Indemnitee.</w:t>
      </w:r>
    </w:p>
    <w:p>
      <w:pPr>
        <w:spacing w:after="0" w:line="145" w:lineRule="exact"/>
        <w:rPr>
          <w:rFonts w:ascii="Times New Roman" w:cs="Times New Roman" w:eastAsia="Times New Roman" w:hAnsi="Times New Roman"/>
          <w:sz w:val="21"/>
          <w:szCs w:val="21"/>
          <w:color w:val="auto"/>
        </w:rPr>
      </w:pPr>
    </w:p>
    <w:p>
      <w:pPr>
        <w:jc w:val="both"/>
        <w:ind w:firstLine="622"/>
        <w:spacing w:after="0" w:line="226" w:lineRule="auto"/>
        <w:tabs>
          <w:tab w:leader="none" w:pos="1238"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Interpretive Matters</w:t>
      </w:r>
      <w:r>
        <w:rPr>
          <w:rFonts w:ascii="Times New Roman" w:cs="Times New Roman" w:eastAsia="Times New Roman" w:hAnsi="Times New Roman"/>
          <w:sz w:val="20"/>
          <w:szCs w:val="20"/>
          <w:color w:val="auto"/>
        </w:rPr>
        <w:t>. Unless the context of this Agreement otherwise requires, (a) “it” or “its” or words of any gender include each other gender, (b) words using the singular or plural number also include the plural or singular number, respectively,</w:t>
      </w:r>
    </w:p>
    <w:p>
      <w:pPr>
        <w:spacing w:after="0" w:line="1" w:lineRule="exact"/>
        <w:rPr>
          <w:rFonts w:ascii="Times New Roman" w:cs="Times New Roman" w:eastAsia="Times New Roman" w:hAnsi="Times New Roman"/>
          <w:sz w:val="20"/>
          <w:szCs w:val="20"/>
          <w:color w:val="auto"/>
        </w:rPr>
      </w:pPr>
    </w:p>
    <w:p>
      <w:pPr>
        <w:jc w:val="both"/>
        <w:ind w:firstLine="3"/>
        <w:spacing w:after="0" w:line="208" w:lineRule="auto"/>
        <w:tabs>
          <w:tab w:leader="none" w:pos="314"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“hereof,” “herein,” “hereby” and derivative or similar words refer to this entire Agreement, (d) the terms “Article,” “Section,” “Annex” or “Exhibit” refer to the specified Article, Section, Annex or Exhibit of or to this Agreement, (e) the terms “include,” “includes” and “including” will be deemed to be followed by the words “without limitation” (whether or not so expressed), and (f) the word “or” is disjunctive but not exclusive. Whenever this Agreement refers to a number of days, such number will refer to calendar days unless business days are specified and whenever action must be taken (including the giving of notice or the delivery of documents) under this Agreement during a certain period of time or by a particular date that ends or occurs on a non-business day, then such period or date will be extended until the immediately following business day. As used herein, “business day” means any day other than Saturday, Sunday, or a United States federal holiday. Any reference to a law shall include any amendment thereof or any successor thereto and any rules and regulations promulgated thereunder. Any reference to a contract is a reference to it as amended, modified, and supplemented from time to time.</w:t>
      </w:r>
    </w:p>
    <w:p>
      <w:pPr>
        <w:spacing w:after="0" w:line="154" w:lineRule="exact"/>
        <w:rPr>
          <w:rFonts w:ascii="Times New Roman" w:cs="Times New Roman" w:eastAsia="Times New Roman" w:hAnsi="Times New Roman"/>
          <w:sz w:val="21"/>
          <w:szCs w:val="21"/>
          <w:color w:val="auto"/>
        </w:rPr>
      </w:pPr>
    </w:p>
    <w:p>
      <w:pPr>
        <w:ind w:firstLine="622"/>
        <w:spacing w:after="0" w:line="235" w:lineRule="auto"/>
        <w:tabs>
          <w:tab w:leader="none" w:pos="1238"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will be deemed to be an original but all of which together shall constitute one and the same agreement.</w:t>
      </w:r>
    </w:p>
    <w:p>
      <w:pPr>
        <w:spacing w:after="0" w:line="165" w:lineRule="exact"/>
        <w:rPr>
          <w:rFonts w:ascii="Times New Roman" w:cs="Times New Roman" w:eastAsia="Times New Roman" w:hAnsi="Times New Roman"/>
          <w:sz w:val="21"/>
          <w:szCs w:val="21"/>
          <w:color w:val="auto"/>
        </w:rPr>
      </w:pPr>
    </w:p>
    <w:p>
      <w:pPr>
        <w:ind w:left="4840" w:hanging="614"/>
        <w:spacing w:after="0"/>
        <w:tabs>
          <w:tab w:leader="none" w:pos="4840" w:val="left"/>
        </w:tabs>
        <w:numPr>
          <w:ilvl w:val="3"/>
          <w:numId w:val="8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39" w:right="339" w:bottom="1440" w:gutter="0" w:footer="0" w:header="0"/>
        </w:sectPr>
      </w:pPr>
    </w:p>
    <w:bookmarkStart w:id="177" w:name="page178"/>
    <w:bookmarkEnd w:id="177"/>
    <w:p>
      <w:pPr>
        <w:ind w:firstLine="619"/>
        <w:spacing w:after="0" w:line="269" w:lineRule="auto"/>
        <w:rPr>
          <w:sz w:val="20"/>
          <w:szCs w:val="20"/>
          <w:color w:val="auto"/>
        </w:rPr>
      </w:pPr>
      <w:r>
        <w:rPr>
          <w:rFonts w:ascii="Times New Roman" w:cs="Times New Roman" w:eastAsia="Times New Roman" w:hAnsi="Times New Roman"/>
          <w:sz w:val="21"/>
          <w:szCs w:val="21"/>
          <w:color w:val="auto"/>
        </w:rPr>
        <w:t>IN WITNESS WHEREOF, Indemnitee has executed and the Company has caused its duly authorized representatives to execute this Agreement as of the date first above written.</w:t>
      </w:r>
    </w:p>
    <w:p>
      <w:pPr>
        <w:spacing w:after="0" w:line="20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b w:val="1"/>
          <w:bCs w:val="1"/>
          <w:color w:val="auto"/>
        </w:rPr>
        <w:t>MICROVAST HOLDINGS, INC.</w:t>
      </w:r>
    </w:p>
    <w:p>
      <w:pPr>
        <w:spacing w:after="0" w:line="200" w:lineRule="exact"/>
        <w:rPr>
          <w:sz w:val="20"/>
          <w:szCs w:val="20"/>
          <w:color w:val="auto"/>
        </w:rPr>
      </w:pPr>
    </w:p>
    <w:p>
      <w:pPr>
        <w:spacing w:after="0" w:line="37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4398010</wp:posOffset>
            </wp:positionH>
            <wp:positionV relativeFrom="paragraph">
              <wp:posOffset>-13970</wp:posOffset>
            </wp:positionV>
            <wp:extent cx="1308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9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w:t>
      </w:r>
    </w:p>
    <w:p>
      <w:pPr>
        <w:spacing w:after="0" w:line="31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1"/>
          <w:szCs w:val="21"/>
          <w:color w:val="auto"/>
        </w:rPr>
        <w:t>Title:</w:t>
      </w:r>
    </w:p>
    <w:p>
      <w:pPr>
        <w:spacing w:after="0" w:line="3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Address:</w:t>
      </w: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AGREED TO AND ACCEPTED BY:</w:t>
      </w:r>
    </w:p>
    <w:p>
      <w:pPr>
        <w:spacing w:after="0" w:line="3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INDEMNITEE</w:t>
      </w:r>
    </w:p>
    <w:p>
      <w:pPr>
        <w:spacing w:after="0" w:line="200" w:lineRule="exact"/>
        <w:rPr>
          <w:sz w:val="20"/>
          <w:szCs w:val="20"/>
          <w:color w:val="auto"/>
        </w:rPr>
      </w:pPr>
    </w:p>
    <w:p>
      <w:pPr>
        <w:spacing w:after="0" w:line="3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-13970</wp:posOffset>
            </wp:positionV>
            <wp:extent cx="1308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93" w:lineRule="exact"/>
        <w:rPr>
          <w:sz w:val="20"/>
          <w:szCs w:val="20"/>
          <w:color w:val="auto"/>
        </w:rPr>
      </w:pPr>
    </w:p>
    <w:p>
      <w:pPr>
        <w:ind w:left="60"/>
        <w:spacing w:after="0"/>
        <w:tabs>
          <w:tab w:leader="none" w:pos="168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_________________________</w:t>
      </w:r>
    </w:p>
    <w:p>
      <w:pPr>
        <w:spacing w:after="0" w:line="3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-13970</wp:posOffset>
            </wp:positionV>
            <wp:extent cx="13081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-13970</wp:posOffset>
            </wp:positionV>
            <wp:extent cx="1308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-13970</wp:posOffset>
            </wp:positionV>
            <wp:extent cx="13081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UNDERTAKING</w:t>
      </w: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This Undertaking is submitted pursuant to the Director and Officer Indemnification Agreement, dated as of ________________,</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 (the “</w:t>
      </w:r>
      <w:r>
        <w:rPr>
          <w:rFonts w:ascii="Times New Roman" w:cs="Times New Roman" w:eastAsia="Times New Roman" w:hAnsi="Times New Roman"/>
          <w:sz w:val="21"/>
          <w:szCs w:val="21"/>
          <w:u w:val="single" w:color="auto"/>
          <w:color w:val="auto"/>
        </w:rPr>
        <w:t>Indemnification Agreement</w:t>
      </w:r>
      <w:r>
        <w:rPr>
          <w:rFonts w:ascii="Times New Roman" w:cs="Times New Roman" w:eastAsia="Times New Roman" w:hAnsi="Times New Roman"/>
          <w:sz w:val="21"/>
          <w:szCs w:val="21"/>
          <w:color w:val="auto"/>
        </w:rPr>
        <w:t>”), between Microvast Holdings,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the</w:t>
      </w:r>
    </w:p>
    <w:p>
      <w:pPr>
        <w:spacing w:after="0" w:line="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undersigned. Capitalized terms used and not otherwise defined herein have the meanings ascribed to such terms in the Indemnification Agreement.</w:t>
      </w:r>
    </w:p>
    <w:p>
      <w:pPr>
        <w:spacing w:after="0" w:line="199" w:lineRule="exact"/>
        <w:rPr>
          <w:sz w:val="20"/>
          <w:szCs w:val="20"/>
          <w:color w:val="auto"/>
        </w:rPr>
      </w:pPr>
    </w:p>
    <w:p>
      <w:pPr>
        <w:jc w:val="both"/>
        <w:ind w:firstLine="619"/>
        <w:spacing w:after="0" w:line="299" w:lineRule="auto"/>
        <w:rPr>
          <w:sz w:val="20"/>
          <w:szCs w:val="20"/>
          <w:color w:val="auto"/>
        </w:rPr>
      </w:pPr>
      <w:r>
        <w:rPr>
          <w:rFonts w:ascii="Times New Roman" w:cs="Times New Roman" w:eastAsia="Times New Roman" w:hAnsi="Times New Roman"/>
          <w:sz w:val="20"/>
          <w:szCs w:val="20"/>
          <w:color w:val="auto"/>
        </w:rPr>
        <w:t xml:space="preserve">The undersigned hereby requests </w:t>
      </w:r>
      <w:r>
        <w:rPr>
          <w:rFonts w:ascii="Times New Roman" w:cs="Times New Roman" w:eastAsia="Times New Roman" w:hAnsi="Times New Roman"/>
          <w:sz w:val="20"/>
          <w:szCs w:val="20"/>
          <w:b w:val="1"/>
          <w:bCs w:val="1"/>
          <w:color w:val="auto"/>
        </w:rPr>
        <w:t>[payment]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[advancement]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[reimbursement]</w:t>
      </w:r>
      <w:r>
        <w:rPr>
          <w:rFonts w:ascii="Times New Roman" w:cs="Times New Roman" w:eastAsia="Times New Roman" w:hAnsi="Times New Roman"/>
          <w:sz w:val="20"/>
          <w:szCs w:val="20"/>
          <w:color w:val="auto"/>
        </w:rPr>
        <w:t xml:space="preserve"> by the Company of Expenses which the undersigned </w:t>
      </w:r>
      <w:r>
        <w:rPr>
          <w:rFonts w:ascii="Times New Roman" w:cs="Times New Roman" w:eastAsia="Times New Roman" w:hAnsi="Times New Roman"/>
          <w:sz w:val="20"/>
          <w:szCs w:val="20"/>
          <w:b w:val="1"/>
          <w:bCs w:val="1"/>
          <w:color w:val="auto"/>
        </w:rPr>
        <w:t>[has incurred] [reasonably expects to incur]</w:t>
      </w:r>
      <w:r>
        <w:rPr>
          <w:rFonts w:ascii="Times New Roman" w:cs="Times New Roman" w:eastAsia="Times New Roman" w:hAnsi="Times New Roman"/>
          <w:sz w:val="20"/>
          <w:szCs w:val="20"/>
          <w:color w:val="auto"/>
        </w:rPr>
        <w:t xml:space="preserve"> in connection with ____________________ (the “</w:t>
      </w:r>
      <w:r>
        <w:rPr>
          <w:rFonts w:ascii="Times New Roman" w:cs="Times New Roman" w:eastAsia="Times New Roman" w:hAnsi="Times New Roman"/>
          <w:sz w:val="20"/>
          <w:szCs w:val="20"/>
          <w:u w:val="single" w:color="auto"/>
          <w:color w:val="auto"/>
        </w:rPr>
        <w:t>Indemnifiable Claim</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The undersigned hereby undertakes to repay the </w:t>
      </w: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[advancement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[reimbursement]</w:t>
      </w:r>
      <w:r>
        <w:rPr>
          <w:rFonts w:ascii="Times New Roman" w:cs="Times New Roman" w:eastAsia="Times New Roman" w:hAnsi="Times New Roman"/>
          <w:sz w:val="21"/>
          <w:szCs w:val="21"/>
          <w:color w:val="auto"/>
        </w:rPr>
        <w:t xml:space="preserve"> of Expenses made by the Company to or on behalf of the undersigned in response to the foregoing request if it is determined, following the final disposition of the Indemnifiable Claim and in accordance with Section 8 of the Indemnification Agreement, that the undersigned is not entitled to indemnification by the Company under the Indemnification Agreement with respect to the Indemnifiable Claim.</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IN WITNESS WHEREOF, the undersigned has executed this Undertaking as of this ________ day of ___________________,</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w:t>
      </w:r>
    </w:p>
    <w:p>
      <w:pPr>
        <w:spacing w:after="0" w:line="200" w:lineRule="exact"/>
        <w:rPr>
          <w:sz w:val="20"/>
          <w:szCs w:val="20"/>
          <w:color w:val="auto"/>
        </w:rPr>
      </w:pPr>
    </w:p>
    <w:p>
      <w:pPr>
        <w:spacing w:after="0" w:line="25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37"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21"/>
          <w:szCs w:val="21"/>
          <w:color w:val="auto"/>
        </w:rPr>
        <w:t>[Indemnitee]</w:t>
      </w:r>
    </w:p>
    <w:p>
      <w:pPr>
        <w:sectPr>
          <w:pgSz w:w="11900" w:h="16838" w:orient="portrait"/>
          <w:cols w:equalWidth="0" w:num="1">
            <w:col w:w="11240"/>
          </w:cols>
          <w:pgMar w:left="320" w:top="1361" w:right="339" w:bottom="1440" w:gutter="0" w:footer="0" w:header="0"/>
        </w:sectPr>
      </w:pPr>
    </w:p>
    <w:bookmarkStart w:id="179" w:name="page180"/>
    <w:bookmarkEnd w:id="179"/>
    <w:p>
      <w:pPr>
        <w:ind w:left="1018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32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21"/>
                <w:szCs w:val="21"/>
                <w:b w:val="1"/>
                <w:bCs w:val="1"/>
                <w:color w:val="auto"/>
              </w:rPr>
              <w:t>Name of Subsidiaries</w:t>
            </w:r>
          </w:p>
        </w:tc>
        <w:tc>
          <w:tcPr>
            <w:tcW w:w="4920" w:type="dxa"/>
            <w:vAlign w:val="bottom"/>
            <w:tcBorders>
              <w:bottom w:val="single" w:sz="8" w:color="auto"/>
            </w:tcBorders>
          </w:tcPr>
          <w:p>
            <w:pPr>
              <w:jc w:val="center"/>
              <w:ind w:left="597"/>
              <w:spacing w:after="0"/>
              <w:rPr>
                <w:sz w:val="20"/>
                <w:szCs w:val="20"/>
                <w:color w:val="auto"/>
              </w:rPr>
            </w:pPr>
            <w:r>
              <w:rPr>
                <w:rFonts w:ascii="Times New Roman" w:cs="Times New Roman" w:eastAsia="Times New Roman" w:hAnsi="Times New Roman"/>
                <w:sz w:val="21"/>
                <w:szCs w:val="21"/>
                <w:b w:val="1"/>
                <w:bCs w:val="1"/>
                <w:color w:val="auto"/>
                <w:w w:val="98"/>
              </w:rPr>
              <w:t>Place of Incorporation</w:t>
            </w:r>
          </w:p>
        </w:tc>
      </w:tr>
      <w:tr>
        <w:trPr>
          <w:trHeight w:val="268"/>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Inc.</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Delaware, USA</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Power Solutions, Inc.</w:t>
            </w:r>
          </w:p>
        </w:tc>
        <w:tc>
          <w:tcPr>
            <w:tcW w:w="4920" w:type="dxa"/>
            <w:vAlign w:val="bottom"/>
          </w:tcPr>
          <w:p>
            <w:pPr>
              <w:jc w:val="center"/>
              <w:ind w:left="577"/>
              <w:spacing w:after="0"/>
              <w:rPr>
                <w:sz w:val="20"/>
                <w:szCs w:val="20"/>
                <w:color w:val="auto"/>
              </w:rPr>
            </w:pPr>
            <w:r>
              <w:rPr>
                <w:rFonts w:ascii="Times New Roman" w:cs="Times New Roman" w:eastAsia="Times New Roman" w:hAnsi="Times New Roman"/>
                <w:sz w:val="21"/>
                <w:szCs w:val="21"/>
                <w:color w:val="auto"/>
                <w:w w:val="97"/>
              </w:rPr>
              <w:t>Texas, USA</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Power Systems Co., Ltd.</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Huzhou, PRC</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Power Systems UK Limited</w:t>
            </w:r>
          </w:p>
        </w:tc>
        <w:tc>
          <w:tcPr>
            <w:tcW w:w="4920" w:type="dxa"/>
            <w:vAlign w:val="bottom"/>
          </w:tcPr>
          <w:p>
            <w:pPr>
              <w:jc w:val="center"/>
              <w:ind w:left="577"/>
              <w:spacing w:after="0"/>
              <w:rPr>
                <w:sz w:val="20"/>
                <w:szCs w:val="20"/>
                <w:color w:val="auto"/>
              </w:rPr>
            </w:pPr>
            <w:r>
              <w:rPr>
                <w:rFonts w:ascii="Times New Roman" w:cs="Times New Roman" w:eastAsia="Times New Roman" w:hAnsi="Times New Roman"/>
                <w:sz w:val="21"/>
                <w:szCs w:val="21"/>
                <w:color w:val="auto"/>
                <w:w w:val="98"/>
              </w:rPr>
              <w:t>Cardiff, UK</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GmbH</w:t>
            </w:r>
          </w:p>
        </w:tc>
        <w:tc>
          <w:tcPr>
            <w:tcW w:w="4920" w:type="dxa"/>
            <w:vAlign w:val="bottom"/>
          </w:tcPr>
          <w:p>
            <w:pPr>
              <w:jc w:val="center"/>
              <w:ind w:left="577"/>
              <w:spacing w:after="0"/>
              <w:rPr>
                <w:sz w:val="20"/>
                <w:szCs w:val="20"/>
                <w:color w:val="auto"/>
              </w:rPr>
            </w:pPr>
            <w:r>
              <w:rPr>
                <w:rFonts w:ascii="Times New Roman" w:cs="Times New Roman" w:eastAsia="Times New Roman" w:hAnsi="Times New Roman"/>
                <w:sz w:val="21"/>
                <w:szCs w:val="21"/>
                <w:color w:val="auto"/>
                <w:w w:val="97"/>
              </w:rPr>
              <w:t>Germany</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Huzhou Hongwei New Energy Automobile Co., Ltd.</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Huzhou, PRC</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Huzhou Microvast Electric Vehicle Sales Service, Ltd.</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Huzhou, PRC</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Energy, Inc.</w:t>
            </w:r>
          </w:p>
        </w:tc>
        <w:tc>
          <w:tcPr>
            <w:tcW w:w="4920" w:type="dxa"/>
            <w:vAlign w:val="bottom"/>
          </w:tcPr>
          <w:p>
            <w:pPr>
              <w:jc w:val="center"/>
              <w:ind w:left="577"/>
              <w:spacing w:after="0"/>
              <w:rPr>
                <w:sz w:val="20"/>
                <w:szCs w:val="20"/>
                <w:color w:val="auto"/>
              </w:rPr>
            </w:pPr>
            <w:r>
              <w:rPr>
                <w:rFonts w:ascii="Times New Roman" w:cs="Times New Roman" w:eastAsia="Times New Roman" w:hAnsi="Times New Roman"/>
                <w:sz w:val="21"/>
                <w:szCs w:val="21"/>
                <w:color w:val="auto"/>
                <w:w w:val="97"/>
              </w:rPr>
              <w:t>Colorado, USA</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Advanced Membrane, Inc.</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Delaware, USA</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Advanced Materials, Inc.</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Delaware, USA</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Precision Works Co., Ltd</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Huzhou, PRC</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Ontime (Zhejiang) Engineering Construction Co. Ltd.</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Huzhou, PRC</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Technology, LLC</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Delaware, USA</w:t>
            </w:r>
          </w:p>
        </w:tc>
      </w:tr>
    </w:tbl>
    <w:p>
      <w:pPr>
        <w:sectPr>
          <w:pgSz w:w="11900" w:h="16838" w:orient="portrait"/>
          <w:cols w:equalWidth="0" w:num="1">
            <w:col w:w="11240"/>
          </w:cols>
          <w:pgMar w:left="320" w:top="1348"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We consent to the incorporation by reference in the Registration Statement No. 333-258978 on the post effective amendment to Form S-1 on Form S-3, Registration Statement No. 333-259957 on Form S-8 and Registration Statement No. 333-284496 on Form S-3 of our reports dated March 16, 2026, relating to the financial statements of Microvast Holdings, Inc. and the effectiveness of Microvast Holdings, Inc,'s internal control over financial reporting appearing in the Annual Report on Form 10-K for the year ended December 31,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Deloitte Touche Tohmatsu Certified Public Accountants LLP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Deloitte Touche Tohmatsu Certified Public Accountants LLP</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Beijing, the People's Republic of China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16, 2026</w:t>
      </w:r>
    </w:p>
    <w:p>
      <w:pPr>
        <w:sectPr>
          <w:pgSz w:w="11900" w:h="16838" w:orient="portrait"/>
          <w:cols w:equalWidth="0" w:num="1">
            <w:col w:w="11240"/>
          </w:cols>
          <w:pgMar w:left="320" w:top="1348"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Yang Wu, certify that:</w:t>
      </w:r>
    </w:p>
    <w:p>
      <w:pPr>
        <w:spacing w:after="0" w:line="217" w:lineRule="exact"/>
        <w:rPr>
          <w:sz w:val="20"/>
          <w:szCs w:val="20"/>
          <w:color w:val="auto"/>
        </w:rPr>
      </w:pPr>
    </w:p>
    <w:p>
      <w:pPr>
        <w:ind w:left="620" w:hanging="307"/>
        <w:spacing w:after="0"/>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Microvast Holdings, Inc.;</w:t>
      </w:r>
    </w:p>
    <w:p>
      <w:pPr>
        <w:spacing w:after="0" w:line="217"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620" w:right="80" w:hanging="307"/>
        <w:spacing w:after="0" w:line="270" w:lineRule="auto"/>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1"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28"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65"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1"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940" w:right="160" w:hanging="318"/>
        <w:spacing w:after="0" w:line="270" w:lineRule="auto"/>
        <w:tabs>
          <w:tab w:leader="none" w:pos="928"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620" w:right="520" w:hanging="307"/>
        <w:spacing w:after="0" w:line="287" w:lineRule="auto"/>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940" w:right="40" w:hanging="309"/>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940" w:right="80" w:hanging="309"/>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Date: March 16, 2026</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Yang Wu</w:t>
            </w:r>
          </w:p>
        </w:tc>
        <w:tc>
          <w:tcPr>
            <w:tcW w:w="4180" w:type="dxa"/>
            <w:vAlign w:val="bottom"/>
          </w:tcPr>
          <w:p>
            <w:pPr>
              <w:spacing w:after="0"/>
              <w:rPr>
                <w:sz w:val="19"/>
                <w:szCs w:val="19"/>
                <w:color w:val="auto"/>
              </w:rPr>
            </w:pPr>
          </w:p>
        </w:tc>
      </w:tr>
      <w:tr>
        <w:trPr>
          <w:trHeight w:val="38"/>
        </w:trPr>
        <w:tc>
          <w:tcPr>
            <w:tcW w:w="6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r>
      <w:tr>
        <w:trPr>
          <w:trHeight w:val="225"/>
        </w:trPr>
        <w:tc>
          <w:tcPr>
            <w:tcW w:w="610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Yang Wu</w:t>
            </w:r>
          </w:p>
        </w:tc>
      </w:tr>
      <w:tr>
        <w:trPr>
          <w:trHeight w:val="271"/>
        </w:trPr>
        <w:tc>
          <w:tcPr>
            <w:tcW w:w="6100" w:type="dxa"/>
            <w:vAlign w:val="bottom"/>
          </w:tcPr>
          <w:p>
            <w:pPr>
              <w:spacing w:after="0"/>
              <w:rPr>
                <w:sz w:val="23"/>
                <w:szCs w:val="23"/>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71"/>
        </w:trPr>
        <w:tc>
          <w:tcPr>
            <w:tcW w:w="6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1099"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Rodney Worthen, certify that:</w:t>
      </w:r>
    </w:p>
    <w:p>
      <w:pPr>
        <w:spacing w:after="0" w:line="217" w:lineRule="exact"/>
        <w:rPr>
          <w:sz w:val="20"/>
          <w:szCs w:val="20"/>
          <w:color w:val="auto"/>
        </w:rPr>
      </w:pPr>
    </w:p>
    <w:p>
      <w:pPr>
        <w:ind w:left="620" w:hanging="307"/>
        <w:spacing w:after="0"/>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Microvast Holdings, Inc.;</w:t>
      </w:r>
    </w:p>
    <w:p>
      <w:pPr>
        <w:spacing w:after="0" w:line="217"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620" w:right="80" w:hanging="307"/>
        <w:spacing w:after="0" w:line="270" w:lineRule="auto"/>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1"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2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65"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1"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940" w:right="160" w:hanging="318"/>
        <w:spacing w:after="0" w:line="270" w:lineRule="auto"/>
        <w:tabs>
          <w:tab w:leader="none" w:pos="92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620" w:right="520" w:hanging="307"/>
        <w:spacing w:after="0" w:line="287" w:lineRule="auto"/>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940" w:right="40" w:hanging="309"/>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940" w:right="80" w:hanging="309"/>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Date: March 16, 2026</w:t>
            </w: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Rodney Worthen</w:t>
            </w:r>
          </w:p>
        </w:tc>
      </w:tr>
      <w:tr>
        <w:trPr>
          <w:trHeight w:val="38"/>
        </w:trPr>
        <w:tc>
          <w:tcPr>
            <w:tcW w:w="6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r>
      <w:tr>
        <w:trPr>
          <w:trHeight w:val="225"/>
        </w:trPr>
        <w:tc>
          <w:tcPr>
            <w:tcW w:w="6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Rodney Worthen</w:t>
            </w:r>
          </w:p>
        </w:tc>
      </w:tr>
      <w:tr>
        <w:trPr>
          <w:trHeight w:val="271"/>
        </w:trPr>
        <w:tc>
          <w:tcPr>
            <w:tcW w:w="610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71"/>
        </w:trPr>
        <w:tc>
          <w:tcPr>
            <w:tcW w:w="6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ectPr>
          <w:pgSz w:w="11900" w:h="16838" w:orient="portrait"/>
          <w:cols w:equalWidth="0" w:num="1">
            <w:col w:w="11240"/>
          </w:cols>
          <w:pgMar w:left="320" w:top="1099"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ADDED BY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Microvast Holdings, Inc. (the “Company”) on Form 10-K for the year ended December 31, 2025, as filed with the Securities and Exchange Commission on the date hereof (the “Report”), I, Yang Wu, Chief Executive Officer and Director of the Company, certify, pursuant to 18 U.S.C. §1350, as added by §906 of the Sarbanes-Oxley Act of 2002, that, to the best of my knowledge:</w:t>
      </w:r>
    </w:p>
    <w:p>
      <w:pPr>
        <w:spacing w:after="0" w:line="165" w:lineRule="exact"/>
        <w:rPr>
          <w:sz w:val="20"/>
          <w:szCs w:val="20"/>
          <w:color w:val="auto"/>
        </w:rPr>
      </w:pPr>
    </w:p>
    <w:p>
      <w:pPr>
        <w:ind w:left="620" w:hanging="307"/>
        <w:spacing w:after="0"/>
        <w:tabs>
          <w:tab w:leader="none" w:pos="6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ind w:left="20"/>
        <w:spacing w:after="0"/>
        <w:tabs>
          <w:tab w:leader="none" w:pos="6120" w:val="left"/>
        </w:tabs>
        <w:rPr>
          <w:sz w:val="20"/>
          <w:szCs w:val="20"/>
          <w:color w:val="auto"/>
        </w:rPr>
      </w:pPr>
      <w:r>
        <w:rPr>
          <w:rFonts w:ascii="Times New Roman" w:cs="Times New Roman" w:eastAsia="Times New Roman" w:hAnsi="Times New Roman"/>
          <w:sz w:val="17"/>
          <w:szCs w:val="17"/>
          <w:color w:val="auto"/>
        </w:rPr>
        <w:t>Date: March 16, 2026</w:t>
      </w:r>
      <w:r>
        <w:rPr>
          <w:sz w:val="20"/>
          <w:szCs w:val="20"/>
          <w:color w:val="auto"/>
        </w:rPr>
        <w:tab/>
      </w:r>
      <w:r>
        <w:rPr>
          <w:rFonts w:ascii="Times New Roman" w:cs="Times New Roman" w:eastAsia="Times New Roman" w:hAnsi="Times New Roman"/>
          <w:sz w:val="16"/>
          <w:szCs w:val="16"/>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41910</wp:posOffset>
            </wp:positionV>
            <wp:extent cx="32416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3241675" cy="8255"/>
                    </a:xfrm>
                    <a:prstGeom prst="rect">
                      <a:avLst/>
                    </a:prstGeom>
                    <a:noFill/>
                  </pic:spPr>
                </pic:pic>
              </a:graphicData>
            </a:graphic>
          </wp:anchor>
        </w:drawing>
      </w:r>
    </w:p>
    <w:p>
      <w:pPr>
        <w:spacing w:after="0" w:line="55" w:lineRule="exact"/>
        <w:rPr>
          <w:sz w:val="20"/>
          <w:szCs w:val="20"/>
          <w:color w:val="auto"/>
        </w:rPr>
      </w:pPr>
    </w:p>
    <w:p>
      <w:pPr>
        <w:ind w:left="6140"/>
        <w:spacing w:after="0"/>
        <w:tabs>
          <w:tab w:leader="none" w:pos="6820" w:val="left"/>
        </w:tabs>
        <w:rPr>
          <w:sz w:val="20"/>
          <w:szCs w:val="20"/>
          <w:color w:val="auto"/>
        </w:rPr>
      </w:pPr>
      <w:r>
        <w:rPr>
          <w:rFonts w:ascii="Times New Roman" w:cs="Times New Roman" w:eastAsia="Times New Roman" w:hAnsi="Times New Roman"/>
          <w:sz w:val="17"/>
          <w:szCs w:val="17"/>
          <w:color w:val="auto"/>
        </w:rPr>
        <w:t>Name:</w:t>
        <w:tab/>
        <w:t>Yang Wu</w:t>
      </w:r>
    </w:p>
    <w:p>
      <w:pPr>
        <w:spacing w:after="0" w:line="75" w:lineRule="exact"/>
        <w:rPr>
          <w:sz w:val="20"/>
          <w:szCs w:val="20"/>
          <w:color w:val="auto"/>
        </w:rPr>
      </w:pPr>
    </w:p>
    <w:p>
      <w:pPr>
        <w:ind w:left="6140"/>
        <w:spacing w:after="0"/>
        <w:tabs>
          <w:tab w:leader="none" w:pos="68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8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099"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ADDED BY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Microvast Holdings, Inc. (the “Company”) on Form 10-K for the year ended December 31, 2025, as filed with the Securities and Exchange Commission on the date hereof (the “Report”), I, Rodney Worthen, Chief Financial Officer of the Company, certify, pursuant to 18 U.S.C. §1350, as added by §906 of the Sarbanes-Oxley Act of 2002, that, to the best of my knowledge:</w:t>
      </w:r>
    </w:p>
    <w:p>
      <w:pPr>
        <w:spacing w:after="0" w:line="165" w:lineRule="exact"/>
        <w:rPr>
          <w:sz w:val="20"/>
          <w:szCs w:val="20"/>
          <w:color w:val="auto"/>
        </w:rPr>
      </w:pPr>
    </w:p>
    <w:p>
      <w:pPr>
        <w:ind w:left="620" w:hanging="307"/>
        <w:spacing w:after="0"/>
        <w:tabs>
          <w:tab w:leader="none" w:pos="6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Date: March 16, 2026</w:t>
            </w: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Rodney Worthen</w:t>
            </w:r>
          </w:p>
        </w:tc>
      </w:tr>
      <w:tr>
        <w:trPr>
          <w:trHeight w:val="38"/>
        </w:trPr>
        <w:tc>
          <w:tcPr>
            <w:tcW w:w="60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r>
      <w:tr>
        <w:trPr>
          <w:trHeight w:val="225"/>
        </w:trPr>
        <w:tc>
          <w:tcPr>
            <w:tcW w:w="60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Rodney Worthen</w:t>
            </w:r>
          </w:p>
        </w:tc>
      </w:tr>
      <w:tr>
        <w:trPr>
          <w:trHeight w:val="271"/>
        </w:trPr>
        <w:tc>
          <w:tcPr>
            <w:tcW w:w="606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71"/>
        </w:trPr>
        <w:tc>
          <w:tcPr>
            <w:tcW w:w="60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0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lvl w:ilvl="1">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amp;"/>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1."/>
      <w:numFmt w:val="decimal"/>
      <w:start w:val="7"/>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1)"/>
      <w:numFmt w:val="decimal"/>
      <w:start w:val="1"/>
    </w:lvl>
  </w:abstractNum>
  <w:abstractNum w:abstractNumId="48">
    <w:nsid w:val="98A3148"/>
    <w:multiLevelType w:val="hybridMultilevel"/>
    <w:lvl w:ilvl="0">
      <w:lvlJc w:val="left"/>
      <w:lvlText w:val="(%1)"/>
      <w:numFmt w:val="decimal"/>
      <w:start w:val="2"/>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decimal"/>
      <w:start w:val="9"/>
    </w:lvl>
  </w:abstractNum>
  <w:abstractNum w:abstractNumId="51">
    <w:nsid w:val="42C296BD"/>
    <w:multiLevelType w:val="hybridMultilevel"/>
    <w:lvl w:ilvl="0">
      <w:lvlJc w:val="left"/>
      <w:lvlText w:val="(%1)"/>
      <w:numFmt w:val="decimal"/>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1)"/>
      <w:numFmt w:val="lowerLetter"/>
      <w:start w:val="1"/>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1."/>
      <w:numFmt w:val="decimal"/>
      <w:start w:val="1"/>
    </w:lvl>
    <w:lvl w:ilvl="1">
      <w:lvlJc w:val="left"/>
      <w:lvlText w:val="(%2)"/>
      <w:numFmt w:val="lowerLetter"/>
      <w:start w:val="1"/>
    </w:lvl>
  </w:abstractNum>
  <w:abstractNum w:abstractNumId="59">
    <w:nsid w:val="613EFDC5"/>
    <w:multiLevelType w:val="hybridMultilevel"/>
    <w:lvl w:ilvl="0">
      <w:lvlJc w:val="left"/>
      <w:lvlText w:val="%1"/>
      <w:numFmt w:val="decimal"/>
      <w:start w:val="1"/>
    </w:lvl>
    <w:lvl w:ilvl="1">
      <w:lvlJc w:val="left"/>
      <w:lvlText w:val="(%2)"/>
      <w:numFmt w:val="lowerLetter"/>
      <w:start w:val="4"/>
    </w:lvl>
  </w:abstractNum>
  <w:abstractNum w:abstractNumId="60">
    <w:nsid w:val="BF72B14"/>
    <w:multiLevelType w:val="hybridMultilevel"/>
    <w:lvl w:ilvl="0">
      <w:lvlJc w:val="left"/>
      <w:lvlText w:val="%1."/>
      <w:numFmt w:val="decimal"/>
      <w:start w:val="3"/>
    </w:lvl>
    <w:lvl w:ilvl="1">
      <w:lvlJc w:val="left"/>
      <w:lvlText w:val="%2"/>
      <w:numFmt w:val="lowerLetter"/>
      <w:start w:val="1"/>
    </w:lvl>
  </w:abstractNum>
  <w:abstractNum w:abstractNumId="61">
    <w:nsid w:val="11447B73"/>
    <w:multiLevelType w:val="hybridMultilevel"/>
    <w:lvl w:ilvl="0">
      <w:lvlJc w:val="left"/>
      <w:lvlText w:val="%1."/>
      <w:numFmt w:val="decimal"/>
      <w:start w:val="4"/>
    </w:lvl>
    <w:lvl w:ilvl="1">
      <w:lvlJc w:val="left"/>
      <w:lvlText w:val="(%2)"/>
      <w:numFmt w:val="lowerLetter"/>
      <w:start w:val="1"/>
    </w:lvl>
  </w:abstractNum>
  <w:abstractNum w:abstractNumId="62">
    <w:nsid w:val="42963E5A"/>
    <w:multiLevelType w:val="hybridMultilevel"/>
    <w:lvl w:ilvl="0">
      <w:lvlJc w:val="left"/>
      <w:lvlText w:val="%1"/>
      <w:numFmt w:val="decimal"/>
      <w:start w:val="1"/>
    </w:lvl>
    <w:lvl w:ilvl="1">
      <w:lvlJc w:val="left"/>
      <w:lvlText w:val="(%2)"/>
      <w:numFmt w:val="lowerLetter"/>
      <w:start w:val="2"/>
    </w:lvl>
  </w:abstractNum>
  <w:abstractNum w:abstractNumId="63">
    <w:nsid w:val="A0382C5"/>
    <w:multiLevelType w:val="hybridMultilevel"/>
    <w:lvl w:ilvl="0">
      <w:lvlJc w:val="left"/>
      <w:lvlText w:val="%1."/>
      <w:numFmt w:val="decimal"/>
      <w:start w:val="6"/>
    </w:lvl>
    <w:lvl w:ilvl="1">
      <w:lvlJc w:val="left"/>
      <w:lvlText w:val="%2"/>
      <w:numFmt w:val="lowerLetter"/>
      <w:start w:val="1"/>
    </w:lvl>
  </w:abstractNum>
  <w:abstractNum w:abstractNumId="64">
    <w:nsid w:val="8F2B15E"/>
    <w:multiLevelType w:val="hybridMultilevel"/>
    <w:lvl w:ilvl="0">
      <w:lvlJc w:val="left"/>
      <w:lvlText w:val="%1."/>
      <w:numFmt w:val="decimal"/>
      <w:start w:val="9"/>
    </w:lvl>
    <w:lvl w:ilvl="1">
      <w:lvlJc w:val="left"/>
      <w:lvlText w:val="(%2)"/>
      <w:numFmt w:val="lowerLetter"/>
      <w:start w:val="1"/>
    </w:lvl>
  </w:abstractNum>
  <w:abstractNum w:abstractNumId="65">
    <w:nsid w:val="1A32234B"/>
    <w:multiLevelType w:val="hybridMultilevel"/>
    <w:lvl w:ilvl="0">
      <w:lvlJc w:val="left"/>
      <w:lvlText w:val="(%1)"/>
      <w:numFmt w:val="lowerLetter"/>
      <w:start w:val="5"/>
    </w:lvl>
  </w:abstractNum>
  <w:abstractNum w:abstractNumId="66">
    <w:nsid w:val="3B0FD379"/>
    <w:multiLevelType w:val="hybridMultilevel"/>
    <w:lvl w:ilvl="0">
      <w:lvlJc w:val="left"/>
      <w:lvlText w:val="%1"/>
      <w:numFmt w:val="lowerLetter"/>
      <w:start w:val="1"/>
    </w:lvl>
    <w:lvl w:ilvl="1">
      <w:lvlJc w:val="left"/>
      <w:lvlText w:val="(%2)"/>
      <w:numFmt w:val="lowerLetter"/>
      <w:start w:val="7"/>
    </w:lvl>
  </w:abstractNum>
  <w:abstractNum w:abstractNumId="67">
    <w:nsid w:val="68EB2F63"/>
    <w:multiLevelType w:val="hybridMultilevel"/>
    <w:lvl w:ilvl="0">
      <w:lvlJc w:val="left"/>
      <w:lvlText w:val="(%1)"/>
      <w:numFmt w:val="lowerLetter"/>
      <w:start w:val="9"/>
    </w:lvl>
    <w:lvl w:ilvl="1">
      <w:lvlJc w:val="left"/>
      <w:lvlText w:val="(%2)"/>
      <w:numFmt w:val="lowerLetter"/>
      <w:start w:val="8"/>
    </w:lvl>
  </w:abstractNum>
  <w:abstractNum w:abstractNumId="68">
    <w:nsid w:val="4962813B"/>
    <w:multiLevelType w:val="hybridMultilevel"/>
    <w:lvl w:ilvl="0">
      <w:lvlJc w:val="left"/>
      <w:lvlText w:val="%1."/>
      <w:numFmt w:val="upperLetter"/>
      <w:start w:val="1"/>
    </w:lvl>
  </w:abstractNum>
  <w:abstractNum w:abstractNumId="69">
    <w:nsid w:val="60B6DF70"/>
    <w:multiLevelType w:val="hybridMultilevel"/>
    <w:lvl w:ilvl="0">
      <w:lvlJc w:val="left"/>
      <w:lvlText w:val="%1."/>
      <w:numFmt w:val="upperLetter"/>
      <w:start w:val="11"/>
    </w:lvl>
  </w:abstractNum>
  <w:abstractNum w:abstractNumId="70">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1">
    <w:nsid w:val="14330624"/>
    <w:multiLevelType w:val="hybridMultilevel"/>
    <w:lvl w:ilvl="0">
      <w:lvlJc w:val="left"/>
      <w:lvlText w:val="%1"/>
      <w:numFmt w:val="lowerLetter"/>
      <w:start w:val="1"/>
    </w:lvl>
    <w:lvl w:ilvl="1">
      <w:lvlJc w:val="left"/>
      <w:lvlText w:val="(%2)"/>
      <w:numFmt w:val="lowerRoman"/>
      <w:start w:val="2"/>
    </w:lvl>
  </w:abstractNum>
  <w:abstractNum w:abstractNumId="72">
    <w:nsid w:val="7FFFCA11"/>
    <w:multiLevelType w:val="hybridMultilevel"/>
    <w:lvl w:ilvl="0">
      <w:lvlJc w:val="left"/>
      <w:lvlText w:val="(%1)"/>
      <w:numFmt w:val="lowerLetter"/>
      <w:start w:val="2"/>
    </w:lvl>
    <w:lvl w:ilvl="1">
      <w:lvlJc w:val="left"/>
      <w:lvlText w:val="%2"/>
      <w:numFmt w:val="lowerRoman"/>
      <w:start w:val="1"/>
    </w:lvl>
  </w:abstractNum>
  <w:abstractNum w:abstractNumId="73">
    <w:nsid w:val="1A27709E"/>
    <w:multiLevelType w:val="hybridMultilevel"/>
    <w:lvl w:ilvl="0">
      <w:lvlJc w:val="left"/>
      <w:lvlText w:val="(%1)"/>
      <w:numFmt w:val="lowerLetter"/>
      <w:start w:val="4"/>
    </w:lvl>
  </w:abstractNum>
  <w:abstractNum w:abstractNumId="74">
    <w:nsid w:val="71EA1109"/>
    <w:multiLevelType w:val="hybridMultilevel"/>
    <w:lvl w:ilvl="0">
      <w:lvlJc w:val="left"/>
      <w:lvlText w:val="(%1)"/>
      <w:numFmt w:val="lowerLetter"/>
      <w:start w:val="9"/>
    </w:lvl>
  </w:abstractNum>
  <w:abstractNum w:abstractNumId="75">
    <w:nsid w:val="100F59DC"/>
    <w:multiLevelType w:val="hybridMultilevel"/>
    <w:lvl w:ilvl="0">
      <w:lvlJc w:val="left"/>
      <w:lvlText w:val="%1"/>
      <w:numFmt w:val="lowerLetter"/>
      <w:start w:val="1"/>
    </w:lvl>
    <w:lvl w:ilvl="1">
      <w:lvlJc w:val="left"/>
      <w:lvlText w:val="%2."/>
      <w:numFmt w:val="decimal"/>
      <w:start w:val="2"/>
    </w:lvl>
  </w:abstractNum>
  <w:abstractNum w:abstractNumId="76">
    <w:nsid w:val="7FB7E0AA"/>
    <w:multiLevelType w:val="hybridMultilevel"/>
    <w:lvl w:ilvl="0">
      <w:lvlJc w:val="left"/>
      <w:lvlText w:val="(%1)"/>
      <w:numFmt w:val="lowerLetter"/>
      <w:start w:val="1"/>
    </w:lvl>
    <w:lvl w:ilvl="1">
      <w:lvlJc w:val="left"/>
      <w:lvlText w:val="%2."/>
      <w:numFmt w:val="decimal"/>
      <w:start w:val="5"/>
    </w:lvl>
  </w:abstractNum>
  <w:abstractNum w:abstractNumId="77">
    <w:nsid w:val="6EB5BD4"/>
    <w:multiLevelType w:val="hybridMultilevel"/>
    <w:lvl w:ilvl="0">
      <w:lvlJc w:val="left"/>
      <w:lvlText w:val="%1."/>
      <w:numFmt w:val="decimal"/>
      <w:start w:val="6"/>
    </w:lvl>
    <w:lvl w:ilvl="1">
      <w:lvlJc w:val="left"/>
      <w:lvlText w:val="(%2)"/>
      <w:numFmt w:val="lowerLetter"/>
      <w:start w:val="1"/>
    </w:lvl>
  </w:abstractNum>
  <w:abstractNum w:abstractNumId="78">
    <w:nsid w:val="6F6DD9AC"/>
    <w:multiLevelType w:val="hybridMultilevel"/>
    <w:lvl w:ilvl="0">
      <w:lvlJc w:val="left"/>
      <w:lvlText w:val="%1"/>
      <w:numFmt w:val="decimal"/>
      <w:start w:val="1"/>
    </w:lvl>
    <w:lvl w:ilvl="1">
      <w:lvlJc w:val="left"/>
      <w:lvlText w:val="(%2)"/>
      <w:numFmt w:val="lowerLetter"/>
      <w:start w:val="3"/>
    </w:lvl>
  </w:abstractNum>
  <w:abstractNum w:abstractNumId="79">
    <w:nsid w:val="94211F2"/>
    <w:multiLevelType w:val="hybridMultilevel"/>
    <w:lvl w:ilvl="0">
      <w:lvlJc w:val="left"/>
      <w:lvlText w:val="%1."/>
      <w:numFmt w:val="decimal"/>
      <w:start w:val="9"/>
    </w:lvl>
    <w:lvl w:ilvl="1">
      <w:lvlJc w:val="left"/>
      <w:lvlText w:val="%2"/>
      <w:numFmt w:val="lowerLetter"/>
      <w:start w:val="1"/>
    </w:lvl>
  </w:abstractNum>
  <w:abstractNum w:abstractNumId="80">
    <w:nsid w:val="885E1B"/>
    <w:multiLevelType w:val="hybridMultilevel"/>
    <w:lvl w:ilvl="0">
      <w:lvlJc w:val="left"/>
      <w:lvlText w:val="%1"/>
      <w:numFmt w:val="decimal"/>
      <w:start w:val="1"/>
    </w:lvl>
    <w:lvl w:ilvl="1">
      <w:lvlJc w:val="left"/>
      <w:lvlText w:val="(%2)"/>
      <w:numFmt w:val="lowerLetter"/>
      <w:start w:val="1"/>
    </w:lvl>
  </w:abstractNum>
  <w:abstractNum w:abstractNumId="81">
    <w:nsid w:val="76272110"/>
    <w:multiLevelType w:val="hybridMultilevel"/>
    <w:lvl w:ilvl="0">
      <w:lvlJc w:val="left"/>
      <w:lvlText w:val="%1."/>
      <w:numFmt w:val="decimal"/>
      <w:start w:val="10"/>
    </w:lvl>
    <w:lvl w:ilvl="1">
      <w:lvlJc w:val="left"/>
      <w:lvlText w:val="%2"/>
      <w:numFmt w:val="lowerLetter"/>
      <w:start w:val="1"/>
    </w:lvl>
  </w:abstractNum>
  <w:abstractNum w:abstractNumId="82">
    <w:nsid w:val="4C04A8AF"/>
    <w:multiLevelType w:val="hybridMultilevel"/>
    <w:lvl w:ilvl="0">
      <w:lvlJc w:val="left"/>
      <w:lvlText w:val="%1."/>
      <w:numFmt w:val="decimal"/>
      <w:start w:val="13"/>
    </w:lvl>
  </w:abstractNum>
  <w:abstractNum w:abstractNumId="83">
    <w:nsid w:val="1716703B"/>
    <w:multiLevelType w:val="hybridMultilevel"/>
    <w:lvl w:ilvl="0">
      <w:lvlJc w:val="left"/>
      <w:lvlText w:val="%1."/>
      <w:numFmt w:val="decimal"/>
      <w:start w:val="16"/>
    </w:lvl>
    <w:lvl w:ilvl="1">
      <w:lvlJc w:val="left"/>
      <w:lvlText w:val="(%2)"/>
      <w:numFmt w:val="lowerLetter"/>
      <w:start w:val="1"/>
    </w:lvl>
  </w:abstractNum>
  <w:abstractNum w:abstractNumId="84">
    <w:nsid w:val="14E17E33"/>
    <w:multiLevelType w:val="hybridMultilevel"/>
    <w:lvl w:ilvl="0">
      <w:lvlJc w:val="left"/>
      <w:lvlText w:val="%1."/>
      <w:numFmt w:val="decimal"/>
      <w:start w:val="19"/>
    </w:lvl>
    <w:lvl w:ilvl="1">
      <w:lvlJc w:val="left"/>
      <w:lvlText w:val="(%2)"/>
      <w:numFmt w:val="lowerLetter"/>
      <w:start w:val="1"/>
    </w:lvl>
  </w:abstractNum>
  <w:abstractNum w:abstractNumId="85">
    <w:nsid w:val="3222E7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decimal"/>
      <w:start w:val="1"/>
    </w:lvl>
  </w:abstractNum>
  <w:abstractNum w:abstractNumId="86">
    <w:nsid w:val="74DE0EE3"/>
    <w:multiLevelType w:val="hybridMultilevel"/>
    <w:lvl w:ilvl="0">
      <w:lvlJc w:val="left"/>
      <w:lvlText w:val="%1"/>
      <w:numFmt w:val="lowerLetter"/>
      <w:start w:val="1"/>
    </w:lvl>
    <w:lvl w:ilvl="1">
      <w:lvlJc w:val="left"/>
      <w:lvlText w:val="%2."/>
      <w:numFmt w:val="decimal"/>
      <w:start w:val="23"/>
    </w:lvl>
    <w:lvl w:ilvl="2">
      <w:lvlJc w:val="left"/>
      <w:lvlText w:val="%3"/>
      <w:numFmt w:val="lowerLetter"/>
      <w:start w:val="1"/>
    </w:lvl>
    <w:lvl w:ilvl="3">
      <w:lvlJc w:val="left"/>
      <w:lvlText w:val="%4"/>
      <w:numFmt w:val="decimal"/>
      <w:start w:val="1"/>
    </w:lvl>
  </w:abstractNum>
  <w:abstractNum w:abstractNumId="87">
    <w:nsid w:val="68EBC550"/>
    <w:multiLevelType w:val="hybridMultilevel"/>
    <w:lvl w:ilvl="0">
      <w:lvlJc w:val="left"/>
      <w:lvlText w:val="(%1)"/>
      <w:numFmt w:val="lowerLetter"/>
      <w:start w:val="3"/>
    </w:lvl>
    <w:lvl w:ilvl="1">
      <w:lvlJc w:val="left"/>
      <w:lvlText w:val="%2."/>
      <w:numFmt w:val="decimal"/>
      <w:start w:val="24"/>
    </w:lvl>
    <w:lvl w:ilvl="2">
      <w:lvlJc w:val="left"/>
      <w:lvlText w:val="%3"/>
      <w:numFmt w:val="lowerLetter"/>
      <w:start w:val="1"/>
    </w:lvl>
    <w:lvl w:ilvl="3">
      <w:lvlJc w:val="left"/>
      <w:lvlText w:val="%4."/>
      <w:numFmt w:val="decimal"/>
      <w:start w:val="25"/>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09" Type="http://schemas.openxmlformats.org/officeDocument/2006/relationships/hyperlink" Target="http://www.sec.gov/Archives/edgar/data/1760689/000121390021039093/ea144448ex3-1_microvast.htm" TargetMode="External"/><Relationship Id="rId210" Type="http://schemas.openxmlformats.org/officeDocument/2006/relationships/hyperlink" Target="http://www.sec.gov/Archives/edgar/data/1760689/000121390021039093/ea144448ex3-2_microvast.htm" TargetMode="External"/><Relationship Id="rId211" Type="http://schemas.openxmlformats.org/officeDocument/2006/relationships/hyperlink" Target="https://www.sec.gov/Archives/edgar/data/1760689/000176068924000007/mvst20221231-ex412.htm" TargetMode="External"/><Relationship Id="rId212" Type="http://schemas.openxmlformats.org/officeDocument/2006/relationships/hyperlink" Target="http://www.sec.gov/Archives/edgar/data/1760689/000121390021039093/ea144448ex4-4_microvast.htm" TargetMode="External"/><Relationship Id="rId213" Type="http://schemas.openxmlformats.org/officeDocument/2006/relationships/hyperlink" Target="http://www.sec.gov/Archives/edgar/data/1760689/000121390021039093/ea144448ex4-5_microvast.htm" TargetMode="External"/><Relationship Id="rId214" Type="http://schemas.openxmlformats.org/officeDocument/2006/relationships/hyperlink" Target="http://www.sec.gov/Archives/edgar/data/1760689/000121390019003155/fs12018a1ex4-4_tuscanhold.htm" TargetMode="External"/><Relationship Id="rId215" Type="http://schemas.openxmlformats.org/officeDocument/2006/relationships/hyperlink" Target="http://www.sec.gov/Archives/edgar/data/1760689/000121390021039093/ea144448ex4-1_microvast.htm" TargetMode="External"/><Relationship Id="rId216" Type="http://schemas.openxmlformats.org/officeDocument/2006/relationships/hyperlink" Target="http://www.sec.gov/Archives/edgar/data/1760689/000121390021039093/ea144448ex4-2_microvast.htm" TargetMode="External"/><Relationship Id="rId217" Type="http://schemas.openxmlformats.org/officeDocument/2006/relationships/hyperlink" Target="https://www.sec.gov/Archives/edgar/data/1760689/000176068924000021/wu_microvast-warrant.htm" TargetMode="External"/><Relationship Id="rId218" Type="http://schemas.openxmlformats.org/officeDocument/2006/relationships/hyperlink" Target="http://www.sec.gov/Archives/edgar/data/1760689/000121390021039093/ea144448ex10-1_microvast.htm" TargetMode="External"/><Relationship Id="rId219" Type="http://schemas.openxmlformats.org/officeDocument/2006/relationships/hyperlink" Target="http://www.sec.gov/Archives/edgar/data/1760689/000121390021039093/ea144448ex10-2_microvast.htm" TargetMode="External"/><Relationship Id="rId220" Type="http://schemas.openxmlformats.org/officeDocument/2006/relationships/hyperlink" Target="http://www.sec.gov/Archives/edgar/data/1760689/000121390021039093/ea144448ex10-4_microvast.htm" TargetMode="External"/><Relationship Id="rId221" Type="http://schemas.openxmlformats.org/officeDocument/2006/relationships/hyperlink" Target="https://www.sec.gov/Archives/edgar/data/1760689/000094787124000810/ss4006749_ex1001.htm" TargetMode="External"/><Relationship Id="rId222" Type="http://schemas.openxmlformats.org/officeDocument/2006/relationships/hyperlink" Target="http://www.sec.gov/Archives/edgar/data/1760689/000094787121001035/ss509645_ex9901.htm" TargetMode="External"/><Relationship Id="rId223" Type="http://schemas.openxmlformats.org/officeDocument/2006/relationships/hyperlink" Target="http://www.sec.gov/Archives/edgar/data/1760689/000121390019003155/fs12018a1ex10-6_tuscanhold.htm" TargetMode="External"/><Relationship Id="rId226" Type="http://schemas.openxmlformats.org/officeDocument/2006/relationships/hyperlink" Target="http://www.sec.gov/Archives/edgar/data/1760689/000121390021039093/ea144448ex10-13_microvast.htm" TargetMode="External"/><Relationship Id="rId227" Type="http://schemas.openxmlformats.org/officeDocument/2006/relationships/hyperlink" Target="http://www.sec.gov/Archives/edgar/data/1760689/000121390021045930/ea146734ex99-1_microvast.htm" TargetMode="External"/><Relationship Id="rId228" Type="http://schemas.openxmlformats.org/officeDocument/2006/relationships/hyperlink" Target="http://www.sec.gov/Archives/edgar/data/1760689/000121390021045930/ea146734ex99-2_microvast.htm" TargetMode="External"/><Relationship Id="rId229" Type="http://schemas.openxmlformats.org/officeDocument/2006/relationships/hyperlink" Target="http://www.sec.gov/Archives/edgar/data/1760689/000121390021045930/ea146734ex99-3_microvast.htm" TargetMode="External"/><Relationship Id="rId230" Type="http://schemas.openxmlformats.org/officeDocument/2006/relationships/hyperlink" Target="https://www.sec.gov/Archives/edgar/data/1760689/000121390022015871/f10k2021ex10-15_microvast.htm" TargetMode="External"/><Relationship Id="rId231" Type="http://schemas.openxmlformats.org/officeDocument/2006/relationships/hyperlink" Target="https://www.sec.gov/Archives/edgar/data/1760689/000176068924000021/wu_microvast-loanandsecuri.htm" TargetMode="External"/><Relationship Id="rId232" Type="http://schemas.openxmlformats.org/officeDocument/2006/relationships/hyperlink" Target="https://www.sec.gov/Archives/edgar/data/1760689/000094787125000313/ss4588423_ex1001.htm" TargetMode="External"/><Relationship Id="rId233" Type="http://schemas.openxmlformats.org/officeDocument/2006/relationships/hyperlink" Target="https://www.sec.gov/Archives/edgar/data/1760689/000094787124000372/ss3260888_ex1001.htm" TargetMode="External"/><Relationship Id="rId234" Type="http://schemas.openxmlformats.org/officeDocument/2006/relationships/hyperlink" Target="https://www.sec.gov/Archives/edgar/data/1760689/000176068924000021/wu_microvast-pledgeagreeme.htm" TargetMode="External"/><Relationship Id="rId235" Type="http://schemas.openxmlformats.org/officeDocument/2006/relationships/hyperlink" Target="https://www.sec.gov/Archives/edgar/data/1760689/000176068922000026/formofoptionawardagreement.htm" TargetMode="External"/><Relationship Id="rId236" Type="http://schemas.openxmlformats.org/officeDocument/2006/relationships/hyperlink" Target="https://www.sec.gov/Archives/edgar/data/1760689/000176068922000094/exhibit101-syndicatedloana.htm" TargetMode="External"/><Relationship Id="rId237" Type="http://schemas.openxmlformats.org/officeDocument/2006/relationships/hyperlink" Target="https://www.sec.gov/Archives/edgar/data/1760689/000094787123000839/ss2362436_ex1002.htm" TargetMode="External"/><Relationship Id="rId238" Type="http://schemas.openxmlformats.org/officeDocument/2006/relationships/hyperlink" Target="https://www.sec.gov/Archives/edgar/data/1760689/000176068924000021/wu_microvast-guarantyagree.htm" TargetMode="External"/><Relationship Id="rId239" Type="http://schemas.openxmlformats.org/officeDocument/2006/relationships/hyperlink" Target="https://www.sec.gov/Archives/edgar/data/1760689/000094787125000881/ss5415550_ex0101.htm" TargetMode="External"/><Relationship Id="rId240" Type="http://schemas.openxmlformats.org/officeDocument/2006/relationships/hyperlink" Target="https://www.sec.gov/Archives/edgar/data/1760689/000176068925000010/mvst20241231-ex191.htm" TargetMode="External"/><Relationship Id="rId244" Type="http://schemas.openxmlformats.org/officeDocument/2006/relationships/hyperlink" Target="https://www.sec.gov/Archives/edgar/data/1760689/000176068924000007/mvst-ar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2026-03-16T16:42:11Z</dcterms:created>
  <dcterms:modified xsi:type="dcterms:W3CDTF">2026-03-16T16:42:11Z</dcterms:modified>
</cp:coreProperties>
</file>