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No.1</w:t>
      </w:r>
    </w:p>
    <w:p>
      <w:pPr>
        <w:spacing w:after="0" w:line="174"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85"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from_______to_______</w:t>
      </w:r>
    </w:p>
    <w:p>
      <w:pPr>
        <w:spacing w:after="0" w:line="25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001-38826</w:t>
      </w:r>
    </w:p>
    <w:p>
      <w:pPr>
        <w:spacing w:after="0" w:line="18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240" w:type="dxa"/>
            <w:vAlign w:val="bottom"/>
            <w:gridSpan w:val="3"/>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83-2530757</w:t>
            </w:r>
          </w:p>
        </w:tc>
        <w:tc>
          <w:tcPr>
            <w:tcW w:w="0" w:type="dxa"/>
            <w:vAlign w:val="bottom"/>
          </w:tcPr>
          <w:p>
            <w:pPr>
              <w:spacing w:after="0"/>
              <w:rPr>
                <w:sz w:val="1"/>
                <w:szCs w:val="1"/>
                <w:color w:val="auto"/>
              </w:rPr>
            </w:pPr>
          </w:p>
        </w:tc>
      </w:tr>
      <w:tr>
        <w:trPr>
          <w:trHeight w:val="243"/>
        </w:trPr>
        <w:tc>
          <w:tcPr>
            <w:tcW w:w="500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86"/>
        </w:trPr>
        <w:tc>
          <w:tcPr>
            <w:tcW w:w="5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6240" w:type="dxa"/>
            <w:vAlign w:val="bottom"/>
            <w:gridSpan w:val="3"/>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77477</w:t>
            </w:r>
          </w:p>
        </w:tc>
        <w:tc>
          <w:tcPr>
            <w:tcW w:w="0" w:type="dxa"/>
            <w:vAlign w:val="bottom"/>
          </w:tcPr>
          <w:p>
            <w:pPr>
              <w:spacing w:after="0"/>
              <w:rPr>
                <w:sz w:val="1"/>
                <w:szCs w:val="1"/>
                <w:color w:val="auto"/>
              </w:rPr>
            </w:pPr>
          </w:p>
        </w:tc>
      </w:tr>
      <w:tr>
        <w:trPr>
          <w:trHeight w:val="250"/>
        </w:trPr>
        <w:tc>
          <w:tcPr>
            <w:tcW w:w="5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Stafford, Texas</w:t>
            </w:r>
          </w:p>
        </w:tc>
        <w:tc>
          <w:tcPr>
            <w:tcW w:w="62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500"/>
        </w:trPr>
        <w:tc>
          <w:tcPr>
            <w:tcW w:w="5000" w:type="dxa"/>
            <w:vAlign w:val="bottom"/>
          </w:tcPr>
          <w:p>
            <w:pPr>
              <w:spacing w:after="0"/>
              <w:rPr>
                <w:sz w:val="24"/>
                <w:szCs w:val="24"/>
                <w:color w:val="auto"/>
              </w:rPr>
            </w:pPr>
          </w:p>
        </w:tc>
        <w:tc>
          <w:tcPr>
            <w:tcW w:w="6240" w:type="dxa"/>
            <w:vAlign w:val="bottom"/>
            <w:gridSpan w:val="3"/>
          </w:tcPr>
          <w:p>
            <w:pPr>
              <w:jc w:val="right"/>
              <w:ind w:right="4970"/>
              <w:spacing w:after="0"/>
              <w:rPr>
                <w:sz w:val="20"/>
                <w:szCs w:val="20"/>
                <w:color w:val="auto"/>
              </w:rPr>
            </w:pPr>
            <w:r>
              <w:rPr>
                <w:rFonts w:ascii="Times New Roman" w:cs="Times New Roman" w:eastAsia="Times New Roman" w:hAnsi="Times New Roman"/>
                <w:sz w:val="18"/>
                <w:szCs w:val="18"/>
                <w:b w:val="1"/>
                <w:bCs w:val="1"/>
                <w:color w:val="auto"/>
              </w:rPr>
              <w:t>(281) 491-9505</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73"/>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4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MVST</w:t>
            </w: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5"/>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Redeemable warrants, exercisable for shares of common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MVSTW</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 at an exercise price of $11.50 per share</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108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820"/>
        <w:spacing w:after="0" w:line="52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As of August 5, 2024, there were 323,815,298 shares of the Company’s common stock, par value $0.0001, issued and outstanding.</w:t>
      </w:r>
    </w:p>
    <w:p>
      <w:pPr>
        <w:sectPr>
          <w:pgSz w:w="11900" w:h="17031" w:orient="portrait"/>
          <w:cols w:equalWidth="0" w:num="1">
            <w:col w:w="11240"/>
          </w:cols>
          <w:pgMar w:left="320" w:top="229" w:right="339" w:bottom="0" w:gutter="0" w:footer="0" w:header="0"/>
        </w:sectPr>
      </w:pPr>
    </w:p>
    <w:bookmarkStart w:id="1" w:name="page2"/>
    <w:bookmarkEnd w:id="1"/>
    <w:p>
      <w:pPr>
        <w:spacing w:after="0" w:line="52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Microvast Holdings, Inc. (the “Company,” “we,” “us,” or “our”) is filing this Amendment No. 1 on Form 10-Q/A (this “Amendment”) to amend our Quarterly Report on Form 10-Q for the quarter ended June 30, 2024, originally filed with the Securities and Exchange Commission (the “SEC”) on August 9, 2024 (the “Original Form 10-Q”). The Company is filing this Amendment to restate its unaudited consolidated financial statements, financial data, and related disclosures as of and for the three and six-month period ended June 30, 2024 (the “Restatement”), to reflect an adjustment to the previously recorded impairment associated with the Company’s industrial facility located in Clarksville, Tennessee (the “Clarksville Property”), as discussed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Unaudited Consolidated Financial Statements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year-end closing process, the Company identified a discrepancy in its Q2 2024 impairment assessment related to the Clarksville Property. A third-party valuation had been conducted at the time for the asset group of the Clarksville Property including building and auxiliary machinery such as clean rooms and other assets. However, in calculating the carrying value of the asset group, the Company inadvertently excluded the clean rooms from the calculation. Since the carrying value of the asset group did not reflect the full asset base, the excess amount of carrying value over fair value was understated, leading to an understatement of the impairment charge recorded in the three-month period ended June 30, 2024.</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determined that an additional impairment charge of $23.1 million should have been recorded in the three-month period ended June 30, 2024, increasing the total impairment charge from $64.9 million to $88.0 million. This adjustment aligns the carrying value of the Clarksville Property with the valuation scope of the third-party appraisal and ensures consistency in the impairment assessment.</w:t>
      </w:r>
    </w:p>
    <w:p>
      <w:pPr>
        <w:spacing w:after="0" w:line="21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2 to the financial statements included in this Amendment, we have restated our previously issued unaudited consolidated financial statements to reflect this correction. The Restatement primarily impacts non-cash items, including the impairment charge related to long-lived assets, and does not impact the Company's ongoing operations or liquidity.</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effects of the Restatement on the unaudited consolidated financial statements as of and for the three and six-month period ended June 30,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 except per share data</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560" w:type="dxa"/>
            <w:vAlign w:val="bottom"/>
          </w:tcPr>
          <w:p>
            <w:pPr>
              <w:spacing w:after="0"/>
              <w:rPr>
                <w:sz w:val="19"/>
                <w:szCs w:val="19"/>
                <w:color w:val="auto"/>
              </w:rPr>
            </w:pPr>
          </w:p>
        </w:tc>
        <w:tc>
          <w:tcPr>
            <w:tcW w:w="33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280" w:type="dxa"/>
            <w:vAlign w:val="bottom"/>
            <w:gridSpan w:val="2"/>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3"/>
        </w:trPr>
        <w:tc>
          <w:tcPr>
            <w:tcW w:w="45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8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8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(64,912)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(88,027)</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(64,912)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(88,027)</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(78,441)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(101,556)</w:t>
            </w:r>
          </w:p>
        </w:tc>
        <w:tc>
          <w:tcPr>
            <w:tcW w:w="80" w:type="dxa"/>
            <w:vAlign w:val="bottom"/>
          </w:tcPr>
          <w:p>
            <w:pPr>
              <w:spacing w:after="0"/>
              <w:rPr>
                <w:sz w:val="19"/>
                <w:szCs w:val="19"/>
                <w:color w:val="auto"/>
              </w:rPr>
            </w:pP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(103,266)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(126,381)</w:t>
            </w:r>
          </w:p>
        </w:tc>
      </w:tr>
      <w:tr>
        <w:trPr>
          <w:trHeight w:val="270"/>
        </w:trPr>
        <w:tc>
          <w:tcPr>
            <w:tcW w:w="45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8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(78,441)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(101,556)</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(103,266)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(126,381)</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8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0"/>
                <w:szCs w:val="20"/>
                <w:color w:val="auto"/>
              </w:rPr>
            </w:pP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(0.33)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751"/>
        </w:trPr>
        <w:tc>
          <w:tcPr>
            <w:tcW w:w="4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23"/>
        </w:trPr>
        <w:tc>
          <w:tcPr>
            <w:tcW w:w="4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Statement of Cash Flows</w:t>
            </w:r>
          </w:p>
        </w:tc>
        <w:tc>
          <w:tcPr>
            <w:tcW w:w="1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(103,266)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(126,381)</w:t>
            </w: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from long-lived asset</w:t>
            </w:r>
          </w:p>
        </w:tc>
        <w:tc>
          <w:tcPr>
            <w:tcW w:w="18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64,912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88,027</w:t>
            </w:r>
          </w:p>
        </w:tc>
      </w:tr>
    </w:tbl>
    <w:p>
      <w:pPr>
        <w:spacing w:after="0" w:line="200" w:lineRule="exact"/>
        <w:rPr>
          <w:sz w:val="20"/>
          <w:szCs w:val="20"/>
          <w:color w:val="auto"/>
        </w:rPr>
      </w:pPr>
    </w:p>
    <w:p>
      <w:pPr>
        <w:spacing w:after="0" w:line="31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1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Accumulated</w:t>
      </w:r>
    </w:p>
    <w:p>
      <w:pPr>
        <w:ind w:left="934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062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Statements of Changes in Shareholders' Equity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March 31, 2024</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Statements of Changes in Shareholders' Equity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Sheet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8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9"/>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(922,326)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(922,326)</w:t>
            </w:r>
          </w:p>
        </w:tc>
      </w:tr>
      <w:tr>
        <w:trPr>
          <w:trHeight w:val="230"/>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(78,441)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(101,556)</w:t>
            </w:r>
          </w:p>
        </w:tc>
      </w:tr>
      <w:tr>
        <w:trPr>
          <w:trHeight w:val="234"/>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(1,000,767)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-290830</wp:posOffset>
            </wp:positionV>
            <wp:extent cx="71062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Accumulated</w:t>
      </w:r>
    </w:p>
    <w:p>
      <w:pPr>
        <w:ind w:left="140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13335</wp:posOffset>
            </wp:positionV>
            <wp:extent cx="7106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18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30"/>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(897,501)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(897,501)</w:t>
            </w:r>
          </w:p>
        </w:tc>
      </w:tr>
      <w:tr>
        <w:trPr>
          <w:trHeight w:val="229"/>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(103,266)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(126,381)</w:t>
            </w:r>
          </w:p>
        </w:tc>
      </w:tr>
      <w:tr>
        <w:trPr>
          <w:trHeight w:val="234"/>
        </w:trPr>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(1,000,767)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-290830</wp:posOffset>
            </wp:positionV>
            <wp:extent cx="710628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19685</wp:posOffset>
            </wp:positionV>
            <wp:extent cx="71062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32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As Reported</w:t>
      </w:r>
      <w:r>
        <w:rPr>
          <w:sz w:val="20"/>
          <w:szCs w:val="20"/>
          <w:color w:val="auto"/>
        </w:rPr>
        <w:tab/>
      </w:r>
      <w:r>
        <w:rPr>
          <w:rFonts w:ascii="Times New Roman" w:cs="Times New Roman" w:eastAsia="Times New Roman" w:hAnsi="Times New Roman"/>
          <w:sz w:val="18"/>
          <w:szCs w:val="18"/>
          <w:b w:val="1"/>
          <w:bCs w:val="1"/>
          <w:color w:val="auto"/>
        </w:rPr>
        <w:t>As Restated</w:t>
      </w:r>
    </w:p>
    <w:p>
      <w:pPr>
        <w:spacing w:after="0" w:line="31" w:lineRule="exact"/>
        <w:rPr>
          <w:sz w:val="20"/>
          <w:szCs w:val="20"/>
          <w:color w:val="auto"/>
        </w:rPr>
      </w:pPr>
    </w:p>
    <w:p>
      <w:pPr>
        <w:ind w:left="940"/>
        <w:spacing w:after="0"/>
        <w:tabs>
          <w:tab w:leader="none" w:pos="2600" w:val="left"/>
        </w:tabs>
        <w:rPr>
          <w:sz w:val="20"/>
          <w:szCs w:val="20"/>
          <w:color w:val="auto"/>
        </w:rPr>
      </w:pPr>
      <w:r>
        <w:rPr>
          <w:rFonts w:ascii="Times New Roman" w:cs="Times New Roman" w:eastAsia="Times New Roman" w:hAnsi="Times New Roman"/>
          <w:sz w:val="18"/>
          <w:szCs w:val="18"/>
          <w:color w:val="auto"/>
        </w:rPr>
        <w:t>519,432</w:t>
      </w:r>
      <w:r>
        <w:rPr>
          <w:sz w:val="20"/>
          <w:szCs w:val="20"/>
          <w:color w:val="auto"/>
        </w:rPr>
        <w:tab/>
      </w:r>
      <w:r>
        <w:rPr>
          <w:rFonts w:ascii="Times New Roman" w:cs="Times New Roman" w:eastAsia="Times New Roman" w:hAnsi="Times New Roman"/>
          <w:sz w:val="18"/>
          <w:szCs w:val="18"/>
          <w:color w:val="auto"/>
        </w:rPr>
        <w:t>496,317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14605</wp:posOffset>
            </wp:positionV>
            <wp:extent cx="710628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jc w:val="both"/>
        <w:ind w:left="720"/>
        <w:spacing w:after="0"/>
        <w:tabs>
          <w:tab w:leader="none" w:pos="2400" w:val="left"/>
        </w:tabs>
        <w:rPr>
          <w:sz w:val="20"/>
          <w:szCs w:val="20"/>
          <w:color w:val="auto"/>
        </w:rPr>
      </w:pPr>
      <w:r>
        <w:rPr>
          <w:rFonts w:ascii="Times New Roman" w:cs="Times New Roman" w:eastAsia="Times New Roman" w:hAnsi="Times New Roman"/>
          <w:sz w:val="18"/>
          <w:szCs w:val="18"/>
          <w:color w:val="auto"/>
        </w:rPr>
        <w:t>(1,000,767)</w:t>
      </w:r>
      <w:r>
        <w:rPr>
          <w:sz w:val="20"/>
          <w:szCs w:val="20"/>
          <w:color w:val="auto"/>
        </w:rPr>
        <w:tab/>
      </w:r>
      <w:r>
        <w:rPr>
          <w:rFonts w:ascii="Times New Roman" w:cs="Times New Roman" w:eastAsia="Times New Roman" w:hAnsi="Times New Roman"/>
          <w:sz w:val="18"/>
          <w:szCs w:val="18"/>
          <w:color w:val="auto"/>
        </w:rPr>
        <w:t>(1,023,882)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798830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220" w:space="720"/>
            <w:col w:w="328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and Internal Control Considerations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required to become SOX compliant as of December 31, 2024, and during the year we were in the process of designing and implementing appropriate SOX controls. As part of this process, during the fourth quarter of 2024, we strengthened controls over impairment assessment of long-lived assets by:</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a precise review of the calculation of the carrying value of the assets group used in the impairment assessment;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Reconciling the individual assets included in the assets group carrying value calculation to the valuation scope.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implementing the above controls effectively during the year-end closing process, we were able to identify the misstatement of impairment and have taken prompt action to amend the previously issued financial statements. We believe this material weakness identified as we implemented our SOX controls has been remediated for the period ended December 31, 2024.</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amends and restates Items 1, 2, and 4 of Part I and Item 6 of Part II of the Original Form 10-Q and no other information included in the Original Form 10-Q is amended hereby. Generally, no attempt has been made in this Amendment to modify or update the foregoing items, except as required to reflect the effects of the Restatement. Information not affected by the Restatement is unchanged and reflects the disclosures made at the time of the Original Form 10-Q. Accordingly, this Amendment should be read in conjunction with the Company’s filings made with the SEC subsequent to the Original Form 10-Q.</w:t>
      </w:r>
    </w:p>
    <w:p>
      <w:pPr>
        <w:spacing w:after="0" w:line="21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applicable SEC rules, this Amendment includes updated certifications from our Chief Executive Officer and Chief Financial Officer as Exhibits 31.1, 31.2, 32.1 and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9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Loss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Shareholders’ Equity</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This report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“anticipate,” “believe,” “continue,” “could,” “estimate,” “expect,” “intend,” “may,” “might,” “objective,” “plan,” “project,” “predict,” “outlook” “should,” “will,” “would,” or the negative of these terms, or other comparable terminology intended to identify statements about the future.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Report, the following factors, among others, could cause actual results and the timing of events to differ materially from the anticipated results or other expectations expressed in the forward-looking statements:</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going concern;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may not be able to execute our growth strategies or achieve profitability;</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will not be able to raise additional capital to execute our business plan, which may not be available on acceptable terms or at all, or pay our debts as they come due;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existing and any future credit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operations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mechanics liens filed by contractors that we do not have sufficient funds to pay;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existing and future litigation;</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increases in interest rates and associated Federal Reserve policies, a potential economic recession, and the impact of inflation on our business;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highly competitive market in which we compete, including with respect to our competitive landscape, technology evolution or regulatory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 of raw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including the ability to attract, hire and retain key employees and contract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awareness of environmental issues and concern about global warming and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secure or protect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or third-party suppliers are unable to meet their obligations fully or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will adjust, cancel or suspend their orders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product liability or regulatory lawsuits or proceedings relating to our products or services;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information technology and operational technology systems and practices to detect and defend against evolving cyberattacks;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laws regarding cybersecurity and data privacy, and any cybersecurity threat or event;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and associated cost of compliance with existing and future laws and governmental regulations, such as the Inflation Reduction Act;</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other impacts such as a pandemic, including global supply chain disruptions;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events, including the ongoing conflicts between Russia and Ukraine and between Israel and Hamas.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risk factors included in our Annual Report on Form 10-K for the year ended December 31, 2023 in Part I, Item 1A.</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78"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current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0" w:type="dxa"/>
            <w:vAlign w:val="bottom"/>
          </w:tcPr>
          <w:p>
            <w:pPr>
              <w:spacing w:after="0"/>
              <w:rPr>
                <w:sz w:val="1"/>
                <w:szCs w:val="1"/>
                <w:color w:val="auto"/>
              </w:rPr>
            </w:pPr>
          </w:p>
        </w:tc>
      </w:tr>
      <w:tr>
        <w:trPr>
          <w:trHeight w:val="24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$4,571 and $4,679 as of December 31, 2023 and June 30, 2024,</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104,976</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152,509</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0" w:type="dxa"/>
            <w:vAlign w:val="bottom"/>
          </w:tcPr>
          <w:p>
            <w:pPr>
              <w:spacing w:after="0"/>
              <w:rPr>
                <w:sz w:val="1"/>
                <w:szCs w:val="1"/>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Held-for-sale assets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30,097</w:t>
            </w:r>
          </w:p>
        </w:tc>
        <w:tc>
          <w:tcPr>
            <w:tcW w:w="0" w:type="dxa"/>
            <w:vAlign w:val="bottom"/>
          </w:tcPr>
          <w:p>
            <w:pPr>
              <w:spacing w:after="0"/>
              <w:rPr>
                <w:sz w:val="1"/>
                <w:szCs w:val="1"/>
                <w:color w:val="auto"/>
              </w:rPr>
            </w:pPr>
          </w:p>
        </w:tc>
      </w:tr>
      <w:tr>
        <w:trPr>
          <w:trHeight w:val="20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425,606</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418,049</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496,317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use rights,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19,601</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11,494</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1,096,732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961,444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79,891</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142,773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from customers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bank borrowings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60,034</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payables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403,410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372,549</w:t>
            </w:r>
          </w:p>
        </w:tc>
        <w:tc>
          <w:tcPr>
            <w:tcW w:w="0" w:type="dxa"/>
            <w:vAlign w:val="bottom"/>
          </w:tcPr>
          <w:p>
            <w:pPr>
              <w:spacing w:after="0"/>
              <w:rPr>
                <w:sz w:val="1"/>
                <w:szCs w:val="1"/>
                <w:color w:val="auto"/>
              </w:rPr>
            </w:pP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bonds payable</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bank borrowings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loan with shareholder</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40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532,542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506,456</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(par value of US$0.0001 per share, 750,000,000 and 750,000,000 shares authorized as of December 31,</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2023 and June 30, 2024; 316,694,442 and 317,197,947 shares issued, and 315,006,942 and 315,510,447 shares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December 31, 2023 and June 30, 2024)</w:t>
            </w:r>
          </w:p>
        </w:tc>
        <w:tc>
          <w:tcPr>
            <w:tcW w:w="2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1,506,031</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Statutory reserves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(1,023,882)</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564,190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454,988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1,096,732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961,444</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both"/>
        <w:ind w:left="2380" w:right="2360" w:hanging="8"/>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(In thousands of U.S. dollars, except share and per share data, or as otherwise noted)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7"/>
                <w:szCs w:val="17"/>
                <w:color w:val="auto"/>
              </w:rPr>
            </w:pPr>
          </w:p>
        </w:tc>
        <w:tc>
          <w:tcPr>
            <w:tcW w:w="27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20"/>
                <w:szCs w:val="20"/>
                <w:color w:val="auto"/>
              </w:rPr>
            </w:pPr>
          </w:p>
        </w:tc>
        <w:tc>
          <w:tcPr>
            <w:tcW w:w="27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5"/>
        </w:trPr>
        <w:tc>
          <w:tcPr>
            <w:tcW w:w="5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165,026</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(120,606)</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44,420</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(88,027)</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(167,548)</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(121,859)</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and convertible loan</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(126,381)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(26,078)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(101,556)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(126,381)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Microvast Holdings, Inc.'s shareholders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(101,556)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(55,670)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(126,381)</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calculating net loss per share of</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307,742,032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315,509,552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307,728,460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315,438,336</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40" w:type="dxa"/>
            <w:vAlign w:val="bottom"/>
          </w:tcPr>
          <w:p>
            <w:pPr>
              <w:spacing w:after="0"/>
              <w:rPr>
                <w:sz w:val="20"/>
                <w:szCs w:val="20"/>
                <w:color w:val="auto"/>
              </w:rPr>
            </w:pPr>
          </w:p>
        </w:tc>
        <w:tc>
          <w:tcPr>
            <w:tcW w:w="27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(133,992)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Microvast Holding,</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(43,973)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(104,050)</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(71,334)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(133,992)</w:t>
            </w: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Inc.'s shareholders</w:t>
            </w: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Microvast</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Holdings, Inc.</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84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restart"/>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vMerge w:val="restart"/>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80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Statutory</w:t>
            </w:r>
          </w:p>
        </w:tc>
        <w:tc>
          <w:tcPr>
            <w:tcW w:w="9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2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9"/>
                <w:szCs w:val="9"/>
                <w:color w:val="auto"/>
              </w:rPr>
            </w:pPr>
          </w:p>
        </w:tc>
        <w:tc>
          <w:tcPr>
            <w:tcW w:w="580" w:type="dxa"/>
            <w:vAlign w:val="bottom"/>
            <w:vMerge w:val="restart"/>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2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2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307,739,948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$ 1,434,221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605,829</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(26,078)</w:t>
            </w:r>
          </w:p>
        </w:tc>
        <w:tc>
          <w:tcPr>
            <w:tcW w:w="0" w:type="dxa"/>
            <w:vAlign w:val="bottom"/>
          </w:tcPr>
          <w:p>
            <w:pPr>
              <w:spacing w:after="0"/>
              <w:rPr>
                <w:sz w:val="1"/>
                <w:szCs w:val="1"/>
                <w:color w:val="auto"/>
              </w:rPr>
            </w:pPr>
          </w:p>
        </w:tc>
      </w:tr>
      <w:tr>
        <w:trPr>
          <w:trHeight w:val="146"/>
        </w:trPr>
        <w:tc>
          <w:tcPr>
            <w:tcW w:w="3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share-based awards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17,968</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(18,002)</w:t>
            </w: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307,938,943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$ 1,452,189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(846,835)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(33,745)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577,672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579,717</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33655</wp:posOffset>
            </wp:positionV>
            <wp:extent cx="1071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5" w:lineRule="exact"/>
        <w:rPr>
          <w:sz w:val="20"/>
          <w:szCs w:val="20"/>
          <w:color w:val="auto"/>
        </w:rPr>
      </w:pPr>
    </w:p>
    <w:p>
      <w:pPr>
        <w:ind w:left="3220"/>
        <w:spacing w:after="0"/>
        <w:tabs>
          <w:tab w:leader="none" w:pos="402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33655</wp:posOffset>
            </wp:positionV>
            <wp:extent cx="10712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Microvast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Holdings, Inc.</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vMerge w:val="continue"/>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6"/>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22225</wp:posOffset>
            </wp:positionV>
            <wp:extent cx="445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3">
            <w:col w:w="4560" w:space="220"/>
            <w:col w:w="5680" w:space="220"/>
            <w:col w:w="560"/>
          </w:cols>
          <w:pgMar w:left="320" w:top="12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307,628,511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$ 1,416,160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(791,165)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(18,081)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612,977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612,977</w:t>
            </w: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(55,649)</w:t>
            </w:r>
          </w:p>
        </w:tc>
        <w:tc>
          <w:tcPr>
            <w:tcW w:w="0" w:type="dxa"/>
            <w:vAlign w:val="bottom"/>
          </w:tcPr>
          <w:p>
            <w:pPr>
              <w:spacing w:after="0"/>
              <w:rPr>
                <w:sz w:val="1"/>
                <w:szCs w:val="1"/>
                <w:color w:val="auto"/>
              </w:rPr>
            </w:pPr>
          </w:p>
        </w:tc>
      </w:tr>
      <w:tr>
        <w:trPr>
          <w:trHeight w:val="142"/>
        </w:trPr>
        <w:tc>
          <w:tcPr>
            <w:tcW w:w="3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Capital contribution from non-controlling interests</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holder</w:t>
            </w:r>
          </w:p>
        </w:tc>
        <w:tc>
          <w:tcPr>
            <w:tcW w:w="8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310,432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share-based awards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36,029</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(15,664)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w:t>
            </w:r>
          </w:p>
        </w:tc>
        <w:tc>
          <w:tcPr>
            <w:tcW w:w="0" w:type="dxa"/>
            <w:vAlign w:val="bottom"/>
          </w:tcPr>
          <w:p>
            <w:pPr>
              <w:spacing w:after="0"/>
              <w:rPr>
                <w:sz w:val="1"/>
                <w:szCs w:val="1"/>
                <w:color w:val="auto"/>
              </w:rPr>
            </w:pPr>
          </w:p>
        </w:tc>
      </w:tr>
      <w:tr>
        <w:trPr>
          <w:trHeight w:val="22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307,938,943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$ 1,452,189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(846,835)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(33,745)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577,672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579,717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7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Microvast</w:t>
            </w:r>
          </w:p>
        </w:tc>
        <w:tc>
          <w:tcPr>
            <w:tcW w:w="0" w:type="dxa"/>
            <w:vAlign w:val="bottom"/>
          </w:tcPr>
          <w:p>
            <w:pPr>
              <w:spacing w:after="0"/>
              <w:rPr>
                <w:sz w:val="1"/>
                <w:szCs w:val="1"/>
                <w:color w:val="auto"/>
              </w:rPr>
            </w:pPr>
          </w:p>
        </w:tc>
      </w:tr>
      <w:tr>
        <w:trPr>
          <w:trHeight w:val="137"/>
        </w:trPr>
        <w:tc>
          <w:tcPr>
            <w:tcW w:w="204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0" w:type="dxa"/>
            <w:vAlign w:val="bottom"/>
          </w:tcPr>
          <w:p>
            <w:pPr>
              <w:spacing w:after="0"/>
              <w:rPr>
                <w:sz w:val="1"/>
                <w:szCs w:val="1"/>
                <w:color w:val="auto"/>
              </w:rPr>
            </w:pPr>
          </w:p>
        </w:tc>
      </w:tr>
      <w:tr>
        <w:trPr>
          <w:trHeight w:val="25"/>
        </w:trPr>
        <w:tc>
          <w:tcPr>
            <w:tcW w:w="2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restart"/>
          </w:tcPr>
          <w:p>
            <w:pPr>
              <w:jc w:val="center"/>
              <w:ind w:right="7"/>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restart"/>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w w:val="95"/>
              </w:rPr>
              <w:t>Inc.</w:t>
            </w:r>
          </w:p>
        </w:tc>
        <w:tc>
          <w:tcPr>
            <w:tcW w:w="0" w:type="dxa"/>
            <w:vAlign w:val="bottom"/>
          </w:tcPr>
          <w:p>
            <w:pPr>
              <w:spacing w:after="0"/>
              <w:rPr>
                <w:sz w:val="1"/>
                <w:szCs w:val="1"/>
                <w:color w:val="auto"/>
              </w:rPr>
            </w:pPr>
          </w:p>
        </w:tc>
      </w:tr>
      <w:tr>
        <w:trPr>
          <w:trHeight w:val="102"/>
        </w:trPr>
        <w:tc>
          <w:tcPr>
            <w:tcW w:w="2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7"/>
                <w:szCs w:val="17"/>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315,508,595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$ 1,493,139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546,146</w:t>
            </w: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(101,556)</w:t>
            </w: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in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connection with vesting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awards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warrants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315,510,447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$ 1,506,031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(1,023,882)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454,988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6"/>
              <w:spacing w:after="0" w:line="162" w:lineRule="exact"/>
              <w:rPr>
                <w:sz w:val="20"/>
                <w:szCs w:val="20"/>
                <w:color w:val="auto"/>
              </w:rPr>
            </w:pPr>
            <w:r>
              <w:rPr>
                <w:rFonts w:ascii="Times New Roman" w:cs="Times New Roman" w:eastAsia="Times New Roman" w:hAnsi="Times New Roman"/>
                <w:sz w:val="16"/>
                <w:szCs w:val="16"/>
                <w:b w:val="1"/>
                <w:bCs w:val="1"/>
                <w:color w:val="auto"/>
              </w:rPr>
              <w:t>Microvast</w:t>
            </w: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5"/>
                <w:szCs w:val="5"/>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5"/>
                <w:szCs w:val="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11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0" w:type="dxa"/>
            <w:vAlign w:val="bottom"/>
          </w:tcPr>
          <w:p>
            <w:pPr>
              <w:spacing w:after="0"/>
              <w:rPr>
                <w:sz w:val="1"/>
                <w:szCs w:val="1"/>
                <w:color w:val="auto"/>
              </w:rPr>
            </w:pPr>
          </w:p>
        </w:tc>
      </w:tr>
      <w:tr>
        <w:trPr>
          <w:trHeight w:val="75"/>
        </w:trPr>
        <w:tc>
          <w:tcPr>
            <w:tcW w:w="3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continue"/>
          </w:tcPr>
          <w:p>
            <w:pPr>
              <w:spacing w:after="0"/>
              <w:rPr>
                <w:sz w:val="14"/>
                <w:szCs w:val="14"/>
                <w:color w:val="auto"/>
              </w:rPr>
            </w:pP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20" w:type="dxa"/>
            <w:vAlign w:val="bottom"/>
          </w:tcPr>
          <w:p>
            <w:pPr>
              <w:spacing w:after="0"/>
              <w:rPr>
                <w:sz w:val="18"/>
                <w:szCs w:val="18"/>
                <w:color w:val="auto"/>
              </w:rPr>
            </w:pPr>
          </w:p>
        </w:tc>
        <w:tc>
          <w:tcPr>
            <w:tcW w:w="98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315,006,942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564,190</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(126,381)</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in connection with vesting</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503,505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share-based awards</w:t>
            </w: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24,011</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warrants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315,510,447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1,506,031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(1,023,882)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454,988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both"/>
        <w:ind w:left="2380" w:right="2340" w:hanging="18"/>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 (In thousands of U.S. dollars, except share and per share data, or as otherwise noted)</w:t>
      </w:r>
    </w:p>
    <w:p>
      <w:pPr>
        <w:spacing w:after="0" w:line="200" w:lineRule="exact"/>
        <w:rPr>
          <w:sz w:val="20"/>
          <w:szCs w:val="20"/>
          <w:color w:val="auto"/>
        </w:rPr>
      </w:pPr>
    </w:p>
    <w:p>
      <w:pPr>
        <w:spacing w:after="0" w:line="37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(55,649)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(126,381)</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(gain) on disposal of property, plant and equipment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14,912</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land use right and intangible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lease expenses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fair value of warrant and convertible loan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(Reversal)/ allowance of credit losses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Write-down for obsolete inventories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loss from long-lived asset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warranty</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10,278</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 from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generated from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(41,008)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2,142</w:t>
            </w:r>
          </w:p>
        </w:tc>
        <w:tc>
          <w:tcPr>
            <w:tcW w:w="0" w:type="dxa"/>
            <w:vAlign w:val="bottom"/>
          </w:tcPr>
          <w:p>
            <w:pPr>
              <w:spacing w:after="0"/>
              <w:rPr>
                <w:sz w:val="1"/>
                <w:szCs w:val="1"/>
                <w:color w:val="auto"/>
              </w:rPr>
            </w:pPr>
          </w:p>
        </w:tc>
      </w:tr>
      <w:tr>
        <w:trPr>
          <w:trHeight w:val="252"/>
        </w:trPr>
        <w:tc>
          <w:tcPr>
            <w:tcW w:w="8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(93,630)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on disposal of property, plant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0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(93,401)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(7,442)</w:t>
            </w:r>
          </w:p>
        </w:tc>
        <w:tc>
          <w:tcPr>
            <w:tcW w:w="0" w:type="dxa"/>
            <w:vAlign w:val="bottom"/>
          </w:tcPr>
          <w:p>
            <w:pPr>
              <w:spacing w:after="0"/>
              <w:rPr>
                <w:sz w:val="1"/>
                <w:szCs w:val="1"/>
                <w:color w:val="auto"/>
              </w:rPr>
            </w:pPr>
          </w:p>
        </w:tc>
      </w:tr>
      <w:tr>
        <w:trPr>
          <w:trHeight w:val="252"/>
        </w:trPr>
        <w:tc>
          <w:tcPr>
            <w:tcW w:w="8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40,462</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bank borrowings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loan borrowing from a shareholder</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for debt issue costs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generated from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16,295</w:t>
            </w:r>
          </w:p>
        </w:tc>
      </w:tr>
      <w:tr>
        <w:trPr>
          <w:trHeight w:val="20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302,617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88,189</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170,319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104,484</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unaudited condensed consolidated balance sheets</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for purchase of property, plant and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Microvast, Inc. was incorporated under the laws of the State of Texas in the United States of America on October 12, 2006 and re-domiciled to the State of Delaware on December 31, 2015. On July 23, 2021 (the “Closing Date”), Microvast, Inc. and Tuscan Holdings Corp.(“Tuscan”) consummated the previously announced merger (the “Merger” or the "Business Combination"), pursuant to the Agreement and Plan of Merger (the “Merger Agreement”) dated February 1, 2021, between Tuscan, Microvast, Inc. and TSCN Merger Sub Inc., a Delaware corporation (“Merger Sub”).</w:t>
      </w:r>
    </w:p>
    <w:p>
      <w:pPr>
        <w:spacing w:after="0" w:line="20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w:t>
      </w:r>
    </w:p>
    <w:p>
      <w:pPr>
        <w:spacing w:after="0" w:line="20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(collectively, the “Group”) are primarily engaged in developing, manufacturing, and selling electronic power products for electric vehicles and energy storage across the globe.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INCREASED IMPAIRMENT CHARGE OF LONG-LIVED ASSETS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year-end closing process, the Company identified a discrepancy in its Q2 2024 impairment assessment related to the Clarksville Property. A third-party valuation has been conducted at the time for the asset group of Clarksville Property including building and auxiliary machinery such as clean rooms and other assets. However, in calculating the carrying value of the asset group, the Company inadvertently excluded the clean rooms from the calculation. Since the carrying value of the asset group did not reflected the full asset base, the excess amount of carrying value over fair value was understated, leading to an understatement of the impairment charge recorded in the three-month period ended June 30,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an additional impairment charge of $23,115 should have been recorded in the three-month period ended June 30, 2024, increasing the total impairment charge from $64,912 to $88,027. This adjustment aligns the carrying value of the Clarksville Property with the third-party appraisal and ensures consistency in the impairment assessment.</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effects of the Restatement on the unaudited consolidated financial statements as of and for the three and six-month period ended June 30, 2024 are as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INCREASED IMPAIRMENT CHARGE OF LONG-LIVED ASSETS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3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2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3"/>
        </w:trPr>
        <w:tc>
          <w:tcPr>
            <w:tcW w:w="45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4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4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(64,912)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(88,027)</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(64,912)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(88,027)</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(78,441)</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(101,556)</w:t>
            </w:r>
          </w:p>
        </w:tc>
        <w:tc>
          <w:tcPr>
            <w:tcW w:w="100" w:type="dxa"/>
            <w:vAlign w:val="bottom"/>
          </w:tcPr>
          <w:p>
            <w:pPr>
              <w:spacing w:after="0"/>
              <w:rPr>
                <w:sz w:val="18"/>
                <w:szCs w:val="18"/>
                <w:color w:val="auto"/>
              </w:rPr>
            </w:pP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(103,266)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(126,381)</w:t>
            </w:r>
          </w:p>
        </w:tc>
      </w:tr>
      <w:tr>
        <w:trPr>
          <w:trHeight w:val="273"/>
        </w:trPr>
        <w:tc>
          <w:tcPr>
            <w:tcW w:w="45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(78,441)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(101,556)</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(103,266)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(126,381)</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(0.33)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73"/>
        </w:trPr>
        <w:tc>
          <w:tcPr>
            <w:tcW w:w="45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211"/>
        </w:trPr>
        <w:tc>
          <w:tcPr>
            <w:tcW w:w="7940" w:type="dxa"/>
            <w:vAlign w:val="bottom"/>
          </w:tcPr>
          <w:p>
            <w:pPr>
              <w:spacing w:after="0"/>
              <w:rPr>
                <w:sz w:val="18"/>
                <w:szCs w:val="18"/>
                <w:color w:val="auto"/>
              </w:rPr>
            </w:pPr>
          </w:p>
        </w:tc>
        <w:tc>
          <w:tcPr>
            <w:tcW w:w="19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Cash Flows</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(103,266)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(126,381)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from long-lived asset</w:t>
            </w:r>
          </w:p>
        </w:tc>
        <w:tc>
          <w:tcPr>
            <w:tcW w:w="19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64,912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88,027</w:t>
            </w:r>
          </w:p>
        </w:tc>
      </w:tr>
      <w:tr>
        <w:trPr>
          <w:trHeight w:val="736"/>
        </w:trPr>
        <w:tc>
          <w:tcPr>
            <w:tcW w:w="794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r>
      <w:tr>
        <w:trPr>
          <w:trHeight w:val="168"/>
        </w:trPr>
        <w:tc>
          <w:tcPr>
            <w:tcW w:w="7940" w:type="dxa"/>
            <w:vAlign w:val="bottom"/>
          </w:tcPr>
          <w:p>
            <w:pPr>
              <w:spacing w:after="0"/>
              <w:rPr>
                <w:sz w:val="14"/>
                <w:szCs w:val="14"/>
                <w:color w:val="auto"/>
              </w:rPr>
            </w:pPr>
          </w:p>
        </w:tc>
        <w:tc>
          <w:tcPr>
            <w:tcW w:w="326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4"/>
        </w:trPr>
        <w:tc>
          <w:tcPr>
            <w:tcW w:w="79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320" w:type="dxa"/>
            <w:vAlign w:val="bottom"/>
            <w:tcBorders>
              <w:bottom w:val="single" w:sz="8" w:color="auto"/>
            </w:tcBorders>
          </w:tcPr>
          <w:p>
            <w:pPr>
              <w:spacing w:after="0"/>
              <w:rPr>
                <w:sz w:val="18"/>
                <w:szCs w:val="18"/>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Changes in Shareholders' Equity</w:t>
            </w:r>
          </w:p>
        </w:tc>
        <w:tc>
          <w:tcPr>
            <w:tcW w:w="19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(922,326)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(922,326)</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9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(78,441)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(101,556)</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(1,000,767)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(1,023,882)</w:t>
            </w:r>
          </w:p>
        </w:tc>
      </w:tr>
      <w:tr>
        <w:trPr>
          <w:trHeight w:val="742"/>
        </w:trPr>
        <w:tc>
          <w:tcPr>
            <w:tcW w:w="794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r>
      <w:tr>
        <w:trPr>
          <w:trHeight w:val="168"/>
        </w:trPr>
        <w:tc>
          <w:tcPr>
            <w:tcW w:w="7940" w:type="dxa"/>
            <w:vAlign w:val="bottom"/>
          </w:tcPr>
          <w:p>
            <w:pPr>
              <w:spacing w:after="0"/>
              <w:rPr>
                <w:sz w:val="14"/>
                <w:szCs w:val="14"/>
                <w:color w:val="auto"/>
              </w:rPr>
            </w:pPr>
          </w:p>
        </w:tc>
        <w:tc>
          <w:tcPr>
            <w:tcW w:w="326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4"/>
        </w:trPr>
        <w:tc>
          <w:tcPr>
            <w:tcW w:w="79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320" w:type="dxa"/>
            <w:vAlign w:val="bottom"/>
            <w:tcBorders>
              <w:bottom w:val="single" w:sz="8" w:color="auto"/>
            </w:tcBorders>
          </w:tcPr>
          <w:p>
            <w:pPr>
              <w:spacing w:after="0"/>
              <w:rPr>
                <w:sz w:val="18"/>
                <w:szCs w:val="18"/>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Changes in Shareholders' Equity</w:t>
            </w:r>
          </w:p>
        </w:tc>
        <w:tc>
          <w:tcPr>
            <w:tcW w:w="19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(897,501)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(897,501)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9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(103,266)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(126,381)</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(1,000,767)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(1,023,882)</w:t>
            </w:r>
          </w:p>
        </w:tc>
      </w:tr>
      <w:tr>
        <w:trPr>
          <w:trHeight w:val="745"/>
        </w:trPr>
        <w:tc>
          <w:tcPr>
            <w:tcW w:w="7940" w:type="dxa"/>
            <w:vAlign w:val="bottom"/>
            <w:tcBorders>
              <w:bottom w:val="single" w:sz="8" w:color="CCEEFF"/>
            </w:tcBorders>
          </w:tcPr>
          <w:p>
            <w:pPr>
              <w:spacing w:after="0"/>
              <w:rPr>
                <w:sz w:val="24"/>
                <w:szCs w:val="24"/>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9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519,432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496,317</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9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(1,000,767)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(1,023,882)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(the "SEC")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audited consolidated financial statements for the period ended December 31, 2023 included in the Company’s Annual Report on Form 10-K filed with the SEC on April 1, 2024, which provides a more complete discussion of the Company’s accounting policies and certain other information.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results to be expected for any subsequent quarter or for the fiscal year ending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information as of December 31, 2023 included on the condensed consolidated balance sheets is derived from the Group’s audited consolidated financial statements for the year ended December 31, 2023.</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the significant accounting policies disclosed in Note 2 of the audited consolidated financial statements for the years ended December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accounting estimates reflected in the Group’s financial statements include allowance for credit losses, provision for obsolete inventories, impairment of long-lived assets, valuation allowance for deferred tax assets, product warranty, fair value measurement of warrant liability, fair value measurement of convertible loan and share 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 upon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Group have been prepared on the going concern basis, which contemplates the continuity of normal business activities and the realization of assets and the discharge of liabilities in the normal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2023 and 2024, the Group generated revenues of $74,953 and $83,675, and gross profit of $11,461 and $27,195, respectively. For the six months ended June 30, 2023 and 2024, the Group generated revenues of $121,926 and $165,026, gross profit of $16,319 and $44,420, respectively.</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Despite the above, the Group has incurred significant losses in the three and six months ended June 30, 2023 and 2024. For the three months ended June 30, 2023 and 2024, the Group incurred net losses of $26,078 and $101,556, respectively. For the six months ended June 30, 2023 and 2024, the Group incurred net losses of $55,649 and $126,381, respectively. As of June 30, 2024, the Group had working capital of $45,500, shareholders’ equity of $454,988, including an accumulated deficit of $1,023,882, and cash and cash equivalents balance of $68,183. As of June 30, 2024, the Group also had outstanding borrowings of $94,237, of which the amount to be paid in the next 12 months is $60,034, and other current liabilities of $312,515, including accounts payable, notes payable, accrued expenses and other current liabilities. Purchase commitments for non-cancelable contractual obligations primarily related to purchases of inventory were $45,952 as of June 30, 2024.</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 continued</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After the Group launched its new battery cell product in 2021, it made significant investment in capacity expansions in both Huzhou, China and Clarksville, Tennessee, United States. The expansion in Huzhou, China was completed in the third quarter of 2023 and is now generating revenue. The Tennessee expansion was originally scheduled to be completed in the fourth quarter of 2023. Due to the fact that the required funding to complete the Tennessee expansion has not been secured, the expansion was suspended. During the second quarter ended June 30, 2024, the Group has decided to put the construction of Tennessee facility on hold until a project funding is secured. The timing of when this project will be resumed and completed remains uncertain.</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2024, the Group has made total capital commitments for construction and purchase of property, plant and equipment amounting to $49,965, $48,929 of which is payable within one year, and most of which relates to production equipment for the Tennessee facility.</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June 30, 2024, the Group had outstanding payables in relation to assets and services provided for the Tennessee expansion amounting to $65,934 that were currently due to its suppliers and the Group has received notice of non-payment mainly from certain of these suppliers with a total amount of $2,410. Further, there are several suppliers which have filed liens, with a total amount of $35,986 received by the Group as of June 30, 2024, mostly with the county in which the Tennessee project is situated. Several suppliers have also filed litigation alleging that the Group failed to pay for their products or services delivered on the Tennessee project. Refer to Note 17 for details.</w:t>
      </w:r>
    </w:p>
    <w:p>
      <w:pPr>
        <w:spacing w:after="0" w:line="21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Group has been discussing with those suppliers regarding repayment plans. Subsequent to June 30, 2024 and to the date of issuance of the financial statements, the Group has entered into several subsequent settlement agreements with certain suppliers with payables amounting to approximately $21,338 as of June 30, 2024. Those agreements grant the Group a concession by forgiving certain contractually owed amounts and release some liens, as well as allow the Group to defer certain payment schedules. Based on those subsequent settlement agreements, a total payable concession of approximately $6,573 was obtained, liens of approximately $10,610 will be ultimately released and the payment schedules were generally deferred to monthly installments in the next twelve months.</w:t>
      </w:r>
    </w:p>
    <w:p>
      <w:pPr>
        <w:spacing w:after="0" w:line="2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light of the capital expenditures required to settle the outstanding payables associated with the Group's Tennessee expansion and operating requirements under its current business plan, the Group is projecting that its existing cash and cash equivalents will not be sufficient to fund its operations and capital expenditure needs through the next twelve months from the date of issuance of its unaudited condensed consolidated financial statements. These conditions and events raise substantial doubt about the Group’s ability to continue as a going concern and the Group's ability to continue as a going concern is dependent on its ability to obtain additional capital or secure financing and generate cash from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issuance of the financial statements, the Group has secured the following cash flow and liquidity improvement initiatives: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with Mr. Yang Wu</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$25,000 loan agreement dated May 28, 2024 with Mr. Yang Wu, the Company’s Chief Executive Officer and Chairman, the Group has received the first tranche of $12,000 in May 2024 and the second tranche of $13,000 in July 2024. Refer to Note 15 - Convertible loan with shareholder for details.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reduction in the U.S.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has reduced the number of employees in the U.S. by 82% during the quarter ended June 30, 2024, which will significantly reduce its operating expenditure, ultimately improving its liquidity.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issuance of the financial statements, the Group is pursuing the following funding initiatives: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Loans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27, 2022, the Group entered into a $111,483 (RMB800 million) loan facilities agreement with a group of lenders led by a bank in China. Pursuant to the agreement, the specified purpose of the loan is for capital expenditures in the PRC. The Group has drawdown $68,802 (RMB500 million) and the outstanding balance is $51,305 as of June 30, 2024. For the remaining undrawn loan facility amounting to $42,681 (RMB300 million), the effective drawdown period is until June 9, 2024. The Group has applied to extend the drawdown period to a later date. Refer to Note 8- Bank Borrowings for details. The banks are currently going through their internal approval process and there is no assurance that the drawdown date will be extended.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Disposal of non-core US real estate assets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engaged agents to sell certain US real estate assets that are not integral to the Group's cell manufacturing or assembly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the Group is engaged in discussions with third parties to assess strategic alternatives, including ways to enhance its liquidity.</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plans are not final and are subject to market and other conditions not within the Group’s control. As such, there can be no assurance that the Group will be successful in obtaining sufficient capital. Should sufficient capital not be secured through the plans, or should there be a delay in the timing of securing capital through these alternatives, this would have adverse implications for the Group and its shareholders. In these scenarios, the Group will need to seek other options, including delaying or reducing operating and capital expenditure and the possibility of an alternative transaction.</w:t>
      </w:r>
    </w:p>
    <w:p>
      <w:pPr>
        <w:spacing w:after="0" w:line="208"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7"/>
          <w:szCs w:val="17"/>
          <w:color w:val="auto"/>
        </w:rPr>
        <w:t>Accordingly, management has concluded that these plans do not alleviate the substantial doubt about the Group’s ability to continue as a going concern within one year after the date the unaudited condensed consolidated financial statements are issued. Based on the factors above, a material uncertainty exists which may cast significant doubt as to whether the Group will continue as a going concern and therefore whether it will realize its assets and</w:t>
      </w:r>
    </w:p>
    <w:p>
      <w:pPr>
        <w:ind w:right="420"/>
        <w:spacing w:after="0" w:line="250" w:lineRule="auto"/>
        <w:rPr>
          <w:sz w:val="20"/>
          <w:szCs w:val="20"/>
          <w:color w:val="auto"/>
        </w:rPr>
      </w:pPr>
      <w:r>
        <w:rPr>
          <w:rFonts w:ascii="Times New Roman" w:cs="Times New Roman" w:eastAsia="Times New Roman" w:hAnsi="Times New Roman"/>
          <w:sz w:val="18"/>
          <w:szCs w:val="18"/>
          <w:color w:val="auto"/>
        </w:rPr>
        <w:t>discharge its liabilities in the normal course of business and at the amounts stated in the financial statements. The accompanying unaudited condensed consolidated financial statements do not include any adjustments relating to the recoverability and classification of recorded asset amounts or to the amounts and classification of liabilities that might be necessary should the Group not continue as a going concern.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4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Pursuant to the JOBS Act, an emerging growth company (the “EGC”) may adopt new or revised accounting standards that may be issued by FASB or the SEC either (i) within the same periods as those otherwise applicable to non-EGCs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intends to take advantage of some of the reduced regulatory and reporting requirements of EGCs pursuant to the JOBS Act so long as the Company qualifies as an EGC,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revenue consists primarily of sales of lithium-ion batteries. The obligation of the Group is to provide the battery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2023 and 2024, the Group derived revenues from geographic regions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30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6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People’s Republic of China ("PRC")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46,122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33,282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78,734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60,474</w:t>
            </w:r>
          </w:p>
        </w:tc>
      </w:tr>
      <w:tr>
        <w:trPr>
          <w:trHeight w:val="27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18,520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21,669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25,665</w:t>
            </w:r>
          </w:p>
        </w:tc>
      </w:tr>
      <w:tr>
        <w:trPr>
          <w:trHeight w:val="25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86,139</w:t>
            </w:r>
          </w:p>
        </w:tc>
      </w:tr>
      <w:tr>
        <w:trPr>
          <w:trHeight w:val="25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75,666</w:t>
            </w:r>
          </w:p>
        </w:tc>
      </w:tr>
      <w:tr>
        <w:trPr>
          <w:trHeight w:val="25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3,221</w:t>
            </w:r>
          </w:p>
        </w:tc>
      </w:tr>
      <w:tr>
        <w:trPr>
          <w:trHeight w:val="22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74,953</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121,926</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165,026</w:t>
            </w: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balances include accounts receivable and advances from customers. Accounts receivable represent cash not received from customers and are recorded when the rights to consideration are unconditional. The allowance for credit losses reflects the best estimate of probable losses inherent to the accounts receivable balance. Contract liabilities, recorded in advance from customers in the consolidated balance sheets, represent payment received in advance or payment received related to a material right provided to a customer to acquire additional goods or services at a discount in a future period. During the three months ended June 30, 2023 and 2024, the Group recognized $1,068 and $1,425 of revenue previously included in advance from customers as of April 1, 2023 and April 1, 2024, respectively. During the six months ended June 30, 2023 and 2024, the Group recognized $2,485 and $4,206 of revenue previously included in advance from customers as of January 1, 2023 and January 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share-based awards granted with a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using total shareholder return (“TSR”) as a performance metric, compensation expense is recognized on a straight-line basis over the estimated service period of the award, regardless of whether the market condition is satisfied. Liability-classified awards are remeasured at their fair-value-based measurement as of each reporting date until settlement. Forfeitures are recognized as they occur.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recorded operating lease right-of-use (ROU) assets of $19,601 and operating lease liabilities of $19,606, including current portion in the amount of $3,243, which was recorded under accrued expenses and other current liabilities on the balance sheet.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or contains a lease at lease inception. Operating leases are required to record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machines and electronic appliances, the Company elected the short-term lease exemption as their lease terms are 12 months or less.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ASC 360, Property, Plant and Equipment ("ASC 360"), the Company reviews long-lived assets such as property, plant and equipment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and an impairment loss is recorded as a component of operating expenses. Fair value is estimated based on various valuation techniques. For assets held for sales, the amount of potential impairment may be based upon appraisal of the asset, estimated market value of similar assets or estimated cash flow from the disposition of the asset. The evaluation of asset impairment requires the Company to make assumptions about future cash flows over the life of the asset being evaluated. These assumptions require significant judgment and actual results may differ from assumed and estimated amounts.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decided to pause the construction of the Clarksville Property until additional funding for the remaining capital expenditure is secured. As a result, the Company reassessed the recoverability of the long-lived assets in the U.S. and utilized the residual method to estimate the fair value of the plant under construction located in Tennessee. For other long-lived assets in the U.S., the Company estimated market value or estimated cash flow from disposition of the assets. The Company recorded impairment loss of long-lived assets of $51 and $88,027 for the three and six months ended June 30, 2023 and 2024, respectively, in operating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held for sales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Assets to be disposed of by sale are reported at the lower of the carrying value or fair vale less cost to sell when the Company has committed to a sale agreement and would be reported separately as asset held for sales in the unaudited condensed consolidated balance sheets</w:t>
      </w:r>
      <w:r>
        <w:rPr>
          <w:rFonts w:ascii="Arial" w:cs="Arial" w:eastAsia="Arial" w:hAnsi="Arial"/>
          <w:sz w:val="18"/>
          <w:szCs w:val="18"/>
          <w:color w:val="auto"/>
        </w:rPr>
        <w: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with shareholder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the Convertible loan with shareholder, and records changes in fair value in the unaudited condensed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As a result of applying the fair value option, direct costs and fees related to the convertible loan were expensed as incurred. Losses were recognized $1,590 for the three months and six months ended June 30, 2024. The fair value of the Convertible loan with shareholder was determined by using a discounted cash flow model for the bond component and a Black-Scholes-Merton model for the conversion option, which is considered a Level 3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determines the accounting classification of warrants it issues as either liability or equity classified by first assessing whether the warrants meet liability classification in accordance with ASC 480-10, Accounting for Certain Financial Instruments with Characteristics of both Liabilities and Equity ("ASC 480"), then in accordance with ASC 815-40 ("ASC 815"), Accounting for Derivative Financial Instruments Indexed to, and Potentially Settled in, a Company’s Own Stock. Under ASC 480, warrants are considered liability classified if the warrants are mandatory redeemable, obligate the Company to settle the warrants or the underlying shares by paying cash or other assets, or warrants that must or may require settlement by issuing variable number of shares. 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and in order to conclude equity classification, the Company also assesses whether the warrants are indexed to its Common Stock and whether the warrants are classified as equity under ASC 815 or other applicable GAAP. After all relevant assessments, the Company concludes whether the warrants are classified as liability or equity. Liability classified warrants require fair value accounting at issuance and subsequent to initial issuance with all changes in fair value after the issuance date recorded in the unaudited consolidated statements of operations. Equity classified warrants only require fair value accounting at issuance with no changes recognized subsequent to the issuance date. Refer to Notes 11 for information regarding the warrants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intends to improve reportable segment disclosure requirements, enhance interim disclosure requirements and provide new segment disclosure requirements for entities with a single reportable segment. ASU 2023-07 is effective for fiscal years beginning after December 15, 2023, and for interim periods with fiscal years beginning after December 15, 2024. ASU 2023-07 is to be adopted retrospectively to all prior periods presented. The Company is currently assessing the impact this guidance will have on the consolidated financial statements and related disclosures.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 not expect a</w:t>
      </w:r>
    </w:p>
    <w:p>
      <w:pPr>
        <w:spacing w:after="0"/>
        <w:rPr>
          <w:sz w:val="20"/>
          <w:szCs w:val="20"/>
          <w:color w:val="auto"/>
        </w:rPr>
      </w:pPr>
      <w:r>
        <w:rPr>
          <w:rFonts w:ascii="Times New Roman" w:cs="Times New Roman" w:eastAsia="Times New Roman" w:hAnsi="Times New Roman"/>
          <w:sz w:val="18"/>
          <w:szCs w:val="18"/>
          <w:color w:val="auto"/>
        </w:rPr>
        <w:t>material impact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143,288</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109,655</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8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138,717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104,976</w:t>
            </w:r>
          </w:p>
        </w:tc>
        <w:tc>
          <w:tcPr>
            <w:tcW w:w="0" w:type="dxa"/>
            <w:vAlign w:val="bottom"/>
          </w:tcPr>
          <w:p>
            <w:pPr>
              <w:spacing w:after="0"/>
              <w:rPr>
                <w:sz w:val="1"/>
                <w:szCs w:val="1"/>
                <w:color w:val="auto"/>
              </w:rPr>
            </w:pPr>
          </w:p>
        </w:tc>
      </w:tr>
      <w:tr>
        <w:trPr>
          <w:trHeight w:val="460"/>
        </w:trPr>
        <w:tc>
          <w:tcPr>
            <w:tcW w:w="4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Movement of allowance for credit losses was as follows:</w:t>
            </w:r>
          </w:p>
        </w:tc>
        <w:tc>
          <w:tcPr>
            <w:tcW w:w="10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80" w:type="dxa"/>
            <w:vAlign w:val="bottom"/>
          </w:tcPr>
          <w:p>
            <w:pPr>
              <w:spacing w:after="0"/>
              <w:rPr>
                <w:sz w:val="24"/>
                <w:szCs w:val="24"/>
                <w:color w:val="auto"/>
              </w:rPr>
            </w:pPr>
          </w:p>
        </w:tc>
        <w:tc>
          <w:tcPr>
            <w:tcW w:w="27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/(Reversal) of expenses</w:t>
            </w:r>
          </w:p>
        </w:tc>
        <w:tc>
          <w:tcPr>
            <w:tcW w:w="10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credit losses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4,679</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3,468</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INVENTORIES, NET</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86,379</w:t>
            </w: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149,749</w:t>
            </w:r>
          </w:p>
        </w:tc>
        <w:tc>
          <w:tcPr>
            <w:tcW w:w="80" w:type="dxa"/>
            <w:vAlign w:val="bottom"/>
          </w:tcPr>
          <w:p>
            <w:pPr>
              <w:spacing w:after="0"/>
              <w:rPr>
                <w:sz w:val="19"/>
                <w:szCs w:val="19"/>
                <w:color w:val="auto"/>
              </w:rPr>
            </w:pPr>
          </w:p>
        </w:tc>
        <w:tc>
          <w:tcPr>
            <w:tcW w:w="4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152,509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obsolete inventories at $928 and $1,737 were recognized for the six months ended June 30,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CURRENT LIABILITIES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current</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96,771</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payable</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148,284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PRODUCT WARRANTY</w:t>
            </w: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Movement of product warranty was as follows: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700" w:type="dxa"/>
            <w:vAlign w:val="bottom"/>
          </w:tcPr>
          <w:p>
            <w:pPr>
              <w:spacing w:after="0"/>
              <w:rPr>
                <w:sz w:val="24"/>
                <w:szCs w:val="24"/>
                <w:color w:val="auto"/>
              </w:rPr>
            </w:pPr>
          </w:p>
        </w:tc>
        <w:tc>
          <w:tcPr>
            <w:tcW w:w="26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35,448</w:t>
            </w:r>
          </w:p>
        </w:tc>
        <w:tc>
          <w:tcPr>
            <w:tcW w:w="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w:t>
            </w: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during the period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6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Utilized during the period</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3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37,108</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34,184</w:t>
            </w: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37,108</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34,184</w:t>
            </w:r>
          </w:p>
        </w:tc>
        <w:tc>
          <w:tcPr>
            <w:tcW w:w="0" w:type="dxa"/>
            <w:vAlign w:val="bottom"/>
          </w:tcPr>
          <w:p>
            <w:pPr>
              <w:spacing w:after="0"/>
              <w:rPr>
                <w:sz w:val="1"/>
                <w:szCs w:val="1"/>
                <w:color w:val="auto"/>
              </w:rPr>
            </w:pPr>
          </w:p>
        </w:tc>
      </w:tr>
      <w:tr>
        <w:trPr>
          <w:trHeight w:val="487"/>
        </w:trPr>
        <w:tc>
          <w:tcPr>
            <w:tcW w:w="470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current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BANK BORROWINGS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September 27, 2022, the Group entered into a $111,483 (RMB800 million) loan facilities agreement with a group of lenders led by a bank in China (the "2022 Facility Agreement"). The 2022 Facility Agreement had an effective drawdown period until June 9, 2023, which was extended to June 9, 2024 by a supplemental agreement signed in October 2023. The Company is currently in negotiations with the lead bank to further extend to a later date. Should the banks not reach agreement then the Company would lose access to the undrawn amount of $42,681 (RMB300 million). This would have no impact on the amount already drawn of $68,802 (RMB500 million) which would continue to be repaid in accordance with the scheduled repayment dates. The interest rate is prime plus 115 basis points where prime is based on Loan Prime Rate published by the National Inter-bank Funding Center of the PRC and is payable on a quarterly basis. The loan facilities can only be used for the manufacturing capacity expansion at the Group’s facility located in Huzhou, China. Accordingly, the Group has the balance of restricted cash of $6,171 and $1,218 as of December 31, 2023 and June 30, 2024, respectively. The 2022 Facility Agreement contains certain customary restrictive covenants, including but not limited to disposal of assets and dividend distribution without the consent of the lender, and certain customary events of default.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BANK BORROWINGS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June 30, 2024, the Group had outstanding borrowings of $51,305 under the 2022 Facility Agreement.</w:t>
            </w:r>
          </w:p>
        </w:tc>
        <w:tc>
          <w:tcPr>
            <w:tcW w:w="3180" w:type="dxa"/>
            <w:vAlign w:val="bottom"/>
          </w:tcPr>
          <w:p>
            <w:pPr>
              <w:spacing w:after="0"/>
              <w:rPr>
                <w:sz w:val="20"/>
                <w:szCs w:val="20"/>
                <w:color w:val="auto"/>
              </w:rPr>
            </w:pPr>
          </w:p>
        </w:tc>
      </w:tr>
      <w:tr>
        <w:trPr>
          <w:trHeight w:val="47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Date</w:t>
            </w:r>
          </w:p>
        </w:tc>
        <w:tc>
          <w:tcPr>
            <w:tcW w:w="31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Repayment Amount</w:t>
            </w:r>
          </w:p>
        </w:tc>
      </w:tr>
      <w:tr>
        <w:trPr>
          <w:trHeight w:val="223"/>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10, 2024</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$8,551 (RMB62.1 million)</w:t>
            </w: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10, 2025</w:t>
            </w:r>
          </w:p>
        </w:tc>
        <w:tc>
          <w:tcPr>
            <w:tcW w:w="31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$8,551 (RMB62.1 million)</w:t>
            </w:r>
          </w:p>
        </w:tc>
      </w:tr>
      <w:tr>
        <w:trPr>
          <w:trHeight w:val="22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10, 2025</w:t>
            </w:r>
          </w:p>
        </w:tc>
        <w:tc>
          <w:tcPr>
            <w:tcW w:w="318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$8,551 (RMB62.1 million)</w:t>
            </w: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10, 2026</w:t>
            </w:r>
          </w:p>
        </w:tc>
        <w:tc>
          <w:tcPr>
            <w:tcW w:w="31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$12,826 (RMB93.2 million)</w:t>
            </w:r>
          </w:p>
        </w:tc>
      </w:tr>
      <w:tr>
        <w:trPr>
          <w:trHeight w:val="22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10, 2026</w:t>
            </w:r>
          </w:p>
        </w:tc>
        <w:tc>
          <w:tcPr>
            <w:tcW w:w="3180" w:type="dxa"/>
            <w:vAlign w:val="bottom"/>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$12,826 (RMB93.2 million)</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capitalized interest expenses, which was recorded in construction in progress and property, plant and equipment, was $504 and $0 for the three months ended June 30, 2023 and 2024, respectively, and $1,028 and $0 for the six months ended June 30, 2023 and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also entered into short-term loan agreements and bank facilities with certain banks in China. The original terms of these loans are with a maximum maturity of 12 months and the interest rates range from 3.30% to 4.85% per annum.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bank borrowings are as follows:</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9"/>
        </w:trPr>
        <w:tc>
          <w:tcPr>
            <w:tcW w:w="4260" w:type="dxa"/>
            <w:vAlign w:val="bottom"/>
          </w:tcPr>
          <w:p>
            <w:pPr>
              <w:spacing w:after="0"/>
              <w:rPr>
                <w:sz w:val="24"/>
                <w:szCs w:val="24"/>
                <w:color w:val="auto"/>
              </w:rPr>
            </w:pPr>
          </w:p>
        </w:tc>
        <w:tc>
          <w:tcPr>
            <w:tcW w:w="28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4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r>
      <w:tr>
        <w:trPr>
          <w:trHeight w:val="225"/>
        </w:trPr>
        <w:tc>
          <w:tcPr>
            <w:tcW w:w="4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principal</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r>
      <w:tr>
        <w:trPr>
          <w:trHeight w:val="22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49,146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49,146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94,237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478"/>
        </w:trPr>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of bank borrowings includes:</w:t>
            </w:r>
          </w:p>
        </w:tc>
        <w:tc>
          <w:tcPr>
            <w:tcW w:w="11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94,237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assets of the Group have been pledged to secure the above bank facilities granted to the Group. The aggregate carrying amount of the assets pledged by the Group as of December 31, 2023 and June 30,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118,658</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8"/>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138,317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OTHER NON-CURRENT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subsidy income- non-current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BONDS PAYABLE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4"/>
                <w:szCs w:val="24"/>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bonds payable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Huzhou Saiyuan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Huzhou Saiyuan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29, 2018, Microvast Power Systems Co., Ltd.('MPS'), one of the Company's subsidiaries,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these convertible bonds.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subscribed bonds are not repaid by the maturity date,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$950,000.</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September 2020 and 2022, MPS entered into two supplement agreements with Huzhou Saiyuan, respectively, to change the repayment schedule as follows: (i) $14,629 (RMB100 million) was repaid, together with interest accrued, on or before November 10, 2022, (ii) $14,630 (RMB100 million) was repaid, together with interest accrued, on or before December 31, 2022, and (iii) the remaining $43,888 (RMB300 million) will be repaid, together with interest accrued, on or before January 31, 2027. The applicable interest rate will be increased to 12% if the Group is in default on the repayment of the bonds at the due date. The remaining terms and conditions of the convertible bonds were unchanged. The Company has complied in full with the amended repayment schedule and accordingly, as of June 30, 2024, the subscription and outstanding balance of the convertible bonds was $43,157 (RMB295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assumed 27,600,000 publicly-traded warrants (“Public Warrants”) and 837,000 private placement warrants issued to Tuscan Holdings Acquisition LLC (the “Sponsor”) and EarlyBirdCapital, Inc. (“EarlyBirdCapital”) (“Private Warrants” and together with the Public Warrants, the “Warrants”) upon the Business Combination, all of which were issued in connection with Tuscan’s initial public offering (other than 150,000 Private Warrants that were issued in connection with the closing of the Business Combination) and entitle the holder to purchase one share of the Company’s Common Stock at an exercise price of $11.50 per share. During the three and six months ended June 30, 2024, none of the Public Warrants or the Private Warrants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 - continued</w:t>
      </w:r>
    </w:p>
    <w:p>
      <w:pPr>
        <w:spacing w:after="0" w:line="200" w:lineRule="exact"/>
        <w:rPr>
          <w:sz w:val="20"/>
          <w:szCs w:val="20"/>
          <w:color w:val="auto"/>
        </w:rPr>
      </w:pPr>
    </w:p>
    <w:p>
      <w:pPr>
        <w:spacing w:after="0" w:line="25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Public Warrants became exercisable 30 days after the completion of the Business Combination. The Public Warrants are only exercisable for cash, however, if the Company were to not maintain the effectiveness of the registration statement covering the shares of Common Stock issuable upon exercise of the Public Warrants, the Public Warrants would be exercisable on a net-share settlement basis. The Public Warrants will expire five years after the completion of the Business Combination or earlier upon redemption or liquidation.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became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the warrants.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classified the Public Warrants as equity. If the Company calls the Public Warrants for redemption, management will have the option to require all holders that wish to exercise the Public Warrants to do so on a net-share settlement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Business Combination.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 liability was remeasured at fair value as of June 30, 2024, resulting in a gain of $22 and $64 for the three and six months ended June 30, 2024, classified within changes in fair value of warrant liability in the unaudited condensed consolidated statements of operations,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Warrants were valued using the following assumptions under the Monte Carlo Model that assumes optimal exercise of the Company’s redemption option at the earliest possible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380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5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6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82.77 %</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900"/>
        </w:trPr>
        <w:tc>
          <w:tcPr>
            <w:tcW w:w="3800" w:type="dxa"/>
            <w:vAlign w:val="bottom"/>
          </w:tcPr>
          <w:p>
            <w:pPr>
              <w:spacing w:after="0"/>
              <w:rPr>
                <w:sz w:val="24"/>
                <w:szCs w:val="24"/>
                <w:color w:val="auto"/>
              </w:rPr>
            </w:pPr>
          </w:p>
        </w:tc>
        <w:tc>
          <w:tcPr>
            <w:tcW w:w="572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2"/>
        </w:trPr>
        <w:tc>
          <w:tcPr>
            <w:tcW w:w="3800" w:type="dxa"/>
            <w:vAlign w:val="bottom"/>
            <w:tcBorders>
              <w:bottom w:val="single" w:sz="8" w:color="9A9A9A"/>
            </w:tcBorders>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2024, the Company also issued a warrant exercisable for 5,500,000 shares of Common Stock at an initial exercise price of $2.00 per share. The Warrant expires on May 28, 2029 in connection of the convertible loan with shareholder. See Note 15 – Convertible loan with shareholder.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Group measured its financial assets and liabilities, including cash and cash equivalents, restricted cash and warrant liability on a recurring basis as of December 31, 2023 and cash and cash equivalents, restricted cash and warrant liability, Convertible loan with shareholder and relative warrant at fair value on a recurring basis as of June 30, 2024. Cash and cash equivalents and restricted cash are classified within Level 1 of the fair value hierarchy because they are valued based on the quoted market price in an active market. The fair value of the warrant liability, Convertible Loan with shareholder are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See Note 11 – Warrants. The Convertible Loan and relative warrants were valued using the following assumptions under the Black-Scholes-Merton model, which is a generally accepted computational model typically used for pricing options and is considered a Level 3 fair value measurement. See Note 15 – Convertible loan with shareholder.</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and June 30, 2024, information about inputs for the fair value measurements of the Group’s assets and liabilities that are measured at fair value on a recurring basis in periods subsequent to their initial recognition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Fair Value Measurement as of December 31, 2023</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for Identical Assets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b w:val="1"/>
                <w:bCs w:val="1"/>
                <w:color w:val="auto"/>
              </w:rPr>
              <w:t>Unobservable Inputs</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44,541</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88,189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88,189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 - continued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 as of June 30, 2024</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78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Identical Assets</w:t>
            </w: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68,183</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104,484</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104,484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loan with shareholder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13,316</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warrant liability during the six months ended June 30, 2023 and 2024:</w:t>
      </w:r>
    </w:p>
    <w:p>
      <w:pPr>
        <w:spacing w:after="0" w:line="26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convertible loan with shareholder during the six months ended June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94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loan with shareholder</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w:t>
            </w:r>
          </w:p>
        </w:tc>
      </w:tr>
      <w:tr>
        <w:trPr>
          <w:trHeight w:val="21"/>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nonrecurring basis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long-lived assets. The Company reviews the carrying amounts of such assets when events indicate that their carrying amounts may not be recoverable. Any resulting asset impairment would require that the asset be recorded at its fair value. The fair value of the asset or asset group is determined using cost approach, sales comparison approach and income capitalization approach with unobservable inputs (Level 3), depending on the underlying nature of the asset or the asset group.</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has operating leases for office spaces and warehouses. Certain leases include renewal options and/or termination options, which are factored into the Group's determination of lease payments when appropriate.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cost for the three and six months ended June 30, 2024 was $859 and $1,719, which excluded cost of short-term contracts. Short-term lease cost for the three and six months ended June 30, 2024 was $145 and $304.</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weighted average remaining lease term was 9.3 years and weighted average discount rate was 5.2% for the Group's operating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of the leases were as follows: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896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41"/>
        </w:trPr>
        <w:tc>
          <w:tcPr>
            <w:tcW w:w="8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549"/>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for lease liabilities as of June 30, 2024:</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3"/>
        </w:trPr>
        <w:tc>
          <w:tcPr>
            <w:tcW w:w="8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Six-month period ending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24,422</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19,606</w:t>
            </w:r>
          </w:p>
        </w:tc>
      </w:tr>
      <w:tr>
        <w:trPr>
          <w:trHeight w:val="20"/>
        </w:trPr>
        <w:tc>
          <w:tcPr>
            <w:tcW w:w="8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schedules, using the Common Exchange Ratio of 160.3. The 2021 Plan reserved 5% of the fully-diluted shares of Common Stock outstanding immediately following the Closing Date plus the shares underlying awards rolled over from the 2012 Plan for issuance in accordance with the 2021 Plan’s terms.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4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April 10, 2024, a terminated and a transition advisory services agreement was entered between a former employee and the Company. According to this agreement, all unvested restricted stock units, performance-based restricted stock units and stock options held by the employee as of April 10, 2024 will vest in full immediately following April 10, 2025.The Company accounted for the modification as a Type III (improbable-to-probable) modification, which represents the modification of the award that was not expected to vest under the original vesting conditions at the date of the modification. The Company recognized compensation cost equal to the modified award’s fair value at the date of the modification over the period in which the former employee serves as consultant to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modification date fair value of the stock options was determined using the Black Scholes model with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5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terms (years)</w:t>
            </w:r>
          </w:p>
        </w:tc>
        <w:tc>
          <w:tcPr>
            <w:tcW w:w="35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5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85.66 %</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5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yields</w:t>
            </w:r>
          </w:p>
        </w:tc>
        <w:tc>
          <w:tcPr>
            <w:tcW w:w="35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0.0035</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a blend of implied volatility from the average volatility of peer companies, implied volatility and the Company's historical volatility. Risk-free interest rate was estimated based on the market yield of US Government Bonds with maturity close to the expected term of the options. The dividend yield was estimated by the Company based on its expected dividend policy over the expected term of the options.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 -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activity for the six months ended June 30, 2023 and 2024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0"/>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life</w:t>
            </w: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62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Fair Value (US $)</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36,091,071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35,983,754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and exercisable as of June 30,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35,983,754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12,563,621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32,876,682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(1,243,497)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31,633,185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to vest and exercisable as of June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31,633,185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20,922,066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2023 and 2024, the Company recorded share-based compensation expense of $13,396 and $10,285 related to the option awards, respectively. During the six months ended June 30, 2023 and 2024, the Company recorded share-based compensation expense of $27,055 and $22,313 related to the option awards,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equity-based compensation costs as of June 30, 2024 related to the stock options was $4,031, which is expected to be recognized over a weighted-average period of 0.1 years. The aggregate intrinsic value of the stock options as of June 30, 2024 was $0.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Capped Non-vested share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capped non-vested share units (“CRSUs”) represent rights for the holder to receive cash determined by the number of shares granted multiplied by the lower of the fair market value and the capped price, which will be settled in the form of cash payments. The CRSUs were accounted for as liability classified awards.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three months ended June 30, 2023 and 2024, the Company recorded share-based compensation expense of $3,302 and $1,226, related to these CRSUs, respectively. During the six months ended June 30, 2023 and 2024, the Company recorded share-based compensation expense of $6,546 and $2,481, related to these CRSUs,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unrecognized equity-based compensation costs as of June 30, 2024 related to the CRSUs was $313.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the Company granted 2,721,624 restricted stock units (“RSUs”) and 2,680,372 performance-based restricted stock units (“PSUs”)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relative to a comparator group during a specified performance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PAYMENT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 continued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by the market closing price of Common Stock at the grant date and is amortized over the vesting period on a straight-line basis. The fair value of PSUs that include vesting based on market conditions are estimated using the Monte Carlo valuation method. For PSUs with performance conditions, share-based compensation expense is only recognized if the performance conditions become probable to be satisfied. Compensation cost for these awards is amortized on a straight-line basis over the vesting period based on the grant date fair value, regardless of whether the</w:t>
      </w:r>
    </w:p>
    <w:p>
      <w:pPr>
        <w:spacing w:after="0" w:line="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market condition is satisfied. Accordingly, the Company recorded share-based compensation expense of $271 and $700 related to these RSUs and $324 and $(1,492) related to these PSUs during the three and six months ended June 30, 2024, respectively. During the three and six months ended June 30, 2023, the Company recorded share-based compensation expense of $512 and $959 related to these RSUs and $789 and $1,508 related to these PSUs,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non-vested shares activity for the six months ended June 30, 2023 and 2024 was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00" w:type="dxa"/>
            <w:vAlign w:val="bottom"/>
          </w:tcPr>
          <w:p>
            <w:pPr>
              <w:spacing w:after="0"/>
              <w:rPr>
                <w:sz w:val="24"/>
                <w:szCs w:val="24"/>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Non-Vested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0" w:type="dxa"/>
            <w:vAlign w:val="bottom"/>
          </w:tcPr>
          <w:p>
            <w:pPr>
              <w:spacing w:after="0"/>
              <w:rPr>
                <w:sz w:val="1"/>
                <w:szCs w:val="1"/>
                <w:color w:val="auto"/>
              </w:rPr>
            </w:pP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1,222,837</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2,900,695</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(310,432)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3,762,064</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3,598,606</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(503,505)</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(749,267)</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2,425,743</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unrecognized equity-based compensation costs as of June 30, 2024 related to the non-vested shares was $2,880.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classification of share-based compensation: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CCEEFF"/>
            </w:tcBorders>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6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17,999</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36,068</w:t>
            </w: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CONVERTIBLE LOAN WITH SHAREHOLDER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2024, Microvast Inc. entered into a $25,000 convertible loan agreement ("Loan Agreement") with Mr. Yang Wu, the Company’s Chief Executive Officer and Chairman.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includes an Initial Term Loan of $12,000 and a Delayed Draw Term Loan of $13,000 at an initial interest rate equal to Secured Overnight Financing Rate("SOFR"), plus an initial Applicable Margin of 9.75% per annum, 3.75% of which shall be paid in kind rather than in cash. The maturity date is November 28, 2025, which may be accelerated upon the occurrence and continuance of an event of default in accordance with the terms of the Loan Agreement. The Loan Agreement also provides Mr. Wu with the right to convert the outstanding principal balance of the Loan, into shares of common stock at an initial conversion rate equal to two shares of Common Stock per $1.00 of principal amount to be converted.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Loans of $12,000 was received in May 2024 and the Delayed Draw Term loan was received in July 2024.</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is secured by a first priority security interest in substantially all of its assets by Microvast Inc. and all other entities within the Group as guarantors.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Group has elected fair value option to account for the convertible loan. Direct costs and fees related to the convertible loan were expensed as incurred. The fair value was determined by using a discounted cash flow model for the bond component and a Black-Scholes-Merton model for the conversion option, which is considered a Level 3 fair value measurement. Subsequent changes in the fair value are recorded as gains (losses) in the unaudited condensed consolidated statement of operation. During the three months ended June 30, 2024, a loss of $1,590 on fair value change of convertible loan with shareholder was recorded. The outstanding balance for the Convertible loan with shareholder was $13,313 as of June 30, 2024.</w:t>
      </w:r>
    </w:p>
    <w:p>
      <w:pPr>
        <w:spacing w:after="0" w:line="21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connection with the convertible loan from Mr. Wu Yang, on May 28, 2024, the Company issued to Mr. Wu a warrant exercisable for 5,500,000 shares of Common Stock at an initial exercise price of $2.00 per share. The warrant expires on May 28, 2029. No warrants were exercised during the period ended June 30, 2024. As of June 30, 2024, 5,500,000 warrants were outstanding and the Group recorded the warrant value of $779 in additional paid in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input of the discounted cash flow model for the bond component is the discount rate. Below are the key inputs used in Black-Scholes-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Merton model for the conversion option: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53.08 %</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r>
      <w:tr>
        <w:trPr>
          <w:trHeight w:val="23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estimated using a blend of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NET LOSS PER SHARE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periods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auto"/>
        </w:rPr>
        <w:t>Net loss attributable to common stock shareholders</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3" w:lineRule="exact"/>
        <w:rPr>
          <w:sz w:val="20"/>
          <w:szCs w:val="20"/>
          <w:color w:val="auto"/>
        </w:rPr>
      </w:pPr>
    </w:p>
    <w:p>
      <w:pPr>
        <w:ind w:left="180" w:right="180" w:hanging="161"/>
        <w:spacing w:after="0" w:line="260" w:lineRule="auto"/>
        <w:rPr>
          <w:sz w:val="20"/>
          <w:szCs w:val="20"/>
          <w:color w:val="auto"/>
        </w:rPr>
      </w:pPr>
      <w:r>
        <w:rPr>
          <w:rFonts w:ascii="Times New Roman" w:cs="Times New Roman" w:eastAsia="Times New Roman" w:hAnsi="Times New Roman"/>
          <w:sz w:val="18"/>
          <w:szCs w:val="18"/>
          <w:color w:val="auto"/>
        </w:rPr>
        <w:t>Weighted average common stock used in computing basic and diluted net loss per share</w:t>
      </w:r>
    </w:p>
    <w:p>
      <w:pPr>
        <w:spacing w:after="0" w:line="6"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auto"/>
        </w:rPr>
        <w:t>Basic and diluted net loss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80" w:type="dxa"/>
            <w:vAlign w:val="bottom"/>
            <w:gridSpan w:val="4"/>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439"/>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(26,089)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(101,556)</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100" w:type="dxa"/>
            <w:vAlign w:val="bottom"/>
          </w:tcPr>
          <w:p>
            <w:pPr>
              <w:spacing w:after="0"/>
              <w:rPr>
                <w:sz w:val="24"/>
                <w:szCs w:val="24"/>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(126,381)</w:t>
            </w:r>
          </w:p>
        </w:tc>
        <w:tc>
          <w:tcPr>
            <w:tcW w:w="0" w:type="dxa"/>
            <w:vAlign w:val="bottom"/>
          </w:tcPr>
          <w:p>
            <w:pPr>
              <w:spacing w:after="0"/>
              <w:rPr>
                <w:sz w:val="1"/>
                <w:szCs w:val="1"/>
                <w:color w:val="auto"/>
              </w:rPr>
            </w:pPr>
          </w:p>
        </w:tc>
      </w:tr>
      <w:tr>
        <w:trPr>
          <w:trHeight w:val="684"/>
        </w:trPr>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307,742,032</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315,509,552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307,728,460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315,438,336</w:t>
            </w:r>
          </w:p>
        </w:tc>
        <w:tc>
          <w:tcPr>
            <w:tcW w:w="0" w:type="dxa"/>
            <w:vAlign w:val="bottom"/>
          </w:tcPr>
          <w:p>
            <w:pPr>
              <w:spacing w:after="0"/>
              <w:rPr>
                <w:sz w:val="1"/>
                <w:szCs w:val="1"/>
                <w:color w:val="auto"/>
              </w:rPr>
            </w:pPr>
          </w:p>
        </w:tc>
      </w:tr>
      <w:tr>
        <w:trPr>
          <w:trHeight w:val="234"/>
        </w:trPr>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-582295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-145415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-873760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-1028065</wp:posOffset>
            </wp:positionV>
            <wp:extent cx="2322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560"/>
            <w:col w:w="6720"/>
          </w:cols>
          <w:pgMar w:left="320" w:top="121" w:right="339" w:bottom="1440" w:gutter="0" w:footer="0" w:header="0"/>
          <w:type w:val="continuous"/>
        </w:sectPr>
      </w:pPr>
    </w:p>
    <w:p>
      <w:pPr>
        <w:spacing w:after="0" w:line="3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2023 and 2024, the following Common Stock outstanding were excluded from the calculation of diluted net loss per share, as their inclusion would have been anti-dilutive for the periods prescribed.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78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5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6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stock options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36,123,034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31,762,229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36,088,798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32,006,030</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non-vested shares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3,979,361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2,555,946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3,527,440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2,760,854</w:t>
            </w: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issuable upon vesting of Capped non-vested</w:t>
            </w: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13,349,144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6,617,351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13,349,144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6,617,351</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warrants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28,437,000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30,431,505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28,437,000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29,434,253</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Earn-out shares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19,999,988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19,999,988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19,999,988</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that may be subject to cancellation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 Actions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directors of Company predecessor, Tuscan (the “Tuscan Defendants”), and certain former and current Company officers have been named as defendants (the “Company Defendants”) in a purported class action lawsuit filed in the Delaware Court of Chancery (the "Court of Chancery") captioned </w:t>
      </w:r>
      <w:r>
        <w:rPr>
          <w:rFonts w:ascii="Times New Roman" w:cs="Times New Roman" w:eastAsia="Times New Roman" w:hAnsi="Times New Roman"/>
          <w:sz w:val="18"/>
          <w:szCs w:val="18"/>
          <w:i w:val="1"/>
          <w:iCs w:val="1"/>
          <w:color w:val="auto"/>
        </w:rPr>
        <w:t>Matt Jacob v. Stephen A. Vogel, et al.</w:t>
      </w:r>
      <w:r>
        <w:rPr>
          <w:rFonts w:ascii="Times New Roman" w:cs="Times New Roman" w:eastAsia="Times New Roman" w:hAnsi="Times New Roman"/>
          <w:sz w:val="18"/>
          <w:szCs w:val="18"/>
          <w:color w:val="auto"/>
        </w:rPr>
        <w:t>, No. 2022-0600-PAF (Del. Ch.) (filed July 7, 2022). As amended, the complaint alleges that Tuscan Defendants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breached their fiduciary duties in connection with Tuscan’s acquisition of Microvast, Inc., including by making inadequate disclosures concerning the projected earnings of Microvast, Inc., and asserts claims for aiding and abetting that breach against the Company defendants. The plaintiff further alleges that once the earnings of the combined company became public, the Company’s stock dropped, causing losses to investors.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 Actions - continued</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 w:cs="Times New Roman" w:eastAsia="Times New Roman" w:hAnsi="Times New Roman"/>
          <w:sz w:val="18"/>
          <w:szCs w:val="18"/>
          <w:i w:val="1"/>
          <w:iCs w:val="1"/>
          <w:color w:val="auto"/>
        </w:rPr>
        <w:t>In re Microvast Holdings Inc</w:t>
      </w:r>
      <w:r>
        <w:rPr>
          <w:rFonts w:ascii="Times New Roman" w:cs="Times New Roman" w:eastAsia="Times New Roman" w:hAnsi="Times New Roman"/>
          <w:sz w:val="18"/>
          <w:szCs w:val="18"/>
          <w:color w:val="auto"/>
        </w:rPr>
        <w:t>., C.A. No. 2023-1245-PAF. On March 18, 2024, the Court of Chancery granted the petition, validating and declaring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Act as of the time and date such Act was originally taken.</w:t>
      </w:r>
    </w:p>
    <w:p>
      <w:pPr>
        <w:spacing w:after="0" w:line="11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 xml:space="preserve">The Company, the directors of Company predecessor, Tuscan, and certain former and current Company officers and directors have also been named as defendants in a litigation filed in the Court of Chancery captioned </w:t>
      </w:r>
      <w:r>
        <w:rPr>
          <w:rFonts w:ascii="Times New Roman" w:cs="Times New Roman" w:eastAsia="Times New Roman" w:hAnsi="Times New Roman"/>
          <w:sz w:val="18"/>
          <w:szCs w:val="18"/>
          <w:i w:val="1"/>
          <w:iCs w:val="1"/>
          <w:color w:val="auto"/>
        </w:rPr>
        <w:t>Denish Bhavsar v. Stephen Vogel, et al.</w:t>
      </w:r>
      <w:r>
        <w:rPr>
          <w:rFonts w:ascii="Times New Roman" w:cs="Times New Roman" w:eastAsia="Times New Roman" w:hAnsi="Times New Roman"/>
          <w:sz w:val="18"/>
          <w:szCs w:val="18"/>
          <w:color w:val="auto"/>
        </w:rPr>
        <w:t>,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w:t>
      </w:r>
    </w:p>
    <w:p>
      <w:pPr>
        <w:spacing w:after="0" w:line="13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(1) Microvast Inc.’s performance and financial health in connection with the merger between Tuscan and Microvast, Inc., and (2) the Company’s loss of a conditional grant from the United States Department of Energy. The Company is reviewing the demands.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w:t>
      </w:r>
    </w:p>
    <w:p>
      <w:pPr>
        <w:spacing w:after="0" w:line="25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 xml:space="preserve">The Company and certain of its officers have also been named as defendants in a putative class action complaint by a shareholder of the Company in the U.S. District Court for the Southern District of Texas under the caption </w:t>
      </w:r>
      <w:r>
        <w:rPr>
          <w:rFonts w:ascii="Times New Roman" w:cs="Times New Roman" w:eastAsia="Times New Roman" w:hAnsi="Times New Roman"/>
          <w:sz w:val="18"/>
          <w:szCs w:val="18"/>
          <w:i w:val="1"/>
          <w:iCs w:val="1"/>
          <w:color w:val="auto"/>
        </w:rPr>
        <w:t>Schelling v. Microvast Holdings, Inc.,</w:t>
      </w:r>
      <w:r>
        <w:rPr>
          <w:rFonts w:ascii="Times New Roman" w:cs="Times New Roman" w:eastAsia="Times New Roman" w:hAnsi="Times New Roman"/>
          <w:sz w:val="18"/>
          <w:szCs w:val="18"/>
          <w:color w:val="auto"/>
        </w:rPr>
        <w:t xml:space="preserve"> 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and the nature of Company-associated operations in China. On March 1, 2024, the court appointed Co-Lead Plaintiffs and Co-Lead Counsel for the proposed class of Company investors. On March 14, 2024, the court approved a proposed schedule for filing of an amended complaint and briefing of a motion to dismiss. Plaintiffs amended their complaint on May 13, 2024, and Defendants filed a motion to dismiss on June 20, 2024. Briefing on the motion to dismiss will be completed by September 10, 2024.</w:t>
      </w:r>
    </w:p>
    <w:p>
      <w:pPr>
        <w:spacing w:after="0" w:line="20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have also been named as defendants in three derivative actions filed in the Southern District of Texas under the captions </w:t>
      </w:r>
      <w:r>
        <w:rPr>
          <w:rFonts w:ascii="Times New Roman" w:cs="Times New Roman" w:eastAsia="Times New Roman" w:hAnsi="Times New Roman"/>
          <w:sz w:val="18"/>
          <w:szCs w:val="18"/>
          <w:i w:val="1"/>
          <w:iCs w:val="1"/>
          <w:color w:val="auto"/>
        </w:rPr>
        <w:t>Bhavsar v. Wu et al.</w:t>
      </w:r>
      <w:r>
        <w:rPr>
          <w:rFonts w:ascii="Times New Roman" w:cs="Times New Roman" w:eastAsia="Times New Roman" w:hAnsi="Times New Roman"/>
          <w:sz w:val="18"/>
          <w:szCs w:val="18"/>
          <w:color w:val="auto"/>
        </w:rPr>
        <w:t xml:space="preserve">, No. 4:24-cv-00372 (S.D. Tex.) (filed Jan. 31, 2024),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xml:space="preserve">, Case No. 4:24-cv-00633 (S.D. Tex.) (filed Feb. 23, 2024), </w:t>
      </w:r>
      <w:r>
        <w:rPr>
          <w:rFonts w:ascii="Times New Roman" w:cs="Times New Roman" w:eastAsia="Times New Roman" w:hAnsi="Times New Roman"/>
          <w:sz w:val="18"/>
          <w:szCs w:val="18"/>
          <w:i w:val="1"/>
          <w:iCs w:val="1"/>
          <w:color w:val="auto"/>
        </w:rPr>
        <w:t>Gidaro v. Wu et al</w:t>
      </w:r>
      <w:r>
        <w:rPr>
          <w:rFonts w:ascii="Times New Roman" w:cs="Times New Roman" w:eastAsia="Times New Roman" w:hAnsi="Times New Roman"/>
          <w:sz w:val="18"/>
          <w:szCs w:val="18"/>
          <w:color w:val="auto"/>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 w:cs="Times New Roman" w:eastAsia="Times New Roman" w:hAnsi="Times New Roman"/>
          <w:sz w:val="18"/>
          <w:szCs w:val="18"/>
          <w:i w:val="1"/>
          <w:iCs w:val="1"/>
          <w:color w:val="auto"/>
        </w:rPr>
        <w:t>Schelling</w:t>
      </w:r>
      <w:r>
        <w:rPr>
          <w:rFonts w:ascii="Times New Roman" w:cs="Times New Roman" w:eastAsia="Times New Roman" w:hAnsi="Times New Roman"/>
          <w:sz w:val="18"/>
          <w:szCs w:val="18"/>
          <w:color w:val="auto"/>
        </w:rPr>
        <w:t xml:space="preserve"> 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 w:cs="Times New Roman" w:eastAsia="Times New Roman" w:hAnsi="Times New Roman"/>
          <w:sz w:val="18"/>
          <w:szCs w:val="18"/>
          <w:i w:val="1"/>
          <w:iCs w:val="1"/>
          <w:color w:val="auto"/>
        </w:rPr>
        <w:t>Bhavsar v. Wu</w:t>
      </w:r>
      <w:r>
        <w:rPr>
          <w:rFonts w:ascii="Times New Roman" w:cs="Times New Roman" w:eastAsia="Times New Roman" w:hAnsi="Times New Roman"/>
          <w:sz w:val="18"/>
          <w:szCs w:val="18"/>
          <w:color w:val="auto"/>
        </w:rPr>
        <w:t xml:space="preserve"> et al., No. 4:24-cv-00372, consolidating the </w:t>
      </w:r>
      <w:r>
        <w:rPr>
          <w:rFonts w:ascii="Times New Roman" w:cs="Times New Roman" w:eastAsia="Times New Roman" w:hAnsi="Times New Roman"/>
          <w:sz w:val="18"/>
          <w:szCs w:val="18"/>
          <w:i w:val="1"/>
          <w:iCs w:val="1"/>
          <w:color w:val="auto"/>
        </w:rPr>
        <w:t>Bhavsar</w:t>
      </w:r>
      <w:r>
        <w:rPr>
          <w:rFonts w:ascii="Times New Roman" w:cs="Times New Roman" w:eastAsia="Times New Roman" w:hAnsi="Times New Roman"/>
          <w:sz w:val="18"/>
          <w:szCs w:val="18"/>
          <w:color w:val="auto"/>
        </w:rPr>
        <w:t xml:space="preserve"> case and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Case No. 4:24-cv-00633. The consolidated derivative litigation (the “Consolidated Derivative Action”) is captioned</w:t>
      </w:r>
      <w:r>
        <w:rPr>
          <w:rFonts w:ascii="Times New Roman" w:cs="Times New Roman" w:eastAsia="Times New Roman" w:hAnsi="Times New Roman"/>
          <w:sz w:val="18"/>
          <w:szCs w:val="18"/>
          <w:i w:val="1"/>
          <w:iCs w:val="1"/>
          <w:color w:val="auto"/>
        </w:rPr>
        <w:t xml:space="preserve"> In re Microvast Holdings, Inc. Derivative Litigation</w:t>
      </w:r>
      <w:r>
        <w:rPr>
          <w:rFonts w:ascii="Times New Roman" w:cs="Times New Roman" w:eastAsia="Times New Roman" w:hAnsi="Times New Roman"/>
          <w:sz w:val="18"/>
          <w:szCs w:val="18"/>
          <w:color w:val="auto"/>
        </w:rPr>
        <w:t>, Lead Case No. 4:24-cv-00372 (S.D. Tex.). The parties in the</w:t>
      </w:r>
      <w:r>
        <w:rPr>
          <w:rFonts w:ascii="Times New Roman" w:cs="Times New Roman" w:eastAsia="Times New Roman" w:hAnsi="Times New Roman"/>
          <w:sz w:val="18"/>
          <w:szCs w:val="18"/>
          <w:i w:val="1"/>
          <w:iCs w:val="1"/>
          <w:color w:val="auto"/>
        </w:rPr>
        <w:t xml:space="preserve"> Gidardo </w:t>
      </w:r>
      <w:r>
        <w:rPr>
          <w:rFonts w:ascii="Times New Roman" w:cs="Times New Roman" w:eastAsia="Times New Roman" w:hAnsi="Times New Roman"/>
          <w:sz w:val="18"/>
          <w:szCs w:val="18"/>
          <w:color w:val="auto"/>
        </w:rPr>
        <w:t>action filed a stipulation to consolidate the</w:t>
      </w:r>
      <w:r>
        <w:rPr>
          <w:rFonts w:ascii="Times New Roman" w:cs="Times New Roman" w:eastAsia="Times New Roman" w:hAnsi="Times New Roman"/>
          <w:sz w:val="18"/>
          <w:szCs w:val="18"/>
          <w:i w:val="1"/>
          <w:iCs w:val="1"/>
          <w:color w:val="auto"/>
        </w:rPr>
        <w:t xml:space="preserve"> Gidaro </w:t>
      </w:r>
      <w:r>
        <w:rPr>
          <w:rFonts w:ascii="Times New Roman" w:cs="Times New Roman" w:eastAsia="Times New Roman" w:hAnsi="Times New Roman"/>
          <w:sz w:val="18"/>
          <w:szCs w:val="18"/>
          <w:color w:val="auto"/>
        </w:rPr>
        <w:t>case into the Consolidated Derivative Action. The Consolidated Derivative Action is stayed pending disposition of an anticipated motion to dismiss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i w:val="1"/>
          <w:iCs w:val="1"/>
          <w:color w:val="auto"/>
        </w:rPr>
        <w:t>Schelling</w:t>
      </w:r>
      <w:r>
        <w:rPr>
          <w:rFonts w:ascii="Times New Roman" w:cs="Times New Roman" w:eastAsia="Times New Roman" w:hAnsi="Times New Roman"/>
          <w:sz w:val="18"/>
          <w:szCs w:val="18"/>
          <w:color w:val="auto"/>
        </w:rPr>
        <w:t xml:space="preserve"> Action.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 - continued</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43"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 xml:space="preserve">The Company and Microvast Energy, Inc. (“Microvast Energy”), a subsidiary of the Company, have been named as defendants in a litigation filed in the Chancery Court for the State of Tennessee under the caption </w:t>
      </w:r>
      <w:r>
        <w:rPr>
          <w:rFonts w:ascii="Times New Roman" w:cs="Times New Roman" w:eastAsia="Times New Roman" w:hAnsi="Times New Roman"/>
          <w:sz w:val="18"/>
          <w:szCs w:val="18"/>
          <w:i w:val="1"/>
          <w:iCs w:val="1"/>
          <w:color w:val="auto"/>
        </w:rPr>
        <w:t>Stoncor Group, Inc. v. Microvast, Inc., et al</w:t>
      </w:r>
      <w:r>
        <w:rPr>
          <w:rFonts w:ascii="Times New Roman" w:cs="Times New Roman" w:eastAsia="Times New Roman" w:hAnsi="Times New Roman"/>
          <w:sz w:val="18"/>
          <w:szCs w:val="18"/>
          <w:color w:val="auto"/>
        </w:rPr>
        <w:t>, Case No. CD-24-12 (Tenn. Ch.) (filed Mar. 18, 2024). The plaintiff alleges that the Company failed to pay it for construction work that it performed on a Microvast facility in Tennessee, and seeks damages of $1,251, plus certain fees and expenses, and foreclosure on the facility to satisfy the payment allegedly owed.</w:t>
      </w:r>
    </w:p>
    <w:p>
      <w:pPr>
        <w:spacing w:after="0" w:line="18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 xml:space="preserve">Deidra Milan is an ex-employee of Microvast, and is the putative representative of a class of more than 100 individual employees who were let go from their jobs at a plant in Clarksville, Tennessee. She has filed </w:t>
      </w:r>
      <w:r>
        <w:rPr>
          <w:rFonts w:ascii="Times New Roman" w:cs="Times New Roman" w:eastAsia="Times New Roman" w:hAnsi="Times New Roman"/>
          <w:sz w:val="18"/>
          <w:szCs w:val="18"/>
          <w:i w:val="1"/>
          <w:iCs w:val="1"/>
          <w:color w:val="auto"/>
        </w:rPr>
        <w:t>Civil Action No. 3:24-cv-00627, Deidre Milan, Plaintiff v. Microvast, Inc. and Microvast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The Company filed an answer to the suit on July 19, 2024. The Class Action Complaint is brought under the Worker Adjustment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Notification Act, 29 U.S.C. §§2101-2109 (the “WARN Act”), which requires advance notice before laying off employees in a plant closing and under certain other circumstances. Plaintiff alleges that Defendants made the decision to terminate over 50 employees and at least one-third of their workforce from the Clarksville, Tennessee facility. The complaint also alleges that Defendants have continued the layoffs with other employees being let go in April and as recently as May 17, 2024. Plaintiffs allege that these layoffs were not in good faith, all in violation of the WARN Act. Plaintiffs seek backpay, medical expenses, attorney’s fees and statutory penalties in an unspecified amount.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Microvast, Inc., a subsidiary of the Company, has been named as a defendant in a contract dispute litigation filed in Montgomery County Chancery Court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State of Tennessee under the caption </w:t>
      </w:r>
      <w:r>
        <w:rPr>
          <w:rFonts w:ascii="Times New Roman" w:cs="Times New Roman" w:eastAsia="Times New Roman" w:hAnsi="Times New Roman"/>
          <w:sz w:val="18"/>
          <w:szCs w:val="18"/>
          <w:i w:val="1"/>
          <w:iCs w:val="1"/>
          <w:color w:val="auto"/>
        </w:rPr>
        <w:t>DPR Construction, GP vs.</w:t>
      </w:r>
      <w:r>
        <w:rPr>
          <w:rFonts w:ascii="Times New Roman" w:cs="Times New Roman" w:eastAsia="Times New Roman" w:hAnsi="Times New Roman"/>
          <w:sz w:val="18"/>
          <w:szCs w:val="18"/>
          <w:color w:val="auto"/>
        </w:rPr>
        <w:t xml:space="preserve"> Microvast,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Case No. CD-24-31 (Tenn. Ch.) (filed June 20, 2024). The</w:t>
      </w:r>
    </w:p>
    <w:p>
      <w:pPr>
        <w:spacing w:after="0" w:line="234" w:lineRule="auto"/>
        <w:rPr>
          <w:sz w:val="20"/>
          <w:szCs w:val="20"/>
          <w:color w:val="auto"/>
        </w:rPr>
      </w:pPr>
      <w:r>
        <w:rPr>
          <w:rFonts w:ascii="Times New Roman" w:cs="Times New Roman" w:eastAsia="Times New Roman" w:hAnsi="Times New Roman"/>
          <w:sz w:val="18"/>
          <w:szCs w:val="18"/>
          <w:color w:val="auto"/>
        </w:rPr>
        <w:t>Plaintiff alleges that the Company failed to pay it for construction work that is performed on a Microvast facility in Tennessee, and seeks damages of</w:t>
      </w:r>
    </w:p>
    <w:p>
      <w:pPr>
        <w:spacing w:after="0" w:line="235" w:lineRule="auto"/>
        <w:rPr>
          <w:sz w:val="20"/>
          <w:szCs w:val="20"/>
          <w:color w:val="auto"/>
        </w:rPr>
      </w:pPr>
      <w:r>
        <w:rPr>
          <w:rFonts w:ascii="Times New Roman" w:cs="Times New Roman" w:eastAsia="Times New Roman" w:hAnsi="Times New Roman"/>
          <w:sz w:val="18"/>
          <w:szCs w:val="18"/>
          <w:color w:val="auto"/>
        </w:rPr>
        <w:t>$19,950 in progress billings, the additional sum of $1,566 being held as retainage on Plaintiff's progress billings under the contract, lost profits on the work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yet to be performed under the contract plus certain fees and expenses, and foreclosure on the facility to satisfy the payment allegedly owed.</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Microvast, Inc. has been named as a defendant in a contract dispute litigation filed in Montgomery County Chancery Court for the State of Tennessee under the caption </w:t>
      </w:r>
      <w:r>
        <w:rPr>
          <w:rFonts w:ascii="Times New Roman" w:cs="Times New Roman" w:eastAsia="Times New Roman" w:hAnsi="Times New Roman"/>
          <w:sz w:val="18"/>
          <w:szCs w:val="18"/>
          <w:i w:val="1"/>
          <w:iCs w:val="1"/>
          <w:color w:val="auto"/>
        </w:rPr>
        <w:t>Faith Technologies, Inc. Microvast, Inc. et al.</w:t>
      </w:r>
      <w:r>
        <w:rPr>
          <w:rFonts w:ascii="Times New Roman" w:cs="Times New Roman" w:eastAsia="Times New Roman" w:hAnsi="Times New Roman"/>
          <w:sz w:val="18"/>
          <w:szCs w:val="18"/>
          <w:color w:val="auto"/>
        </w:rPr>
        <w:t>, Case No. CD-24-36 (Tenn. Ch.) (filed on July 15, 2024). Plaintiff asserts claims for damages related to its subcontract with DPR Construction, GP under which Plaintiff provided fire protection system services on a Microvast facility in Tennessee, and seeks damages of $1,699 plus cost of court and attorneys and prejudgment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Microvast, Inc. has been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Bernhard MCC v. Hodess Cleanroom Construction, LLC, Hodess Construction Corporation, Microvast, Inc., and The Industrial Development Board of the County of Montgomery</w:t>
      </w:r>
      <w:r>
        <w:rPr>
          <w:rFonts w:ascii="Times New Roman" w:cs="Times New Roman" w:eastAsia="Times New Roman" w:hAnsi="Times New Roman"/>
          <w:sz w:val="18"/>
          <w:szCs w:val="18"/>
          <w:color w:val="auto"/>
        </w:rPr>
        <w:t>, Case No. CD-24-26 (Tenn. Ch.) (filed on May 28, 2024) brought by a subcontractor on the Microvast Facility in Tennessee for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$2,173.</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 - continued</w:t>
      </w:r>
    </w:p>
    <w:p>
      <w:pPr>
        <w:spacing w:after="0" w:line="21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 xml:space="preserve">Microvast, Inc. has been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Bernhard MCC, LLC. vs. U.S. Engineering Innovations, LLC, DPR Construction, Microvast, Inc. and the Industrial Development Board of the County of Montgomery, C</w:t>
      </w:r>
      <w:r>
        <w:rPr>
          <w:rFonts w:ascii="Times New Roman" w:cs="Times New Roman" w:eastAsia="Times New Roman" w:hAnsi="Times New Roman"/>
          <w:sz w:val="18"/>
          <w:szCs w:val="18"/>
          <w:color w:val="auto"/>
        </w:rPr>
        <w:t>ase No. CD-24-27 (Tenn. Ch.) (filed on May 28, 2024 ) brought by a subcontractor on the Microvast Facility in Tennessee for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$5,681.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Microvast, Inc. has been named as a defendant in an action filed in Montgomery County Chancery Court for the State of Tennessee under the caption</w:t>
      </w:r>
    </w:p>
    <w:p>
      <w:pPr>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Virginia Transformer Corp. v. Microvast, Inc.and the Industrial Development Board of the County of Montgomery, Tennessee, </w:t>
      </w:r>
      <w:r>
        <w:rPr>
          <w:rFonts w:ascii="Times New Roman" w:cs="Times New Roman" w:eastAsia="Times New Roman" w:hAnsi="Times New Roman"/>
          <w:sz w:val="18"/>
          <w:szCs w:val="18"/>
          <w:color w:val="auto"/>
        </w:rPr>
        <w:t>Case No. RE-24-32 (Tenn.</w:t>
      </w:r>
    </w:p>
    <w:p>
      <w:pPr>
        <w:spacing w:after="0"/>
        <w:rPr>
          <w:sz w:val="20"/>
          <w:szCs w:val="20"/>
          <w:color w:val="auto"/>
        </w:rPr>
      </w:pPr>
      <w:r>
        <w:rPr>
          <w:rFonts w:ascii="Times New Roman" w:cs="Times New Roman" w:eastAsia="Times New Roman" w:hAnsi="Times New Roman"/>
          <w:sz w:val="18"/>
          <w:szCs w:val="18"/>
          <w:color w:val="auto"/>
        </w:rPr>
        <w:t>Ch.) (filed on July 01, 2024) brought by a prime contractor on the Microvast Facility in Tennessee for lien enforcement of $1,769.</w:t>
      </w:r>
    </w:p>
    <w:p>
      <w:pPr>
        <w:spacing w:after="0" w:line="1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Group is also involved in other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2023 and June 30, 2024, based on the information currently available, the Group believes that any loss contingencies that may arise as a result of currently pending legal proceedings cannot be accurately quantified at this time and thus cannot determine whether they will have a material adverse effect on the Group’s business, results of operations, financial condition, and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commitments for construction of property and purchase of property, plant and equipment were $49,965 as of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commitments for non-cancelable contractual obligations primarily related to purchases of inventory were $45,952 as of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Pledged assets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those disclosed in Note 8, the Group may pledge certain assets to banks to secure the issuance of bank acceptance notes for the Group. As of June 30, 2024, notes receivable from customers in the amount of $1,489, together with certain of our machinery and equipment with a carrying value of $25,772 has been pledged to secure the issuance of such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Liens and Notices of Non-payment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received $35,986 of liens and $2,410 of notices of non-payment.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funding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the Company received the Delayed Draw Term Loan under the Loan Agreement of $13,000.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settlement agreements with creditors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Subsequent to June 30, 2024 and to the date of issuance of the financial statements, the Group has entered into several settlement agreements with certain suppliers with payables amounting to approximately $21,338 as of June 30, 2024. Those agreements grant the Group a concession by forgiving certain contractually owed amounts and release some liens, as well as allow the Group to defer certain payment schedules. Based on those subsequent settlement agreements, a total payable concession of approximately $6,573 was obtained, liens of approximately $10,610 will be ultimately released and the payment schedules were generally deferred to monthly installments in the next twelve months. The Group is in the process of assessing the related accounting impact.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References in this Report to the “Company,” “Microvast Holdings, Inc.,” “Microvast,” “our,” “us” or “we” refer to Microvast Holdings,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Microvast Holdings, Inc., an advanced battery technology company, is headquartered in Stafford, Texas, and publicly traded on the NASDAQ. We design, develop and manufacture battery components and systems primarily for electric commercial vehicles and utility-scale energy storage systems (“ESS”).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Founded in 2006, Microvast was built on a guiding principle that remains core to our mission today: to innovate lithium-ion battery design without relying on past technologies. We call this true innovation. We started without preconceived notions of lithium-ion battery creation, unlike many companies that repurposed legacy technologies for new markets like electric vehicles—a process we consider product development rather than true innovation. To understand this difference, is to understand what we have set out to achieve.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mission is to accelerate the adoption of electric vehicles and renewable energy through innovative battery technologies and solutions, driving the transition to a sustainable economy. Specifically, we aim to spearhead U.S. domestic battery production in what is a strategically vital sector and allowing over time for the reliance on supplies from overseas manufacturers to be reduced. We believe continuous investment in our technology and operations will deliver long-term targeted revenue and income growth.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a vertically integrated approach, we have developed proprietary technologies spanning the entire battery system, from basic cell materials (cathode, anode, electrolyte, separator) to cooling systems and software controls. Since our inception, we have primarily focused on developing new battery solutions for the transportation industry which requires batteries that are ultra-fast charging, high energy density, long-lasting and safe.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most recent innovation is our high-energy nickel manganese cobalt (“NMC”) 53.5 ampere-hour battery cell (the “53.5Ah”), whose performance characteristics make it an ideal solution for electric vehicles. To bring this product to market we made significant investments in capacity expansion in Huzhou, China, and this facility now employs fully-automated production equipment for the 53.5Ah cell.</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Since 2009, when we launched our first ultra-fast battery system, we have sold and delivered approximately 5,142.4 megawatt hours (“MWh”) of battery systems for electric vehicles. Our revenue for the three months ended June 30, 2024, increased $8.7 million to $83.7 million, a 12% increase compared to the same period ended June 30, 2023. As of June 30, 2024, we had an order backlog of approximately $278.6 million for our battery systems for electric vehicles (the equivalent of approximately 1,257.1 MWh), over 63% of which is attributable to Europe and the U.S. We expect to fulfill a majority of our electric vehicle battery backlog within 2024 and 2025.</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future, in addition to expanding our production of battery systems and battery components for electric vehicles, we expect to increase our focus on producing ESS solutions to support the shift to electrification, with the goal of becoming a leading global ESS solution provider to the energy market. This necessity stems from the premise that electric vehicles are truly green only if powered by green energy. Addressing this symbiotic relationship is at the heart of our research activities and we expect it will shape our strategies for the foreseeable future.</w:t>
      </w:r>
    </w:p>
    <w:p>
      <w:pPr>
        <w:spacing w:after="0" w:line="166"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18"/>
          <w:szCs w:val="18"/>
          <w:color w:val="auto"/>
        </w:rPr>
        <w:t>We originally intended to produce 53.5Ah cells from our Clarksville, Tennessee facility for our ESS and EV product and had made significant investments in our capacity expansion there. However, due to market demand, regulation policies, our competitors lowering their selling prices, we now believe lithium iron phosphate (“LFP”) cells are a better battery fit for our ESS solutions and intend to produce LFP cells from the Tennessee facility instead of 53.5Ah cells. As such, we expect that all our production of 53.5Ah cells will be from our facilities in China, and in the United States we will focus on LFP production for our energy storage solutions to customers worldwide. We believe this strategic shift towards LFP technology in the U.S. leverages cost benefits, safety features, regulatory compliance, and lower environmental impact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Production and Application Suitability. While NMC batteries provide high energy density and performance suitable for electric vehicles, we believe these characteristics are less critical for energy storage systems. LFP batteries, in contrast, offer performance parameters that align well with ESS requirements due to their stability and durability over longer discharge periods.</w:t>
      </w:r>
    </w:p>
    <w:p>
      <w:pPr>
        <w:spacing w:after="0" w:line="20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Cost Efficiency and Resource Utilization. LFP batteries are generally 20-40% less expensive per kilowatt-hour compared to NMC batteries. We believe this cost advantage, coupled with the reduced reliance on scarce minerals such as cobalt, makes LFP an economically and environmentally preferable choice for ESS. The extended lifecycle of our LFP batteries enhances their cost-effectiveness over prolonged operational durations, presenting a compelling value proposition for large-scale energy storage applications.</w:t>
      </w:r>
    </w:p>
    <w:p>
      <w:pPr>
        <w:spacing w:after="0" w:line="19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Reliability Enhancements. LFP batteries demonstrate better structural stability and higher thermal thresholds, reducing risks associated with overheating and thermal runaway. Our proprietary technology, which incorporates nitrogen protection systems within our ESS containers, further enhances the reliability profile of our ESS solutions, demonstrating our dedication to risk mitigation in the energy storage sector.</w:t>
      </w:r>
    </w:p>
    <w:p>
      <w:pPr>
        <w:spacing w:after="0" w:line="204"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Tax Incentives. Our domestically produced LFP batteries and energy storage containers are expected to qualify with U.S. domestic content requirements and qualify for the Inflation Reduction Act Section 45X energy efficiency incentives, thereby enhancing the economic viability of our ESS solutions.</w:t>
      </w:r>
    </w:p>
    <w:p>
      <w:pPr>
        <w:spacing w:after="0" w:line="204"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Environmental Impact. LFP batteries do not contain cobalt, which is often associated with significant environmental degradation and ethical concerns related to its mining practices. This attribute underscores our commitment to environmental sustainability and positions LFP batteries as a more eco-friendly option in the energy storage market.</w:t>
      </w:r>
    </w:p>
    <w:p>
      <w:pPr>
        <w:spacing w:after="0" w:line="20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While we believe these advantages make LFP batteries better suited for meeting the current and future demands of our ESS solutions, we are in the early stages of exploring this new product which is currently in the pilot stage in China. We can provide no assurance as to whether and when our LFP product will become available, when our Clarksville, Tennessee facility will be completed, or if our LFP batteries will ever be marketable. The lithium-based battery market is highly competitive and there can be no assurance that the use of our LFP product or ESS solutions will gain market acceptance. Additionally, we might encounter practical difficulties and may incur additional costs during the scale-up of our LFP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Business Combination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Microvast and TSCN Merger Sub Inc., a Delaware corporation, pursuant to which Merger Sub merged with and into Microvast, with Microvast surviving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205-40, Going Concern, we evaluate whether there are certain conditions and events, considered in the aggregate, that raise substantial doubt about our ability to continue as a going concern. This evaluation includes considerations related to our liquidity resource. Given the uncertainties around our liquidity as described in Note 3 to the unaudited condensed consolidated financial statements of this Quarterly Report and in this Management's Discussion and Analysis of Financial Condition and Results of Operations, we have concluded that there is substantial doubt about our ability to continue as a going concern for at least one year from the date of issuance of the unaudited consolidated financial statements included elsewhere in this Quarterly Report. For more information, see Note 3 to the unaudited consolidated financial statements of this Quarterly Report and the risk factors in our Annual Report on Form 10-K for the year ended December 31, 2023 "</w:t>
      </w:r>
      <w:r>
        <w:rPr>
          <w:rFonts w:ascii="Times New Roman" w:cs="Times New Roman" w:eastAsia="Times New Roman" w:hAnsi="Times New Roman"/>
          <w:sz w:val="18"/>
          <w:szCs w:val="18"/>
          <w:i w:val="1"/>
          <w:iCs w:val="1"/>
          <w:color w:val="auto"/>
        </w:rPr>
        <w:t>There is substantial</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doubt regarding our ability to continue as a going concern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may be unable to meet our current capital requirements and will require additional capital to meet our outstanding accounts payable and current liabilities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Product Innovation</w:t>
      </w:r>
    </w:p>
    <w:p>
      <w:pPr>
        <w:spacing w:after="0" w:line="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 (e.g., the Inflation Reduction Act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Any reduction or elimination of governmental economic incentives may result in reduced demand for our products and adversely affect our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Capacity</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growth depends on being able to meet anticipated demand for our products. As of June 30, 2024, we had a backlog of approximately $278.6 million for our electric vehicles battery systems, equivalent to approximately 1,257.1 MWh. To increase our manufacturing output, address our backlog and capture growing market opportunities, we have made significant investment in capacity expansions in both Huzhou, China and Tennessee, United States.</w:t>
      </w:r>
    </w:p>
    <w:p>
      <w:pPr>
        <w:spacing w:after="0" w:line="3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2023, we successfully completed the 2 GWh cell, module and tray capacity expansion for our 53.5Ah cell technology in Huzhou, China which is now in operation and generating revenue from sales of electric battery systems.</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Tennessee expansion was originally scheduled to be completed in the fourth quarter of 2023 and was intended for production of 53.5Ah cells for our ESS solutions. However, we now believe LFP cells are a better battery fit for our ESS solutions and intend to produce LFP cells from the Tennessee facility instead of 53.5Ah cells. As such, we expect that all our production of 53.5Ah cells will be from our facilities in China, and in the United States we will focus on LFP production for our energy storage solutions to customers worldwide. Additionally, our ESS products previously assembled in Colorado are now planned to be assembled at our Tennessee facility. In order to complete the Tennessee expansion, we need to secure financing to meet the remaining capital expenditure needs, and the timing of when this project will be in operation remains uncertain. We are in the process of evaluating the amount of capital expenditures needed to complete the Tennessee expansion in light of the intended production shift from NMC cells to LFP cells.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Geographic Mix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Europe and the U.S.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Therefore, the geographic sources of our revenue will have an impact on our revenue and gross margins.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or developers of renewable energy projects, and economic penalties that may apply to a car manufacturer based on its fleet-wide emissions or more generally legislation aimed at reducing GHGs. Each of these regulations may expand the market size for both electric vehicles and energy storage , which would, in turn, benefit us. We have operations and sales in China, the Asia &amp; Pacific region, Europe and the U.S. and, as a result, changes in trade restrictions and tariffs could impact our ability to meet projected sales or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business through one operating segment. Our historical results are reported in accordance with U.S. GAAP and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derive revenue from the sales of our electric battery products, including LpTO, LpCO, MpCO, HpCO and HnCo battery power systems. While we have historically marketed and sold our products primarily in China and the wider Asia-Pacific region, we are also expanding our sales presence internationally. The following table sets forth a breakdown of our revenue by major geographic regions in which our customers are located,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People’s Republic of China ("PRC")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46,122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33,282</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2,371</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46,745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83,675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98"/>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People’s Republic of China ("PRC")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78,734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60,474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25,665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86,139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75,666</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3,221</w:t>
            </w:r>
          </w:p>
        </w:tc>
        <w:tc>
          <w:tcPr>
            <w:tcW w:w="1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121,926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165,026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derived a portion of our revenue in a given reporting period from a limited number of key customers, which vary from period to period. The following table summarizes net revenues from customers that accounted for over 10% of our net revenues for the periods indicated:</w:t>
      </w:r>
    </w:p>
    <w:p>
      <w:pPr>
        <w:spacing w:after="0" w:line="19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19"/>
                <w:szCs w:val="19"/>
                <w:color w:val="auto"/>
              </w:rPr>
            </w:pPr>
          </w:p>
        </w:tc>
        <w:tc>
          <w:tcPr>
            <w:tcW w:w="10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tcBorders>
          </w:tcPr>
          <w:p>
            <w:pPr>
              <w:spacing w:after="0"/>
              <w:rPr>
                <w:sz w:val="19"/>
                <w:szCs w:val="19"/>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581"/>
        </w:trPr>
        <w:tc>
          <w:tcPr>
            <w:tcW w:w="7940" w:type="dxa"/>
            <w:vAlign w:val="bottom"/>
          </w:tcPr>
          <w:p>
            <w:pPr>
              <w:spacing w:after="0"/>
              <w:rPr>
                <w:sz w:val="24"/>
                <w:szCs w:val="24"/>
                <w:color w:val="auto"/>
              </w:rPr>
            </w:pPr>
          </w:p>
        </w:tc>
        <w:tc>
          <w:tcPr>
            <w:tcW w:w="28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r>
      <w:tr>
        <w:trPr>
          <w:trHeight w:val="223"/>
        </w:trPr>
        <w:tc>
          <w:tcPr>
            <w:tcW w:w="79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such customers represented less than 10% of our revenue during the respective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Cost of revenues includes direct and indirect materials, manufacturing overhead (including depreciation, freight and logistics), warranty reserves and expenses, provision for obsolete inventories, and labor costs and related personnel expenses, including stock-based compensation and other related expenses that are directly attributable to the manufacturing of products.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is equal to revenues less cost of revenues. Gross profit margin is equal to gross profit divided by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expenses consist of selling and marketing, general and administrative and research and development expenses.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Selling and marketing expenses consist primarily of personnel-related costs associated with our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functions, including share-based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consist primarily of personnel-related expenses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team members, including share-based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personnel-related expenses, including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and expenses consist primarily of interest expense associated with our debt financing arrangements, interest income earned on our cash balances, gains and losses from foreign exchange conversion, and gains and losses on disposal of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foreign jurisdictions in which we do business, namely the PRC,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“IRS”),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in the PRC is generally calculated at 25% of the estimated assessable profit of our subsidiaries in the PRC, except that two of our PRC subsidiaries were qualified as “High and New Tech Enterprises” and thus enjoyed a preferential income tax rate of 15%. Federal corporate income tax rate of 21% is applied for our U.S. entity. Income tax in the UK is calculated at an average tax rate of 19% of the estimated assessable profit of our subsidiary in the UK. German enterprise income tax, which is a combination of corporate income tax and trade tax, is calculated at 29.9% of the estimated assessable profit of our subsidiary in Germany.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to the Three Months Ended June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17"/>
                <w:szCs w:val="17"/>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97"/>
        </w:trPr>
        <w:tc>
          <w:tcPr>
            <w:tcW w:w="48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(63,492)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(56,480)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172502.0 %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(38,964)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(126,671)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(26,866)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(98,741)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and convertible loan</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Microvast Holdings, Inc.'s</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(26,089)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(75,467)</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289.3 %</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revenues increased from approximately $75.0 million for the three months ended June 30, 2023 to approximately $83.7 million for the same period in 2024, primarily driven by an increase in sales volume from approximately 270.2 MWh for three months ended June 30, 2023 to approximately 301.7 MWh for the same period in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for the three months ended June 30, 2024 decreased by $7.0 million, or 11.0%, compared to the same period in 2023. The decrease in the cost of revenues was primarily due to the decrease in raw material prices.</w:t>
      </w:r>
    </w:p>
    <w:p>
      <w:pPr>
        <w:spacing w:after="0" w:line="1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gross margin increased from 15.3% for the three months ended June 30, 2023 to 32.5% for the same period in 2024. The increase in gross margin was due to a combination of factors including better economies of scale through improving utilization, more favorable product mix and lower raw material prices.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and Marketing expenses for the three months ended June 30, 2024 were stable compared to the same period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2024 were stable compared to the same period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expenses for the three months ended June 30, 2024 were stable compared to the same period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of long-lived assets</w:t>
      </w:r>
    </w:p>
    <w:p>
      <w:pPr>
        <w:spacing w:after="0" w:line="22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impairment loss of long-lived assets for the three months ended June 30, 2024, was driven by a $88.0 million impairment loss in our U.S. operations. During this period, we initiated a strategic shift towards LFP technology in the U.S., and we decided to pause the construction of our Clarksville Property until additional funding for the remaining capital expenditure is secured. As a result of these events and circumstances in the second quarter, we conducted impairment testing for our long-lived assets in the U.S. and recognized an impairment loss of $88.0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of warrant and convertible loan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three-month period ended June 30, 2024, we recorded a loss of $1.6 million mainly due to the change in fair value of convertible loan with shareholder of $1.6 million, details please see Note 15 – Convertible loan with shareholder.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to the Six Months Ended June 30, 2023</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8"/>
        </w:trPr>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8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(105,607)</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(120,606)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(43,894)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172502.0 %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(75,198)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(167,548)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(58,165)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and convertible loan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(9076.5)%</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(55,649)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(126,381)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(55,649)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(126,381)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55"/>
        </w:trPr>
        <w:tc>
          <w:tcPr>
            <w:tcW w:w="4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Microvast Holdings, Inc.'s</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(55,670)</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(126,381)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(70,711)</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127.0 %</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revenues increased from approximately $121.9 million for the six months ended June 30, 2023 to approximately $165.0 million for the same period in 2024, primarily driven by an increase in sales volume from approximately 402.8 MWh for six months ended June 30, 2023 to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654.9 MWh for the same period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for the six months ended June 30, 2024 increased by $15.0 million, or 14.2%, compared to the same period in 2023. The increase in the cost of revenues was primarily in line with the increased sales, partially offset by $0.4 million of decreased share-based compensation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margin increased from 13.4% for the six months ended June 30, 2023 to 26.9% for the same period in 2024. The increase in gross margin was due to a combination of factors including better economies of scale, more favorable product mix and lower raw material prices.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and Marketing expenses for the six months ended June 30, 2024 were stable compared to the same period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2024 increased by $3.4 million, or 7.8%, compared to the same period in 2023. The increase in General and Administrative expenses was primarily due to $2.4 million of increased personnel-related expense, $5.6 million of increased professional fee and insurance fee, $0.9 million of increased depreciation and amortization, $1.6 million of increased credit loss, $1.3 million of increased exchange loss and other increases related to business expansion, offset by $8.8 million of decreased share-based compensation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R&amp;D expenses for the six months ended June 30, 2024 increased by $1.2 million, or 6.0%, compared to the same period in 2023. The increase in R&amp;D expenses was primarily due to $1.6 million of increased personnel-related expenses as we increased headcount of our research team as a result of our efforts to further develop and enhance our products and other increases related to business expansion, offset by $1.4 million of decreased share-based compensation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of long-lived assets</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impairment loss of long-lived assets for the six months ended June 30, 2024, was driven by a $88.0 million impairment loss in our U.S. operations. During this period, we initiated a strategic shift towards LFP technology in the U.S., and we decided to pause the construction of our Clarksville Property until additional funding for the remaining capital expenditure is secured. As a result of these events and circumstances in the second quarter, we conducted impairment testing for our long-lived assets in the U.S. and recognized an impairment loss of $88.0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of warrant and convertible loan</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six-month period ended June 30, 2024, we recorded a loss of $1.5 million mainly due to the change in fair value of convertible loan with shareholder of $1.6 million, details please see Note 15 – Convertible loan with shareholder.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capital contributions from equity holders, the issuance of convertible notes and bank borrowings.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consolidated net cash position as of June 30, 2024 included cash and cash equivalents of $43.9 million and $13.8 million held by our PRC and European subsidiaries, respectively, that is not available to fund our U.S.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the PRC, Europe and the U.S.</w:t>
      </w:r>
    </w:p>
    <w:p>
      <w:pPr>
        <w:spacing w:after="0" w:line="212"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(Subtopic 205-40),” management has evaluated whether there are conditions and events, considered in the aggregate, that raise substantial doubt about the Company’s ability to continue as a going concern within one year after the date of the unaudited condensed consolidated financial statements are issued and has determined that the Company’s ability to continue as a going concern is dependent on its ability to raise additional capital or secure financing. In light of the capital expenditures required to settle the outstanding payables associated with the Group's Tennessee expansion and operating requirements under its current business plan, the Company is projecting that its existing cash and cash equivalents will not be sufficient to fund its operations and capital expenditure needs through the next twelve months from the date of issuance of its unaudited condensed consolidated financial statements. These conditions and events raise substantial doubt about the Company’s ability to continue as a going concern.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issuance of the financial statements, we have secured the following cash flow and liquidity improvement initiatives: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with Mr. Yang Wu</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$25.0 million loan agreement dated May 28, 2024 with Mr. Yang Wu, the Company’s Chief Executive Officer and Chairman, we have received the first tranche of $12.0 million in May 2024 and the second tranche of $13.0 million in July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Labor reduction in the U.S.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reduced the number of employees in the U.S. by 82% during the quarter ended June 30, 2024, which will significantly reduce its operating expenditure, ultimately improving its liquidity.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Bank Loans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June 30, 2024, our principal sources of liquidity were our cash and cash equivalents and restricted cash in the amount of $104.5 million. We are currently working with our banks in China to extend the drawdown date on the $42.7 million (RMB300 million) that is undrawn under our RMB800 million project finance facility for the construction of our Huzhou capacity expansions.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Disposal of non-core US real estate assets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engaged agents to sell certain US real estate assets that are not integral to our cell manufacturing or assembly operations.</w:t>
      </w:r>
    </w:p>
    <w:p>
      <w:pPr>
        <w:spacing w:after="0" w:line="23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addition to the above, the Company is engaged in discussions with third parties to assess strategic alternatives, including ways to enhance our liquidity and/or the sale or disposal of certain US real estate assets that are not integral to the our cell manufacturing or assembly operations. These plans are not final and are subject to market and other conditions not within our control. As such, there can be no assurance that we will be successful in obtaining sufficient capital. Accordingly, management has concluded under the accounting standards that these plans do not alleviate substantial doubt about the Company’s ability to continue as a going concern. Should sufficient capital not be secured through the plans, or should there be a delay in the timing of securing capital through these alternatives, this would have adverse implications for the Company and our shareholders. In these scenarios, we will need to seek other options, including delaying or reducing operating and capital expenditure and the possibility of an alternative transaction.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As of June 30, 2024, we had bank borrowings of $94.2 million, the terms of which range from 2 to 30 months. The interest rates on our bank borrowings ranged from 3.30% to 4.85% per annum. As of June 30, 2024, we had convertible bonds outstanding of $43.2 million, with interest rates ranging from 3% to 4%. The convertible bonds are all due in 2027. As of June 30, 2024, we also had the Convertible loan with shareholder of $13.3 million outstanding at an initial interest rate equal to Term SOFR for the applicable interest period, plus an initial applicable margin of 9.75% per annum, 3.75% of which shall be paid in kind and added to the outstanding principal under the Convertible loan with shareholder, with the remaining interest to be paid in cash. See Note 15 for details. As of June 30, 2024, we were in compliance with all material terms and covenants of our loan agreements, credit agreements and bonds.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July 23, 2021, we received $708.4 million from the completion of the Business Combination, $705.1 million net of transaction costs paid by Microvast, Inc. We have used $438.8 million of the net proceeds from the Business Combination to expand our manufacturing facilities and for the purchase of property and equipment associated with our existing manufacturing and R&amp;D facilities. In addition, $143.9 million of the net proceeds were used for working capital as of June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amounted to $150.9 million and $186.8 million for the years ended December 31, 2022 and 2023, respectively. Our capital expenditures in 2022 and 2023 related primarily to the construction of manufacturing facilities in Huzhou, China and Clarksville, Tennessee. The Huzhou, China expansion was completed in the third quarter of 2023.</w:t>
      </w:r>
    </w:p>
    <w:p>
      <w:pPr>
        <w:spacing w:after="0" w:line="20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of delays in securing additional financing, including our fund-raising process being negatively impacted by the loss of the DOE grant, in the fourth quarter of 2023 we experienced slow progress in continuing construction of our Clarksville, Tennessee expansion, slowing down certain project work streams due to the need for additional financing. This resulted in further delays and increased costs with negative effects on our liquidity and ability to meet accounts payable,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especially for our U.S. operations. The Tennessee expansion was originally scheduled to be completed in the fourth quarter of 2023 and was intended for production of 53.5Ah cells for our ESS solutions. However, we now believe LFP cells are a better battery fit for our ESS solutions and intend to produce LFP cells from the Tennessee facility instead of 53.5Ah cells. In order to complete the Tennessee expansion, we need to secure financing to meet the remaining capital expenditure needs, and the timing of when this project will be in operation remains uncertain. We are in the process of evaluating the amount of capital expenditures needed to complete the Tennessee expansion in light of the intended production shift from NMC cells to LFP cells.</w:t>
      </w:r>
    </w:p>
    <w:p>
      <w:pPr>
        <w:spacing w:after="0" w:line="207"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Further, due to the working capital needs of MPS China and adverse tax consequences as well as foreign restrictions, we are unable to repatriate cash from China to pay our accounts payable in the U.S. and fund the continued expansion of our U.S. operations. We are in discussions with third parties to assess strategic alternatives, including ways to enhance our liquidity and/or the sale or disposal of certain US real estate assets that are not integral to the our cell manufacturing or assembly operations. Until financing is in place, this will limit our growth opportunities especially in the U.S. market. Also, we will be forgoing potential Inflation Reduction Act credits until such time as the Clarksville, Tennessee expansion is in operation.</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funding planned production capacity expansions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or secure financing when desired, or on terms that are acceptable to us, our business, financial condition and results of operations could be adversely affected. There are no material off-balance sheet arrangements other than those described below.</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2036. For additional information, see Note 13 – Leases, in the notes to the unaudited condensed consolidated financial statements in Part I, Item 1 of this Report on Form 10-Q.</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43"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We regularly enter into non-cancelable contractual obligations primarily related to purchases of inventory. As of June 30, 2024, such purchase commitments, which do not qualify for recognition on our Unaudited Condensed Consolidated Balance Sheets, amount to $46.0 million , most of which is short-term.</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other material changes during the three and six months ended June 30, 2024 to our contractual obligations included in our Annual Report on Form 10-K for the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w:t>
      </w:r>
    </w:p>
    <w:p>
      <w:pPr>
        <w:spacing w:after="0" w:line="26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r>
      <w:tr>
        <w:trPr>
          <w:trHeight w:val="230"/>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our operating activities generated $2.1 million in cash. This increase in cash consisted of (1) a net loss of $126.4 million and non-cash charges of $139.6 million, of which $14.9 million is depreciation of property, plant and equipment, $24.0 million is non-cash share-based compensation expense and $88.0 million is impairment loss from long-lived asset; and (2) a $11.1 million decrease in cash flows from operating assets and liabilities including $39.9 million cash inflow due to the net decrease of accounts receivable and notes receivable, $1.5 million increase in inventories, $44.1 million cash outflow from accounts payable and notes payable, $3.9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outflow from accrued and other liabilities and prepaid expense and other current asset, and $1.5 million cash outflow from other operating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used in investing activities totaled $7.4 million. This cash outflow primarily consisted of capital expenditures related to the expansion of our manufacturing facilities and to the purchase of property and equipment associated with our existing manufacturing and R&amp;D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cash generated from financing activities totaled $28.5 million. This cash inflow was a result of $40.5 million proceeds from bank borrowings and $12.0 million proceeds from Convertible loan offset by $23.5 million repayment on bank borrowings and $0.5 million of debt cost for Convertible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There have been no substantial changes to these estimates, or the policies related to them during the six months ended June 30, 2024, except for the impairment of long-lived assets illustrated in below paragraphs. For other discussion of these estimates and policies, see “Management’s Discussion and Analysis of Financial Condition and Results of Operations - Critical Accounting Policies and Estimates” in Item 7 of our Annual Report on Form 10-K for the year ended December 31, 2023.</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accordance with ASC 360, Property, Plant, and Equipment (“ASC 360”), we evaluate our long-lived assets, such as property and equipment, for impairment whenever events and circumstances indicate that the assets might be impaired due to the carrying amount of an asset group not being recoverable. When the projected undiscounted cash flows estimated to be generated by those assets are less than their carrying amounts, the assets are adjusted to their estimated fair value and an impairment loss is recorded as a component of operating expenses. For assets held for sales, the amount of potential impairment may be based upon appraisal of the asset, estimated market value of similar assets or estimated cash flow from the disposition of the asset. The evaluation of asset impairment requires us to make assumptions about future cash flows over the life of the asset being evaluated. These assumptions require significant judgment and actual results may differ from assumed and estimated amounts.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three months ended June 30, 2024, we decided to pause the construction of the Clarksville Property until additional funding for the remaining capital expenditure is secured. As a result, we reassessed the recoverability of the long-lived assets in the U.S. and utilized the residual method to estimate the fair value of the plant under construction located in Tennessee. For other long-lived assets in the U.S. to be dispose, we estimated market value or estimated cash flow from disposition of the assets. As a result of the assessment, we recorded impairment loss of long-lived assets $0.1 million and $88.0 million for the three and six months ended June 30, 2023 and 2024, respectively, in operating expenses.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Exposure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Such interest-earning instruments carry a degree of interest rate risk. To date, fluctuations in interest income have not been significant. In addition, our bonds payable bear interest at fixed rates and are not publicly traded. Our project finance loans in China contain a spread of 115 basis points over the Loan Prime Rate in China and accordingly are exposed to movements in that reference rate. Therefore, interest expense going forward could be materially affected by changes in the market interest rates.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equivalents have a short maturity, our portfolio’s fair value is relatively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large operational presence in China and a significant amount of our transactions are currently denominated in RMB.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RMB. The effect of an immediate 10% adverse change in foreign exchange rates on Renminbi-denominated accounts as of June 30, 2024, including intercompany balances, would result in a foreign currency loss of $13.4 million. In the event our foreign sales and expenses increase, our operating results may be more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credit risk primarily relates to our trade and other receivables, restricted cash, cash equivalents and amounts due from related parties. We generally grant credit only to clients and related parties with good credit ratings and also closely monitor overdue debts. In this regard, we consider that the credit risk arising from our balances with counterparties is significantly reduced.</w:t>
      </w:r>
    </w:p>
    <w:p>
      <w:pPr>
        <w:spacing w:after="0" w:line="176" w:lineRule="exact"/>
        <w:rPr>
          <w:sz w:val="20"/>
          <w:szCs w:val="20"/>
          <w:color w:val="auto"/>
        </w:rPr>
      </w:pPr>
    </w:p>
    <w:p>
      <w:pPr>
        <w:ind w:right="2380" w:firstLine="648"/>
        <w:spacing w:after="0" w:line="255" w:lineRule="auto"/>
        <w:rPr>
          <w:sz w:val="20"/>
          <w:szCs w:val="20"/>
          <w:color w:val="auto"/>
        </w:rPr>
      </w:pPr>
      <w:r>
        <w:rPr>
          <w:rFonts w:ascii="Times New Roman" w:cs="Times New Roman" w:eastAsia="Times New Roman" w:hAnsi="Times New Roman"/>
          <w:sz w:val="18"/>
          <w:szCs w:val="18"/>
          <w:color w:val="auto"/>
        </w:rPr>
        <w:t>The assumptions used in evaluating our exposure to credit losses associated with our financing receivables portfolio involve estimates and significant judgment. Holding other estimates constant, a hypothetical 100 basis points increase in the expected loss rate on the financing receivables portfolio would have resulted in an increase in the allowance for credit losses of approximately $0.6 million as of June 30, 2024.</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historically experienced higher sales during our third and fourth fiscal quarters as compared to our first and second fiscal 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our limited operating history makes it difficult for us to judge the exact nature or extent of the seasonality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supervision and with the participation of our management, including our Chief Executive Officer and Chief Financial Officer, we evaluated the effectiveness of our disclosure controls and procedures (as defined in Rules 13a-15(e) and 15d-15(e) under the Exchange Act) as of June 30, 2024. Based upon that evaluation, our Chief Executive Officer and Chief Financial Officer concluded that our disclosure controls and procedures were not effective as of June 30, 2024, as a result of the material weaknesses in the Company's internal controls over financial reporting identified below. As defined in the standards established by the Public Company Accounting Oversight Board,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these material weaknesses, we performed additional procedures and analysis to ensure that the financial statements included in this Report were prepared in accordance with U.S. GAAP. Based on these procedures, management, including our Chief Executive Officer and Chief Financial Officer, believes the unaudited condensed consolidated financial statements included in this Amendment fairly represent in all material respects our financial condition, results of operations and cash flows at and for the periods presented in accordance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of Long-lived Assets</w:t>
      </w:r>
    </w:p>
    <w:p>
      <w:pPr>
        <w:spacing w:after="0" w:line="24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Restatement, we identified a material weakness in our internal control over financial reporting related to the absence of a precise review on impairment provision calculation as of June 30, 2024. Specifically, with respect to the Clarksville Facility, there was no sufficient review on the calculation of the assets groups carrying value, and there was no reconciliation between individual assets within the assets group and the valuation scope of external valuer. This control deficiency resulted in a misstatement of the impairment charge initially recorded in Q2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 General Controls</w:t>
      </w:r>
    </w:p>
    <w:p>
      <w:pPr>
        <w:spacing w:after="0" w:line="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audit of the financial year ended December 31, 2023, we identified certain control deficiencies in the design and operation of our internal controls over our financial reporting that constituted a material weakness in aggregation. The material weakness that has been identified relates to the design and implementation of IT general controls for IT system that are relevant to the preparation of the financial statements. Specifically, we did not design and maintain adequate user access controls to restrict user and privileged access to certain particular function of the ERP during the implementation, which could allow a skilled user with privileged access to access and potentially make changes to the system relevant to the preparation of the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Remediation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of Long-lived Assets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required to become SOX compliant as of December 31, 2024, and during the year we were in the process of designing and implementing appropriate SOX controls. As part of this process, during the fourth quarter of 2024, we strengthened controls over impairment assessment of long-lived assets by:</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a precise review of the calculation of the carrying value of the assets group used in the impairment assessment;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Reconciling the individual assets included in the assets group carrying value calculation to the valuation scope.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implementing above controls effectively during the year-end closing process, we were able to identify the misstatement of impairment and have taken prompt action to amend the previously issued financial statements. We believe this material weakness identified as we implemented our SOX controls has been remediated for the period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 General Controls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Subsequent to the identification of the material weakness, we have taken steps to address the control deficiencies and implemented our remediation plan, which we believe addresses the underlying causes. We are executing on our remediation plan for the material weakness by removing all inappropriate access and establishing more robust processes to control the privileged access to our system including monthly review of the system log for any inappropriate access. While we believe these efforts have improved, and will continue to improve, our internal controls and address the underlying causes of the material weakness, the material weakness will not be remediated until our remediation plan has been fully implemented and tested and we have concluded that following the improvements, our IT general controls are operating effectively for a sufficient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the Company is taking steps to remediate the material weakness noted above. Other than in connection with these remediation steps, there have been no changes in our internal control over financial reporting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a description of our pending legal proceedings, please see Note 17. Commitments and Contingencies, to the consolidated financial statements included elsewhere in this Quarterly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Report on Form 10-Q, as well as the risk factors disclosed in Part I, Item 1A of our Annual Report on Form 10-K for the fiscal year ended December 31, 2023, and other reports that we have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three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or incorporated by reference into, this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75"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Exhibit Title</w:t>
      </w:r>
    </w:p>
    <w:p>
      <w:pPr>
        <w:spacing w:after="0" w:line="67" w:lineRule="exact"/>
        <w:rPr>
          <w:sz w:val="20"/>
          <w:szCs w:val="20"/>
          <w:color w:val="auto"/>
        </w:rPr>
      </w:pPr>
    </w:p>
    <w:p>
      <w:pPr>
        <w:ind w:right="240"/>
        <w:spacing w:after="0" w:line="236" w:lineRule="auto"/>
        <w:rPr>
          <w:rFonts w:ascii="Times New Roman" w:cs="Times New Roman" w:eastAsia="Times New Roman" w:hAnsi="Times New Roman"/>
          <w:sz w:val="17"/>
          <w:szCs w:val="17"/>
          <w:u w:val="single" w:color="auto"/>
          <w:color w:val="0000FF"/>
        </w:rPr>
      </w:pPr>
      <w:hyperlink r:id="rId92">
        <w:r>
          <w:rPr>
            <w:rFonts w:ascii="Times New Roman" w:cs="Times New Roman" w:eastAsia="Times New Roman" w:hAnsi="Times New Roman"/>
            <w:sz w:val="17"/>
            <w:szCs w:val="17"/>
            <w:u w:val="single" w:color="auto"/>
            <w:color w:val="0000FF"/>
          </w:rPr>
          <w:t>Agreement and Plan of Merger, dated as of February 1, 2021, by and among Tuscan Holdings Corp., TSCN Merger Sub Inc., and</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Microvast, Inc. (incorporated by reference to the Company’s definitive proxy statement on Schedule 14A, filed with the SEC on July 2,</w:t>
        </w:r>
      </w:hyperlink>
    </w:p>
    <w:p>
      <w:pPr>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4445</wp:posOffset>
            </wp:positionV>
            <wp:extent cx="7132320"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40"/>
        <w:spacing w:after="0" w:line="234"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Second Amended and Restated Certificate of Incorporation of Microvast Holdings, Inc. (incorporated by reference from Exhibit 3.1 to the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Company’s Current Report on Form 8-K, filed with the SEC on July 28, 2021).</w:t>
        </w:r>
      </w:hyperlink>
    </w:p>
    <w:p>
      <w:pPr>
        <w:spacing w:after="0" w:line="1" w:lineRule="exact"/>
        <w:rPr>
          <w:sz w:val="20"/>
          <w:szCs w:val="20"/>
          <w:color w:val="auto"/>
        </w:rPr>
      </w:pPr>
    </w:p>
    <w:p>
      <w:pPr>
        <w:sectPr>
          <w:pgSz w:w="11900" w:h="16838" w:orient="portrait"/>
          <w:cols w:equalWidth="0" w:num="2">
            <w:col w:w="660" w:space="600"/>
            <w:col w:w="99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91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9980" w:type="dxa"/>
            <w:vAlign w:val="bottom"/>
            <w:gridSpan w:val="9"/>
          </w:tcPr>
          <w:p>
            <w:pPr>
              <w:spacing w:after="0" w:line="184"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Bylaws of Microvast Holdings, Inc. (incorporated by reference from Exhibit 3.2 to the Company’s Current Report</w:t>
              </w:r>
            </w:hyperlink>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on Form 8-K, filed with the SEC on July 28, 2021).</w:t>
              </w:r>
            </w:hyperlink>
          </w:p>
        </w:tc>
        <w:tc>
          <w:tcPr>
            <w:tcW w:w="60" w:type="dxa"/>
            <w:vAlign w:val="bottom"/>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Specimen Common Stock Certificate (incorporated by reference from Exhibit 4.4 to the Company’s Current Report on Form 8-K, filed</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with the SEC on July 28, 2021).</w:t>
              </w:r>
            </w:hyperlink>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260" w:type="dxa"/>
            <w:vAlign w:val="bottom"/>
          </w:tcPr>
          <w:p>
            <w:pPr>
              <w:jc w:val="right"/>
              <w:ind w:right="91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8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Specimen Warrant Certificate (incorporated by reference from Exhibit 4.5 to the Company’s Current Report on Form 8-K, filed with the</w:t>
              </w:r>
            </w:hyperlink>
          </w:p>
        </w:tc>
        <w:tc>
          <w:tcPr>
            <w:tcW w:w="180" w:type="dxa"/>
            <w:vAlign w:val="bottom"/>
            <w:gridSpan w:val="2"/>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9800" w:type="dxa"/>
            <w:vAlign w:val="bottom"/>
            <w:gridSpan w:val="7"/>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 on July 28, 2021).</w:t>
              </w:r>
            </w:hyperlink>
          </w:p>
        </w:tc>
        <w:tc>
          <w:tcPr>
            <w:tcW w:w="180" w:type="dxa"/>
            <w:vAlign w:val="bottom"/>
            <w:gridSpan w:val="2"/>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9980" w:type="dxa"/>
            <w:vAlign w:val="bottom"/>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Warrant Agreement (incorporated by reference from Exhibit 4.4 to the Company’s Registration Statement on Form S-1, filed with the</w:t>
              </w:r>
            </w:hyperlink>
          </w:p>
        </w:tc>
      </w:tr>
      <w:tr>
        <w:trPr>
          <w:trHeight w:val="156"/>
        </w:trPr>
        <w:tc>
          <w:tcPr>
            <w:tcW w:w="126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Company on February 26, 2019).</w:t>
              </w:r>
            </w:hyperlink>
          </w:p>
        </w:tc>
        <w:tc>
          <w:tcPr>
            <w:tcW w:w="36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ind w:right="260"/>
        <w:spacing w:after="0" w:line="233" w:lineRule="auto"/>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Registration Rights and Lock-Up Agreement, dated as of July 26, 2021, by and among (a) Microvast Holdings, Inc., (b) the Microvast</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Equity Holders, (c) the CL Holders, (d) Tuscan Holdings Acquisition LLC, Stefan M. Selig, Richard O. Rieger and Amy Butte, and (e)</w:t>
        </w:r>
      </w:hyperlink>
    </w:p>
    <w:p>
      <w:pPr>
        <w:ind w:right="120"/>
        <w:spacing w:after="0" w:line="226"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EarlyBirdCapital, Inc. (incorporated by reference from Exhibit 4.1 to the Company’s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100"/>
        <w:spacing w:after="0" w:line="233" w:lineRule="auto"/>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Stockholders Agreement, dated July 26, 2021, by and among (a) Microvast Holdings, Inc., (b) Yang Wu and (c) Tuscan Holdings</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Acquisition LLC. (incorporated by reference from Exhibit 4.2 to the Company’s Current Report on Form 8-K, filed with the SEC on July</w:t>
        </w:r>
      </w:hyperlink>
    </w:p>
    <w:p>
      <w:pPr>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28, 2021).</w:t>
        </w:r>
      </w:hyperlink>
    </w:p>
    <w:p>
      <w:pPr>
        <w:spacing w:after="0" w:line="7" w:lineRule="exact"/>
        <w:rPr>
          <w:sz w:val="20"/>
          <w:szCs w:val="20"/>
          <w:color w:val="auto"/>
        </w:rPr>
      </w:pPr>
    </w:p>
    <w:p>
      <w:pPr>
        <w:ind w:right="160"/>
        <w:spacing w:after="0" w:line="234"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Common Stock Purchase Warrant, dated May 28, 2024, issued by the Company to Yang Wu (incorporated by reference from Exhibit 4.1</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to the Company's Current Report on Form 8-K, filed with the SEC on June 4, 2024).</w:t>
        </w:r>
      </w:hyperlink>
    </w:p>
    <w:p>
      <w:pPr>
        <w:spacing w:after="0" w:line="1" w:lineRule="exact"/>
        <w:rPr>
          <w:sz w:val="20"/>
          <w:szCs w:val="20"/>
          <w:color w:val="auto"/>
        </w:rPr>
      </w:pPr>
    </w:p>
    <w:p>
      <w:pPr>
        <w:sectPr>
          <w:pgSz w:w="11900" w:h="16838" w:orient="portrait"/>
          <w:cols w:equalWidth="0" w:num="2">
            <w:col w:w="540" w:space="720"/>
            <w:col w:w="99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shd w:val="clear" w:color="auto" w:fill="CCEEFF"/>
          </w:tcPr>
          <w:p>
            <w:pPr>
              <w:jc w:val="right"/>
              <w:ind w:right="83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8"/>
            <w:shd w:val="clear" w:color="auto" w:fill="CCEEFF"/>
          </w:tcPr>
          <w:p>
            <w:pPr>
              <w:spacing w:after="0" w:line="18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Loan and Security Agreement, dated May 28, 2024, by and among the Company, Microvast, Inc., and the Company's subsidiaries party</w:t>
              </w:r>
            </w:hyperlink>
          </w:p>
        </w:tc>
      </w:tr>
      <w:tr>
        <w:trPr>
          <w:trHeight w:val="20"/>
        </w:trPr>
        <w:tc>
          <w:tcPr>
            <w:tcW w:w="1260" w:type="dxa"/>
            <w:vAlign w:val="bottom"/>
            <w:shd w:val="clear" w:color="auto" w:fill="CCEE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420" w:type="dxa"/>
            <w:vAlign w:val="bottom"/>
            <w:tcBorders>
              <w:right w:val="single" w:sz="8" w:color="CCEE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55"/>
        </w:trPr>
        <w:tc>
          <w:tcPr>
            <w:tcW w:w="1260" w:type="dxa"/>
            <w:vAlign w:val="bottom"/>
            <w:shd w:val="clear" w:color="auto" w:fill="CCEEFF"/>
          </w:tcPr>
          <w:p>
            <w:pPr>
              <w:spacing w:after="0"/>
              <w:rPr>
                <w:sz w:val="13"/>
                <w:szCs w:val="13"/>
                <w:color w:val="auto"/>
              </w:rPr>
            </w:pPr>
          </w:p>
        </w:tc>
        <w:tc>
          <w:tcPr>
            <w:tcW w:w="9980" w:type="dxa"/>
            <w:vAlign w:val="bottom"/>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thereto and Yang Wu, and Acquiom Agency Services LLC (incorporated by reference from Exhibit 10.1 to the Company's Current Report</w:t>
              </w:r>
            </w:hyperlink>
          </w:p>
        </w:tc>
      </w:tr>
      <w:tr>
        <w:trPr>
          <w:trHeight w:val="169"/>
        </w:trPr>
        <w:tc>
          <w:tcPr>
            <w:tcW w:w="1260" w:type="dxa"/>
            <w:vAlign w:val="bottom"/>
            <w:tcBorders>
              <w:top w:val="single" w:sz="8" w:color="CCEEFF"/>
            </w:tcBorders>
            <w:shd w:val="clear" w:color="auto" w:fill="CCEEFF"/>
          </w:tcPr>
          <w:p>
            <w:pPr>
              <w:spacing w:after="0"/>
              <w:rPr>
                <w:sz w:val="14"/>
                <w:szCs w:val="14"/>
                <w:color w:val="auto"/>
              </w:rPr>
            </w:pPr>
          </w:p>
        </w:tc>
        <w:tc>
          <w:tcPr>
            <w:tcW w:w="9920" w:type="dxa"/>
            <w:vAlign w:val="bottom"/>
            <w:tcBorders>
              <w:top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on Form 8-K, filed with the SEC on June 4, 2024).</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60" w:type="dxa"/>
            <w:vAlign w:val="bottom"/>
          </w:tcPr>
          <w:p>
            <w:pPr>
              <w:jc w:val="right"/>
              <w:ind w:right="83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9980" w:type="dxa"/>
            <w:vAlign w:val="bottom"/>
            <w:gridSpan w:val="8"/>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Pledge Agreement, dated May 28, 2024, by and among the Company, Microvast, Inc., and the Company's subsidiaries party thereto and</w:t>
              </w:r>
            </w:hyperlink>
          </w:p>
        </w:tc>
      </w:tr>
      <w:tr>
        <w:trPr>
          <w:trHeight w:val="155"/>
        </w:trPr>
        <w:tc>
          <w:tcPr>
            <w:tcW w:w="12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Acquiom Agency Services LLC (incorporated by reference from Exhibit 10.2 to the Company's Current Report on Form 8-K, filed with</w:t>
              </w:r>
            </w:hyperlink>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780" w:type="dxa"/>
            <w:vAlign w:val="bottom"/>
            <w:gridSpan w:val="5"/>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the SEC on June 4, 2024).</w:t>
              </w:r>
            </w:hyperlink>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260" w:type="dxa"/>
            <w:vAlign w:val="bottom"/>
            <w:shd w:val="clear" w:color="auto" w:fill="CCEEFF"/>
          </w:tcPr>
          <w:p>
            <w:pPr>
              <w:jc w:val="right"/>
              <w:ind w:right="83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9980" w:type="dxa"/>
            <w:vAlign w:val="bottom"/>
            <w:gridSpan w:val="8"/>
            <w:shd w:val="clear" w:color="auto" w:fill="CCEEFF"/>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Guaranty Agreement, dated May 28, 2024, by and among the Company, Microvast, Inc., and the Company's subsidiaries party thereto and</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Acquiom Agency Services LLC (incorporated by reference from Exhibit 10.3 to the Company's Current Report on Form 8-K, filed with</w:t>
              </w:r>
            </w:hyperlink>
          </w:p>
        </w:tc>
        <w:tc>
          <w:tcPr>
            <w:tcW w:w="40" w:type="dxa"/>
            <w:vAlign w:val="bottom"/>
            <w:tcBorders>
              <w:top w:val="single" w:sz="8" w:color="CCEEFF"/>
            </w:tcBorders>
            <w:shd w:val="clear" w:color="auto" w:fill="CCEEFF"/>
          </w:tcPr>
          <w:p>
            <w:pPr>
              <w:spacing w:after="0"/>
              <w:rPr>
                <w:sz w:val="13"/>
                <w:szCs w:val="13"/>
                <w:color w:val="auto"/>
              </w:rPr>
            </w:pPr>
          </w:p>
        </w:tc>
      </w:tr>
      <w:tr>
        <w:trPr>
          <w:trHeight w:val="190"/>
        </w:trPr>
        <w:tc>
          <w:tcPr>
            <w:tcW w:w="1260" w:type="dxa"/>
            <w:vAlign w:val="bottom"/>
            <w:tcBorders>
              <w:top w:val="single" w:sz="8" w:color="CCEEFF"/>
              <w:bottom w:val="single" w:sz="8" w:color="CCEEFF"/>
            </w:tcBorders>
            <w:shd w:val="clear" w:color="auto" w:fill="CCEEFF"/>
          </w:tcPr>
          <w:p>
            <w:pPr>
              <w:spacing w:after="0"/>
              <w:rPr>
                <w:sz w:val="16"/>
                <w:szCs w:val="16"/>
                <w:color w:val="auto"/>
              </w:rPr>
            </w:pPr>
          </w:p>
        </w:tc>
        <w:tc>
          <w:tcPr>
            <w:tcW w:w="1880" w:type="dxa"/>
            <w:vAlign w:val="bottom"/>
            <w:tcBorders>
              <w:top w:val="single" w:sz="8" w:color="0000FF"/>
              <w:bottom w:val="single" w:sz="8" w:color="0000FF"/>
            </w:tcBorders>
            <w:shd w:val="clear" w:color="auto" w:fill="CCEEFF"/>
          </w:tcPr>
          <w:p>
            <w:pPr>
              <w:spacing w:after="0" w:line="169"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the SEC on June 4, 2024).</w:t>
              </w:r>
            </w:hyperlink>
          </w:p>
        </w:tc>
        <w:tc>
          <w:tcPr>
            <w:tcW w:w="7900" w:type="dxa"/>
            <w:vAlign w:val="bottom"/>
            <w:tcBorders>
              <w:top w:val="single" w:sz="8" w:color="0000FF"/>
              <w:bottom w:val="single" w:sz="8" w:color="CCEEFF"/>
              <w:right w:val="single" w:sz="8" w:color="CCEEFF"/>
            </w:tcBorders>
            <w:gridSpan w:val="4"/>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9"/>
        </w:trPr>
        <w:tc>
          <w:tcPr>
            <w:tcW w:w="1260" w:type="dxa"/>
            <w:vAlign w:val="bottom"/>
          </w:tcPr>
          <w:p>
            <w:pPr>
              <w:jc w:val="right"/>
              <w:ind w:right="83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93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Offer Letter, dated June 28, 2024, by and between the Company and Yaser Ali (incorporated by reference from Exhibit 10.1 to the</w:t>
              </w:r>
            </w:hyperlink>
          </w:p>
        </w:tc>
        <w:tc>
          <w:tcPr>
            <w:tcW w:w="620" w:type="dxa"/>
            <w:vAlign w:val="bottom"/>
            <w:gridSpan w:val="4"/>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560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Company's Current Report on Form 8-K, filed with the SEC on July 5, 2024).</w:t>
              </w:r>
            </w:hyperlink>
          </w:p>
        </w:tc>
        <w:tc>
          <w:tcPr>
            <w:tcW w:w="376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r>
    </w:tbl>
    <w:p>
      <w:pPr>
        <w:spacing w:after="0" w:line="36"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Securities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Securities Exchange Act Rules 13a-14(a) and 15(d)-14(a), as adopted Pursuant to Section 302 of the Sarbanes-Oxley Act of 2002.</w:t>
      </w:r>
    </w:p>
    <w:p>
      <w:pPr>
        <w:spacing w:after="0" w:line="10"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540" w:space="720"/>
            <w:col w:w="9980"/>
          </w:cols>
          <w:pgMar w:left="320" w:top="229" w:right="339" w:bottom="1440" w:gutter="0" w:footer="0" w:header="0"/>
          <w:type w:val="continuous"/>
        </w:sectPr>
      </w:pPr>
    </w:p>
    <w:p>
      <w:pPr>
        <w:spacing w:after="0" w:line="147" w:lineRule="exact"/>
        <w:rPr>
          <w:sz w:val="20"/>
          <w:szCs w:val="20"/>
          <w:color w:val="auto"/>
        </w:rPr>
      </w:pPr>
    </w:p>
    <w:p>
      <w:pPr>
        <w:ind w:left="20" w:right="9780" w:firstLine="6"/>
        <w:spacing w:after="0" w:line="480" w:lineRule="auto"/>
        <w:tabs>
          <w:tab w:leader="none" w:pos="3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1" w:lineRule="exact"/>
        <w:rPr>
          <w:sz w:val="20"/>
          <w:szCs w:val="20"/>
          <w:color w:val="auto"/>
        </w:rPr>
      </w:pPr>
    </w:p>
    <w:p>
      <w:pPr>
        <w:ind w:left="380" w:right="420" w:hanging="354"/>
        <w:spacing w:after="0" w:line="237"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Amendment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2025</w:t>
            </w: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783"/>
        </w:trPr>
        <w:tc>
          <w:tcPr>
            <w:tcW w:w="378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Fariyal Khanbabi</w:t>
            </w:r>
          </w:p>
        </w:tc>
      </w:tr>
      <w:tr>
        <w:trPr>
          <w:trHeight w:val="218"/>
        </w:trPr>
        <w:tc>
          <w:tcPr>
            <w:tcW w:w="3780" w:type="dxa"/>
            <w:vAlign w:val="bottom"/>
          </w:tcPr>
          <w:p>
            <w:pPr>
              <w:spacing w:after="0"/>
              <w:rPr>
                <w:sz w:val="18"/>
                <w:szCs w:val="18"/>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Fariyal Khanbabi</w:t>
            </w:r>
          </w:p>
        </w:tc>
      </w:tr>
      <w:tr>
        <w:trPr>
          <w:trHeight w:val="234"/>
        </w:trPr>
        <w:tc>
          <w:tcPr>
            <w:tcW w:w="3780" w:type="dxa"/>
            <w:vAlign w:val="bottom"/>
          </w:tcPr>
          <w:p>
            <w:pPr>
              <w:spacing w:after="0"/>
              <w:rPr>
                <w:sz w:val="20"/>
                <w:szCs w:val="20"/>
                <w:color w:val="auto"/>
              </w:rPr>
            </w:pPr>
          </w:p>
        </w:tc>
        <w:tc>
          <w:tcPr>
            <w:tcW w:w="2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22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Yang Wu, certify that:</w:t>
      </w:r>
    </w:p>
    <w:p>
      <w:pPr>
        <w:spacing w:after="0" w:line="11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for the quarter ended June 30, 2024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p>
      <w:pPr>
        <w:ind w:left="20"/>
        <w:spacing w:after="0"/>
        <w:tabs>
          <w:tab w:leader="none" w:pos="5900" w:val="left"/>
          <w:tab w:leader="none" w:pos="646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34290</wp:posOffset>
            </wp:positionV>
            <wp:extent cx="30346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43"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Yang Wu</w:t>
      </w:r>
    </w:p>
    <w:p>
      <w:pPr>
        <w:spacing w:after="0" w:line="50"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5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Fariyal Khanbabi, certify that:</w:t>
      </w:r>
    </w:p>
    <w:p>
      <w:pPr>
        <w:spacing w:after="0" w:line="11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for the quarter ended June 30, 2024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27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Fariyal Khanbabi</w:t>
            </w:r>
          </w:p>
        </w:tc>
      </w:tr>
      <w:tr>
        <w:trPr>
          <w:trHeight w:val="27"/>
        </w:trPr>
        <w:tc>
          <w:tcPr>
            <w:tcW w:w="3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3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Fariyal Khanbabi</w:t>
            </w:r>
          </w:p>
        </w:tc>
      </w:tr>
      <w:tr>
        <w:trPr>
          <w:trHeight w:val="252"/>
        </w:trPr>
        <w:tc>
          <w:tcPr>
            <w:tcW w:w="37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10-Q/A for the quarter ended June 30, 2024, as filed with the Securities and Exchange Commission on the date hereof (the “Report”), I, Yang Wu, Chief Executive Officer and Director,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31, 2025</w:t>
      </w:r>
    </w:p>
    <w:p>
      <w:pPr>
        <w:ind w:left="5900"/>
        <w:spacing w:after="0"/>
        <w:rPr>
          <w:sz w:val="20"/>
          <w:szCs w:val="20"/>
          <w:color w:val="auto"/>
        </w:rPr>
      </w:pPr>
      <w:r>
        <w:rPr>
          <w:rFonts w:ascii="Times New Roman" w:cs="Times New Roman" w:eastAsia="Times New Roman" w:hAnsi="Times New Roman"/>
          <w:sz w:val="18"/>
          <w:szCs w:val="18"/>
          <w:color w:val="auto"/>
        </w:rPr>
        <w:t>/s/ Yang Wu</w:t>
      </w:r>
    </w:p>
    <w:p>
      <w:pPr>
        <w:spacing w:after="0" w:line="27" w:lineRule="exact"/>
        <w:rPr>
          <w:sz w:val="20"/>
          <w:szCs w:val="20"/>
          <w:color w:val="auto"/>
        </w:rPr>
      </w:pPr>
    </w:p>
    <w:tbl>
      <w:tblPr>
        <w:tblLayout w:type="fixed"/>
        <w:tblInd w:w="5880" w:type="dxa"/>
        <w:tblCellMar>
          <w:top w:w="0" w:type="dxa"/>
          <w:left w:w="0" w:type="dxa"/>
          <w:bottom w:w="0" w:type="dxa"/>
          <w:right w:w="0" w:type="dxa"/>
        </w:tblCellMar>
      </w:tblPr>
      <w:tr>
        <w:trPr>
          <w:trHeight w:val="21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Yang Wu</w:t>
            </w:r>
          </w:p>
        </w:tc>
      </w:tr>
      <w:tr>
        <w:trPr>
          <w:trHeight w:val="230"/>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10-Q/A for the quarter ended June 30, 2024, as filed with the Securities and Exchange Commission on the date hereof (the “Report”), I, Fariyal Khanbabi, Chief Financial Officer,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31, 2025</w:t>
      </w:r>
    </w:p>
    <w:p>
      <w:pPr>
        <w:ind w:left="5920"/>
        <w:spacing w:after="0"/>
        <w:rPr>
          <w:sz w:val="20"/>
          <w:szCs w:val="20"/>
          <w:color w:val="auto"/>
        </w:rPr>
      </w:pPr>
      <w:r>
        <w:rPr>
          <w:rFonts w:ascii="Times New Roman" w:cs="Times New Roman" w:eastAsia="Times New Roman" w:hAnsi="Times New Roman"/>
          <w:sz w:val="18"/>
          <w:szCs w:val="18"/>
          <w:color w:val="auto"/>
        </w:rPr>
        <w:t>/s/ Fariyal Khanbabi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34290</wp:posOffset>
            </wp:positionV>
            <wp:extent cx="33947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Fariyal Khanbabi</w:t>
      </w:r>
    </w:p>
    <w:p>
      <w:pPr>
        <w:spacing w:after="0" w:line="50"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100"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92" Type="http://schemas.openxmlformats.org/officeDocument/2006/relationships/hyperlink" Target="https://www.sec.gov/Archives/edgar/data/1760689/000121390021035581/defm14a_tuscanholdings.htm#T151" TargetMode="External"/><Relationship Id="rId94" Type="http://schemas.openxmlformats.org/officeDocument/2006/relationships/hyperlink" Target="https://www.sec.gov/Archives/edgar/data/1760689/000121390021039093/ea144448ex3-1_microvast.htm" TargetMode="External"/><Relationship Id="rId95" Type="http://schemas.openxmlformats.org/officeDocument/2006/relationships/hyperlink" Target="https://www.sec.gov/Archives/edgar/data/1760689/000121390021039093/ea144448ex3-2_microvast.htm" TargetMode="External"/><Relationship Id="rId96" Type="http://schemas.openxmlformats.org/officeDocument/2006/relationships/hyperlink" Target="https://www.sec.gov/Archives/edgar/data/1760689/000121390021039093/ea144448ex4-4_microvast.htm" TargetMode="External"/><Relationship Id="rId97" Type="http://schemas.openxmlformats.org/officeDocument/2006/relationships/hyperlink" Target="https://www.sec.gov/Archives/edgar/data/1760689/000121390021039093/ea144448ex4-5_microvast.htm" TargetMode="External"/><Relationship Id="rId98" Type="http://schemas.openxmlformats.org/officeDocument/2006/relationships/hyperlink" Target="https://www.sec.gov/Archives/edgar/data/1760689/000121390019003155/fs12018a1ex4-4_tuscanhold.htm" TargetMode="External"/><Relationship Id="rId99" Type="http://schemas.openxmlformats.org/officeDocument/2006/relationships/hyperlink" Target="https://www.sec.gov/Archives/edgar/data/1760689/000121390021039093/ea144448ex4-1_microvast.htm" TargetMode="External"/><Relationship Id="rId101" Type="http://schemas.openxmlformats.org/officeDocument/2006/relationships/hyperlink" Target="https://www.sec.gov/Archives/edgar/data/1760689/000121390021039093/ea144448ex4-2_microvast.htm" TargetMode="External"/><Relationship Id="rId102" Type="http://schemas.openxmlformats.org/officeDocument/2006/relationships/hyperlink" Target="https://www.sec.gov/Archives/edgar/data/1760689/000176068924000021/wu_microvast-warrant.htm" TargetMode="External"/><Relationship Id="rId103" Type="http://schemas.openxmlformats.org/officeDocument/2006/relationships/hyperlink" Target="https://www.sec.gov/Archives/edgar/data/1760689/000176068924000021/wu_microvast-loanandsecuri.htm" TargetMode="External"/><Relationship Id="rId104" Type="http://schemas.openxmlformats.org/officeDocument/2006/relationships/hyperlink" Target="https://www.sec.gov/Archives/edgar/data/1760689/000176068924000021/wu_microvast-pledgeagreeme.htm" TargetMode="External"/><Relationship Id="rId105" Type="http://schemas.openxmlformats.org/officeDocument/2006/relationships/hyperlink" Target="https://www.sec.gov/Archives/edgar/data/1760689/000176068924000021/wu_microvast-guarantyagree.htm" TargetMode="External"/><Relationship Id="rId106" Type="http://schemas.openxmlformats.org/officeDocument/2006/relationships/hyperlink" Target="https://www.sec.gov/Archives/edgar/data/1760689/000094787124000594/ss3596815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2025-03-31T16:55:33Z</dcterms:created>
  <dcterms:modified xsi:type="dcterms:W3CDTF">2025-03-31T16:55:33Z</dcterms:modified>
</cp:coreProperties>
</file>