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443230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460375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56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 of Report (Date of earliest event reported): March 31, 2025</w:t>
            </w:r>
          </w:p>
        </w:tc>
        <w:tc>
          <w:tcPr>
            <w:tcW w:w="3080" w:type="dxa"/>
            <w:vAlign w:val="bottom"/>
          </w:tcPr>
          <w:p>
            <w:pPr>
              <w:spacing w:after="0"/>
              <w:rPr>
                <w:sz w:val="13"/>
                <w:szCs w:val="13"/>
                <w:color w:val="auto"/>
              </w:rPr>
            </w:pPr>
          </w:p>
        </w:tc>
      </w:tr>
      <w:tr>
        <w:trPr>
          <w:trHeight w:val="273"/>
        </w:trPr>
        <w:tc>
          <w:tcPr>
            <w:tcW w:w="3560" w:type="dxa"/>
            <w:vAlign w:val="bottom"/>
          </w:tcPr>
          <w:p>
            <w:pPr>
              <w:spacing w:after="0"/>
              <w:rPr>
                <w:sz w:val="23"/>
                <w:szCs w:val="23"/>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Microvast Holdings, Inc.</w:t>
            </w:r>
          </w:p>
        </w:tc>
        <w:tc>
          <w:tcPr>
            <w:tcW w:w="3080" w:type="dxa"/>
            <w:vAlign w:val="bottom"/>
          </w:tcPr>
          <w:p>
            <w:pPr>
              <w:spacing w:after="0"/>
              <w:rPr>
                <w:sz w:val="23"/>
                <w:szCs w:val="23"/>
                <w:color w:val="auto"/>
              </w:rPr>
            </w:pPr>
          </w:p>
        </w:tc>
      </w:tr>
      <w:tr>
        <w:trPr>
          <w:trHeight w:val="159"/>
        </w:trPr>
        <w:tc>
          <w:tcPr>
            <w:tcW w:w="356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c>
          <w:tcPr>
            <w:tcW w:w="3080" w:type="dxa"/>
            <w:vAlign w:val="bottom"/>
          </w:tcPr>
          <w:p>
            <w:pPr>
              <w:spacing w:after="0"/>
              <w:rPr>
                <w:sz w:val="13"/>
                <w:szCs w:val="13"/>
                <w:color w:val="auto"/>
              </w:rPr>
            </w:pPr>
          </w:p>
        </w:tc>
      </w:tr>
      <w:tr>
        <w:trPr>
          <w:trHeight w:val="324"/>
        </w:trPr>
        <w:tc>
          <w:tcPr>
            <w:tcW w:w="356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4220" w:type="dxa"/>
            <w:vAlign w:val="bottom"/>
            <w:tcBorders>
              <w:bottom w:val="single" w:sz="8" w:color="auto"/>
            </w:tcBorders>
          </w:tcPr>
          <w:p>
            <w:pPr>
              <w:jc w:val="right"/>
              <w:ind w:right="1740"/>
              <w:spacing w:after="0"/>
              <w:rPr>
                <w:sz w:val="20"/>
                <w:szCs w:val="20"/>
                <w:color w:val="auto"/>
              </w:rPr>
            </w:pPr>
            <w:r>
              <w:rPr>
                <w:rFonts w:ascii="Times New Roman" w:cs="Times New Roman" w:eastAsia="Times New Roman" w:hAnsi="Times New Roman"/>
                <w:sz w:val="12"/>
                <w:szCs w:val="12"/>
                <w:b w:val="1"/>
                <w:bCs w:val="1"/>
                <w:color w:val="auto"/>
              </w:rPr>
              <w:t>001-38826</w:t>
            </w:r>
          </w:p>
        </w:tc>
        <w:tc>
          <w:tcPr>
            <w:tcW w:w="3080" w:type="dxa"/>
            <w:vAlign w:val="bottom"/>
            <w:tcBorders>
              <w:bottom w:val="single" w:sz="8" w:color="auto"/>
            </w:tcBorders>
          </w:tcPr>
          <w:p>
            <w:pPr>
              <w:jc w:val="right"/>
              <w:ind w:right="1420"/>
              <w:spacing w:after="0"/>
              <w:rPr>
                <w:sz w:val="20"/>
                <w:szCs w:val="20"/>
                <w:color w:val="auto"/>
              </w:rPr>
            </w:pPr>
            <w:r>
              <w:rPr>
                <w:rFonts w:ascii="Times New Roman" w:cs="Times New Roman" w:eastAsia="Times New Roman" w:hAnsi="Times New Roman"/>
                <w:sz w:val="12"/>
                <w:szCs w:val="12"/>
                <w:b w:val="1"/>
                <w:bCs w:val="1"/>
                <w:color w:val="auto"/>
              </w:rPr>
              <w:t>83-2530757</w:t>
            </w:r>
          </w:p>
        </w:tc>
      </w:tr>
      <w:tr>
        <w:trPr>
          <w:trHeight w:val="153"/>
        </w:trPr>
        <w:tc>
          <w:tcPr>
            <w:tcW w:w="3560" w:type="dxa"/>
            <w:vAlign w:val="bottom"/>
          </w:tcPr>
          <w:p>
            <w:pPr>
              <w:jc w:val="center"/>
              <w:ind w:left="520"/>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422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08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331"/>
        </w:trPr>
        <w:tc>
          <w:tcPr>
            <w:tcW w:w="3560" w:type="dxa"/>
            <w:vAlign w:val="bottom"/>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rPr>
              <w:t>12603 Southwest Freeway, Suite 300</w:t>
            </w:r>
          </w:p>
        </w:tc>
        <w:tc>
          <w:tcPr>
            <w:tcW w:w="42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80"/>
        </w:trPr>
        <w:tc>
          <w:tcPr>
            <w:tcW w:w="356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w w:val="99"/>
              </w:rPr>
              <w:t>Stafford, Texas</w:t>
            </w:r>
          </w:p>
        </w:tc>
        <w:tc>
          <w:tcPr>
            <w:tcW w:w="42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jc w:val="right"/>
              <w:ind w:right="1560"/>
              <w:spacing w:after="0"/>
              <w:rPr>
                <w:sz w:val="20"/>
                <w:szCs w:val="20"/>
                <w:color w:val="auto"/>
              </w:rPr>
            </w:pPr>
            <w:r>
              <w:rPr>
                <w:rFonts w:ascii="Times New Roman" w:cs="Times New Roman" w:eastAsia="Times New Roman" w:hAnsi="Times New Roman"/>
                <w:sz w:val="12"/>
                <w:szCs w:val="12"/>
                <w:b w:val="1"/>
                <w:bCs w:val="1"/>
                <w:color w:val="auto"/>
              </w:rPr>
              <w:t>77477</w:t>
            </w:r>
          </w:p>
        </w:tc>
      </w:tr>
      <w:tr>
        <w:trPr>
          <w:trHeight w:val="153"/>
        </w:trPr>
        <w:tc>
          <w:tcPr>
            <w:tcW w:w="3560" w:type="dxa"/>
            <w:vAlign w:val="bottom"/>
          </w:tcPr>
          <w:p>
            <w:pPr>
              <w:jc w:val="center"/>
              <w:ind w:left="5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4220" w:type="dxa"/>
            <w:vAlign w:val="bottom"/>
          </w:tcPr>
          <w:p>
            <w:pPr>
              <w:spacing w:after="0"/>
              <w:rPr>
                <w:sz w:val="13"/>
                <w:szCs w:val="13"/>
                <w:color w:val="auto"/>
              </w:rPr>
            </w:pPr>
          </w:p>
        </w:tc>
        <w:tc>
          <w:tcPr>
            <w:tcW w:w="308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(281) 491-9505</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4"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7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2"/>
        </w:trPr>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w:t>
            </w:r>
          </w:p>
        </w:tc>
        <w:tc>
          <w:tcPr>
            <w:tcW w:w="80" w:type="dxa"/>
            <w:vAlign w:val="bottom"/>
            <w:tcBorders>
              <w:top w:val="single" w:sz="8" w:color="CCEEFF"/>
            </w:tcBorders>
            <w:shd w:val="clear" w:color="auto" w:fill="CCEEFF"/>
          </w:tcPr>
          <w:p>
            <w:pPr>
              <w:spacing w:after="0"/>
              <w:rPr>
                <w:sz w:val="12"/>
                <w:szCs w:val="12"/>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MVST</w:t>
            </w:r>
          </w:p>
        </w:tc>
        <w:tc>
          <w:tcPr>
            <w:tcW w:w="8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20" w:type="dxa"/>
            <w:vAlign w:val="bottom"/>
          </w:tcPr>
          <w:p>
            <w:pPr>
              <w:spacing w:after="0"/>
              <w:rPr>
                <w:sz w:val="12"/>
                <w:szCs w:val="12"/>
                <w:color w:val="auto"/>
              </w:rPr>
            </w:pPr>
          </w:p>
        </w:tc>
      </w:tr>
      <w:tr>
        <w:trPr>
          <w:trHeight w:val="120"/>
        </w:trPr>
        <w:tc>
          <w:tcPr>
            <w:tcW w:w="37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Redeemable warrants, exercisable for shares of common stock at an</w:t>
            </w:r>
          </w:p>
        </w:tc>
        <w:tc>
          <w:tcPr>
            <w:tcW w:w="37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8"/>
              </w:rPr>
              <w:t>MVSTW</w:t>
            </w:r>
          </w:p>
        </w:tc>
        <w:tc>
          <w:tcPr>
            <w:tcW w:w="37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20" w:type="dxa"/>
            <w:vAlign w:val="bottom"/>
          </w:tcPr>
          <w:p>
            <w:pPr>
              <w:spacing w:after="0"/>
              <w:rPr>
                <w:sz w:val="10"/>
                <w:szCs w:val="10"/>
                <w:color w:val="auto"/>
              </w:rPr>
            </w:pPr>
          </w:p>
        </w:tc>
      </w:tr>
      <w:tr>
        <w:trPr>
          <w:trHeight w:val="159"/>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exercise price of $11.50 per share</w:t>
            </w:r>
          </w:p>
        </w:tc>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9"/>
        </w:trPr>
        <w:tc>
          <w:tcPr>
            <w:tcW w:w="3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3"/>
        </w:trPr>
        <w:tc>
          <w:tcPr>
            <w:tcW w:w="3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March 31, 2025, Microvast Holdings, Inc. issued a press release announcing its consolidated financial results for the fourth quarter and year ended December 31, 2024. A copy of the press release and the slideshow is furnished herewith as Exhibit 99.1 and 99.2, respectively to this Current Report on Form 8-K and each is incorporated herein by reference.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furnished in this Current Report on Form 8-K and the accompanying Exhibit 99.1 and 99.2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unless expressly incorporated by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2"/>
                <w:szCs w:val="12"/>
                <w:b w:val="1"/>
                <w:bCs w:val="1"/>
                <w:i w:val="1"/>
                <w:iCs w:val="1"/>
                <w:color w:val="auto"/>
              </w:rPr>
              <w:t>Exhibits</w:t>
            </w: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0" w:type="dxa"/>
            <w:vAlign w:val="bottom"/>
          </w:tcPr>
          <w:p>
            <w:pPr>
              <w:spacing w:after="0"/>
              <w:rPr>
                <w:sz w:val="13"/>
                <w:szCs w:val="13"/>
                <w:color w:val="auto"/>
              </w:rPr>
            </w:pPr>
          </w:p>
        </w:tc>
      </w:tr>
      <w:tr>
        <w:trPr>
          <w:trHeight w:val="315"/>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9"/>
        </w:trPr>
        <w:tc>
          <w:tcPr>
            <w:tcW w:w="1460" w:type="dxa"/>
            <w:vAlign w:val="bottom"/>
            <w:tcBorders>
              <w:top w:val="single" w:sz="8" w:color="auto"/>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740" w:type="dxa"/>
            <w:vAlign w:val="bottom"/>
            <w:tcBorders>
              <w:top w:val="single" w:sz="8" w:color="auto"/>
              <w:bottom w:val="single" w:sz="8" w:color="0E32E1"/>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0E32E1"/>
                <w:w w:val="98"/>
              </w:rPr>
              <w:t>Press Release dated March 31, 2025</w:t>
            </w:r>
          </w:p>
        </w:tc>
        <w:tc>
          <w:tcPr>
            <w:tcW w:w="800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33"/>
        </w:trPr>
        <w:tc>
          <w:tcPr>
            <w:tcW w:w="14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0E32E1"/>
            </w:tcBorders>
          </w:tcPr>
          <w:p>
            <w:pPr>
              <w:spacing w:after="0" w:line="126" w:lineRule="exact"/>
              <w:rPr>
                <w:sz w:val="20"/>
                <w:szCs w:val="20"/>
                <w:color w:val="auto"/>
              </w:rPr>
            </w:pPr>
            <w:r>
              <w:rPr>
                <w:rFonts w:ascii="Times New Roman" w:cs="Times New Roman" w:eastAsia="Times New Roman" w:hAnsi="Times New Roman"/>
                <w:sz w:val="12"/>
                <w:szCs w:val="12"/>
                <w:color w:val="0E32E1"/>
                <w:w w:val="98"/>
              </w:rPr>
              <w:t>Presentation dated March 31, 2025</w:t>
            </w:r>
          </w:p>
        </w:tc>
        <w:tc>
          <w:tcPr>
            <w:tcW w:w="8060" w:type="dxa"/>
            <w:vAlign w:val="bottom"/>
            <w:gridSpan w:val="2"/>
          </w:tcPr>
          <w:p>
            <w:pPr>
              <w:spacing w:after="0"/>
              <w:rPr>
                <w:sz w:val="11"/>
                <w:szCs w:val="11"/>
                <w:color w:val="auto"/>
              </w:rPr>
            </w:pPr>
          </w:p>
        </w:tc>
      </w:tr>
      <w:tr>
        <w:trPr>
          <w:trHeight w:val="153"/>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Date: March 31, 2025</w:t>
            </w:r>
          </w:p>
        </w:tc>
        <w:tc>
          <w:tcPr>
            <w:tcW w:w="8120" w:type="dxa"/>
            <w:vAlign w:val="bottom"/>
            <w:gridSpan w:val="3"/>
          </w:tcPr>
          <w:p>
            <w:pPr>
              <w:ind w:left="2120"/>
              <w:spacing w:after="0"/>
              <w:rPr>
                <w:sz w:val="20"/>
                <w:szCs w:val="20"/>
                <w:color w:val="auto"/>
              </w:rPr>
            </w:pPr>
            <w:r>
              <w:rPr>
                <w:rFonts w:ascii="Times New Roman" w:cs="Times New Roman" w:eastAsia="Times New Roman" w:hAnsi="Times New Roman"/>
                <w:sz w:val="12"/>
                <w:szCs w:val="12"/>
                <w:b w:val="1"/>
                <w:bCs w:val="1"/>
                <w:color w:val="auto"/>
              </w:rPr>
              <w:t>MICROVAST HOLDINGS, INC.</w:t>
            </w:r>
          </w:p>
        </w:tc>
      </w:tr>
      <w:tr>
        <w:trPr>
          <w:trHeight w:val="324"/>
        </w:trPr>
        <w:tc>
          <w:tcPr>
            <w:tcW w:w="3160" w:type="dxa"/>
            <w:vAlign w:val="bottom"/>
          </w:tcPr>
          <w:p>
            <w:pPr>
              <w:spacing w:after="0"/>
              <w:rPr>
                <w:sz w:val="24"/>
                <w:szCs w:val="24"/>
                <w:color w:val="auto"/>
              </w:rPr>
            </w:pPr>
          </w:p>
        </w:tc>
        <w:tc>
          <w:tcPr>
            <w:tcW w:w="24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By:</w:t>
            </w:r>
          </w:p>
        </w:tc>
        <w:tc>
          <w:tcPr>
            <w:tcW w:w="40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Isida Tushe</w:t>
            </w:r>
          </w:p>
        </w:tc>
      </w:tr>
      <w:tr>
        <w:trPr>
          <w:trHeight w:val="140"/>
        </w:trPr>
        <w:tc>
          <w:tcPr>
            <w:tcW w:w="3160" w:type="dxa"/>
            <w:vAlign w:val="bottom"/>
          </w:tcPr>
          <w:p>
            <w:pPr>
              <w:spacing w:after="0"/>
              <w:rPr>
                <w:sz w:val="12"/>
                <w:szCs w:val="12"/>
                <w:color w:val="auto"/>
              </w:rPr>
            </w:pPr>
          </w:p>
        </w:tc>
        <w:tc>
          <w:tcPr>
            <w:tcW w:w="2440" w:type="dxa"/>
            <w:vAlign w:val="bottom"/>
          </w:tcPr>
          <w:p>
            <w:pPr>
              <w:ind w:left="2120"/>
              <w:spacing w:after="0"/>
              <w:rPr>
                <w:sz w:val="20"/>
                <w:szCs w:val="20"/>
                <w:color w:val="auto"/>
              </w:rPr>
            </w:pPr>
            <w:r>
              <w:rPr>
                <w:rFonts w:ascii="Times New Roman" w:cs="Times New Roman" w:eastAsia="Times New Roman" w:hAnsi="Times New Roman"/>
                <w:sz w:val="12"/>
                <w:szCs w:val="12"/>
                <w:color w:val="auto"/>
                <w:w w:val="93"/>
              </w:rPr>
              <w:t>Name:</w:t>
            </w:r>
          </w:p>
        </w:tc>
        <w:tc>
          <w:tcPr>
            <w:tcW w:w="400" w:type="dxa"/>
            <w:vAlign w:val="bottom"/>
          </w:tcPr>
          <w:p>
            <w:pPr>
              <w:spacing w:after="0"/>
              <w:rPr>
                <w:sz w:val="12"/>
                <w:szCs w:val="12"/>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Isida Tushe</w:t>
            </w:r>
          </w:p>
        </w:tc>
      </w:tr>
      <w:tr>
        <w:trPr>
          <w:trHeight w:val="155"/>
        </w:trPr>
        <w:tc>
          <w:tcPr>
            <w:tcW w:w="3160" w:type="dxa"/>
            <w:vAlign w:val="bottom"/>
          </w:tcPr>
          <w:p>
            <w:pPr>
              <w:spacing w:after="0"/>
              <w:rPr>
                <w:sz w:val="13"/>
                <w:szCs w:val="13"/>
                <w:color w:val="auto"/>
              </w:rPr>
            </w:pPr>
          </w:p>
        </w:tc>
        <w:tc>
          <w:tcPr>
            <w:tcW w:w="24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Title:</w:t>
            </w:r>
          </w:p>
        </w:tc>
        <w:tc>
          <w:tcPr>
            <w:tcW w:w="400" w:type="dxa"/>
            <w:vAlign w:val="bottom"/>
          </w:tcPr>
          <w:p>
            <w:pPr>
              <w:spacing w:after="0"/>
              <w:rPr>
                <w:sz w:val="13"/>
                <w:szCs w:val="13"/>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General Counsel and Corporate Secretary</w:t>
            </w:r>
          </w:p>
        </w:tc>
      </w:tr>
      <w:tr>
        <w:trPr>
          <w:trHeight w:val="801"/>
        </w:trPr>
        <w:tc>
          <w:tcPr>
            <w:tcW w:w="3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2</w:t>
            </w:r>
          </w:p>
        </w:tc>
        <w:tc>
          <w:tcPr>
            <w:tcW w:w="5280" w:type="dxa"/>
            <w:vAlign w:val="bottom"/>
          </w:tcPr>
          <w:p>
            <w:pPr>
              <w:spacing w:after="0"/>
              <w:rPr>
                <w:sz w:val="24"/>
                <w:szCs w:val="24"/>
                <w:color w:val="auto"/>
              </w:rPr>
            </w:pPr>
          </w:p>
        </w:tc>
      </w:tr>
    </w:tbl>
    <w:p>
      <w:pPr>
        <w:sectPr>
          <w:pgSz w:w="11900" w:h="16838" w:orient="portrait"/>
          <w:cols w:equalWidth="0" w:num="1">
            <w:col w:w="11280"/>
          </w:cols>
          <w:pgMar w:left="300" w:top="701"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Microvast Reports 2024 Financial Results</w:t>
      </w:r>
    </w:p>
    <w:p>
      <w:pPr>
        <w:spacing w:after="0" w:line="32"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Revenue increased 23.9% year over year to $379.8 million in FY 2024</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Record quarterly revenue of $113.4 million, up 8.4% year over year in Q4 2024</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Gross margin increased from 18.7% to 31.5%, a 12.8 percentage point improvement year over year, with Q4 2024 gross margin of 36.6% compared to 22.0% in Q4 2023</w:t>
      </w:r>
    </w:p>
    <w:p>
      <w:pPr>
        <w:spacing w:after="0" w:line="135"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STAFFORD, Texas, USA, March 31, 2025 – Microvast Holdings, Inc. (NASDAQ:MVST) (“Microvast” or the “Company”), a global leader in advanced battery technologies, announced today its consolidated financial results for the fourth quarter and full fiscal year ended December 31, 2024 (“Q4 2024” and “FY 2024,” respectively).</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achieved record quarterly revenue in the fourth quarter of 2024, beating revenue guidance. This brings our full year revenue growth to 23.9% and we delivered these revenues at a gross margin also above guidance. The revenue growth achieved in EMEA is encouraging and we would expect to continue this growth into 2025,” said Yang Wu, Microvast’s Founder, Chairman, and Chief Executive Officer. “In APAC, we are underway with our Huzhou Phase 3.2 expansion and anticipate to have this additional capacity online in the fourth quarter of 2025 to meet increasing customer demand as we prioritize uncovering new opportunities and market segments. Our backlog has grown to $401.3 million as regional demand for our technology continues to rapidly grow. We have realized great successes in the global heavy industrials segment and the maturing Korean market. The significant strides we’ve made in operational efficiencies in the second half of 2024 will continue into 2025 as our core focus remains on achieving sustainable profitability.”</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Full Year 2024 Highlights</w:t>
      </w:r>
    </w:p>
    <w:p>
      <w:pPr>
        <w:spacing w:after="0" w:line="149"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Record yearly revenue of $379.8 million, compared to $306.6 million in 2023, an increase of 23.9%</w:t>
      </w:r>
    </w:p>
    <w:p>
      <w:pPr>
        <w:spacing w:after="0" w:line="174"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Gross margin increased to 31.5% from 18.7% in 2023; Non-GAAP adjusted gross margin increased to 32.4%, up from 20.7% in 2023</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Operating expenses of $238.3 million, compared to $165.9 million in 2023; Non-GAAP adjusted operating expenses of $210.9 million, compared to $107.1 million in 2023</w:t>
      </w:r>
    </w:p>
    <w:p>
      <w:pPr>
        <w:spacing w:after="0" w:line="174"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loss of $195.5 million, compared to net loss of $106.4 million in 2023; Non-GAAP adjusted net loss of $84.6 million, compared to non-GAAP adjusted net loss of $41.6 million in 2023</w:t>
      </w:r>
    </w:p>
    <w:p>
      <w:pPr>
        <w:spacing w:after="0" w:line="174" w:lineRule="exact"/>
        <w:rPr>
          <w:rFonts w:ascii="Arial" w:cs="Arial" w:eastAsia="Arial" w:hAnsi="Arial"/>
          <w:sz w:val="13"/>
          <w:szCs w:val="13"/>
          <w:color w:val="auto"/>
        </w:rPr>
      </w:pPr>
    </w:p>
    <w:p>
      <w:pPr>
        <w:ind w:left="420" w:right="20" w:hanging="212"/>
        <w:spacing w:after="0" w:line="284"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loss per share of $0.61 compared to net loss per share of $0.34 in 2023; Non-GAAP adjusted net loss per share of $0.27, compared to non-GAAP adjusted net loss per share of $0.13 in 2023</w:t>
      </w:r>
    </w:p>
    <w:p>
      <w:pPr>
        <w:spacing w:after="0" w:line="123"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EBITDA of negative $44.8 million, compared to adjusted EBITDA of negative $19.6 million in 2023</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Capital expenditures of $49.9 million, compared to $186.8 million in 2023, and were driven by investments in manufacturing capacity expansions in Huzhou, China.</w:t>
      </w:r>
    </w:p>
    <w:p>
      <w:pPr>
        <w:spacing w:after="0" w:line="174"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Cash, cash equivalents, restricted cash and short-term investment of $109.6 million as of December 31, 2024, compared to $93.8 million as of December 31, 2023</w:t>
      </w:r>
    </w:p>
    <w:p>
      <w:pPr>
        <w:sectPr>
          <w:pgSz w:w="11900" w:h="16838" w:orient="portrait"/>
          <w:cols w:equalWidth="0" w:num="1">
            <w:col w:w="11300"/>
          </w:cols>
          <w:pgMar w:left="300" w:top="811" w:right="29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Fourth Quarter 2024 Highlights</w:t>
      </w:r>
    </w:p>
    <w:p>
      <w:pPr>
        <w:spacing w:after="0" w:line="149"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Record quarterly revenue of $113.4 million, compared to $104.6 million in the fourth quarter of 2023, an increase of 8.4%</w:t>
      </w:r>
    </w:p>
    <w:p>
      <w:pPr>
        <w:spacing w:after="0" w:line="174"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Gross margin increased to 36.6% from 22.0% in Q4 2023; Non-GAAP adjusted gross margin increased to 36.7%, up from 23.5% in Q4 2023</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Generated $2.8 million cash from operations due to operational efficiency gains and non-cash adjustments</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Operating expenses of $43.2 million, compared to $46.0 million in Q4 2023; Non-GAAP adjusted operating expenses of $42.8 million, compared to $34.3 million in Q4 2023</w:t>
      </w:r>
    </w:p>
    <w:p>
      <w:pPr>
        <w:spacing w:after="0" w:line="165" w:lineRule="exact"/>
        <w:rPr>
          <w:rFonts w:ascii="Arial" w:cs="Arial" w:eastAsia="Arial" w:hAnsi="Arial"/>
          <w:sz w:val="13"/>
          <w:szCs w:val="13"/>
          <w:color w:val="auto"/>
        </w:rPr>
      </w:pPr>
    </w:p>
    <w:p>
      <w:pPr>
        <w:ind w:left="420" w:right="20" w:hanging="212"/>
        <w:spacing w:after="0" w:line="269"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loss of $82.3 million, compared to net loss of $24.6 million in Q4 2023; Non-GAAP adjusted net loss of $0.6 million, compared to non-GAAP adjusted net loss of $11.4 million in Q4 2023</w:t>
      </w:r>
    </w:p>
    <w:p>
      <w:pPr>
        <w:spacing w:after="0" w:line="318" w:lineRule="exact"/>
        <w:rPr>
          <w:rFonts w:ascii="Arial" w:cs="Arial" w:eastAsia="Arial" w:hAnsi="Arial"/>
          <w:sz w:val="13"/>
          <w:szCs w:val="13"/>
          <w:color w:val="auto"/>
        </w:rPr>
      </w:pPr>
    </w:p>
    <w:p>
      <w:pPr>
        <w:ind w:left="420" w:hanging="212"/>
        <w:spacing w:after="0" w:line="284"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loss per share of $0.26 compared to net loss per share of $0.08 in Q4 2023; Non-GAAP adjusted net loss per share of $0.01, compared to non-GAAP adjusted net loss per share of $0.04 in Q4 2023</w:t>
      </w:r>
    </w:p>
    <w:p>
      <w:pPr>
        <w:spacing w:after="0" w:line="123"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EBITDA of $8.6 million, compared to adjusted EBITDA of negative $2.6 million in Q4 2023</w:t>
      </w:r>
    </w:p>
    <w:p>
      <w:pPr>
        <w:spacing w:after="0" w:line="166"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Please refer to the tables at the end of this press release for reconciliations of gross profit to non-GAAP adjusted gross profit, net loss to non-GAAP adjusted net loss, non-GAAP EBITDA to non-GAAP adjusted EBITDA.</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2025 Outlook</w:t>
      </w:r>
    </w:p>
    <w:p>
      <w:pPr>
        <w:spacing w:after="0" w:line="167"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2025, the Company is targeting a revenue growth of 18% to 25% year over year and revenue guidance of $450 million to $475 million</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Continued regional efficiencies and utilization increases, providing a Company gross margin target of 30%</w:t>
      </w:r>
    </w:p>
    <w:p>
      <w:pPr>
        <w:spacing w:after="0" w:line="174" w:lineRule="exact"/>
        <w:rPr>
          <w:rFonts w:ascii="Arial" w:cs="Arial" w:eastAsia="Arial" w:hAnsi="Arial"/>
          <w:sz w:val="13"/>
          <w:szCs w:val="13"/>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Targeting Huzhou Phase 3.2 production in Q4 2025, increasing our production capacity to meet strong customer demand</w:t>
      </w:r>
    </w:p>
    <w:p>
      <w:pPr>
        <w:spacing w:after="0" w:line="174" w:lineRule="exact"/>
        <w:rPr>
          <w:rFonts w:ascii="Arial" w:cs="Arial" w:eastAsia="Arial" w:hAnsi="Arial"/>
          <w:sz w:val="13"/>
          <w:szCs w:val="13"/>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Focus on new customer wins that will continue to expand our presence in differentiated commercial vehicle markets as OEM product lines and segments continue to electrify</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Webcast Information</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Company management will host a conference call and webcast on March 31, 2025, at 4:00 p.m. Central Time, to discuss the Company's financial results. The live webcast and accompanying slide presentation will be accessible from the Events &amp; Presentations section of Microvast’s investor relations website (https://ir.microvast.com/events-presentations/events). A replay will be available following the conclusion of the event.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814"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4"/>
          <w:szCs w:val="14"/>
          <w:b w:val="1"/>
          <w:bCs w:val="1"/>
          <w:color w:val="auto"/>
        </w:rPr>
        <w:t>About Microvast</w:t>
      </w:r>
    </w:p>
    <w:p>
      <w:pPr>
        <w:spacing w:after="0" w:line="167" w:lineRule="exact"/>
        <w:rPr>
          <w:sz w:val="20"/>
          <w:szCs w:val="20"/>
          <w:color w:val="auto"/>
        </w:rPr>
      </w:pPr>
    </w:p>
    <w:p>
      <w:pPr>
        <w:jc w:val="both"/>
        <w:ind w:left="8"/>
        <w:spacing w:after="0" w:line="272" w:lineRule="auto"/>
        <w:rPr>
          <w:sz w:val="20"/>
          <w:szCs w:val="20"/>
          <w:color w:val="auto"/>
        </w:rPr>
      </w:pPr>
      <w:r>
        <w:rPr>
          <w:rFonts w:ascii="Arial" w:cs="Arial" w:eastAsia="Arial" w:hAnsi="Arial"/>
          <w:sz w:val="13"/>
          <w:szCs w:val="13"/>
          <w:color w:val="auto"/>
        </w:rPr>
        <w:t>Microvast is a global leader in providing battery technologies for electric vehicles and energy storage solutions. With a legacy of over 18 years, Microvast has consistently delivered cutting-edge battery systems that empower a cleaner and more sustainable future. The company's innovative approach and dedication to excellence have positioned it as a trusted partner for customers around the world. Founded in 2006 in Stafford, Texas, Microvast holds more than 775 patents that enable solutions for today’s electrification needs.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For more information, please visit </w:t>
      </w:r>
      <w:r>
        <w:rPr>
          <w:rFonts w:ascii="Arial" w:cs="Arial" w:eastAsia="Arial" w:hAnsi="Arial"/>
          <w:sz w:val="13"/>
          <w:szCs w:val="13"/>
          <w:color w:val="0000FF"/>
        </w:rPr>
        <w:t>www.microvast.com</w:t>
      </w:r>
      <w:r>
        <w:rPr>
          <w:rFonts w:ascii="Arial" w:cs="Arial" w:eastAsia="Arial" w:hAnsi="Arial"/>
          <w:sz w:val="13"/>
          <w:szCs w:val="13"/>
          <w:color w:val="auto"/>
        </w:rPr>
        <w:t xml:space="preserve"> or follow us on LinkedIn (@microvast).</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Contact:</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Investor Relations</w:t>
      </w:r>
    </w:p>
    <w:p>
      <w:pPr>
        <w:spacing w:after="0" w:line="16" w:lineRule="exact"/>
        <w:rPr>
          <w:sz w:val="20"/>
          <w:szCs w:val="20"/>
          <w:color w:val="auto"/>
        </w:rPr>
      </w:pPr>
    </w:p>
    <w:p>
      <w:pPr>
        <w:ind w:left="8"/>
        <w:spacing w:after="0"/>
        <w:rPr>
          <w:sz w:val="20"/>
          <w:szCs w:val="20"/>
          <w:color w:val="auto"/>
        </w:rPr>
      </w:pPr>
      <w:r>
        <w:rPr>
          <w:rFonts w:ascii="Arial" w:cs="Arial" w:eastAsia="Arial" w:hAnsi="Arial"/>
          <w:sz w:val="13"/>
          <w:szCs w:val="13"/>
          <w:color w:val="auto"/>
        </w:rPr>
        <w:t>ir@microvast.com</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67" w:lineRule="exact"/>
        <w:rPr>
          <w:sz w:val="20"/>
          <w:szCs w:val="20"/>
          <w:color w:val="auto"/>
        </w:rPr>
      </w:pPr>
    </w:p>
    <w:p>
      <w:pPr>
        <w:jc w:val="both"/>
        <w:ind w:left="8"/>
        <w:spacing w:after="0" w:line="257" w:lineRule="auto"/>
        <w:rPr>
          <w:sz w:val="20"/>
          <w:szCs w:val="20"/>
          <w:color w:val="auto"/>
        </w:rPr>
      </w:pPr>
      <w:r>
        <w:rPr>
          <w:rFonts w:ascii="Arial" w:cs="Arial" w:eastAsia="Arial" w:hAnsi="Arial"/>
          <w:sz w:val="13"/>
          <w:szCs w:val="13"/>
          <w:color w:val="auto"/>
        </w:rPr>
        <w:t>This communication contains “forward-looking statements” within the meaning of the Private Securities Litigation Reform Act of 1995. Such statements include, but are not limited to, statements about our future results of operations and financial position, our operational performance, our anticipated growth and business strategy, our future capital expenditures and debt service obligations, the projected costs, prospects and plans and objectives of management for future operations, including regarding expected growth and demand for our batteries and energy storage solutions and introduction of new batteries and energy storage solutions, the adoption of such offerings by customers, our expectations relating to backlog, pipeline and contracted backlog, our ability to implement our remediation plan in connection with the material weakness in our internal control over financial reporting, current expectations relating to legal proceedings and anticipated impacts and benefits from the Inflation Reduction Act of 2022 as well as any other proposed or recently enacted legislation. In some cases, you may also identify forward-looking statements by words such as “anticipate,” “believe,”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45" w:lineRule="exact"/>
        <w:rPr>
          <w:sz w:val="20"/>
          <w:szCs w:val="20"/>
          <w:color w:val="auto"/>
        </w:rPr>
      </w:pPr>
    </w:p>
    <w:p>
      <w:pPr>
        <w:jc w:val="both"/>
        <w:ind w:left="8"/>
        <w:spacing w:after="0" w:line="256" w:lineRule="auto"/>
        <w:rPr>
          <w:sz w:val="20"/>
          <w:szCs w:val="20"/>
          <w:color w:val="auto"/>
        </w:rPr>
      </w:pPr>
      <w:r>
        <w:rPr>
          <w:rFonts w:ascii="Arial" w:cs="Arial" w:eastAsia="Arial" w:hAnsi="Arial"/>
          <w:sz w:val="13"/>
          <w:szCs w:val="13"/>
          <w:color w:val="auto"/>
        </w:rPr>
        <w:t>Many factors could cause actual results and the timing of events to differ materially from the anticipated results or other expectations expressed in the forward-looking statements, including, among others: (1) our ability to remain a going concern; (2) risk that we may not be able to execute our growth strategies or achieve profitability; (3) risk that we will be unable to raise additional capital to execute our business plan or pay our debts as they come due, which may not be available on acceptable terms or at all; (4) potential difficulties in maintaining manufacturing capacity and establishing expected mass manufacturing capacity in the future; (5) risks relating to delays, disruptions and quality control problems in our manufacturing operations; (6) restrictions in our existing and any future credit facilities; (7) risks of operations in China; (8) the effects of mechanics liens filed by contractors that we do not have sufficient funds to pay; (9) the effects of existing and future litigation; (10) changes in general economic conditions, including increases in interest rates and associated Federal Reserve policies, a potential economic recession, and the impact of inflation on our business; (11) changes in the highly competitive market in which we compete, including with respect to our competitive landscape, technology evolution or regulatory changes;</w:t>
      </w:r>
    </w:p>
    <w:p>
      <w:pPr>
        <w:spacing w:after="0" w:line="3" w:lineRule="exact"/>
        <w:rPr>
          <w:sz w:val="20"/>
          <w:szCs w:val="20"/>
          <w:color w:val="auto"/>
        </w:rPr>
      </w:pPr>
    </w:p>
    <w:p>
      <w:pPr>
        <w:ind w:left="268" w:hanging="268"/>
        <w:spacing w:after="0"/>
        <w:tabs>
          <w:tab w:leader="none" w:pos="268"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availability and price of raw materials; (13) labor relations, including the ability to attract, hire and</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ind w:left="5628"/>
        <w:spacing w:after="0"/>
        <w:rPr>
          <w:rFonts w:ascii="Arial" w:cs="Arial" w:eastAsia="Arial" w:hAnsi="Arial"/>
          <w:sz w:val="13"/>
          <w:szCs w:val="13"/>
          <w:color w:val="auto"/>
        </w:rPr>
      </w:pPr>
      <w:r>
        <w:rPr>
          <w:rFonts w:ascii="Times New Roman" w:cs="Times New Roman" w:eastAsia="Times New Roman" w:hAnsi="Times New Roman"/>
          <w:sz w:val="12"/>
          <w:szCs w:val="12"/>
          <w:color w:val="auto"/>
        </w:rPr>
        <w:t>3</w:t>
      </w:r>
    </w:p>
    <w:p>
      <w:pPr>
        <w:sectPr>
          <w:pgSz w:w="11900" w:h="16838" w:orient="portrait"/>
          <w:cols w:equalWidth="0" w:num="1">
            <w:col w:w="11308"/>
          </w:cols>
          <w:pgMar w:left="292" w:top="814" w:right="299" w:bottom="1440" w:gutter="0" w:footer="0" w:header="0"/>
        </w:sectPr>
      </w:pPr>
    </w:p>
    <w:bookmarkStart w:id="6" w:name="page7"/>
    <w:bookmarkEnd w:id="6"/>
    <w:p>
      <w:pPr>
        <w:jc w:val="both"/>
        <w:spacing w:after="0" w:line="258" w:lineRule="auto"/>
        <w:rPr>
          <w:sz w:val="20"/>
          <w:szCs w:val="20"/>
          <w:color w:val="auto"/>
        </w:rPr>
      </w:pPr>
      <w:r>
        <w:rPr>
          <w:rFonts w:ascii="Arial" w:cs="Arial" w:eastAsia="Arial" w:hAnsi="Arial"/>
          <w:sz w:val="13"/>
          <w:szCs w:val="13"/>
          <w:color w:val="auto"/>
        </w:rPr>
        <w:t>retain key employees and contract personnel; (14) heightened awareness of environmental issues and concern about global warming and climate change; (15) risk that we are unable to secure or protect our intellectual property; (16) risk that our customers or third-party suppliers are unable to meet their obligations fully or in a timely manner; (17) risks related to possible future reductions in pricing or order volume or loss of one or more of our significant customers; (18) risks relating to our status as a relatively low-volume purchaser as well as from supplier concentration and limited supplier capacity; (19) risk that our customers will adjust, cancel or suspend their orders for our products; (20) risk of product liability or regulatory lawsuits or proceedings relating to our products or services; (21) our ability to maintain and enhance our reputation and brand recognition; (22) the effectiveness of our information technology and operational technology systems and practices to detect and defend against evolving cyberattacks; (23) changing laws regarding cybersecurity and data privacy, and any cybersecurity threat or event; (24) the effects and associated cost of compliance with existing and future laws and governmental regulations, such as the Inflation Reduction Act; (25) risks relating to whether renewable energy technologies are suitable for widespread adoption or if sufficient demand for our offerings does not develop or takes longer to develop than we anticipate; (26) economic, financial and other impacts such as a pandemic, including global supply chain disruptions; and (27) the impacts of geopolitical events, including the ongoing conflicts between Russia and Ukraine and between Israel and Hamas. Microvast’s annual, quarterly and other filings with the U.S. Securities and Exchange Commission identify, address and discuss these and other factors in the sections entitled “Risk Factors.”</w:t>
      </w: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13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All references to the “Company,” “we,” “us” or “our” refer to Microvast Holdings, Inc. and its consolidated subsidiaries other than certain historical information which refers to the business of Microvast prior to the consummation of the Business Combination.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To provide investors with additional information regarding our financial results, Microvast has disclosed in this earnings release non-GAAP financial measures, including non-GAAP adjusted gross profit (loss), non-GAAP adjusted EBITDA, non-GAAP adjusted operating expenses and non-GAAP adjusted net loss, which are non-GAAP financial measures as defined under the rules of the SEC. These are intended as supplemental measures of our financial performance that are not required by, or presented in accordance with U.S. generally accepted accounting principles (“GAAP”).</w:t>
      </w:r>
    </w:p>
    <w:p>
      <w:pPr>
        <w:spacing w:after="0" w:line="286" w:lineRule="exact"/>
        <w:rPr>
          <w:sz w:val="20"/>
          <w:szCs w:val="20"/>
          <w:color w:val="auto"/>
        </w:rPr>
      </w:pPr>
    </w:p>
    <w:p>
      <w:pPr>
        <w:jc w:val="both"/>
        <w:ind w:right="20"/>
        <w:spacing w:after="0" w:line="279" w:lineRule="auto"/>
        <w:rPr>
          <w:sz w:val="20"/>
          <w:szCs w:val="20"/>
          <w:color w:val="auto"/>
        </w:rPr>
      </w:pPr>
      <w:r>
        <w:rPr>
          <w:rFonts w:ascii="Arial" w:cs="Arial" w:eastAsia="Arial" w:hAnsi="Arial"/>
          <w:sz w:val="13"/>
          <w:szCs w:val="13"/>
          <w:color w:val="auto"/>
        </w:rPr>
        <w:t>Reconciliations to the most comparable GAAP measures, gross profit and net income (loss), are contained in tabular form in the unaudited financial statements below. Non-GAAP adjusted gross profit is GAAP gross profit as adjusted for non-cash stock-based compensation expense included in cost of revenues. Non-GAAP adjusted net loss is GAAP net loss as adjusted for non-cash stock-based compensation expense and change in valuation of warrant and Convertible loan. Non-GAAP</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665" w:right="29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3"/>
          <w:szCs w:val="13"/>
          <w:color w:val="auto"/>
        </w:rPr>
        <w:t>adjusted net loss per common share is GAAP net loss per common share as adjusted for non-cash stock-based compensation expense and change in valuation of warrant and Convertible loan per common share. Non-GAAP adjusted EBITDA is defined as net loss excluding depreciation and amortization, non-cash settled share-based compensation expense, interest expense, interest income, changes in fair value of our warrant and Convertible loan and income tax expense or benefit. Non-GAAP adjusted operating expenses is defined as operating expenses excluding non-cash stock-based compensation expense.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We use non-GAAP adjusted gross profit, non-GAAP adjusted EBITDA, non-GAAP adjusted operating expenses and non-GAAP adjusted net loss for financial and operational decision-making and as a means to evaluate period-to-period comparisons. We consider them to be important measures because they help illustrate underlying trends in our business and our historical operating performance on a more consistent basis. We believe that these non-GAAP financial measures, when taken together with their most directly comparable GAAP measures, gross profit and net income (loss), provide meaningful supplemental information regarding our performance by excluding certain items that may not be indicative of our recurring core business operating results.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and board of directors.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Non-GAAP financial measures have limitations as an analytical tool, and you should not consider them in isolation, or as a substitute for, financial information prepared in accordance with GAAP. For example, our calculation of non-GAAP adjusted EBITDA may differ from similarly titled non-GAAP measures, if any, reported by our peer companies, or our peer companies may use other measures to calculate their financial performance, and therefore our use of non-GAAP adjusted EBITDA may not be directly comparable to similarly titled measures of other companies. The principal limitation of non-GAAP adjusted EBITDA is that it excludes significant expenses and income that are required by GAAP to be recorded in our financial statements. In addition, it is subject to inherent limitations as it reflects the exercise of judgments by management about which expense and income are excluded or included in determining this non-GAAP financial measure. In order to compensate for these limitations, management presents non-GAAP financial measures in connection with GAAP results. In addition, such financial information is unaudited and does not conform to SEC Regulation S-X and as a result, such information may be presented differently in our future filings with the SEC. For example, with respect to the warrant liability resulting from the merger, we now exclude changes in fair value from net loss in our non-GAAP adjusted EBITDA and non-GAAP adjusted net loss calculation, which had not been done in prior periods.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65"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MICROVAST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of U.S. dollars, except share and per share data, or as otherwise noted)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7"/>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66"/>
        </w:trPr>
        <w:tc>
          <w:tcPr>
            <w:tcW w:w="8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73,007</w:t>
            </w:r>
          </w:p>
        </w:tc>
        <w:tc>
          <w:tcPr>
            <w:tcW w:w="100" w:type="dxa"/>
            <w:vAlign w:val="bottom"/>
          </w:tcPr>
          <w:p>
            <w:pPr>
              <w:spacing w:after="0"/>
              <w:rPr>
                <w:sz w:val="14"/>
                <w:szCs w:val="14"/>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44,541</w:t>
            </w:r>
          </w:p>
        </w:tc>
      </w:tr>
      <w:tr>
        <w:trPr>
          <w:trHeight w:val="17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Restricted cash, current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37,477</w:t>
            </w:r>
          </w:p>
        </w:tc>
      </w:tr>
      <w:tr>
        <w:trPr>
          <w:trHeight w:val="166"/>
        </w:trPr>
        <w:tc>
          <w:tcPr>
            <w:tcW w:w="8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investments</w:t>
            </w: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5,634</w:t>
            </w:r>
          </w:p>
        </w:tc>
      </w:tr>
      <w:tr>
        <w:trPr>
          <w:trHeight w:val="17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 (net of allowance for credit losses of $5,090 and $4,571as of December 31, 2024 and 2023, respectively)</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120,626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138,717</w:t>
            </w:r>
          </w:p>
        </w:tc>
      </w:tr>
      <w:tr>
        <w:trPr>
          <w:trHeight w:val="166"/>
        </w:trPr>
        <w:tc>
          <w:tcPr>
            <w:tcW w:w="8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Notes receivable</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23,736</w:t>
            </w:r>
          </w:p>
        </w:tc>
      </w:tr>
      <w:tr>
        <w:trPr>
          <w:trHeight w:val="17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 net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143,327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149,749</w:t>
            </w:r>
          </w:p>
        </w:tc>
      </w:tr>
      <w:tr>
        <w:trPr>
          <w:trHeight w:val="167"/>
        </w:trPr>
        <w:tc>
          <w:tcPr>
            <w:tcW w:w="8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25,752</w:t>
            </w:r>
          </w:p>
        </w:tc>
      </w:tr>
      <w:tr>
        <w:trPr>
          <w:trHeight w:val="17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Assets held for sale</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19,896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428,026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425,606</w:t>
            </w: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 non-current</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6,171</w:t>
            </w: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478,189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620,667</w:t>
            </w: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 use rights, net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11,984</w:t>
            </w:r>
          </w:p>
        </w:tc>
      </w:tr>
      <w:tr>
        <w:trPr>
          <w:trHeight w:val="167"/>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Acquired intangible assets, net</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3,136</w:t>
            </w:r>
          </w:p>
        </w:tc>
      </w:tr>
      <w:tr>
        <w:trPr>
          <w:trHeight w:val="17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19,507</w:t>
            </w:r>
          </w:p>
        </w:tc>
      </w:tr>
      <w:tr>
        <w:trPr>
          <w:trHeight w:val="16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14,024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9,661</w:t>
            </w:r>
          </w:p>
        </w:tc>
      </w:tr>
      <w:tr>
        <w:trPr>
          <w:trHeight w:val="163"/>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951,867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1,096,732</w:t>
            </w:r>
          </w:p>
        </w:tc>
      </w:tr>
      <w:tr>
        <w:trPr>
          <w:trHeight w:val="153"/>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7"/>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112,618</w:t>
            </w:r>
          </w:p>
        </w:tc>
      </w:tr>
      <w:tr>
        <w:trPr>
          <w:trHeight w:val="167"/>
        </w:trPr>
        <w:tc>
          <w:tcPr>
            <w:tcW w:w="8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Advance from customers</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43,087</w:t>
            </w:r>
          </w:p>
        </w:tc>
      </w:tr>
      <w:tr>
        <w:trPr>
          <w:trHeight w:val="17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148,284</w:t>
            </w:r>
          </w:p>
        </w:tc>
      </w:tr>
      <w:tr>
        <w:trPr>
          <w:trHeight w:val="167"/>
        </w:trPr>
        <w:tc>
          <w:tcPr>
            <w:tcW w:w="8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Amounts due to related parties</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tax payables</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r>
      <w:tr>
        <w:trPr>
          <w:trHeight w:val="166"/>
        </w:trPr>
        <w:tc>
          <w:tcPr>
            <w:tcW w:w="8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bank borrowings</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35,392</w:t>
            </w:r>
          </w:p>
        </w:tc>
      </w:tr>
      <w:tr>
        <w:trPr>
          <w:trHeight w:val="17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Notes payable</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51,756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63,374</w:t>
            </w:r>
          </w:p>
        </w:tc>
      </w:tr>
      <w:tr>
        <w:trPr>
          <w:trHeight w:val="15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330,153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403,410</w:t>
            </w: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bank borrowings</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41,062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43,761</w:t>
            </w:r>
          </w:p>
        </w:tc>
      </w:tr>
      <w:tr>
        <w:trPr>
          <w:trHeight w:val="167"/>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Long-term bonds payable</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43,157</w:t>
            </w:r>
          </w:p>
        </w:tc>
      </w:tr>
      <w:tr>
        <w:trPr>
          <w:trHeight w:val="17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liability</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17,087</w:t>
            </w: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Convertible loan with shareholder measured at fair value</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24,861</w:t>
            </w:r>
          </w:p>
        </w:tc>
      </w:tr>
      <w:tr>
        <w:trPr>
          <w:trHeight w:val="158"/>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563,972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532,542</w:t>
            </w:r>
          </w:p>
        </w:tc>
      </w:tr>
      <w:tr>
        <w:trPr>
          <w:trHeight w:val="153"/>
        </w:trPr>
        <w:tc>
          <w:tcPr>
            <w:tcW w:w="82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r>
      <w:tr>
        <w:trPr>
          <w:trHeight w:val="16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387,895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564,190</w:t>
            </w:r>
          </w:p>
        </w:tc>
      </w:tr>
      <w:tr>
        <w:trPr>
          <w:trHeight w:val="16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951,867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1,096,732</w:t>
            </w:r>
          </w:p>
        </w:tc>
      </w:tr>
      <w:tr>
        <w:trPr>
          <w:trHeight w:val="599"/>
        </w:trPr>
        <w:tc>
          <w:tcPr>
            <w:tcW w:w="8240" w:type="dxa"/>
            <w:vAlign w:val="bottom"/>
          </w:tcPr>
          <w:p>
            <w:pPr>
              <w:ind w:left="5620"/>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MICROVAST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of U.S. dollars, except share and per share data, or as otherwise noted)</w:t>
      </w:r>
    </w:p>
    <w:p>
      <w:pPr>
        <w:spacing w:after="0" w:line="157"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Year Ended</w:t>
      </w: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4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3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379,801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306,617</w:t>
            </w:r>
          </w:p>
        </w:tc>
      </w:tr>
      <w:tr>
        <w:trPr>
          <w:trHeight w:val="16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35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(260,249)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(249,390)</w:t>
            </w:r>
          </w:p>
        </w:tc>
      </w:tr>
      <w:tr>
        <w:trPr>
          <w:trHeight w:val="1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35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119,552</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57,227</w:t>
            </w:r>
          </w:p>
        </w:tc>
      </w:tr>
      <w:tr>
        <w:trPr>
          <w:trHeight w:val="146"/>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7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3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(96,787)</w:t>
            </w:r>
          </w:p>
        </w:tc>
      </w:tr>
      <w:tr>
        <w:trPr>
          <w:trHeight w:val="166"/>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3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(45,004)</w:t>
            </w:r>
          </w:p>
        </w:tc>
      </w:tr>
      <w:tr>
        <w:trPr>
          <w:trHeight w:val="17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3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(23,614)</w:t>
            </w:r>
          </w:p>
        </w:tc>
      </w:tr>
      <w:tr>
        <w:trPr>
          <w:trHeight w:val="171"/>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Impairment loss of long-lived assets</w:t>
            </w:r>
          </w:p>
        </w:tc>
        <w:tc>
          <w:tcPr>
            <w:tcW w:w="35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(93,173)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w:t>
            </w:r>
          </w:p>
        </w:tc>
      </w:tr>
      <w:tr>
        <w:trPr>
          <w:trHeight w:val="15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35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(238,300)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(165,909)</w:t>
            </w:r>
          </w:p>
        </w:tc>
      </w:tr>
      <w:tr>
        <w:trPr>
          <w:trHeight w:val="155"/>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Subsidy income</w:t>
            </w:r>
          </w:p>
        </w:tc>
        <w:tc>
          <w:tcPr>
            <w:tcW w:w="35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1,953</w:t>
            </w:r>
          </w:p>
        </w:tc>
      </w:tr>
      <w:tr>
        <w:trPr>
          <w:trHeight w:val="1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(116,090)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(106,729)</w:t>
            </w:r>
          </w:p>
        </w:tc>
      </w:tr>
      <w:tr>
        <w:trPr>
          <w:trHeight w:val="166"/>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income and expenses:</w:t>
            </w:r>
          </w:p>
        </w:tc>
        <w:tc>
          <w:tcPr>
            <w:tcW w:w="3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3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3,609</w:t>
            </w:r>
          </w:p>
        </w:tc>
      </w:tr>
      <w:tr>
        <w:trPr>
          <w:trHeight w:val="166"/>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(2,628)</w:t>
            </w:r>
          </w:p>
        </w:tc>
      </w:tr>
      <w:tr>
        <w:trPr>
          <w:trHeight w:val="17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fair value of warrant liability and convertible loan</w:t>
            </w:r>
          </w:p>
        </w:tc>
        <w:tc>
          <w:tcPr>
            <w:tcW w:w="3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67"/>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Gain on debt restructuring</w:t>
            </w:r>
          </w:p>
        </w:tc>
        <w:tc>
          <w:tcPr>
            <w:tcW w:w="3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35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w:t>
            </w:r>
          </w:p>
        </w:tc>
      </w:tr>
      <w:tr>
        <w:trPr>
          <w:trHeight w:val="151"/>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before provision for income tax</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(195,457)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(106,402)</w:t>
            </w:r>
          </w:p>
        </w:tc>
      </w:tr>
      <w:tr>
        <w:trPr>
          <w:trHeight w:val="17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5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1"/>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5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(195,457)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(106,412)</w:t>
            </w:r>
          </w:p>
        </w:tc>
      </w:tr>
      <w:tr>
        <w:trPr>
          <w:trHeight w:val="16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loss attributable to noncontrolling interests</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158"/>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Microvast Holdings, Inc.'s shareholders</w:t>
            </w:r>
          </w:p>
        </w:tc>
        <w:tc>
          <w:tcPr>
            <w:tcW w:w="35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(195,457)</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(106,336)</w:t>
            </w:r>
          </w:p>
        </w:tc>
      </w:tr>
      <w:tr>
        <w:trPr>
          <w:trHeight w:val="151"/>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per common share</w:t>
            </w:r>
          </w:p>
        </w:tc>
        <w:tc>
          <w:tcPr>
            <w:tcW w:w="35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71"/>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3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(0.61)</w:t>
            </w:r>
          </w:p>
        </w:tc>
        <w:tc>
          <w:tcPr>
            <w:tcW w:w="100" w:type="dxa"/>
            <w:vAlign w:val="bottom"/>
          </w:tcPr>
          <w:p>
            <w:pPr>
              <w:spacing w:after="0"/>
              <w:rPr>
                <w:sz w:val="14"/>
                <w:szCs w:val="14"/>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r>
      <w:tr>
        <w:trPr>
          <w:trHeight w:val="17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used in calculating net loss per share of common stock:</w:t>
            </w:r>
          </w:p>
        </w:tc>
        <w:tc>
          <w:tcPr>
            <w:tcW w:w="3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3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318,462,843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310,909,379</w:t>
            </w:r>
          </w:p>
        </w:tc>
      </w:tr>
      <w:tr>
        <w:trPr>
          <w:trHeight w:val="612"/>
        </w:trPr>
        <w:tc>
          <w:tcPr>
            <w:tcW w:w="4740" w:type="dxa"/>
            <w:vAlign w:val="bottom"/>
          </w:tcPr>
          <w:p>
            <w:pPr>
              <w:spacing w:after="0"/>
              <w:rPr>
                <w:sz w:val="24"/>
                <w:szCs w:val="24"/>
                <w:color w:val="auto"/>
              </w:rPr>
            </w:pPr>
          </w:p>
        </w:tc>
        <w:tc>
          <w:tcPr>
            <w:tcW w:w="3500" w:type="dxa"/>
            <w:vAlign w:val="bottom"/>
          </w:tcPr>
          <w:p>
            <w:pPr>
              <w:jc w:val="right"/>
              <w:ind w:right="2500"/>
              <w:spacing w:after="0"/>
              <w:rPr>
                <w:sz w:val="20"/>
                <w:szCs w:val="20"/>
                <w:color w:val="auto"/>
              </w:rPr>
            </w:pPr>
            <w:r>
              <w:rPr>
                <w:rFonts w:ascii="Times New Roman" w:cs="Times New Roman" w:eastAsia="Times New Roman" w:hAnsi="Times New Roman"/>
                <w:sz w:val="12"/>
                <w:szCs w:val="12"/>
                <w:color w:val="auto"/>
              </w:rPr>
              <w:t>7</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MICROVAST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 thousands of U.S. dollars, except share and per share data, or as otherwise noted)</w:t>
      </w:r>
    </w:p>
    <w:p>
      <w:pPr>
        <w:spacing w:after="0" w:line="157"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ind w:left="940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2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3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113,387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104,575</w:t>
            </w:r>
          </w:p>
        </w:tc>
      </w:tr>
      <w:tr>
        <w:trPr>
          <w:trHeight w:val="171"/>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35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(71,867)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(81,551)</w:t>
            </w: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35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41,520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23,024</w:t>
            </w:r>
          </w:p>
        </w:tc>
      </w:tr>
      <w:tr>
        <w:trPr>
          <w:trHeight w:val="146"/>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3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3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(27,913)</w:t>
            </w:r>
          </w:p>
        </w:tc>
      </w:tr>
      <w:tr>
        <w:trPr>
          <w:trHeight w:val="17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(11,395)</w:t>
            </w:r>
          </w:p>
        </w:tc>
      </w:tr>
      <w:tr>
        <w:trPr>
          <w:trHeight w:val="17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3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(6,698)</w:t>
            </w:r>
          </w:p>
        </w:tc>
      </w:tr>
      <w:tr>
        <w:trPr>
          <w:trHeight w:val="153"/>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Impairment loss of long-lived assets</w:t>
            </w:r>
          </w:p>
        </w:tc>
        <w:tc>
          <w:tcPr>
            <w:tcW w:w="35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(5,134)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35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(43,244)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(46,037)</w:t>
            </w:r>
          </w:p>
        </w:tc>
      </w:tr>
      <w:tr>
        <w:trPr>
          <w:trHeight w:val="151"/>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Subsidy income</w:t>
            </w:r>
          </w:p>
        </w:tc>
        <w:tc>
          <w:tcPr>
            <w:tcW w:w="35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797</w:t>
            </w: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(1,417)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(22,216)</w:t>
            </w:r>
          </w:p>
        </w:tc>
      </w:tr>
      <w:tr>
        <w:trPr>
          <w:trHeight w:val="166"/>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income and expenses:</w:t>
            </w: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3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7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w:t>
            </w:r>
          </w:p>
        </w:tc>
      </w:tr>
      <w:tr>
        <w:trPr>
          <w:trHeight w:val="17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fair value of warrant liability and convertible loan</w:t>
            </w:r>
          </w:p>
        </w:tc>
        <w:tc>
          <w:tcPr>
            <w:tcW w:w="3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7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Gain on debt restructuring</w:t>
            </w: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35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(1,386)</w:t>
            </w: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before provision for income tax</w:t>
            </w:r>
          </w:p>
        </w:tc>
        <w:tc>
          <w:tcPr>
            <w:tcW w:w="3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(82,323)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(24,581)</w:t>
            </w:r>
          </w:p>
        </w:tc>
      </w:tr>
      <w:tr>
        <w:trPr>
          <w:trHeight w:val="15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5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(82,323)</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(24,591)</w:t>
            </w:r>
          </w:p>
        </w:tc>
      </w:tr>
      <w:tr>
        <w:trPr>
          <w:trHeight w:val="15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tc>
        <w:tc>
          <w:tcPr>
            <w:tcW w:w="3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2"/>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Microvast Holdings, Inc.'s shareholders</w:t>
            </w:r>
          </w:p>
        </w:tc>
        <w:tc>
          <w:tcPr>
            <w:tcW w:w="35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(82,323)</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(24,536)</w:t>
            </w:r>
          </w:p>
        </w:tc>
      </w:tr>
      <w:tr>
        <w:trPr>
          <w:trHeight w:val="133"/>
        </w:trPr>
        <w:tc>
          <w:tcPr>
            <w:tcW w:w="4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 per common share</w:t>
            </w:r>
          </w:p>
        </w:tc>
        <w:tc>
          <w:tcPr>
            <w:tcW w:w="3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3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15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used in calculating net loss per share of common stock</w:t>
            </w:r>
          </w:p>
        </w:tc>
        <w:tc>
          <w:tcPr>
            <w:tcW w:w="3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3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322,327,294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314,966,888</w:t>
            </w:r>
          </w:p>
        </w:tc>
      </w:tr>
      <w:tr>
        <w:trPr>
          <w:trHeight w:val="601"/>
        </w:trPr>
        <w:tc>
          <w:tcPr>
            <w:tcW w:w="4720" w:type="dxa"/>
            <w:vAlign w:val="bottom"/>
          </w:tcPr>
          <w:p>
            <w:pPr>
              <w:spacing w:after="0"/>
              <w:rPr>
                <w:sz w:val="24"/>
                <w:szCs w:val="24"/>
                <w:color w:val="auto"/>
              </w:rPr>
            </w:pPr>
          </w:p>
        </w:tc>
        <w:tc>
          <w:tcPr>
            <w:tcW w:w="3520" w:type="dxa"/>
            <w:vAlign w:val="bottom"/>
          </w:tcPr>
          <w:p>
            <w:pPr>
              <w:jc w:val="right"/>
              <w:ind w:right="2500"/>
              <w:spacing w:after="0"/>
              <w:rPr>
                <w:sz w:val="20"/>
                <w:szCs w:val="20"/>
                <w:color w:val="auto"/>
              </w:rPr>
            </w:pPr>
            <w:r>
              <w:rPr>
                <w:rFonts w:ascii="Times New Roman" w:cs="Times New Roman" w:eastAsia="Times New Roman" w:hAnsi="Times New Roman"/>
                <w:sz w:val="12"/>
                <w:szCs w:val="12"/>
                <w:color w:val="auto"/>
              </w:rPr>
              <w:t>8</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MICROVAST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of U.S. dollars, except share and per share data, or as otherwise noted)</w:t>
      </w:r>
    </w:p>
    <w:p>
      <w:pPr>
        <w:spacing w:after="0" w:line="13"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Year Ended</w:t>
      </w: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6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6"/>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3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4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(195,457)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(106,412)</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on disposal of property, plant and equipment</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1,947</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on debt restructuring</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of property, plant and equipment</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22,141</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Amortization of land use rights and intangible assets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787</w:t>
            </w: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Noncash lease expenses</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2,764</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64,971</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fair value of warrant liability and convertible loan</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Allowance of credit losses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Write-down for obsolete inventories</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3,613</w:t>
            </w: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Impairment loss from long-lived assets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93,173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Product warranty</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12,688</w:t>
            </w:r>
          </w:p>
        </w:tc>
      </w:tr>
      <w:tr>
        <w:trPr>
          <w:trHeight w:val="17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Notes receivable</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(25,338)</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(21,759)</w:t>
            </w: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(74,406)</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(14,291)</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Amounts due from/to related parties</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(5,446)</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non-current assets</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w:t>
            </w: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Notes payable</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(3,507)</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68,576</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Advance from customers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(10,949)</w:t>
            </w: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6,602</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2,266</w:t>
            </w:r>
          </w:p>
        </w:tc>
      </w:tr>
      <w:tr>
        <w:trPr>
          <w:trHeight w:val="166"/>
        </w:trPr>
        <w:tc>
          <w:tcPr>
            <w:tcW w:w="4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36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w:t>
            </w:r>
          </w:p>
        </w:tc>
      </w:tr>
      <w:tr>
        <w:trPr>
          <w:trHeight w:val="15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generated from (used in) operating activities</w:t>
            </w:r>
          </w:p>
        </w:tc>
        <w:tc>
          <w:tcPr>
            <w:tcW w:w="364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2,814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(75,303)</w:t>
            </w:r>
          </w:p>
        </w:tc>
      </w:tr>
      <w:tr>
        <w:trPr>
          <w:trHeight w:val="52"/>
        </w:trPr>
        <w:tc>
          <w:tcPr>
            <w:tcW w:w="46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7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3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Purchases of property, plant and equipment</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(186,788)</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on disposal of property, plant and equipment</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1,649</w:t>
            </w: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 of short-term investments</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(5,966)</w:t>
            </w: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maturity of short-term investments</w:t>
            </w:r>
          </w:p>
        </w:tc>
        <w:tc>
          <w:tcPr>
            <w:tcW w:w="36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25,500</w:t>
            </w:r>
          </w:p>
        </w:tc>
      </w:tr>
      <w:tr>
        <w:trPr>
          <w:trHeight w:val="208"/>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6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(12,152)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(165,605)</w:t>
            </w:r>
          </w:p>
        </w:tc>
      </w:tr>
      <w:tr>
        <w:trPr>
          <w:trHeight w:val="167"/>
        </w:trPr>
        <w:tc>
          <w:tcPr>
            <w:tcW w:w="4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364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bank borrowings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47,852</w:t>
            </w:r>
          </w:p>
        </w:tc>
      </w:tr>
      <w:tr>
        <w:trPr>
          <w:trHeight w:val="167"/>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 of bonds payable</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w:t>
            </w:r>
          </w:p>
        </w:tc>
      </w:tr>
      <w:tr>
        <w:trPr>
          <w:trHeight w:val="175"/>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Repayment of bank borrowings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(14,119)</w:t>
            </w: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Convertible loan borrowed from a shareholder</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 for debt issue costs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payment related to purchases of property, plant and equipment</w:t>
            </w:r>
          </w:p>
        </w:tc>
        <w:tc>
          <w:tcPr>
            <w:tcW w:w="3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generated from financing activities</w:t>
            </w:r>
          </w:p>
        </w:tc>
        <w:tc>
          <w:tcPr>
            <w:tcW w:w="364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37,589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33,041</w:t>
            </w:r>
          </w:p>
        </w:tc>
      </w:tr>
      <w:tr>
        <w:trPr>
          <w:trHeight w:val="155"/>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 changes</w:t>
            </w:r>
          </w:p>
        </w:tc>
        <w:tc>
          <w:tcPr>
            <w:tcW w:w="3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(6,561)</w:t>
            </w:r>
          </w:p>
        </w:tc>
      </w:tr>
      <w:tr>
        <w:trPr>
          <w:trHeight w:val="175"/>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(decrease) in cash, cash equivalents and restricted cash</w:t>
            </w:r>
          </w:p>
        </w:tc>
        <w:tc>
          <w:tcPr>
            <w:tcW w:w="36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21,412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(214,428)</w:t>
            </w:r>
          </w:p>
        </w:tc>
      </w:tr>
      <w:tr>
        <w:trPr>
          <w:trHeight w:val="16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the year</w:t>
            </w:r>
          </w:p>
        </w:tc>
        <w:tc>
          <w:tcPr>
            <w:tcW w:w="36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88,189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302,617</w:t>
            </w:r>
          </w:p>
        </w:tc>
      </w:tr>
      <w:tr>
        <w:trPr>
          <w:trHeight w:val="15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end of the year</w:t>
            </w:r>
          </w:p>
        </w:tc>
        <w:tc>
          <w:tcPr>
            <w:tcW w:w="4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109,601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88,189</w:t>
            </w:r>
          </w:p>
        </w:tc>
      </w:tr>
      <w:tr>
        <w:trPr>
          <w:trHeight w:val="484"/>
        </w:trPr>
        <w:tc>
          <w:tcPr>
            <w:tcW w:w="4600" w:type="dxa"/>
            <w:vAlign w:val="bottom"/>
          </w:tcPr>
          <w:p>
            <w:pPr>
              <w:spacing w:after="0"/>
              <w:rPr>
                <w:sz w:val="24"/>
                <w:szCs w:val="24"/>
                <w:color w:val="auto"/>
              </w:rPr>
            </w:pPr>
          </w:p>
        </w:tc>
        <w:tc>
          <w:tcPr>
            <w:tcW w:w="3640" w:type="dxa"/>
            <w:vAlign w:val="bottom"/>
          </w:tcPr>
          <w:p>
            <w:pPr>
              <w:jc w:val="right"/>
              <w:ind w:right="2500"/>
              <w:spacing w:after="0"/>
              <w:rPr>
                <w:sz w:val="20"/>
                <w:szCs w:val="20"/>
                <w:color w:val="auto"/>
              </w:rPr>
            </w:pPr>
            <w:r>
              <w:rPr>
                <w:rFonts w:ascii="Times New Roman" w:cs="Times New Roman" w:eastAsia="Times New Roman" w:hAnsi="Times New Roman"/>
                <w:sz w:val="12"/>
                <w:szCs w:val="12"/>
                <w:color w:val="auto"/>
              </w:rPr>
              <w:t>9</w:t>
            </w: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MICROVAST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 - continued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of U.S. dollars, except share and per share data, or as otherwise noted)</w:t>
      </w:r>
    </w:p>
    <w:p>
      <w:pPr>
        <w:spacing w:after="0" w:line="13"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Year Ended</w:t>
      </w: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Reconciliation to amounts on consolidated balance sheets</w:t>
            </w:r>
          </w:p>
        </w:tc>
        <w:tc>
          <w:tcPr>
            <w:tcW w:w="40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02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73,007</w:t>
            </w:r>
          </w:p>
        </w:tc>
        <w:tc>
          <w:tcPr>
            <w:tcW w:w="100" w:type="dxa"/>
            <w:vAlign w:val="bottom"/>
          </w:tcPr>
          <w:p>
            <w:pPr>
              <w:spacing w:after="0"/>
              <w:rPr>
                <w:sz w:val="14"/>
                <w:szCs w:val="1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44,541</w:t>
            </w: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40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36,594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43,648</w:t>
            </w:r>
          </w:p>
        </w:tc>
        <w:tc>
          <w:tcPr>
            <w:tcW w:w="0" w:type="dxa"/>
            <w:vAlign w:val="bottom"/>
          </w:tcPr>
          <w:p>
            <w:pPr>
              <w:spacing w:after="0"/>
              <w:rPr>
                <w:sz w:val="1"/>
                <w:szCs w:val="1"/>
                <w:color w:val="auto"/>
              </w:rPr>
            </w:pPr>
          </w:p>
        </w:tc>
      </w:tr>
      <w:tr>
        <w:trPr>
          <w:trHeight w:val="142"/>
        </w:trPr>
        <w:tc>
          <w:tcPr>
            <w:tcW w:w="41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 cash, cash equivalents and restricted cash</w:t>
            </w:r>
          </w:p>
        </w:tc>
        <w:tc>
          <w:tcPr>
            <w:tcW w:w="406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109,601</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88,189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60" w:type="dxa"/>
            <w:vAlign w:val="bottom"/>
            <w:vMerge w:val="restart"/>
          </w:tcPr>
          <w:p>
            <w:pPr>
              <w:jc w:val="right"/>
              <w:ind w:right="2480"/>
              <w:spacing w:after="0"/>
              <w:rPr>
                <w:sz w:val="20"/>
                <w:szCs w:val="20"/>
                <w:color w:val="auto"/>
              </w:rPr>
            </w:pPr>
            <w:r>
              <w:rPr>
                <w:rFonts w:ascii="Times New Roman" w:cs="Times New Roman" w:eastAsia="Times New Roman" w:hAnsi="Times New Roman"/>
                <w:sz w:val="12"/>
                <w:szCs w:val="12"/>
                <w:color w:val="auto"/>
              </w:rPr>
              <w:t>10</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41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5" w:right="2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MICROVAST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OF GROSS PROFIT (LOSS) TO ADJUSTED GROSS PROFIT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of U.S. dollars, except share and per share data, or as otherwise noted)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60" w:type="dxa"/>
            <w:vAlign w:val="bottom"/>
            <w:gridSpan w:val="3"/>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Twelve Months Ended</w:t>
            </w:r>
          </w:p>
        </w:tc>
        <w:tc>
          <w:tcPr>
            <w:tcW w:w="960" w:type="dxa"/>
            <w:vAlign w:val="bottom"/>
          </w:tcPr>
          <w:p>
            <w:pPr>
              <w:spacing w:after="0"/>
              <w:rPr>
                <w:sz w:val="12"/>
                <w:szCs w:val="12"/>
                <w:color w:val="auto"/>
              </w:rPr>
            </w:pPr>
          </w:p>
        </w:tc>
      </w:tr>
      <w:tr>
        <w:trPr>
          <w:trHeight w:val="160"/>
        </w:trPr>
        <w:tc>
          <w:tcPr>
            <w:tcW w:w="49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44"/>
        </w:trPr>
        <w:tc>
          <w:tcPr>
            <w:tcW w:w="49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94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113,387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104,575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379,801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306,617</w:t>
            </w:r>
          </w:p>
        </w:tc>
      </w:tr>
      <w:tr>
        <w:trPr>
          <w:trHeight w:val="171"/>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(71,867)</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(81,551)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(260,249)</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(249,390)</w:t>
            </w:r>
          </w:p>
        </w:tc>
      </w:tr>
      <w:tr>
        <w:trPr>
          <w:trHeight w:val="162"/>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 (GAAP)</w:t>
            </w:r>
          </w:p>
        </w:tc>
        <w:tc>
          <w:tcPr>
            <w:tcW w:w="94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41,520</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23,024</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119,552</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57,227</w:t>
            </w:r>
          </w:p>
        </w:tc>
      </w:tr>
      <w:tr>
        <w:trPr>
          <w:trHeight w:val="149"/>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9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36.6 %</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31.5 %</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18.7 %</w:t>
            </w:r>
          </w:p>
        </w:tc>
      </w:tr>
      <w:tr>
        <w:trPr>
          <w:trHeight w:val="171"/>
        </w:trPr>
        <w:tc>
          <w:tcPr>
            <w:tcW w:w="49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3"/>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Non-cash settled share-based compensation (included in cost of revenues)</w:t>
            </w:r>
          </w:p>
        </w:tc>
        <w:tc>
          <w:tcPr>
            <w:tcW w:w="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1,532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3,479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6,091</w:t>
            </w:r>
          </w:p>
        </w:tc>
      </w:tr>
      <w:tr>
        <w:trPr>
          <w:trHeight w:val="162"/>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 (non-GAAP)</w:t>
            </w:r>
          </w:p>
        </w:tc>
        <w:tc>
          <w:tcPr>
            <w:tcW w:w="94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41,609</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24,556</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123,031</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63,318</w:t>
            </w:r>
          </w:p>
        </w:tc>
      </w:tr>
      <w:tr>
        <w:trPr>
          <w:trHeight w:val="151"/>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Adjusted gross margin (non-GAAP)</w:t>
            </w:r>
          </w:p>
        </w:tc>
        <w:tc>
          <w:tcPr>
            <w:tcW w:w="9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36.7 %</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23.5 %</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32.4 %</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20.7 %</w:t>
            </w:r>
          </w:p>
        </w:tc>
      </w:tr>
      <w:tr>
        <w:trPr>
          <w:trHeight w:val="601"/>
        </w:trPr>
        <w:tc>
          <w:tcPr>
            <w:tcW w:w="4900" w:type="dxa"/>
            <w:vAlign w:val="bottom"/>
          </w:tcPr>
          <w:p>
            <w:pPr>
              <w:spacing w:after="0"/>
              <w:rPr>
                <w:sz w:val="24"/>
                <w:szCs w:val="24"/>
                <w:color w:val="auto"/>
              </w:rPr>
            </w:pPr>
          </w:p>
        </w:tc>
        <w:tc>
          <w:tcPr>
            <w:tcW w:w="94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11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MICROVAST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NET LOSS TO ADJUSTED NET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of U.S. dollars, except share and per share data, or as otherwise noted)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Twelve Months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loss (GAAP)</w:t>
            </w:r>
          </w:p>
        </w:tc>
        <w:tc>
          <w:tcPr>
            <w:tcW w:w="9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(82,323)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(24,591)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(195,457)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(106,412)</w:t>
            </w:r>
          </w:p>
        </w:tc>
        <w:tc>
          <w:tcPr>
            <w:tcW w:w="0" w:type="dxa"/>
            <w:vAlign w:val="bottom"/>
          </w:tcPr>
          <w:p>
            <w:pPr>
              <w:spacing w:after="0"/>
              <w:rPr>
                <w:sz w:val="1"/>
                <w:szCs w:val="1"/>
                <w:color w:val="auto"/>
              </w:rPr>
            </w:pPr>
          </w:p>
        </w:tc>
      </w:tr>
      <w:tr>
        <w:trPr>
          <w:trHeight w:val="171"/>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Changes in fair value of warrant and convertible loan*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5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Non-cash settled share-based compensation*</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13,318</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30,849</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64,920</w:t>
            </w:r>
          </w:p>
        </w:tc>
        <w:tc>
          <w:tcPr>
            <w:tcW w:w="0" w:type="dxa"/>
            <w:vAlign w:val="bottom"/>
          </w:tcPr>
          <w:p>
            <w:pPr>
              <w:spacing w:after="0"/>
              <w:rPr>
                <w:sz w:val="1"/>
                <w:szCs w:val="1"/>
                <w:color w:val="auto"/>
              </w:rPr>
            </w:pPr>
          </w:p>
        </w:tc>
      </w:tr>
      <w:tr>
        <w:trPr>
          <w:trHeight w:val="14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Net Loss (non-GAAP)</w:t>
            </w:r>
          </w:p>
        </w:tc>
        <w:tc>
          <w:tcPr>
            <w:tcW w:w="9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(11,357)</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(84,648)</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(41,551)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*The tax effect of the adjustments was nil.</w:t>
            </w: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Twelve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per common share-Basic and diluted (GAAP)</w:t>
            </w: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b w:val="1"/>
                <w:bCs w:val="1"/>
                <w:color w:val="auto"/>
                <w:w w:val="96"/>
              </w:rPr>
              <w:t>(0.26)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b w:val="1"/>
                <w:bCs w:val="1"/>
                <w:color w:val="auto"/>
              </w:rPr>
              <w:t>(0.61)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(0.34)</w:t>
            </w:r>
          </w:p>
        </w:tc>
        <w:tc>
          <w:tcPr>
            <w:tcW w:w="0" w:type="dxa"/>
            <w:vAlign w:val="bottom"/>
          </w:tcPr>
          <w:p>
            <w:pPr>
              <w:spacing w:after="0"/>
              <w:rPr>
                <w:sz w:val="1"/>
                <w:szCs w:val="1"/>
                <w:color w:val="auto"/>
              </w:rPr>
            </w:pPr>
          </w:p>
        </w:tc>
      </w:tr>
      <w:tr>
        <w:trPr>
          <w:trHeight w:val="153"/>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Changes in fair value of warrant and convertible loan per common share</w:t>
            </w: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settled share-based compensation per common share</w:t>
            </w:r>
          </w:p>
        </w:tc>
        <w:tc>
          <w:tcPr>
            <w:tcW w:w="9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net loss per common share-Basic and diluted (non-GAAP)</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8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w w:val="96"/>
              </w:rPr>
              <w:t>(0.01)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(0.04)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2"/>
                <w:szCs w:val="12"/>
                <w:b w:val="1"/>
                <w:bCs w:val="1"/>
                <w:color w:val="auto"/>
              </w:rPr>
              <w:t>(0.27)</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(0.13)</w:t>
            </w:r>
          </w:p>
        </w:tc>
        <w:tc>
          <w:tcPr>
            <w:tcW w:w="0" w:type="dxa"/>
            <w:vAlign w:val="bottom"/>
          </w:tcPr>
          <w:p>
            <w:pPr>
              <w:spacing w:after="0"/>
              <w:rPr>
                <w:sz w:val="1"/>
                <w:szCs w:val="1"/>
                <w:color w:val="auto"/>
              </w:rPr>
            </w:pPr>
          </w:p>
        </w:tc>
      </w:tr>
      <w:tr>
        <w:trPr>
          <w:trHeight w:val="588"/>
        </w:trPr>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2"/>
                <w:szCs w:val="12"/>
                <w:color w:val="auto"/>
              </w:rPr>
              <w:t>12</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65" w:right="31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loss (GAAP)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EBITDA (non-GAAP)</w:t>
      </w:r>
    </w:p>
    <w:p>
      <w:pPr>
        <w:spacing w:after="0" w:line="28"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2"/>
          <w:szCs w:val="12"/>
          <w:color w:val="auto"/>
        </w:rPr>
        <w:t>Changes in fair value of warrant and convertible loan Non-cash settled share-based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EBITDA (non-GAAP)</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Times New Roman" w:cs="Times New Roman" w:eastAsia="Times New Roman" w:hAnsi="Times New Roman"/>
          <w:sz w:val="12"/>
          <w:szCs w:val="12"/>
          <w:b w:val="1"/>
          <w:bCs w:val="1"/>
          <w:color w:val="auto"/>
        </w:rPr>
        <w:t>MICROVAST HOLDINGS, INC.</w:t>
      </w:r>
    </w:p>
    <w:p>
      <w:pPr>
        <w:spacing w:after="0" w:line="21"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2"/>
          <w:szCs w:val="12"/>
          <w:b w:val="1"/>
          <w:bCs w:val="1"/>
          <w:color w:val="auto"/>
        </w:rPr>
        <w:t>RECONCILIATION OF NET LOSS TO EBITDA AND ADJUSTED EBITDA</w:t>
      </w:r>
    </w:p>
    <w:p>
      <w:pPr>
        <w:spacing w:after="0" w:line="6"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1"/>
          <w:szCs w:val="11"/>
          <w:b w:val="1"/>
          <w:bCs w:val="1"/>
          <w:color w:val="auto"/>
        </w:rPr>
        <w:t>(In thousands of U.S. dollars, except share and per share data, or as otherwise noted)</w:t>
      </w:r>
    </w:p>
    <w:p>
      <w:pPr>
        <w:spacing w:after="0" w:line="177" w:lineRule="exact"/>
        <w:rPr>
          <w:sz w:val="20"/>
          <w:szCs w:val="20"/>
          <w:color w:val="auto"/>
        </w:rPr>
      </w:pPr>
    </w:p>
    <w:tbl>
      <w:tblPr>
        <w:tblLayout w:type="fixed"/>
        <w:tblInd w:w="160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Twelve Months Ended</w:t>
            </w:r>
          </w:p>
        </w:tc>
        <w:tc>
          <w:tcPr>
            <w:tcW w:w="900" w:type="dxa"/>
            <w:vAlign w:val="bottom"/>
          </w:tcPr>
          <w:p>
            <w:pPr>
              <w:spacing w:after="0"/>
              <w:rPr>
                <w:sz w:val="12"/>
                <w:szCs w:val="12"/>
                <w:color w:val="auto"/>
              </w:rPr>
            </w:pPr>
          </w:p>
        </w:tc>
      </w:tr>
      <w:tr>
        <w:trPr>
          <w:trHeight w:val="160"/>
        </w:trPr>
        <w:tc>
          <w:tcPr>
            <w:tcW w:w="3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44"/>
        </w:trPr>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0"/>
        </w:trPr>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(82,323)</w:t>
            </w:r>
          </w:p>
        </w:tc>
        <w:tc>
          <w:tcPr>
            <w:tcW w:w="80" w:type="dxa"/>
            <w:vAlign w:val="bottom"/>
          </w:tcPr>
          <w:p>
            <w:pPr>
              <w:spacing w:after="0"/>
              <w:rPr>
                <w:sz w:val="12"/>
                <w:szCs w:val="12"/>
                <w:color w:val="auto"/>
              </w:rPr>
            </w:pPr>
          </w:p>
        </w:tc>
        <w:tc>
          <w:tcPr>
            <w:tcW w:w="5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(24,591)</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(195,457)</w:t>
            </w:r>
          </w:p>
        </w:tc>
        <w:tc>
          <w:tcPr>
            <w:tcW w:w="80" w:type="dxa"/>
            <w:vAlign w:val="bottom"/>
          </w:tcPr>
          <w:p>
            <w:pPr>
              <w:spacing w:after="0"/>
              <w:rPr>
                <w:sz w:val="12"/>
                <w:szCs w:val="12"/>
                <w:color w:val="auto"/>
              </w:rPr>
            </w:pP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(106,412)</w:t>
            </w:r>
          </w:p>
        </w:tc>
      </w:tr>
      <w:tr>
        <w:trPr>
          <w:trHeight w:val="153"/>
        </w:trPr>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w:t>
            </w:r>
          </w:p>
        </w:tc>
      </w:tr>
      <w:tr>
        <w:trPr>
          <w:trHeight w:val="153"/>
        </w:trPr>
        <w:tc>
          <w:tcPr>
            <w:tcW w:w="30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5"/>
        </w:trPr>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7,809</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7,692</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30,832</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22,928</w:t>
            </w:r>
          </w:p>
        </w:tc>
      </w:tr>
      <w:tr>
        <w:trPr>
          <w:trHeight w:val="148"/>
        </w:trPr>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(73,110)</w:t>
            </w:r>
          </w:p>
        </w:tc>
        <w:tc>
          <w:tcPr>
            <w:tcW w:w="80" w:type="dxa"/>
            <w:vAlign w:val="bottom"/>
          </w:tcPr>
          <w:p>
            <w:pPr>
              <w:spacing w:after="0"/>
              <w:rPr>
                <w:sz w:val="12"/>
                <w:szCs w:val="12"/>
                <w:color w:val="auto"/>
              </w:rPr>
            </w:pPr>
          </w:p>
        </w:tc>
        <w:tc>
          <w:tcPr>
            <w:tcW w:w="5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(15,826)</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(155,656)</w:t>
            </w:r>
          </w:p>
        </w:tc>
        <w:tc>
          <w:tcPr>
            <w:tcW w:w="80" w:type="dxa"/>
            <w:vAlign w:val="bottom"/>
          </w:tcPr>
          <w:p>
            <w:pPr>
              <w:spacing w:after="0"/>
              <w:rPr>
                <w:sz w:val="12"/>
                <w:szCs w:val="12"/>
                <w:color w:val="auto"/>
              </w:rPr>
            </w:pP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(84,455)</w:t>
            </w:r>
          </w:p>
        </w:tc>
      </w:tr>
      <w:tr>
        <w:trPr>
          <w:trHeight w:val="163"/>
        </w:trPr>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55"/>
        </w:trPr>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13,318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30,849</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64,920</w:t>
            </w:r>
          </w:p>
        </w:tc>
      </w:tr>
      <w:tr>
        <w:trPr>
          <w:trHeight w:val="142"/>
        </w:trPr>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8,641</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(2,592)</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(44,847)</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(19,594)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79"/>
        </w:trPr>
        <w:tc>
          <w:tcPr>
            <w:tcW w:w="300" w:type="dxa"/>
            <w:vAlign w:val="bottom"/>
          </w:tcPr>
          <w:p>
            <w:pPr>
              <w:spacing w:after="0"/>
              <w:rPr>
                <w:sz w:val="24"/>
                <w:szCs w:val="24"/>
                <w:color w:val="auto"/>
              </w:rPr>
            </w:pPr>
          </w:p>
        </w:tc>
        <w:tc>
          <w:tcPr>
            <w:tcW w:w="120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-1210945</wp:posOffset>
            </wp:positionV>
            <wp:extent cx="714375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10287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-1010920</wp:posOffset>
            </wp:positionV>
            <wp:extent cx="7143750"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971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-816610</wp:posOffset>
            </wp:positionV>
            <wp:extent cx="714375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0287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-605155</wp:posOffset>
            </wp:positionV>
            <wp:extent cx="714375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97155"/>
                    </a:xfrm>
                    <a:prstGeom prst="rect">
                      <a:avLst/>
                    </a:prstGeom>
                    <a:noFill/>
                  </pic:spPr>
                </pic:pic>
              </a:graphicData>
            </a:graphic>
          </wp:anchor>
        </w:drawing>
      </w:r>
    </w:p>
    <w:p>
      <w:pPr>
        <w:sectPr>
          <w:pgSz w:w="11900" w:h="16838" w:orient="portrait"/>
          <w:cols w:equalWidth="0" w:num="2">
            <w:col w:w="2720" w:space="720"/>
            <w:col w:w="7780"/>
          </w:cols>
          <w:pgMar w:left="340" w:top="665" w:right="33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2025-03-31T17:17:13Z</dcterms:created>
  <dcterms:modified xsi:type="dcterms:W3CDTF">2025-03-31T17:17:13Z</dcterms:modified>
</cp:coreProperties>
</file>