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883285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0" w:lineRule="exact"/>
        <w:rPr>
          <w:sz w:val="24"/>
          <w:szCs w:val="24"/>
          <w:color w:val="auto"/>
        </w:rPr>
      </w:pPr>
    </w:p>
    <w:p>
      <w:pPr>
        <w:spacing w:after="0" w:line="241" w:lineRule="exact"/>
        <w:rPr>
          <w:sz w:val="24"/>
          <w:szCs w:val="24"/>
          <w:color w:val="auto"/>
        </w:rPr>
      </w:pPr>
    </w:p>
    <w:p>
      <w:pPr>
        <w:ind w:left="940"/>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85"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from_______to_______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001-38826</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2"/>
                <w:szCs w:val="22"/>
                <w:color w:val="auto"/>
              </w:rPr>
            </w:pPr>
          </w:p>
        </w:tc>
        <w:tc>
          <w:tcPr>
            <w:tcW w:w="558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83-2530757</w:t>
            </w:r>
          </w:p>
        </w:tc>
        <w:tc>
          <w:tcPr>
            <w:tcW w:w="0" w:type="dxa"/>
            <w:vAlign w:val="bottom"/>
          </w:tcPr>
          <w:p>
            <w:pPr>
              <w:spacing w:after="0"/>
              <w:rPr>
                <w:sz w:val="1"/>
                <w:szCs w:val="1"/>
                <w:color w:val="auto"/>
              </w:rPr>
            </w:pPr>
          </w:p>
        </w:tc>
      </w:tr>
      <w:tr>
        <w:trPr>
          <w:trHeight w:val="243"/>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86"/>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12603 Southwest Freeway, Suite 300</w:t>
            </w:r>
          </w:p>
        </w:tc>
        <w:tc>
          <w:tcPr>
            <w:tcW w:w="558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77477</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Stafford, Texas</w:t>
            </w:r>
          </w:p>
        </w:tc>
        <w:tc>
          <w:tcPr>
            <w:tcW w:w="100" w:type="dxa"/>
            <w:vAlign w:val="bottom"/>
          </w:tcPr>
          <w:p>
            <w:pPr>
              <w:spacing w:after="0"/>
              <w:rPr>
                <w:sz w:val="21"/>
                <w:szCs w:val="21"/>
                <w:color w:val="auto"/>
              </w:rPr>
            </w:pPr>
          </w:p>
        </w:tc>
        <w:tc>
          <w:tcPr>
            <w:tcW w:w="5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491-9505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86"/>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Borders>
              <w:bottom w:val="single" w:sz="8" w:color="CCEEFF"/>
            </w:tcBorders>
          </w:tcPr>
          <w:p>
            <w:pPr>
              <w:spacing w:after="0"/>
              <w:rPr>
                <w:sz w:val="24"/>
                <w:szCs w:val="24"/>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Borders>
              <w:bottom w:val="single" w:sz="8" w:color="CCEEFF"/>
            </w:tcBorders>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50"/>
        </w:trPr>
        <w:tc>
          <w:tcPr>
            <w:tcW w:w="4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MVST</w:t>
            </w: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1"/>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Redeemable warrants, exercisable for shares of common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MVSTW</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 at an exercise price of $11.50 per share</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pacing w:after="0" w:line="26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1080"/>
              <w:spacing w:after="0"/>
              <w:rPr>
                <w:sz w:val="20"/>
                <w:szCs w:val="20"/>
                <w:color w:val="auto"/>
              </w:rPr>
            </w:pPr>
            <w:r>
              <w:rPr>
                <w:rFonts w:ascii="Wingdings" w:cs="Wingdings" w:eastAsia="Wingdings" w:hAnsi="Wingdings"/>
                <w:sz w:val="18"/>
                <w:szCs w:val="18"/>
                <w:b w:val="1"/>
                <w:bCs w:val="1"/>
                <w:color w:val="auto"/>
              </w:rPr>
              <w:t>o</w:t>
            </w:r>
          </w:p>
        </w:tc>
        <w:tc>
          <w:tcPr>
            <w:tcW w:w="3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Accelerated filer</w:t>
            </w:r>
          </w:p>
        </w:tc>
        <w:tc>
          <w:tcPr>
            <w:tcW w:w="1280" w:type="dxa"/>
            <w:vAlign w:val="bottom"/>
          </w:tcPr>
          <w:p>
            <w:pPr>
              <w:ind w:left="110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1080"/>
              <w:spacing w:after="0"/>
              <w:rPr>
                <w:sz w:val="20"/>
                <w:szCs w:val="20"/>
                <w:color w:val="auto"/>
              </w:rPr>
            </w:pPr>
            <w:r>
              <w:rPr>
                <w:rFonts w:ascii="Wingdings" w:cs="Wingdings" w:eastAsia="Wingdings" w:hAnsi="Wingdings"/>
                <w:sz w:val="18"/>
                <w:szCs w:val="18"/>
                <w:b w:val="1"/>
                <w:bCs w:val="1"/>
                <w:color w:val="auto"/>
              </w:rPr>
              <w:t>o</w:t>
            </w:r>
          </w:p>
        </w:tc>
        <w:tc>
          <w:tcPr>
            <w:tcW w:w="3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80" w:type="dxa"/>
            <w:vAlign w:val="bottom"/>
          </w:tcPr>
          <w:p>
            <w:pPr>
              <w:ind w:left="110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080"/>
              <w:spacing w:after="0"/>
              <w:rPr>
                <w:sz w:val="20"/>
                <w:szCs w:val="20"/>
                <w:color w:val="auto"/>
              </w:rPr>
            </w:pPr>
            <w:r>
              <w:rPr>
                <w:rFonts w:ascii="Wingdings" w:cs="Wingdings" w:eastAsia="Wingdings" w:hAnsi="Wingdings"/>
                <w:sz w:val="18"/>
                <w:szCs w:val="18"/>
                <w:b w:val="1"/>
                <w:bCs w:val="1"/>
                <w:color w:val="auto"/>
              </w:rPr>
              <w:t>o</w:t>
            </w:r>
          </w:p>
        </w:tc>
        <w:tc>
          <w:tcPr>
            <w:tcW w:w="372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2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7, 2025</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there were 328,182,834 shares of the Company’s common stock, par value $0.0001,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5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599440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29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20" w:type="dxa"/>
            <w:vAlign w:val="bottom"/>
            <w:shd w:val="clear" w:color="auto" w:fill="CCEEFF"/>
          </w:tcPr>
          <w:p>
            <w:pPr>
              <w:spacing w:after="0"/>
              <w:rPr>
                <w:sz w:val="20"/>
                <w:szCs w:val="20"/>
                <w:color w:val="auto"/>
              </w:rPr>
            </w:pPr>
          </w:p>
        </w:tc>
        <w:tc>
          <w:tcPr>
            <w:tcW w:w="10320" w:type="dxa"/>
            <w:vAlign w:val="bottom"/>
            <w:gridSpan w:val="21"/>
            <w:shd w:val="clear" w:color="auto" w:fill="CCEEFF"/>
          </w:tcPr>
          <w:p>
            <w:pPr>
              <w:spacing w:after="0" w:line="163" w:lineRule="exact"/>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Loss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10320" w:type="dxa"/>
            <w:vAlign w:val="bottom"/>
            <w:gridSpan w:val="21"/>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 from Registered Securities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20"/>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This report (“Report”) contains “forward-looking statements” within the meaning of the Private Securities Litigation Reform Act of 1995. Such statements include, but are not limited to, statements about our future results of operations and financial position, our operational performance, our anticipated growth and business strategy, our future capital expenditures and debt service obligations, the projected costs, prospects and plans and objectives of management for future operations, including regarding expected growth and demand for our batteries and energy storage, solutions and introduction of new batteries and energy storage solutions, the adoption of such offerings by customers, our expectations relating to backlog, pipeline and contracted backlog, our ability to implement our remediation plan in connection with the material weakness in our internal control over financial reporting, current expectations relating to legal proceedings, and anticipated impacts and benefits from the Inflation Reduction Act of 2022, as well as any other proposed or recently enacted legislation. In some cases, you may also identify forward-looking statements by words such as “anticipate,” “believe,” “continue,” “could,” “estimate,” “expect,” “intend,” “may,” “might,” “objective,” “plan,” “project,” “predict,” “outlook” “should,” “will,” “would,” or the negative of these terms, or other comparable terminology intended to identify statements about the future.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Report, the following factors, among others, could cause actual results and the timing of events to differ materially from the anticipated results or other expectations expressed in the forward-looking statements:</w:t>
      </w:r>
    </w:p>
    <w:p>
      <w:pPr>
        <w:spacing w:after="0" w:line="162"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 going concern;</w:t>
      </w:r>
    </w:p>
    <w:p>
      <w:pPr>
        <w:spacing w:after="0" w:line="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 that we may not be able to execute our growth strategies or achieve profitability;</w:t>
      </w:r>
    </w:p>
    <w:p>
      <w:pPr>
        <w:spacing w:after="0" w:line="22"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 that we may be unable to meet our future capital requirements and we may require additional capital to support our business growth, and this capital might not be available on acceptable terms, or at all;</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potential difficulties in maintaining manufacturing capacity and establishing expected mass manufacturing capacity in the future;</w:t>
      </w:r>
    </w:p>
    <w:p>
      <w:pPr>
        <w:spacing w:after="0" w:line="17"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delays, disruptions and quality control problems in our manufacturing operations;</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restrictions in our existing and any future credit facilities;</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risks of operations in China;</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mechanics liens filed by contractors that we do not have sufficient funds to pay;</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existing and future litigation;</w:t>
      </w:r>
    </w:p>
    <w:p>
      <w:pPr>
        <w:spacing w:after="0" w:line="22" w:lineRule="exact"/>
        <w:rPr>
          <w:rFonts w:ascii="Arial" w:cs="Arial" w:eastAsia="Arial" w:hAnsi="Arial"/>
          <w:sz w:val="22"/>
          <w:szCs w:val="22"/>
          <w:color w:val="auto"/>
        </w:rPr>
      </w:pPr>
    </w:p>
    <w:p>
      <w:pPr>
        <w:ind w:left="980" w:hanging="324"/>
        <w:spacing w:after="0" w:line="242" w:lineRule="auto"/>
        <w:tabs>
          <w:tab w:leader="none" w:pos="97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general economic conditions, including increases in interest rates and associated Federal Reserve policies, a potential economic recession, and the impact of inflation on our business;</w:t>
      </w:r>
    </w:p>
    <w:p>
      <w:pPr>
        <w:spacing w:after="0" w:line="22"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highly competitive market in which we compete, including with respect to our competitive landscape, technology evolution or regulatory changes;</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availability and price of raw materials;</w:t>
      </w:r>
    </w:p>
    <w:p>
      <w:pPr>
        <w:spacing w:after="0" w:line="13"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labor relations, including the ability to attract, hire and retain key employees and contract personnel;</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heightened awareness of environmental issues and concern about global warming and climate change;</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 that we are unable to secure or protect our intellectual property;</w:t>
      </w:r>
    </w:p>
    <w:p>
      <w:pPr>
        <w:spacing w:after="0" w:line="17"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 that our customers or third-party suppliers are unable to meet their obligations fully or in a timely manner;</w:t>
      </w:r>
    </w:p>
    <w:p>
      <w:pPr>
        <w:spacing w:after="0" w:line="13"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possible future reductions in pricing or order volume or loss of one or more of our significant customers;</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our status as a relatively low-volume purchaser as well as from supplier concentration and limited supplier capacity;</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 that our customers will adjust, cancel or suspend their orders for our products;</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our ability to attract new customers and retain existing customers;</w:t>
      </w:r>
    </w:p>
    <w:p>
      <w:pPr>
        <w:spacing w:after="0" w:line="17"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our lengthy sales cycle for our products;</w:t>
      </w:r>
    </w:p>
    <w:p>
      <w:pPr>
        <w:spacing w:after="0" w:line="13"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 of product liability or regulatory lawsuits or proceedings relating to our products or services;</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and enhance our reputation and brand recognition;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right="20" w:hanging="324"/>
        <w:spacing w:after="0" w:line="234" w:lineRule="auto"/>
        <w:tabs>
          <w:tab w:leader="none" w:pos="97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information technology and operational technology systems and practices to detect and defend against evolving cyberattacks;</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changing laws regarding cybersecurity and data privacy, and any cybersecurity threat or event;</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and associated cost of compliance with existing and future laws and governmental regulations, such as the IRA;</w:t>
      </w:r>
    </w:p>
    <w:p>
      <w:pPr>
        <w:spacing w:after="0" w:line="35"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whether renewable energy technologies are suitable for widespread adoption or if sufficient demand for our offerings does not develop or takes longer to develop than we anticipate;</w:t>
      </w:r>
    </w:p>
    <w:p>
      <w:pPr>
        <w:spacing w:after="0" w:line="1" w:lineRule="exact"/>
        <w:rPr>
          <w:rFonts w:ascii="Arial" w:cs="Arial" w:eastAsia="Arial" w:hAnsi="Arial"/>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financial and other impacts such as a pandemic, including global supply chain disruptions;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events, including the ongoing conflicts between Russia and Ukraine and in the Middle East;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imposed on products of the PRC into the United States may lead to increased costs and impact our business.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see the risk factors included in our Annual Report on Form 10-K for the year ended December 31, 2024 in Part I, Item 1A.</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the “Company,” “we,” “us” or “our” refer to Microvast Holdings, Inc. and its consolidated subsidiaries other than certain historical information which refers to the business of Microvast prior to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7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90,748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73,007</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current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36,572</w:t>
            </w:r>
          </w:p>
        </w:tc>
        <w:tc>
          <w:tcPr>
            <w:tcW w:w="0" w:type="dxa"/>
            <w:vAlign w:val="bottom"/>
          </w:tcPr>
          <w:p>
            <w:pPr>
              <w:spacing w:after="0"/>
              <w:rPr>
                <w:sz w:val="1"/>
                <w:szCs w:val="1"/>
                <w:color w:val="auto"/>
              </w:rPr>
            </w:pPr>
          </w:p>
        </w:tc>
      </w:tr>
      <w:tr>
        <w:trPr>
          <w:trHeight w:val="165"/>
        </w:trPr>
        <w:tc>
          <w:tcPr>
            <w:tcW w:w="7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 for credit losses of $5,202 and $5,090 as of September 30, 2025 and December 31,</w:t>
            </w:r>
          </w:p>
        </w:tc>
        <w:tc>
          <w:tcPr>
            <w:tcW w:w="2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120,626</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2024, respectively)</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143,327</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27,019</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445,265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428,026</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524,016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478,189</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use rights, net</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11,371</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intangible assets, net</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2,607</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17,628</w:t>
            </w: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12,490</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14,024</w:t>
            </w: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1,013,607</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951,867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64,940</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payable</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57,197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51,756</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128,770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98,456</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Advance from customers</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43,678</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loan measured at fair value</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193,474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bank borrowings</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70,666</w:t>
            </w: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payables</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529,961</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330,153</w:t>
            </w:r>
          </w:p>
        </w:tc>
      </w:tr>
      <w:tr>
        <w:trPr>
          <w:trHeight w:val="20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bonds payable</w:t>
            </w: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43,157</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bank borrowings</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34,396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41,062</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liability</w:t>
            </w: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14,596</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loan measured at fair value</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104,613</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33,984</w:t>
            </w: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30,003</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655,495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563,972</w:t>
            </w:r>
          </w:p>
        </w:tc>
      </w:tr>
      <w:tr>
        <w:trPr>
          <w:trHeight w:val="19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16)</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72"/>
        </w:trPr>
        <w:tc>
          <w:tcPr>
            <w:tcW w:w="7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14"/>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77"/>
        </w:trPr>
        <w:tc>
          <w:tcPr>
            <w:tcW w:w="79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Common Stock (par value of U.S. Dollar $0.0001 per share, 750,000,000 and 750,000,000 shares authorized</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4"/>
        </w:trPr>
        <w:tc>
          <w:tcPr>
            <w:tcW w:w="79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as of September 30, 2025 and December 31, 2024; 325,453,729 and 324,831,634 shares issued, and</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34"/>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323,766,229 and 323,144,134 shares outstanding as of September 30, 2025 and December 31, 2024)</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1,515,285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1,512,982</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reserves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(1,092,958)</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(38,194)</w:t>
            </w:r>
          </w:p>
        </w:tc>
      </w:tr>
      <w:tr>
        <w:trPr>
          <w:trHeight w:val="20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358,112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387,895</w:t>
            </w: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1,013,607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951,867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both"/>
        <w:ind w:left="2380" w:right="2360" w:hanging="8"/>
        <w:spacing w:after="0" w:line="290" w:lineRule="auto"/>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 (In thousands of U.S. dollars, except share and per share data, or as otherwise noted)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6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331,117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266,414</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(209,966)</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(188,382)</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121,151</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78,032</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(88,039)</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(195,056)</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Subsidy income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from operations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48,140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(114,673)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0" w:type="dxa"/>
            <w:vAlign w:val="bottom"/>
          </w:tcPr>
          <w:p>
            <w:pPr>
              <w:spacing w:after="0"/>
              <w:rPr>
                <w:sz w:val="1"/>
                <w:szCs w:val="1"/>
                <w:color w:val="auto"/>
              </w:rPr>
            </w:pPr>
          </w:p>
        </w:tc>
      </w:tr>
      <w:tr>
        <w:trPr>
          <w:trHeight w:val="25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warrant liability and convertible loan</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debt restructuring</w:t>
            </w:r>
          </w:p>
        </w:tc>
        <w:tc>
          <w:tcPr>
            <w:tcW w:w="3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(Loss)/profit before 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(44,798)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(113,134)</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(45,757)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(113,134)</w:t>
            </w:r>
          </w:p>
        </w:tc>
        <w:tc>
          <w:tcPr>
            <w:tcW w:w="0" w:type="dxa"/>
            <w:vAlign w:val="bottom"/>
          </w:tcPr>
          <w:p>
            <w:pPr>
              <w:spacing w:after="0"/>
              <w:rPr>
                <w:sz w:val="1"/>
                <w:szCs w:val="1"/>
                <w:color w:val="auto"/>
              </w:rPr>
            </w:pPr>
          </w:p>
        </w:tc>
      </w:tr>
      <w:tr>
        <w:trPr>
          <w:trHeight w:val="156"/>
        </w:trPr>
        <w:tc>
          <w:tcPr>
            <w:tcW w:w="51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(loss)/profit attributable to Microvast Holdings, Inc.'s</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(1,489)</w:t>
            </w:r>
          </w:p>
        </w:tc>
        <w:tc>
          <w:tcPr>
            <w:tcW w:w="100" w:type="dxa"/>
            <w:vAlign w:val="bottom"/>
          </w:tcPr>
          <w:p>
            <w:pPr>
              <w:spacing w:after="0"/>
              <w:rPr>
                <w:sz w:val="13"/>
                <w:szCs w:val="13"/>
                <w:color w:val="auto"/>
              </w:rPr>
            </w:pPr>
          </w:p>
        </w:tc>
        <w:tc>
          <w:tcPr>
            <w:tcW w:w="5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13,247</w:t>
            </w:r>
          </w:p>
        </w:tc>
        <w:tc>
          <w:tcPr>
            <w:tcW w:w="10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(45,757)</w:t>
            </w:r>
          </w:p>
        </w:tc>
        <w:tc>
          <w:tcPr>
            <w:tcW w:w="8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(113,134)</w:t>
            </w:r>
          </w:p>
        </w:tc>
        <w:tc>
          <w:tcPr>
            <w:tcW w:w="0" w:type="dxa"/>
            <w:vAlign w:val="bottom"/>
          </w:tcPr>
          <w:p>
            <w:pPr>
              <w:spacing w:after="0"/>
              <w:rPr>
                <w:sz w:val="1"/>
                <w:szCs w:val="1"/>
                <w:color w:val="auto"/>
              </w:rPr>
            </w:pPr>
          </w:p>
        </w:tc>
      </w:tr>
      <w:tr>
        <w:trPr>
          <w:trHeight w:val="221"/>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(loss)/profit per common share</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 calculating net (loss)/profit per share</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common stock</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323,755,691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320,545,388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323,611,063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317,153,113</w:t>
            </w: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323,755,691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367,031,181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323,611,063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317,153,113</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14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5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(loss)/profit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(45,757)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(113,134)</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2,717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13,671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income/(loss)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1,228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(32,086)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(109,272)</w:t>
            </w:r>
          </w:p>
        </w:tc>
        <w:tc>
          <w:tcPr>
            <w:tcW w:w="0" w:type="dxa"/>
            <w:vAlign w:val="bottom"/>
          </w:tcPr>
          <w:p>
            <w:pPr>
              <w:spacing w:after="0"/>
              <w:rPr>
                <w:sz w:val="1"/>
                <w:szCs w:val="1"/>
                <w:color w:val="auto"/>
              </w:rPr>
            </w:pPr>
          </w:p>
        </w:tc>
      </w:tr>
      <w:tr>
        <w:trPr>
          <w:trHeight w:val="156"/>
        </w:trPr>
        <w:tc>
          <w:tcPr>
            <w:tcW w:w="5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comprehensive income/(loss) attributable to Microvast</w:t>
            </w:r>
          </w:p>
        </w:tc>
        <w:tc>
          <w:tcPr>
            <w:tcW w:w="9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1,228</w:t>
            </w:r>
          </w:p>
        </w:tc>
        <w:tc>
          <w:tcPr>
            <w:tcW w:w="80" w:type="dxa"/>
            <w:vAlign w:val="bottom"/>
          </w:tcPr>
          <w:p>
            <w:pPr>
              <w:spacing w:after="0"/>
              <w:rPr>
                <w:sz w:val="13"/>
                <w:szCs w:val="13"/>
                <w:color w:val="auto"/>
              </w:rPr>
            </w:pPr>
          </w:p>
        </w:tc>
        <w:tc>
          <w:tcPr>
            <w:tcW w:w="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24,720</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(32,086)</w:t>
            </w:r>
          </w:p>
        </w:tc>
        <w:tc>
          <w:tcPr>
            <w:tcW w:w="100" w:type="dxa"/>
            <w:vAlign w:val="bottom"/>
          </w:tcPr>
          <w:p>
            <w:pPr>
              <w:spacing w:after="0"/>
              <w:rPr>
                <w:sz w:val="13"/>
                <w:szCs w:val="13"/>
                <w:color w:val="auto"/>
              </w:rPr>
            </w:pPr>
          </w:p>
        </w:tc>
        <w:tc>
          <w:tcPr>
            <w:tcW w:w="4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(109,272)</w:t>
            </w:r>
          </w:p>
        </w:tc>
        <w:tc>
          <w:tcPr>
            <w:tcW w:w="0" w:type="dxa"/>
            <w:vAlign w:val="bottom"/>
          </w:tcPr>
          <w:p>
            <w:pPr>
              <w:spacing w:after="0"/>
              <w:rPr>
                <w:sz w:val="1"/>
                <w:szCs w:val="1"/>
                <w:color w:val="auto"/>
              </w:rPr>
            </w:pPr>
          </w:p>
        </w:tc>
      </w:tr>
      <w:tr>
        <w:trPr>
          <w:trHeight w:val="221"/>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Holding, Inc.'s stockholders</w:t>
            </w:r>
          </w:p>
        </w:tc>
        <w:tc>
          <w:tcPr>
            <w:tcW w:w="92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Microvast</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98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Holdings, Inc.</w:t>
            </w:r>
          </w:p>
        </w:tc>
        <w:tc>
          <w:tcPr>
            <w:tcW w:w="0" w:type="dxa"/>
            <w:vAlign w:val="bottom"/>
          </w:tcPr>
          <w:p>
            <w:pPr>
              <w:spacing w:after="0"/>
              <w:rPr>
                <w:sz w:val="1"/>
                <w:szCs w:val="1"/>
                <w:color w:val="auto"/>
              </w:rPr>
            </w:pPr>
          </w:p>
        </w:tc>
      </w:tr>
      <w:tr>
        <w:trPr>
          <w:trHeight w:val="118"/>
        </w:trPr>
        <w:tc>
          <w:tcPr>
            <w:tcW w:w="3140" w:type="dxa"/>
            <w:vAlign w:val="bottom"/>
          </w:tcPr>
          <w:p>
            <w:pPr>
              <w:spacing w:after="0"/>
              <w:rPr>
                <w:sz w:val="10"/>
                <w:szCs w:val="10"/>
                <w:color w:val="auto"/>
              </w:rPr>
            </w:pPr>
          </w:p>
        </w:tc>
        <w:tc>
          <w:tcPr>
            <w:tcW w:w="19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ind w:left="1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Statutory</w:t>
            </w:r>
          </w:p>
        </w:tc>
        <w:tc>
          <w:tcPr>
            <w:tcW w:w="110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reserves</w:t>
            </w:r>
          </w:p>
        </w:tc>
        <w:tc>
          <w:tcPr>
            <w:tcW w:w="16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323,666,611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1,514,531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(1,137,226)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356,130</w:t>
            </w:r>
          </w:p>
        </w:tc>
        <w:tc>
          <w:tcPr>
            <w:tcW w:w="0" w:type="dxa"/>
            <w:vAlign w:val="bottom"/>
          </w:tcPr>
          <w:p>
            <w:pPr>
              <w:spacing w:after="0"/>
              <w:rPr>
                <w:sz w:val="1"/>
                <w:szCs w:val="1"/>
                <w:color w:val="auto"/>
              </w:rPr>
            </w:pPr>
          </w:p>
        </w:tc>
      </w:tr>
      <w:tr>
        <w:trPr>
          <w:trHeight w:val="20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0" w:type="dxa"/>
            <w:vAlign w:val="bottom"/>
          </w:tcPr>
          <w:p>
            <w:pPr>
              <w:spacing w:after="0"/>
              <w:rPr>
                <w:sz w:val="1"/>
                <w:szCs w:val="1"/>
                <w:color w:val="auto"/>
              </w:rPr>
            </w:pPr>
          </w:p>
        </w:tc>
      </w:tr>
      <w:tr>
        <w:trPr>
          <w:trHeight w:val="165"/>
        </w:trPr>
        <w:tc>
          <w:tcPr>
            <w:tcW w:w="3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99,618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share-based awards</w:t>
            </w: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0" w:type="dxa"/>
            <w:vAlign w:val="bottom"/>
          </w:tcPr>
          <w:p>
            <w:pPr>
              <w:spacing w:after="0"/>
              <w:rPr>
                <w:sz w:val="1"/>
                <w:szCs w:val="1"/>
                <w:color w:val="auto"/>
              </w:rPr>
            </w:pPr>
          </w:p>
        </w:tc>
      </w:tr>
      <w:tr>
        <w:trPr>
          <w:trHeight w:val="212"/>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323,766,229</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1,515,285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(1,138,715)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(24,523)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6,032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358,112</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Microvast</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98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Holdings, Inc.</w:t>
            </w:r>
          </w:p>
        </w:tc>
        <w:tc>
          <w:tcPr>
            <w:tcW w:w="0" w:type="dxa"/>
            <w:vAlign w:val="bottom"/>
          </w:tcPr>
          <w:p>
            <w:pPr>
              <w:spacing w:after="0"/>
              <w:rPr>
                <w:sz w:val="1"/>
                <w:szCs w:val="1"/>
                <w:color w:val="auto"/>
              </w:rPr>
            </w:pPr>
          </w:p>
        </w:tc>
      </w:tr>
      <w:tr>
        <w:trPr>
          <w:trHeight w:val="118"/>
        </w:trPr>
        <w:tc>
          <w:tcPr>
            <w:tcW w:w="3140" w:type="dxa"/>
            <w:vAlign w:val="bottom"/>
          </w:tcPr>
          <w:p>
            <w:pPr>
              <w:spacing w:after="0"/>
              <w:rPr>
                <w:sz w:val="10"/>
                <w:szCs w:val="10"/>
                <w:color w:val="auto"/>
              </w:rPr>
            </w:pPr>
          </w:p>
        </w:tc>
        <w:tc>
          <w:tcPr>
            <w:tcW w:w="19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vMerge w:val="restart"/>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Statutory</w:t>
            </w:r>
          </w:p>
        </w:tc>
        <w:tc>
          <w:tcPr>
            <w:tcW w:w="110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reserves</w:t>
            </w:r>
          </w:p>
        </w:tc>
        <w:tc>
          <w:tcPr>
            <w:tcW w:w="16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323,144,134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1,512,982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(1,092,958)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387,895</w:t>
            </w:r>
          </w:p>
        </w:tc>
        <w:tc>
          <w:tcPr>
            <w:tcW w:w="0" w:type="dxa"/>
            <w:vAlign w:val="bottom"/>
          </w:tcPr>
          <w:p>
            <w:pPr>
              <w:spacing w:after="0"/>
              <w:rPr>
                <w:sz w:val="1"/>
                <w:szCs w:val="1"/>
                <w:color w:val="auto"/>
              </w:rPr>
            </w:pPr>
          </w:p>
        </w:tc>
      </w:tr>
      <w:tr>
        <w:trPr>
          <w:trHeight w:val="20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(45,757)</w:t>
            </w:r>
          </w:p>
        </w:tc>
        <w:tc>
          <w:tcPr>
            <w:tcW w:w="0" w:type="dxa"/>
            <w:vAlign w:val="bottom"/>
          </w:tcPr>
          <w:p>
            <w:pPr>
              <w:spacing w:after="0"/>
              <w:rPr>
                <w:sz w:val="1"/>
                <w:szCs w:val="1"/>
                <w:color w:val="auto"/>
              </w:rPr>
            </w:pPr>
          </w:p>
        </w:tc>
      </w:tr>
      <w:tr>
        <w:trPr>
          <w:trHeight w:val="165"/>
        </w:trPr>
        <w:tc>
          <w:tcPr>
            <w:tcW w:w="3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622,095</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share-based awards</w:t>
            </w: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13,671</w:t>
            </w:r>
          </w:p>
        </w:tc>
        <w:tc>
          <w:tcPr>
            <w:tcW w:w="0" w:type="dxa"/>
            <w:vAlign w:val="bottom"/>
          </w:tcPr>
          <w:p>
            <w:pPr>
              <w:spacing w:after="0"/>
              <w:rPr>
                <w:sz w:val="1"/>
                <w:szCs w:val="1"/>
                <w:color w:val="auto"/>
              </w:rPr>
            </w:pPr>
          </w:p>
        </w:tc>
      </w:tr>
      <w:tr>
        <w:trPr>
          <w:trHeight w:val="212"/>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323,766,229</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1,515,285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(1,138,715)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(24,523)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6,032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358,112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 EQUITY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8"/>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Microvast</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98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Holdings, Inc.</w:t>
            </w:r>
          </w:p>
        </w:tc>
        <w:tc>
          <w:tcPr>
            <w:tcW w:w="0" w:type="dxa"/>
            <w:vAlign w:val="bottom"/>
          </w:tcPr>
          <w:p>
            <w:pPr>
              <w:spacing w:after="0"/>
              <w:rPr>
                <w:sz w:val="1"/>
                <w:szCs w:val="1"/>
                <w:color w:val="auto"/>
              </w:rPr>
            </w:pPr>
          </w:p>
        </w:tc>
      </w:tr>
      <w:tr>
        <w:trPr>
          <w:trHeight w:val="118"/>
        </w:trPr>
        <w:tc>
          <w:tcPr>
            <w:tcW w:w="3140" w:type="dxa"/>
            <w:vAlign w:val="bottom"/>
          </w:tcPr>
          <w:p>
            <w:pPr>
              <w:spacing w:after="0"/>
              <w:rPr>
                <w:sz w:val="10"/>
                <w:szCs w:val="10"/>
                <w:color w:val="auto"/>
              </w:rPr>
            </w:pPr>
          </w:p>
        </w:tc>
        <w:tc>
          <w:tcPr>
            <w:tcW w:w="19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ind w:left="1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Statutory</w:t>
            </w:r>
          </w:p>
        </w:tc>
        <w:tc>
          <w:tcPr>
            <w:tcW w:w="110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
        </w:trPr>
        <w:tc>
          <w:tcPr>
            <w:tcW w:w="314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reserves</w:t>
            </w:r>
          </w:p>
        </w:tc>
        <w:tc>
          <w:tcPr>
            <w:tcW w:w="16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315,510,447</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1,506,031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454,988</w:t>
            </w:r>
          </w:p>
        </w:tc>
        <w:tc>
          <w:tcPr>
            <w:tcW w:w="0" w:type="dxa"/>
            <w:vAlign w:val="bottom"/>
          </w:tcPr>
          <w:p>
            <w:pPr>
              <w:spacing w:after="0"/>
              <w:rPr>
                <w:sz w:val="1"/>
                <w:szCs w:val="1"/>
                <w:color w:val="auto"/>
              </w:rPr>
            </w:pPr>
          </w:p>
        </w:tc>
      </w:tr>
      <w:tr>
        <w:trPr>
          <w:trHeight w:val="20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profit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13,247</w:t>
            </w:r>
          </w:p>
        </w:tc>
        <w:tc>
          <w:tcPr>
            <w:tcW w:w="0" w:type="dxa"/>
            <w:vAlign w:val="bottom"/>
          </w:tcPr>
          <w:p>
            <w:pPr>
              <w:spacing w:after="0"/>
              <w:rPr>
                <w:sz w:val="1"/>
                <w:szCs w:val="1"/>
                <w:color w:val="auto"/>
              </w:rPr>
            </w:pPr>
          </w:p>
        </w:tc>
      </w:tr>
      <w:tr>
        <w:trPr>
          <w:trHeight w:val="165"/>
        </w:trPr>
        <w:tc>
          <w:tcPr>
            <w:tcW w:w="3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6,617,351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share-based awards</w:t>
            </w: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11,473</w:t>
            </w:r>
          </w:p>
        </w:tc>
        <w:tc>
          <w:tcPr>
            <w:tcW w:w="0" w:type="dxa"/>
            <w:vAlign w:val="bottom"/>
          </w:tcPr>
          <w:p>
            <w:pPr>
              <w:spacing w:after="0"/>
              <w:rPr>
                <w:sz w:val="1"/>
                <w:szCs w:val="1"/>
                <w:color w:val="auto"/>
              </w:rPr>
            </w:pPr>
          </w:p>
        </w:tc>
      </w:tr>
      <w:tr>
        <w:trPr>
          <w:trHeight w:val="212"/>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322,127,798</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1,512,410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(1,010,635)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(21,752)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6,032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486,088</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Microvast</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98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Holdings, Inc.</w:t>
            </w:r>
          </w:p>
        </w:tc>
        <w:tc>
          <w:tcPr>
            <w:tcW w:w="0" w:type="dxa"/>
            <w:vAlign w:val="bottom"/>
          </w:tcPr>
          <w:p>
            <w:pPr>
              <w:spacing w:after="0"/>
              <w:rPr>
                <w:sz w:val="1"/>
                <w:szCs w:val="1"/>
                <w:color w:val="auto"/>
              </w:rPr>
            </w:pPr>
          </w:p>
        </w:tc>
      </w:tr>
      <w:tr>
        <w:trPr>
          <w:trHeight w:val="118"/>
        </w:trPr>
        <w:tc>
          <w:tcPr>
            <w:tcW w:w="3140" w:type="dxa"/>
            <w:vAlign w:val="bottom"/>
          </w:tcPr>
          <w:p>
            <w:pPr>
              <w:spacing w:after="0"/>
              <w:rPr>
                <w:sz w:val="10"/>
                <w:szCs w:val="10"/>
                <w:color w:val="auto"/>
              </w:rPr>
            </w:pPr>
          </w:p>
        </w:tc>
        <w:tc>
          <w:tcPr>
            <w:tcW w:w="19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Statutory</w:t>
            </w:r>
          </w:p>
        </w:tc>
        <w:tc>
          <w:tcPr>
            <w:tcW w:w="110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
        </w:trPr>
        <w:tc>
          <w:tcPr>
            <w:tcW w:w="314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reserves</w:t>
            </w:r>
          </w:p>
        </w:tc>
        <w:tc>
          <w:tcPr>
            <w:tcW w:w="14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315,006,942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1,481,241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(897,501)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564,190</w:t>
            </w:r>
          </w:p>
        </w:tc>
        <w:tc>
          <w:tcPr>
            <w:tcW w:w="0" w:type="dxa"/>
            <w:vAlign w:val="bottom"/>
          </w:tcPr>
          <w:p>
            <w:pPr>
              <w:spacing w:after="0"/>
              <w:rPr>
                <w:sz w:val="1"/>
                <w:szCs w:val="1"/>
                <w:color w:val="auto"/>
              </w:rPr>
            </w:pPr>
          </w:p>
        </w:tc>
      </w:tr>
      <w:tr>
        <w:trPr>
          <w:trHeight w:val="20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(113,134)</w:t>
            </w:r>
          </w:p>
        </w:tc>
        <w:tc>
          <w:tcPr>
            <w:tcW w:w="0" w:type="dxa"/>
            <w:vAlign w:val="bottom"/>
          </w:tcPr>
          <w:p>
            <w:pPr>
              <w:spacing w:after="0"/>
              <w:rPr>
                <w:sz w:val="1"/>
                <w:szCs w:val="1"/>
                <w:color w:val="auto"/>
              </w:rPr>
            </w:pPr>
          </w:p>
        </w:tc>
      </w:tr>
      <w:tr>
        <w:trPr>
          <w:trHeight w:val="165"/>
        </w:trPr>
        <w:tc>
          <w:tcPr>
            <w:tcW w:w="3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7,120,856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share-based awards</w:t>
            </w: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30,391</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warrants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322,127,798</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1,512,410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(1,010,635)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486,088</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both"/>
        <w:ind w:left="2380" w:right="2340" w:hanging="18"/>
        <w:spacing w:after="0" w:line="290" w:lineRule="auto"/>
        <w:rPr>
          <w:sz w:val="20"/>
          <w:szCs w:val="20"/>
          <w:color w:val="auto"/>
        </w:rPr>
      </w:pPr>
      <w:r>
        <w:rPr>
          <w:rFonts w:ascii="Times New Roman" w:cs="Times New Roman" w:eastAsia="Times New Roman" w:hAnsi="Times New Roman"/>
          <w:sz w:val="17"/>
          <w:szCs w:val="17"/>
          <w:b w:val="1"/>
          <w:bCs w:val="1"/>
          <w:color w:val="auto"/>
        </w:rPr>
        <w:t>UNAUDITED CONDENSED CONSOLIDATED STATEMENTS OF CASH FLOWS (In thousands of U.S. dollars, except share and per share data, or as otherwise noted)</w:t>
      </w:r>
    </w:p>
    <w:p>
      <w:pPr>
        <w:spacing w:after="0" w:line="200" w:lineRule="exact"/>
        <w:rPr>
          <w:sz w:val="20"/>
          <w:szCs w:val="20"/>
          <w:color w:val="auto"/>
        </w:rPr>
      </w:pPr>
    </w:p>
    <w:p>
      <w:pPr>
        <w:spacing w:after="0" w:line="37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(45,757)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(113,134)</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debt restructuring</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(8,157)</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22,442</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land use right and intangible assets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lease expenses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30,289</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fair value of warrant liability and convertible loan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Allowance of credit losses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Write-down for obsolete inventories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loss from long-lived asset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88,039</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 warranty</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10,353</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receivable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(18,270)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9,162</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(22,960)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18,157</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9,037</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payable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(7,490)</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(46,882)</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Advance from customers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(38,176)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(25,289)</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7,679</w:t>
            </w:r>
          </w:p>
        </w:tc>
      </w:tr>
      <w:tr>
        <w:trPr>
          <w:trHeight w:val="22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generated from/(used in) operating activities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59,486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(3,287)</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(27,366)</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on disposal of property, plant and equipment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9,830</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maturity of short-term investments</w:t>
            </w:r>
          </w:p>
        </w:tc>
        <w:tc>
          <w:tcPr>
            <w:tcW w:w="9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w:t>
            </w:r>
          </w:p>
        </w:tc>
      </w:tr>
      <w:tr>
        <w:trPr>
          <w:trHeight w:val="20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(15,455)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(11,972)</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borrowings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70,373</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bank borrowings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(65,965)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(31,824)</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loan</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bonds payable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for debt issue costs</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payment related to purchases of property, plant and equipment</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(12,254)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(16,389)</w:t>
            </w:r>
          </w:p>
        </w:tc>
      </w:tr>
      <w:tr>
        <w:trPr>
          <w:trHeight w:val="20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generated from financing activities</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46,635</w:t>
            </w:r>
          </w:p>
        </w:tc>
      </w:tr>
      <w:tr>
        <w:trPr>
          <w:trHeight w:val="20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 in cash, cash equivalents and restricted cash</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26,778</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the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109,601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88,189</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142,627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114,967</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Reconciliation to amounts on unaudited condensed consolidated balance sheets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63,585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51,382</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142,627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114,967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 for purchase of property, plant and equipment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59,408</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Microvast, Inc. was incorporated under the laws of the State of Texas in the United States of America on October 12, 2006 and re-domiciled to the State of Delaware on December 31, 2015. On July 23, 2021 (the “Closing Date”), Microvast, Inc. and Tuscan Holdings Corp. (“Tuscan”) consummated the merger (the “Merger” or the “Business Combination”, pursuant to the Agreement and Plan of Merger (the “Merger Agreement”) dated February 1, 2021, between Tuscan, Microvast, Inc. and TSCN Merger Sub Inc., a Delaware corporation (“Merger Sub”).</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Merger Agreement, the Merger Sub merged with and into Microvast, Inc., with Microvast, Inc. surviving the Merger. As a result of the Merger, Tuscan was renamed “Microvast Holdings, Inc.” (the “Company”). The Merger was accounted for as a reverse recapitalization as Microvast, Inc. was determined to be the accounting acquirer under Financial Accounting Standards Board’s Accounting Standards Codification Topic 805, Business Combinations (“ASC 805”).</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(collectively, the “Group”) are primarily engaged in developing, manufacturing, and selling lithium-ion battery technologies for use in commercial electric vehicles and battery energy storage systems across the globe.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use of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Microvast Holdings, Inc. and its consolidated subsidiaries. All intercompany transactions and balances have been eliminated in consolidation.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U.S. generally accepted accounting principles (“U.S. GAAP”) and the rules and regulations of the Securities and Exchange Commission (“SEC”) applicable to interim financial reporting. Accordingly, certain information and disclosures normally included in the notes to the annual consolidated financial statements prepared in accordance with U.S. GAAP have been condensed or omitted.</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Company’s audited consolidated financial statements for the year ended December 31, 2024, included in the Annual Report on Form 10-K filed with the SEC on March 31, 2025, which contains a more complete discussion of the Company’s accounting policies and other relevant information.</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considered necessary for a fair presentation of the interim financial statements have been included. The results of operations for the nine months ended September 30, 2025 are not necessarily indicative of results to be expected for any future interim period or the full fiscal year ending December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December 31, 2024 condensed consolidated balance sheet data included herein was derived from the Company’s audited financial statements.</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as disclosed in Note 2 to the audited consolidated financial statements for the year ended December 31, 2024.</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accounting estimates include, but are not limited to, allowances for credit losses, write-down of obsolete inventories, impairment of long-lived assets, product warranties, fair value measurement of convertible loan and share based compensation. Actual results could differ materially from those estimates.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Group have been prepared on a going concern basis, which assumes that the Group will continue to realize its assets and settle its liabilities in the ordinary course of business for the next twelve months from the date of issuance of these financial statements.</w:t>
      </w:r>
    </w:p>
    <w:p>
      <w:pPr>
        <w:spacing w:after="0" w:line="1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of September 30, 2025, the Group had stockholders' equity of $358,112 (including an accumulated deficit of $1,138,715), cash and cash equivalents of $90,748, restricted cash of $51,879 and other current assets of $302,638. As of September 30, 2025, the Group held outstanding borrowings of $118,786, with $84,390 due within the next 12 months, convertible loan with repayment amount of $26,203 (including the paid in kind interest amount) and other current liabilities of $252,097, which include accounts payable, notes payable, accrued expenses and other current liabilities. Additionally, as of September 30, 2025, the Group had $44,140 in purchase commitments primarily related to inventory, and $10,111 in capital commitments with $7,706 due within the next 12 months.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conditions and events raise substantial doubt about the Group’s ability to continue as a going concern.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primary plans to alleviate the substantial doubt are as described below.</w:t>
      </w:r>
    </w:p>
    <w:p>
      <w:pPr>
        <w:spacing w:after="0" w:line="235" w:lineRule="exact"/>
        <w:rPr>
          <w:sz w:val="20"/>
          <w:szCs w:val="20"/>
          <w:color w:val="auto"/>
        </w:rPr>
      </w:pPr>
    </w:p>
    <w:p>
      <w:pPr>
        <w:ind w:left="660" w:hanging="652"/>
        <w:spacing w:after="0" w:line="246" w:lineRule="auto"/>
        <w:tabs>
          <w:tab w:leader="none" w:pos="2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Forecasted cash inflow from operations </w:t>
      </w:r>
      <w:r>
        <w:rPr>
          <w:rFonts w:ascii="Times New Roman" w:cs="Times New Roman" w:eastAsia="Times New Roman" w:hAnsi="Times New Roman"/>
          <w:sz w:val="18"/>
          <w:szCs w:val="18"/>
          <w:color w:val="auto"/>
        </w:rPr>
        <w:t>- As of September 30, 2025, the Group has performed a review of its cash flow forecast for the next twelve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from the date of issuance of its unaudited condensed consolidated financial statements. For the nine months ended September 30, 2025, the Group generated $48,140 of profit from operations and generated $59,486 of net cash from operating activities. The Group believes that its operating cash flow in the forecasted period will continue to grow. Management believes the forecast is based on reasonable assumptions including: i) there is no significant uncertainty on the execution of the existing contract backlog in the forecasted period, and ii) despite the potential fluctuation of the raw material prices, the gross margin in the forecasted period is not expected to significantly decline considering the selling price secured by contract backlogs and the current market conditions of major raw materials.</w:t>
      </w:r>
    </w:p>
    <w:p>
      <w:pPr>
        <w:spacing w:after="0" w:line="215" w:lineRule="exact"/>
        <w:rPr>
          <w:rFonts w:ascii="Times New Roman" w:cs="Times New Roman" w:eastAsia="Times New Roman" w:hAnsi="Times New Roman"/>
          <w:sz w:val="18"/>
          <w:szCs w:val="18"/>
          <w:color w:val="auto"/>
        </w:rPr>
      </w:pPr>
    </w:p>
    <w:p>
      <w:pPr>
        <w:ind w:left="660" w:hanging="652"/>
        <w:spacing w:after="0" w:line="246"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Refinancing of short-term bank borrowings </w:t>
      </w:r>
      <w:r>
        <w:rPr>
          <w:rFonts w:ascii="Times New Roman" w:cs="Times New Roman" w:eastAsia="Times New Roman" w:hAnsi="Times New Roman"/>
          <w:sz w:val="18"/>
          <w:szCs w:val="18"/>
          <w:color w:val="auto"/>
        </w:rPr>
        <w:t>- While there can be no assurance that the Group will be able to refinance its short-term bank borrowings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they become due, historically, the Group has rolled over or obtained replacement borrowings from existing creditors for its short-term bank loans upon the maturity date of the loans, as needed. Of the $84,390 in short-term bank borrowings as of September 30, 2025, the Company has successfully refinanced $23,458 and assumes that it will continue to be able to further refinance for the next twelve months.</w:t>
      </w:r>
    </w:p>
    <w:p>
      <w:pPr>
        <w:spacing w:after="0" w:line="244" w:lineRule="exact"/>
        <w:rPr>
          <w:rFonts w:ascii="Times New Roman" w:cs="Times New Roman" w:eastAsia="Times New Roman" w:hAnsi="Times New Roman"/>
          <w:sz w:val="18"/>
          <w:szCs w:val="18"/>
          <w:color w:val="auto"/>
        </w:rPr>
      </w:pPr>
    </w:p>
    <w:p>
      <w:pPr>
        <w:jc w:val="both"/>
        <w:ind w:left="660" w:hanging="652"/>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Funding from equity offering </w:t>
      </w:r>
      <w:r>
        <w:rPr>
          <w:rFonts w:ascii="Times New Roman" w:cs="Times New Roman" w:eastAsia="Times New Roman" w:hAnsi="Times New Roman"/>
          <w:sz w:val="18"/>
          <w:szCs w:val="18"/>
          <w:color w:val="auto"/>
        </w:rPr>
        <w:t>- On October 3, 2025, the Group entered into a Controlled Equity Offering Sales Agreement (the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Cantor Fitzgerald &amp; Co. and Needham &amp; Company, LLC relating to shares of common stock From third quarter end to the date of issuance of the financial statements in this Report, the Group received $12.6 million in net proceeds from the sale of shares of common stock under the Sales Agreement and expects to raise additional funds as needed for the following next twelve months, the proceeds of which the Group intends to use for general corporate purposes, which may include, among other things, paying or refinancing all or a portion of the Group's indebtedness at the time, and funding acquisitions, capital expenditures and working capital. See Note 18 - Subsequent Events for details.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factors are considered by the management in assessing whether the plan is probable of being effectively implemented.</w:t>
      </w:r>
    </w:p>
    <w:p>
      <w:pPr>
        <w:spacing w:after="0" w:line="239" w:lineRule="exact"/>
        <w:rPr>
          <w:sz w:val="20"/>
          <w:szCs w:val="20"/>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of these loans have regularly occurred historically, even during the Group’s financially distressed periods.</w:t>
      </w:r>
    </w:p>
    <w:p>
      <w:pPr>
        <w:spacing w:after="0" w:line="238" w:lineRule="exact"/>
        <w:rPr>
          <w:rFonts w:ascii="Times New Roman" w:cs="Times New Roman" w:eastAsia="Times New Roman" w:hAnsi="Times New Roman"/>
          <w:sz w:val="18"/>
          <w:szCs w:val="18"/>
          <w:color w:val="auto"/>
        </w:rPr>
      </w:pPr>
    </w:p>
    <w:p>
      <w:pPr>
        <w:ind w:left="1040" w:hanging="384"/>
        <w:spacing w:after="0" w:line="258" w:lineRule="auto"/>
        <w:tabs>
          <w:tab w:leader="none" w:pos="91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loans were primarily borrowed by Microvast Power Systems Co., Ltd.(“MPS”), the Group’s main operating subsidiary. MPS generated profit and positive cash flow during the twelve months ended December 31, 2024 and the nine months ended September 30, 2025, and has shown improvement in operations compared to earlier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 continued</w:t>
      </w:r>
    </w:p>
    <w:p>
      <w:pPr>
        <w:spacing w:after="0" w:line="256" w:lineRule="exact"/>
        <w:rPr>
          <w:sz w:val="20"/>
          <w:szCs w:val="20"/>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established long-term relationships with those banks and has not defaulted on repayments historically.</w:t>
      </w:r>
    </w:p>
    <w:p>
      <w:pPr>
        <w:spacing w:after="0" w:line="23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Sales Agreement is ongoing and the Group expects to receive additional funds as needed for the following next twelve months.</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Based on the above assessment, and considering the historical success in refinancing, the positive operating cash flow, and the proceeds of $12.6 million already received from the active Controlled Equity Offering Sales Agreement, the Group concluded that management’s plans are probable of being effectively implemented to alleviate the substantial doubt regarding the Group’s ability to continue as a going concern. Management expects that sufficient liquidity will be available to fund the Company’s working capital and capital expenditure requirements, as well as to meet its short-term debt obligations and other liabilities and commitments as they come due. Accordingly, the accompanying unaudited condensed consolidated financial statements have been prepared on a going concern basis and do not include any adjustments to the carrying amounts or classifications of assets and liabilities that might be required if the Group were unable to continue as a going concern.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business consists primarily of the development and sale of lithium-ion batteries and the Group’s revenue is predominately derived from the sale of lithium-ion batteries.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the Group derived revenues from geographic regions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506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60" w:type="dxa"/>
            <w:vAlign w:val="bottom"/>
            <w:gridSpan w:val="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27,458</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28,716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106,427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89,190</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Asia &amp; Pacific countries</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11,352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10,550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30,092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36,215</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Asia &amp; Pacific</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136,519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125,405</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Italy</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29,134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54,700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81,809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116,110</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France</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33,247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589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60,948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2,146</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Europe countries</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15,526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34,085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16,889</w:t>
            </w: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77,907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59,479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176,842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135,145</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6,570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5,864</w:t>
            </w:r>
          </w:p>
        </w:tc>
        <w:tc>
          <w:tcPr>
            <w:tcW w:w="2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266,414</w:t>
            </w: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balances include accounts receivable and advances from customers. Accounts receivable represent cash not received from customers and are recorded when the rights to consideration are unconditional. The allowance for credit losses reflects the best estimate of probable losses inherent to the accounts receivable balance. Contract liabilities, recorded in advance from customers in the consolidated balance sheets, represent payment received in advance or payment received related to a material right provided to a customer to acquire additional goods or services at a discount in a future period. During the three months ended September 30, 2025 and 2024, the Group recognized $1,074 and $883 of revenue previously included in advance from customers as of July 1, 2025 and July 1, 2024, respectively. During the nine months ended September 30, 2025 and 2024, the Group recognized $5,378 and $4,208 of revenue previously included in advance from customers as of January 1, 2025 and January 1,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inception. Operating leases are recognized in the condensed consolidated balance sheets as right-of-use (“ROU”) assets and lease liabilities, initially measured at the present value of lease payments over the lease term. As the rate implicit in the lease is not readily determinable, the Company uses its incremental borrowing rate based on information available at the commencement date. The rate is estimated using a portfolio approach that approximates the interest rate on a collateralized basis over similar terms and in a similar economic environment. Lease expense is recognized on a straight-line basis over the lease term.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the package of practical expedients permitted under ASC 842, which allows entities not to reassess:</w:t>
      </w:r>
    </w:p>
    <w:p>
      <w:pPr>
        <w:spacing w:after="0" w:line="2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existing or expired contracts contain a lease;</w:t>
      </w:r>
    </w:p>
    <w:p>
      <w:pPr>
        <w:spacing w:after="0" w:line="27"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classification; and</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direct costs for any leases existing at the adoption date.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elected the practical expedient not to separate lease and non-lease components, and for leases other than real estate (e.g., printing machines and electronic appliances) with terms of 12 months or less, elected the short-term lease exemption.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recorded ROU assets of $18,116 and operating lease liabilities of $17,925, including current portion in the amount of $2,849, which was recorded under accrued expenses and other current liabilities on the balance sheet.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accounting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acts as a lessor, primarily through leasing arrangements with customers related to the sale of vehicles. These arrangements are classified as sales-type leases. Revenue from the sale of leased products is recognized at lease inception, and interest income is recognized over the lease term using the effective interest method. For the three months period ended September 30, 2025 and 2024, the Company recognized sales-type lease revenue of $647 and $6,074 separately, and for the nine months period ended September 30, 2025 and 2024, the Company recognized sales-type lease revenue of $5,042 and $7,340 separately, which are included in products sales in the accompanying consolidated statements of operations. As of September 30, 2025, the Company recorded net investment in sales-type leases of $6,275 including current portion in the amount of $3,090, which was recorded under accounts receivables on the balance sheet.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Assets to be disposed of by sale are reported at the lower of the carrying value or fair value less cost to sell when the Company has committed to a sale agreement and such assets would be reported separately as assets held for sale in the unaudited condensed consolidated balance sheets. During the second quarter of 2025, the Company reclassified its Lake Mary, Florida facility from assets held for sale to property, plant and equipment, reflecting the Company's shift to retain the facility for long-term operational use rather than pursue its disposal. The Company plans to have the Lake Mary facility, originally acquired in 2021, serve as a core hub for next generation strategic technology research &amp; development.</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completed the sale of its Timnath, Colorado property and has recognized a disposal loss of $265 in connection with the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debt restructuring is the modification of debt in which a creditor grants a concession it would not otherwise consider to a debtor that is experiencing financial difficulties. These modifications may include an extension of the maturity date, a reduction of the face amount or maturity amount of the debt or a reduction of accrued interest. During the three months ended September 30, 2025 and 2024, the Company recorded a gain of $0 and $7,709, respectively, and during the nine months ended September 30, 2025 and 2024, the Company recorded a gain of $792 and $8,157, respectively, on payable concessions in the unaudited condensed consolidated statements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 measured at fair value</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has elected the fair value option to account for the Convertible Loan (as defined below) described in Note 14 – Convertible Loan measured at fair value herein, and records changes in fair value in the unaudited condensed consolidated statements of operations, with the exception of changes in fair value due to instrument-specific credit risk which, if present, will be recorded as a component of other comprehensive income. Interest expense related to the Convertible Loan is included in the changes in fair value. As a result of applying the fair value option, direct costs and fees related to the Convertible Loan were expensed as incurred. The Company recorded unrealized losses of $12,788 and $91,005 for the three and nine months ended September 30, 2025, respectively, in other income and expenses. The fair value of the Convertible Loan was determined by using a discounted cash flow model for the bond component and the Black-Scholes-Merton model for the conversion option, which is considered a Level 3 fair value measurement.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in accordance with the guidance contained in ASC 815-40 under which the warrants do not meet the criteria for equity treatment and must be recorded as liabilities. As the Private Warrants (as defined below in Note 10) meet the definition of a derivative as contemplated in ASC 815, the Company classifies the Private Warrants as liabilities. This liability is subject to re-measurement at each balance sheet date until exercised, and any change in fair value is recognized in the statements of operations. The Private Warrants are valued using a Monte Carlo simulation model on the basis of the quoted market price of the Company’s publicly-traded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functional currency of the Company and all subsidiaries located in the U.S. is the United States dollar (“U.S. Dollar”). For the Company’s subsidiaries located in the PRC, the functional currency is the Chinese Renminbi (“RMB”); the Company’s UK subsidiary, Microvast Power System UK Ltd., the functional currency is the Great British Pound; and the Company’s Germany subsidiary, Microvast GmbH, the functional currency is the Euro.</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of each individual group subsidiary, transactions in currencies other than the subsidiary’s functional currency (foreign currencies) are converted into the functional currency at the rates of exchange prevailing on the dates of the transactions. At the end of each reporting period, monetary items denominated in foreign currencies are translated at the rates prevailing at that date. Non-monetary items that are measured in terms of historical cost in a foreign currency are not retranslated.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 - continued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Exchange differences on the monetary items are recognized in the consolidated statements of operations in the period in which they arise. For the three months ended September 30, 2025 and 2024, the Company recorded exchange (loss)/gain of $(1,903) and $1,802 in general and administrative expenses, respectively. For the nine months ended September 30, 2025 and 2024, the Company recorded exchange gain of $8,952 and $1,248 in general and administrative expenses, respectively.</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purposes of presenting the consolidated financial statements, the assets and liabilities of the Group’s foreign operations are translated into the reporting currency of the Group (i.e. U.S. Dollars) at the prevailing exchange rate at the end of the reporting period, and their income and expenses are translated at the average exchange rates for the year. Translation adjustments are reported as cumulative translation adjustments and are shown as a component of other comprehensive loss.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(“ASU 2023-09”). ASU 2023-09 intends to improve the transparency of income tax disclosures. ASU 2023-09 is effective for fiscal years beginning after December 15, 2024 and is to be adopted on a prospective basis with the option to apply retrospectively. The Company is currently assessing the impact of this guidance, however, the Company do not expect a</w:t>
      </w:r>
    </w:p>
    <w:p>
      <w:pPr>
        <w:spacing w:after="0"/>
        <w:rPr>
          <w:sz w:val="20"/>
          <w:szCs w:val="20"/>
          <w:color w:val="auto"/>
        </w:rPr>
      </w:pPr>
      <w:r>
        <w:rPr>
          <w:rFonts w:ascii="Times New Roman" w:cs="Times New Roman" w:eastAsia="Times New Roman" w:hAnsi="Times New Roman"/>
          <w:sz w:val="18"/>
          <w:szCs w:val="18"/>
          <w:color w:val="auto"/>
        </w:rPr>
        <w:t>material impact to the consolidated financial statements.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amended guidance requires disaggregation of certain expense captions into specified natural expense categories in the disclosures within the notes to the financial statements. In addition, the guidance requires disclosure of selling expenses and its definition. The new guidance is effective for fiscal years beginning after December 15, 2026, and interim reporting periods beginning after December 15, 2027, with early adoption permitted. The guidance can be applied either prospectively or retrospectively. The Company is currently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assessing the impact of this guidance, however, the Company does not expect a material impact to the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ACCOUNTS RECEIVABLE</w:t>
            </w: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48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125,716</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149,274</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120,626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Movement of allowance for credit losses was as follows:</w:t>
            </w:r>
          </w:p>
        </w:tc>
        <w:tc>
          <w:tcPr>
            <w:tcW w:w="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8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860" w:type="dxa"/>
            <w:vAlign w:val="bottom"/>
          </w:tcPr>
          <w:p>
            <w:pPr>
              <w:spacing w:after="0"/>
              <w:rPr>
                <w:sz w:val="24"/>
                <w:szCs w:val="24"/>
                <w:color w:val="auto"/>
              </w:rPr>
            </w:pPr>
          </w:p>
        </w:tc>
        <w:tc>
          <w:tcPr>
            <w:tcW w:w="26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6"/>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r>
        <w:trPr>
          <w:trHeight w:val="25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of expenses</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(992)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(1,131)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credit losses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difference</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5,202</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 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85,179</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39,388</w:t>
            </w: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126,942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143,327</w:t>
            </w: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 for obsolete inventories of $4,724 was recognized for the three and nine months ended September 30, 2025, and $1,295 and $3,032 was recognized for the three and nine months ended September 30,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ACCRUED EXPENSES AND OTHER CURRENT LIABILITIES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6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for purchase of property, plant and equipment</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43,249</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45,983</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current</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 payable</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9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81"/>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128,770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98,456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PRODUCT WARRANTY</w:t>
            </w: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6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Movement of product warranty was as follows: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40" w:type="dxa"/>
            <w:vAlign w:val="bottom"/>
          </w:tcPr>
          <w:p>
            <w:pPr>
              <w:spacing w:after="0"/>
              <w:rPr>
                <w:sz w:val="24"/>
                <w:szCs w:val="24"/>
                <w:color w:val="auto"/>
              </w:rPr>
            </w:pPr>
          </w:p>
        </w:tc>
        <w:tc>
          <w:tcPr>
            <w:tcW w:w="26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5"/>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6"/>
        </w:trPr>
        <w:tc>
          <w:tcPr>
            <w:tcW w:w="46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36,734</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34,184</w:t>
            </w:r>
          </w:p>
        </w:tc>
        <w:tc>
          <w:tcPr>
            <w:tcW w:w="6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33,107</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35,217</w:t>
            </w:r>
          </w:p>
        </w:tc>
        <w:tc>
          <w:tcPr>
            <w:tcW w:w="0" w:type="dxa"/>
            <w:vAlign w:val="bottom"/>
          </w:tcPr>
          <w:p>
            <w:pPr>
              <w:spacing w:after="0"/>
              <w:rPr>
                <w:sz w:val="1"/>
                <w:szCs w:val="1"/>
                <w:color w:val="auto"/>
              </w:rPr>
            </w:pP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Provided during the period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0" w:type="dxa"/>
            <w:vAlign w:val="bottom"/>
          </w:tcPr>
          <w:p>
            <w:pPr>
              <w:spacing w:after="0"/>
              <w:rPr>
                <w:sz w:val="1"/>
                <w:szCs w:val="1"/>
                <w:color w:val="auto"/>
              </w:rPr>
            </w:pPr>
          </w:p>
        </w:tc>
      </w:tr>
      <w:tr>
        <w:trPr>
          <w:trHeight w:val="26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Utilized during the period</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difference</w:t>
            </w: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38,770</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35,454</w:t>
            </w:r>
          </w:p>
        </w:tc>
        <w:tc>
          <w:tcPr>
            <w:tcW w:w="6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38,770</w:t>
            </w:r>
          </w:p>
        </w:tc>
        <w:tc>
          <w:tcPr>
            <w:tcW w:w="8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35,454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464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 current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warranty – non-current</w:t>
            </w:r>
          </w:p>
        </w:tc>
        <w:tc>
          <w:tcPr>
            <w:tcW w:w="9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38,770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33,107</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BANK BORROWINGS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September 27, 2022, the Group entered into a $111,483 (RMB800 million) loan facilities agreement with a group of lenders led by a bank in China (the “2022 Facility Agreement”). The interest rate is prime plus 115 basis points where prime is based on the Loan Prime Rate published by the National Inter-bank Funding Center of China and is payable on a quarterly basis. The loan facilities can only be used for the manufacturing capacity expansion at the Group’s facility located in Huzhou, China. The 2022 Facility Agreement contains certain customary restrictive covenants, including but not limited to disposal of assets and dividend distribution without the consent of the lender, and certain customary events of default.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Group had outstanding borrowings of $56,136 under the 2022 Facility Agreement.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Repayment Date</w:t>
            </w:r>
          </w:p>
        </w:tc>
        <w:tc>
          <w:tcPr>
            <w:tcW w:w="376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Repayment Amount</w:t>
            </w:r>
          </w:p>
        </w:tc>
      </w:tr>
      <w:tr>
        <w:trPr>
          <w:trHeight w:val="223"/>
        </w:trPr>
        <w:tc>
          <w:tcPr>
            <w:tcW w:w="7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10, 2025</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2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(RMB68.7 million)</w:t>
            </w:r>
          </w:p>
        </w:tc>
      </w:tr>
      <w:tr>
        <w:trPr>
          <w:trHeight w:val="230"/>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11,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(RMB31.2 million)</w:t>
            </w:r>
          </w:p>
        </w:tc>
      </w:tr>
      <w:tr>
        <w:trPr>
          <w:trHeight w:val="229"/>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10, 2026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(RMB149.9 million)</w:t>
            </w:r>
          </w:p>
        </w:tc>
      </w:tr>
      <w:tr>
        <w:trPr>
          <w:trHeight w:val="23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10,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(RMB149.9 million)</w:t>
            </w:r>
          </w:p>
        </w:tc>
      </w:tr>
    </w:tbl>
    <w:p>
      <w:pPr>
        <w:spacing w:after="0" w:line="2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capitalized interest expenses, which was recorded in construction in progress and property, plant and equipment, was $231 and $65 for the three months ended September 30, 2025 and 2024, respectively, and $755 and $65 for the nine months ended September 30, 2025 and 2024,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has also entered into short-term loan agreements and bank facilities with certain banks in China. The original terms of these loans are with a maximum maturity of 12 months and the interest rates range from 2.90% to 4.85% per annum. The amount of interest expenses, which was recorded in profit and loss was $364 and $443 for the three months ended September 30, 2025 and 2024, respectively, and $1,225 and $949 for the nine months ended September 30, 2025 and 2024,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Changes in bank borrowings are as follows:</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940" w:type="dxa"/>
            <w:vAlign w:val="bottom"/>
          </w:tcPr>
          <w:p>
            <w:pPr>
              <w:spacing w:after="0"/>
              <w:rPr>
                <w:sz w:val="24"/>
                <w:szCs w:val="24"/>
                <w:color w:val="auto"/>
              </w:rPr>
            </w:pPr>
          </w:p>
        </w:tc>
        <w:tc>
          <w:tcPr>
            <w:tcW w:w="29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gridSpan w:val="6"/>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117,347</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94,237</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79,153</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principal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(65,965)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difference</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118,786</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119,574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118,786</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119,574</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of bank borrowings includes:</w:t>
            </w:r>
          </w:p>
        </w:tc>
        <w:tc>
          <w:tcPr>
            <w:tcW w:w="10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70,666</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0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41,062</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118,786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111,728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BANK BORROWINGS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assets of the Group have been pledged to secure the above bank facilities granted to the Group. The aggregate carrying amount of the assets pledged by the Group as of September 30, 2025 and December 31, 2024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7"/>
                <w:szCs w:val="17"/>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0" w:type="dxa"/>
            <w:vAlign w:val="bottom"/>
          </w:tcPr>
          <w:p>
            <w:pPr>
              <w:spacing w:after="0"/>
              <w:rPr>
                <w:sz w:val="1"/>
                <w:szCs w:val="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60,991</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use rights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0" w:type="dxa"/>
            <w:vAlign w:val="bottom"/>
          </w:tcPr>
          <w:p>
            <w:pPr>
              <w:spacing w:after="0"/>
              <w:rPr>
                <w:sz w:val="1"/>
                <w:szCs w:val="1"/>
                <w:color w:val="auto"/>
              </w:rPr>
            </w:pP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22"/>
                <w:szCs w:val="22"/>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48"/>
        </w:trPr>
        <w:tc>
          <w:tcPr>
            <w:tcW w:w="7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184,384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191,863</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OTHER NON-CURRENT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4"/>
                <w:szCs w:val="24"/>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 non-current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subsidy income- non-current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payable</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33,984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30,003</w:t>
            </w:r>
          </w:p>
        </w:tc>
        <w:tc>
          <w:tcPr>
            <w:tcW w:w="0" w:type="dxa"/>
            <w:vAlign w:val="bottom"/>
          </w:tcPr>
          <w:p>
            <w:pPr>
              <w:spacing w:after="0"/>
              <w:rPr>
                <w:sz w:val="1"/>
                <w:szCs w:val="1"/>
                <w:color w:val="auto"/>
              </w:rPr>
            </w:pPr>
          </w:p>
        </w:tc>
      </w:tr>
      <w:tr>
        <w:trPr>
          <w:trHeight w:val="20"/>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BONDS PAYABLE</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4"/>
                <w:szCs w:val="24"/>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bonds payable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Huzhou Saiyuan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43,157</w:t>
            </w:r>
          </w:p>
        </w:tc>
        <w:tc>
          <w:tcPr>
            <w:tcW w:w="0" w:type="dxa"/>
            <w:vAlign w:val="bottom"/>
          </w:tcPr>
          <w:p>
            <w:pPr>
              <w:spacing w:after="0"/>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41,693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Huzhou Saiyuan Loan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29, 2018, Microvast Power Systems Co., Ltd.(“MPS”), one of the Company’s subsidiaries, signed an agreement with Huzhou Saiyuan, an entity established by the local government, to issue convertible bonds to Huzhou Saiyuan for a total consideration of $87,776 (RMB600 million). The Company pledged its 12.39% equity holding over MPS to Huzhou Saiyuan to facilitate the issuance of these convertible bonds.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subscribed bonds are not repaid by the maturity date, Huzhou Saiyuan has the right to dispose of the equity interests pledged by the Company in proportion to the amount of matured bonds, or convert the bonds into equity interests of MPS within 60 days after the maturity date. If Huzhou Saiyuan decides to convert the bonds into equity interests of MPS, the equity interests pledged would be released and the convertible bonds would be converted into equity interest of MPS based on an entity value of MPS of $950,000.</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2020 and 2022, MPS entered into two supplemental agreements with Huzhou Saiyuan, respectively, to change the repayment schedule as follows: (i) $14,629 (RMB100 million) was repaid, together with interest accrued, on or before November 10, 2022, (ii) $14,630 (RMB100 million) was repaid, together with interest accrued, on or before December 31, 2022 and (iii) the remaining $43,888 (RMB300 million) will be repaid, together with interest accrued, on or before January 31, 2027. The applicable interest rate will be increased to 12% if the Group is in default on the repayment of the bonds at the due date. The remaining terms and conditions of the convertible bonds were unchanged. The Company has fully complied with the amended</w:t>
      </w:r>
    </w:p>
    <w:p>
      <w:pPr>
        <w:spacing w:after="0" w:line="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repayment schedule. With $692 (RMB5 million) repaid in 2023 and $1,375 (RMB10 million) repaid in nine months ended September 30, 2025, the subscription and outstanding balance of the convertible bonds was $41,693 (RMB285 million) as of September 30, 2025.</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assumed 27,600,000 publicly-traded warrants (“Public Warrants”) and 837,000 private placement warrants issued to Tuscan Holdings Acquisition LLC (the “Sponsor”) and EarlyBirdCapital, Inc. (“EarlyBirdCapital”) (“Private Warrants” and together with the Public Warrants, the “Warrants”) upon the Business Combination, all of which were issued in connection with Tuscan’s initial public offering (other than 150,000 Private Warrants that were issued in connection with the closing of the Business Combination) and entitle the holder to purchase one share of the Company’s Common Stock at an exercise price of $11.50 per share. During the three and nine months ended September 30, 2025, none of the Public Warrants or the Private Warrants were exercised.</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Public Warrants became exercisable 30 days after the completion of the Business Combination. The Public Warrants are only exercisable for cash, however, if the Company were to not maintain the effectiveness of the registration statement covering the shares of Common Stock issuable upon exercise of the Public Warrants, the Public Warrants would be exercisable on a net-share settlement basis. The Public Warrants will expire five years after the completion of the Business Combination or earlier upon redemption or liquidation.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became exercisable, the Company may redeem the Public Warrants:</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Company’s Common Stock equals or exceeds $18.00 per share for any 20-trading days within a 30-trading day period ending on the third business day prior to the notice of redemption to the warrant holders; and</w:t>
      </w: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the warrants.</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net-share settlement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Warrants were determined to be equity classified in accordance with ASC 815, Derivatives and Hedging.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Business Combination.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Warrants may be adjusted in certain circumstances including in the event of a stock dividend, recapitalization, reorganization, merger or consolidation. However, the Warrants will not be adjusted for the issuance of Common Stock at a price below its exercise price. Additionally, in no event will the Company be required to net cash settle the Warrants.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Private Warrant liability was remeasured at fair value as of September 30, 2025 and 2024, resulting in gain of $147 and $2 for the three months ended September 30, 2025 and 2024 respectively, and gain of $3 and $66 for the nine months ended September 30, 2025 and 2024 respectively. This was recorded within changes in fair value of warrant liability in the unaudited condensed consolidated statements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Warrants were valued using the following assumptions under the Monte Carlo Model that assumes optimal exercise of the Company’s redemption option at the earliest possible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95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30"/>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101.48 %</w:t>
            </w:r>
          </w:p>
        </w:tc>
      </w:tr>
      <w:tr>
        <w:trPr>
          <w:trHeight w:val="229"/>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r>
      <w:tr>
        <w:trPr>
          <w:trHeight w:val="234"/>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price of public stock is the quoted market price of the Company’s Common Stock as of the valuation date. The exercise price is extracted from the warrant agreement. The expected term is derived from the exercisable years based on the warrant agreement. The expected volatility is a blend of implied volatility from the Company’s own public warrant pricing, the average volatility of peer companies and the Company's historical volatility. The risk-free interest rate was estimated based on the market yield of a U.S. Government Bond with a maturity close to the expected term of the warrants. The dividend yield was estimated by the Company based on its expected dividend policy over the expected term of the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2024, the Company also issued a warrant exercisable for 5,500,000 shares of Common Stock at an initial exercise price of $2.00 per share. The Warrant expires on May 28, 2029 in connection with the Convertible Loan. The warrants were recorded in equity at fair value. See Note 14 – Convertible Loan measured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or disclosed at fair value on a recurring basis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measured its financial assets and liabilities, including cash and cash equivalents, restricted cash, warrant liability and Convertible Loan at fair value on a recurring basis. Cash and cash equivalents and restricted cash are classified within Level 1 of the fair value hierarchy because they are valued based on the quoted market price in an active market. The fair value of the warrant liability and Convertible Loan are based on significant unobservable inputs, which represent Level 3 measurements within the fair value hierarchy. In determining the fair value of the warrant liability, the Company used the Monte Carlo Model that assumes optimal exercise of the Company’s redemption option at the earliest possible date. See Note 14 – Convertible Loan measured at fair value for disclosure of valuation model utilized in measuring the fair value of Convertible Loan.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or disclosed at fair value on a recurring basis - continued</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information about inputs for the fair value measurements of the Group’s assets and liabilities that are measured at fair value on a recurring basis in periods subsequent to their initial recognition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0" w:type="dxa"/>
            <w:vAlign w:val="bottom"/>
            <w:gridSpan w:val="8"/>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 Measurement as of September 30, 2025</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Active Market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Identical Assets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380" w:type="dxa"/>
            <w:vAlign w:val="bottom"/>
          </w:tcPr>
          <w:p>
            <w:pPr>
              <w:spacing w:after="0"/>
              <w:rPr>
                <w:sz w:val="16"/>
                <w:szCs w:val="16"/>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90,748</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90,748</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51,879</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142,627</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142,627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loan measured at fair value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193,474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193,474</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193,761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193,761</w:t>
            </w:r>
          </w:p>
        </w:tc>
        <w:tc>
          <w:tcPr>
            <w:tcW w:w="0" w:type="dxa"/>
            <w:vAlign w:val="bottom"/>
          </w:tcPr>
          <w:p>
            <w:pPr>
              <w:spacing w:after="0"/>
              <w:rPr>
                <w:sz w:val="1"/>
                <w:szCs w:val="1"/>
                <w:color w:val="auto"/>
              </w:rPr>
            </w:pPr>
          </w:p>
        </w:tc>
      </w:tr>
      <w:tr>
        <w:trPr>
          <w:trHeight w:val="561"/>
        </w:trPr>
        <w:tc>
          <w:tcPr>
            <w:tcW w:w="4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Fair Value Measurement as of December 31, 2024</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Active Market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6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for Identical Assets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rPr>
              <w:t>Unobservable Inputs</w:t>
            </w:r>
          </w:p>
        </w:tc>
        <w:tc>
          <w:tcPr>
            <w:tcW w:w="380" w:type="dxa"/>
            <w:vAlign w:val="bottom"/>
          </w:tcPr>
          <w:p>
            <w:pPr>
              <w:spacing w:after="0"/>
              <w:rPr>
                <w:sz w:val="15"/>
                <w:szCs w:val="15"/>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73,007</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73,007</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36,594</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109,601</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109,601</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loan measured at fair value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104,613</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104,903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104,903</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beginning and ending balances for Level 3 warrant liability during the nine months ended September 30, 2025 and 2024:</w:t>
      </w:r>
    </w:p>
    <w:p>
      <w:pPr>
        <w:spacing w:after="0" w:line="19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20" w:type="dxa"/>
            <w:vAlign w:val="bottom"/>
            <w:tcBorders>
              <w:top w:val="single" w:sz="8" w:color="CCEEFF"/>
            </w:tcBorders>
            <w:shd w:val="clear" w:color="auto" w:fill="CCEEFF"/>
          </w:tcPr>
          <w:p>
            <w:pPr>
              <w:spacing w:after="0"/>
              <w:rPr>
                <w:sz w:val="19"/>
                <w:szCs w:val="19"/>
                <w:color w:val="auto"/>
              </w:rPr>
            </w:pPr>
          </w:p>
        </w:tc>
        <w:tc>
          <w:tcPr>
            <w:tcW w:w="4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412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4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4120" w:type="dxa"/>
            <w:vAlign w:val="bottom"/>
          </w:tcPr>
          <w:p>
            <w:pPr>
              <w:spacing w:after="0"/>
              <w:rPr>
                <w:sz w:val="19"/>
                <w:szCs w:val="19"/>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120" w:type="dxa"/>
            <w:vAlign w:val="bottom"/>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0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20" w:type="dxa"/>
            <w:vAlign w:val="bottom"/>
            <w:tcBorders>
              <w:bottom w:val="single" w:sz="8" w:color="9A9A9A"/>
            </w:tcBorders>
          </w:tcPr>
          <w:p>
            <w:pPr>
              <w:spacing w:after="0"/>
              <w:rPr>
                <w:sz w:val="8"/>
                <w:szCs w:val="8"/>
                <w:color w:val="auto"/>
              </w:rPr>
            </w:pPr>
          </w:p>
        </w:tc>
        <w:tc>
          <w:tcPr>
            <w:tcW w:w="4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or disclosed at fair value on a recurring basis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beginning and ending balances for Level 3 Convertible Loan during the nine months ended September 30,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360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2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104,613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convertible loan</w:t>
            </w:r>
          </w:p>
        </w:tc>
        <w:tc>
          <w:tcPr>
            <w:tcW w:w="10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25,944</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91,005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193,474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24,423</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or disclosed at fair value on a nonrecurring basis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assets measured at fair value on a nonrecurring basis include long-lived assets. The Company reviews the carrying amounts of such assets when events indicate that their carrying amounts may not be recoverable. Any resulting asset impairment would require that the asset be recorded at its fair value. The fair value of the asset or asset group is determined using cost approach, sales comparison approach and income capitalization approach with unobservable inputs (Level 3), depending on the underlying nature of the asset or the asset group.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has operating leases for office spaces and warehouses. Certain leases include renewal options and/or termination options, which are factored into the Group's determination of lease payments when appropriate.</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Operating lease cost for the three months ended September 30, 2025 and 2024 was $849 and $883</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and for the nine months ended September 30, 2025 and 2024 was $2,550 and $2,602 respectively, which excluded cost of short-term contracts. Short-term lease cost for the three months ended September 30, 2025 and 2024 was $45 and $79</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and for the nine months ended September 30, 2025 and 2024 was $136 and $383, respectively.</w:t>
      </w:r>
    </w:p>
    <w:p>
      <w:pPr>
        <w:spacing w:after="0" w:line="1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weighted average remaining lease term was 8.8 years and weighted average discount rate was 5.1% for the Group's operating leases.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of the leases were as follows: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8"/>
        </w:trPr>
        <w:tc>
          <w:tcPr>
            <w:tcW w:w="8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89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25"/>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234"/>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 - continued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for lease liabilities as of September 30, 2025:</w:t>
            </w:r>
          </w:p>
        </w:tc>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86"/>
        </w:trPr>
        <w:tc>
          <w:tcPr>
            <w:tcW w:w="89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As of September 30, 2025</w:t>
            </w: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Three-month period ending December 31,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9"/>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29"/>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r>
      <w:tr>
        <w:trPr>
          <w:trHeight w:val="223"/>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lease payments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22,032</w:t>
            </w: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17,925</w:t>
            </w:r>
          </w:p>
        </w:tc>
      </w:tr>
      <w:tr>
        <w:trPr>
          <w:trHeight w:val="20"/>
        </w:trPr>
        <w:tc>
          <w:tcPr>
            <w:tcW w:w="8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SHARE-BASED PAYMENT</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July 21, 2021, the Company adopted the Microvast Holdings, Inc. 2021 Equity Incentive Plan (the “2021 Plan”), effective upon the Closing Date. The 2021 Plan provides for the grant of incentive and non-qualified stock options, restricted stock units, restricted share awards, stock appreciation awards, and cash-based awards to employees, directors, and consultants of the Company. Options awarded under the 2021 Plan expire no more than 10 years from the date of grant. Concurrently with the closing of the Business Combination, the share awards granted under 2012 Share Incentive Plan of Microvast, Inc. (the “2012 Plan”) were rolled over by removing original performance conditions and converting into options and capped non-vested share units with modified vesting schedules, using the Common Exchange Ratio of 160.3. The 2021 Plan reserved 5% of the fully-diluted shares of Common Stock outstanding immediately following the Closing Date plus the shares underlying the awards rolled over from the 2012 Plan for issuance in accordance with the 2021 Plan’s terms.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fair value of the stock options was determined using the Black-Scholes-Merton model with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9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3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w:t>
            </w:r>
          </w:p>
        </w:tc>
      </w:tr>
      <w:tr>
        <w:trPr>
          <w:trHeight w:val="25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terms (years)</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5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109.06 %</w:t>
            </w:r>
          </w:p>
        </w:tc>
      </w:tr>
      <w:tr>
        <w:trPr>
          <w:trHeight w:val="25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r>
      <w:tr>
        <w:trPr>
          <w:trHeight w:val="257"/>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yields</w:t>
            </w:r>
          </w:p>
        </w:tc>
        <w:tc>
          <w:tcPr>
            <w:tcW w:w="18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5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2.99</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exercise prices for each award were extracted from the option agreements. The expected terms for each award were derived using the simplified method, and is estimated to occur at the midpoint of the vesting date and the expiration date. The volatility of the underlying common stock during the lives of the options was a blend of implied volatility from the average volatility of peer companies, implied volatility and the Company's historical volatility. Risk-free interest rate was estimated based on the market yield of U.S. Government Bonds with maturity close to the expected term of the options.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SHARE-BASED PAYMENT - 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 -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yield was estimated by the Company based on its expected dividend policy over the expected term of the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activity for the nine months ended September 30, 2025 and 2024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0"/>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 life</w:t>
            </w:r>
          </w:p>
        </w:tc>
        <w:tc>
          <w:tcPr>
            <w:tcW w:w="80" w:type="dxa"/>
            <w:vAlign w:val="bottom"/>
            <w:vMerge w:val="restart"/>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vMerge w:val="restart"/>
          </w:tcPr>
          <w:p>
            <w:pPr>
              <w:spacing w:after="0"/>
              <w:rPr>
                <w:sz w:val="15"/>
                <w:szCs w:val="15"/>
                <w:color w:val="auto"/>
              </w:rPr>
            </w:pPr>
          </w:p>
        </w:tc>
        <w:tc>
          <w:tcPr>
            <w:tcW w:w="168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gridSpan w:val="2"/>
          </w:tcPr>
          <w:p>
            <w:pPr>
              <w:jc w:val="center"/>
              <w:ind w:right="14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6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38"/>
        </w:trPr>
        <w:tc>
          <w:tcPr>
            <w:tcW w:w="45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Fair Value (US $)</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0" w:type="dxa"/>
            <w:vAlign w:val="bottom"/>
          </w:tcPr>
          <w:p>
            <w:pPr>
              <w:spacing w:after="0"/>
              <w:rPr>
                <w:sz w:val="1"/>
                <w:szCs w:val="1"/>
                <w:color w:val="auto"/>
              </w:rPr>
            </w:pPr>
          </w:p>
        </w:tc>
      </w:tr>
      <w:tr>
        <w:trPr>
          <w:trHeight w:val="25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32,701,399</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(6,514,093)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26,453,972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to vest and exercisable as of September 30,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26,453,972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September 30, 2025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24,320,639</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32,876,682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(1,521,350)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31,355,332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to vest and exercisable as of September 30,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31,355,332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September 30,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30,088,665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recorded share-based compensation expense of $(143) and $3,176 related to the option awards, respectively. During the nine months ended September 30, 2025 and 2024, the Company recorded share-based compensation expense of $267 and $25,489 related to the option awards,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unrecognized equity-based compensation costs as of September 30, 2025 related to the stock options was $1,419, which is expected to be recognized over a weighted-average period of 1.9 years. The aggregate intrinsic value of the stock options as of September 30, 2025 was $5,906.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Business Combination, the Company granted 5,770,564 restricted stock units (“RSUs”) and 3,290,953 performance-based restricted stock units (“PSUs”)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total stockholder return (“TSR”) relative to a comparator group during a specified performance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SHARE-BASED PAYMENT -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 - continued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RSUs is determined by the market closing price of Common Stock at the grant date and is amortized over the vesting period on a straight-line basis. The fair value of PSUs that include vesting based on market conditions are estimated using the Monte Carlo valuation method. For PSUs with performance conditions, share-based compensation expense is only recognized if the performance conditions become probable to be satisfied. Compensation cost for these awards is amortized on a straight-line basis over the vesting period based on the grant date fair value, regardless of whether the</w:t>
      </w:r>
    </w:p>
    <w:p>
      <w:pPr>
        <w:spacing w:after="0" w:line="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market condition is satisfied. Accordingly, the Company recorded share-based compensation expense of $641 and $1,509 related to RSUs and $256 and $527 related to PSUs during the three and nine months ended September 30, 2025. During the three and nine months ended September 30, 2024, the Company recorded share-based compensation expense of $358 and $1,058 related to these RSUs and $2,463 and $971 related to PSUs.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 non-vested RSUs activity for the nine months ended September 30, 2025 and 2024 was as follows: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500" w:type="dxa"/>
            <w:vAlign w:val="bottom"/>
          </w:tcPr>
          <w:p>
            <w:pPr>
              <w:spacing w:after="0"/>
              <w:rPr>
                <w:sz w:val="24"/>
                <w:szCs w:val="24"/>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Non-Vested</w:t>
            </w: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 Share (U.S.$)</w:t>
            </w:r>
          </w:p>
        </w:tc>
        <w:tc>
          <w:tcPr>
            <w:tcW w:w="0" w:type="dxa"/>
            <w:vAlign w:val="bottom"/>
          </w:tcPr>
          <w:p>
            <w:pPr>
              <w:spacing w:after="0"/>
              <w:rPr>
                <w:sz w:val="1"/>
                <w:szCs w:val="1"/>
                <w:color w:val="auto"/>
              </w:rPr>
            </w:pPr>
          </w:p>
        </w:tc>
      </w:tr>
      <w:tr>
        <w:trPr>
          <w:trHeight w:val="223"/>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3,423,305</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1,222,694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(587,553)</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(155,328)</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3,903,118</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50"/>
        </w:trPr>
        <w:tc>
          <w:tcPr>
            <w:tcW w:w="75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3,598,606</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79,909</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(503,505)</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(777,206)</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2,397,804</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unrecognized equity-based compensation costs as of September 30, 2025 related to the non-vested shares was $4,319.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classification of share-based compensation: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74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3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9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w:t>
            </w: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30,311</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892"/>
        </w:trPr>
        <w:tc>
          <w:tcPr>
            <w:tcW w:w="3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1"/>
        </w:trPr>
        <w:tc>
          <w:tcPr>
            <w:tcW w:w="39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CONVERTIBLE LOAN MEASURED AT FAIR VALUE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2024, Microvast Holdings, Inc. entered into a $25,000 convertible loan agreement (the “Loan Agreement”) with Mr. Yang Wu, the Company’s Chief Executive Officer and Chairman.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 includes an Initial Term Loan of $12,000 and a Delayed Draw Term Loan of $13,000 at an initial interest rate equal to the Secured Overnight Financing Rate (“SOFR”), plus an initial Applicable Margin of 9.75% per annum, 3.75% of which shall be paid in kind rather than in cash (collectively, the “Convertible Loan”). The maturity date is May 28, 2026, which may be accelerated upon the occurrence and continuance of an event of default in accordance with the terms of the Loan Agreement. The Loan Agreement also provides Mr. Wu with the right to convert the outstanding principal balance of the Loan, into shares of common stock at an initial conversion rate equal to two shares of Common Stock per $1.00 of principal amount to be converted.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Term Loan of $12,000 was received in May 2024 and the Delayed Draw Term Loan of $13,000 was received in July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the First Amendment (the “First Amendment”) to its Loan and Security Agreement with Mr. Yang Wu. The First Amendment amends the Loan Agreement to extend the Maturity Date from November 28, 2025 to May 28, 2026. All other terms and conditions of the Loan Agreement remain the same. The modification of term is treated as a continuation of the original debt instrument.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Loans are secured by a first priority security interest in substantially all of the assets of Microvast Holdings, Inc. and all other entities within the Group as guarantors.</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Group has elected the fair value option to account for the Convertible Loan. Direct costs and fees related to the Convertible Loan were expensed as incurred. The fair value was determined by using a discounted cash flow model for the bond component and a Black-Scholes-Merton model for the conversion option, which is considered a Level 3 fair value measurement. Subsequent changes in the fair value are recorded as gains/(losses) in the unaudited condensed consolidated statement of operation. During the three months ended September 30, 2025 and 2024, (losses)/gains of $(12,788) and $2,764 on fair value change of Convertible Loan were recorded respectively. During the nine months ended September 30, 2025 and 2024, (losses)/gains of</w:t>
      </w:r>
    </w:p>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$(91,005) and $1,174 on fair value change of Convertible Loan were recorded, respectively. The fair value of the Convertible Loan liability was $193,474 as of September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input of the discounted cash flow model for the bond component is the discount rate. Below are the key inputs used in the Black-Scholes-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Merton model for the conversion option: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September 30, 2025</w:t>
            </w:r>
          </w:p>
        </w:tc>
      </w:tr>
      <w:tr>
        <w:trPr>
          <w:trHeight w:val="223"/>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0.50</w:t>
            </w:r>
          </w:p>
        </w:tc>
      </w:tr>
      <w:tr>
        <w:trPr>
          <w:trHeight w:val="23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r>
      <w:tr>
        <w:trPr>
          <w:trHeight w:val="230"/>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76.76 %</w:t>
            </w:r>
          </w:p>
        </w:tc>
      </w:tr>
      <w:tr>
        <w:trPr>
          <w:trHeight w:val="230"/>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234"/>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3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market price of public stock is the quoted market price of the Company’s Common Stock as of the valuation date. The exercise price is extracted from the warrant agreement. The expected term is assumed to be until the end of expiration based on the loan agreement. The expected volatility is estimated using a blend of the average volatility of peer companies and the Company's historical volatility. The risk-free interest rate was estimated based on the market yield of U.S. Government Bond with maturity close to the expected term of the warrants. The dividend yield was estimated by the Company based on its expected dividend policy over the expected term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CONVERTIBLE LOAN MEASURED AT FAIR VALUE - continued</w:t>
      </w:r>
    </w:p>
    <w:p>
      <w:pPr>
        <w:spacing w:after="0" w:line="200" w:lineRule="exact"/>
        <w:rPr>
          <w:sz w:val="20"/>
          <w:szCs w:val="20"/>
          <w:color w:val="auto"/>
        </w:rPr>
      </w:pPr>
    </w:p>
    <w:p>
      <w:pPr>
        <w:spacing w:after="0" w:line="2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Convertible Loan on May 28, 2024, the Company issued to Mr. Wu a warrant exercisable for 5,500,000 shares of Common Stock at an initial exercise price of $2.00 per share. The warrant expires on May 28, 2029. No warrants were exercised during the period ended September 30, 2025. As of September 30, 2025, 5,500,000 warrants were outstanding. The warrants were classified as equity and recorded at fair value upon issuance, No subsequent changes in fair value were recognized after the issuance date. Upon issuance, the Company recorded $779 in additional paid in capital at fair value.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periods indicated: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Net profit/(loss) attributable to common share</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stockholders-Basic</w:t>
            </w:r>
          </w:p>
        </w:tc>
        <w:tc>
          <w:tcPr>
            <w:tcW w:w="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convertible loan</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Net (loss)/profit attributable to common share</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stockholders-Dilutive</w:t>
            </w:r>
          </w:p>
        </w:tc>
        <w:tc>
          <w:tcPr>
            <w:tcW w:w="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80" w:right="140" w:hanging="161"/>
        <w:spacing w:after="0" w:line="234" w:lineRule="auto"/>
        <w:rPr>
          <w:sz w:val="20"/>
          <w:szCs w:val="20"/>
          <w:color w:val="auto"/>
        </w:rPr>
      </w:pPr>
      <w:r>
        <w:rPr>
          <w:rFonts w:ascii="Times New Roman" w:cs="Times New Roman" w:eastAsia="Times New Roman" w:hAnsi="Times New Roman"/>
          <w:sz w:val="18"/>
          <w:szCs w:val="18"/>
          <w:b w:val="1"/>
          <w:bCs w:val="1"/>
          <w:color w:val="auto"/>
        </w:rPr>
        <w:t>Weighted average common stock used in computing basic net (loss)/profit per share</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effect of dilutive stocks: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Add:</w:t>
      </w:r>
    </w:p>
    <w:p>
      <w:pPr>
        <w:spacing w:after="0" w:line="23" w:lineRule="exact"/>
        <w:rPr>
          <w:sz w:val="20"/>
          <w:szCs w:val="20"/>
          <w:color w:val="auto"/>
        </w:rPr>
      </w:pPr>
    </w:p>
    <w:p>
      <w:pPr>
        <w:ind w:left="20" w:right="180"/>
        <w:spacing w:after="0" w:line="234" w:lineRule="auto"/>
        <w:rPr>
          <w:sz w:val="20"/>
          <w:szCs w:val="20"/>
          <w:color w:val="auto"/>
        </w:rPr>
      </w:pPr>
      <w:r>
        <w:rPr>
          <w:rFonts w:ascii="Times New Roman" w:cs="Times New Roman" w:eastAsia="Times New Roman" w:hAnsi="Times New Roman"/>
          <w:sz w:val="18"/>
          <w:szCs w:val="18"/>
          <w:i w:val="1"/>
          <w:iCs w:val="1"/>
          <w:color w:val="auto"/>
        </w:rPr>
        <w:t>Diluted effect of shares issuable upon exercise of stock options</w:t>
      </w:r>
    </w:p>
    <w:p>
      <w:pPr>
        <w:spacing w:after="0" w:line="8" w:lineRule="exact"/>
        <w:rPr>
          <w:sz w:val="20"/>
          <w:szCs w:val="20"/>
          <w:color w:val="auto"/>
        </w:rPr>
      </w:pPr>
    </w:p>
    <w:p>
      <w:pPr>
        <w:ind w:left="20" w:right="220"/>
        <w:spacing w:after="0" w:line="238" w:lineRule="auto"/>
        <w:rPr>
          <w:sz w:val="20"/>
          <w:szCs w:val="20"/>
          <w:color w:val="auto"/>
        </w:rPr>
      </w:pPr>
      <w:r>
        <w:rPr>
          <w:rFonts w:ascii="Times New Roman" w:cs="Times New Roman" w:eastAsia="Times New Roman" w:hAnsi="Times New Roman"/>
          <w:sz w:val="18"/>
          <w:szCs w:val="18"/>
          <w:i w:val="1"/>
          <w:iCs w:val="1"/>
          <w:color w:val="auto"/>
        </w:rPr>
        <w:t>Diluted effect of shares issuable upon exercise of non-vested shares</w:t>
      </w:r>
    </w:p>
    <w:p>
      <w:pPr>
        <w:spacing w:after="0" w:line="8" w:lineRule="exact"/>
        <w:rPr>
          <w:sz w:val="20"/>
          <w:szCs w:val="20"/>
          <w:color w:val="auto"/>
        </w:rPr>
      </w:pPr>
    </w:p>
    <w:p>
      <w:pPr>
        <w:ind w:left="20" w:right="600"/>
        <w:spacing w:after="0" w:line="238" w:lineRule="auto"/>
        <w:rPr>
          <w:sz w:val="20"/>
          <w:szCs w:val="20"/>
          <w:color w:val="auto"/>
        </w:rPr>
      </w:pPr>
      <w:r>
        <w:rPr>
          <w:rFonts w:ascii="Times New Roman" w:cs="Times New Roman" w:eastAsia="Times New Roman" w:hAnsi="Times New Roman"/>
          <w:sz w:val="18"/>
          <w:szCs w:val="18"/>
          <w:i w:val="1"/>
          <w:iCs w:val="1"/>
          <w:color w:val="auto"/>
        </w:rPr>
        <w:t>Diluted effect of shares issuable upon exercise of Capped non-vested shares</w:t>
      </w:r>
    </w:p>
    <w:p>
      <w:pPr>
        <w:spacing w:after="0" w:line="8" w:lineRule="exact"/>
        <w:rPr>
          <w:sz w:val="20"/>
          <w:szCs w:val="20"/>
          <w:color w:val="auto"/>
        </w:rPr>
      </w:pPr>
    </w:p>
    <w:p>
      <w:pPr>
        <w:ind w:left="20" w:right="380"/>
        <w:spacing w:after="0" w:line="238" w:lineRule="auto"/>
        <w:rPr>
          <w:sz w:val="20"/>
          <w:szCs w:val="20"/>
          <w:color w:val="auto"/>
        </w:rPr>
      </w:pPr>
      <w:r>
        <w:rPr>
          <w:rFonts w:ascii="Times New Roman" w:cs="Times New Roman" w:eastAsia="Times New Roman" w:hAnsi="Times New Roman"/>
          <w:sz w:val="18"/>
          <w:szCs w:val="18"/>
          <w:i w:val="1"/>
          <w:iCs w:val="1"/>
          <w:color w:val="auto"/>
        </w:rPr>
        <w:t>Diluted effect of shares issuable upon conversion of convertible loan</w:t>
      </w:r>
    </w:p>
    <w:p>
      <w:pPr>
        <w:spacing w:after="0" w:line="6" w:lineRule="exact"/>
        <w:rPr>
          <w:sz w:val="20"/>
          <w:szCs w:val="20"/>
          <w:color w:val="auto"/>
        </w:rPr>
      </w:pPr>
    </w:p>
    <w:p>
      <w:pPr>
        <w:ind w:left="20" w:right="260"/>
        <w:spacing w:after="0" w:line="239" w:lineRule="auto"/>
        <w:rPr>
          <w:sz w:val="20"/>
          <w:szCs w:val="20"/>
          <w:color w:val="auto"/>
        </w:rPr>
      </w:pPr>
      <w:r>
        <w:rPr>
          <w:rFonts w:ascii="Times New Roman" w:cs="Times New Roman" w:eastAsia="Times New Roman" w:hAnsi="Times New Roman"/>
          <w:sz w:val="18"/>
          <w:szCs w:val="18"/>
          <w:b w:val="1"/>
          <w:bCs w:val="1"/>
          <w:color w:val="auto"/>
        </w:rPr>
        <w:t>Weighted average stock used in computing diluted net (loss)/profit per share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4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623"/>
        </w:trPr>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(1,489)</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(45,757)</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(113,134)</w:t>
            </w:r>
          </w:p>
        </w:tc>
      </w:tr>
      <w:tr>
        <w:trPr>
          <w:trHeight w:val="234"/>
        </w:trPr>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9"/>
        </w:trPr>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(1,489)</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10,483</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(45,757)</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(113,134)</w:t>
            </w:r>
          </w:p>
        </w:tc>
      </w:tr>
      <w:tr>
        <w:trPr>
          <w:trHeight w:val="648"/>
        </w:trPr>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323,755,691</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320,545,388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323,611,063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317,153,113</w:t>
            </w:r>
          </w:p>
        </w:tc>
      </w:tr>
      <w:tr>
        <w:trPr>
          <w:trHeight w:val="878"/>
        </w:trPr>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1,654,338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43,782,609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9"/>
        </w:trPr>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323,755,691</w:t>
            </w: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367,031,181</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323,611,063</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317,153,113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-2442845</wp:posOffset>
            </wp:positionV>
            <wp:extent cx="7132320" cy="2442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44284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-2854325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-3007995</wp:posOffset>
            </wp:positionV>
            <wp:extent cx="22974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300"/>
            <w:col w:w="6800"/>
          </w:cols>
          <w:pgMar w:left="320" w:top="121" w:right="3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(loss)/profit per share</w:t>
            </w:r>
          </w:p>
        </w:tc>
        <w:tc>
          <w:tcPr>
            <w:tcW w:w="15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7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(loss)/profit per share</w:t>
            </w:r>
          </w:p>
        </w:tc>
        <w:tc>
          <w:tcPr>
            <w:tcW w:w="152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7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7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r>
      <w:tr>
        <w:trPr>
          <w:trHeight w:val="896"/>
        </w:trPr>
        <w:tc>
          <w:tcPr>
            <w:tcW w:w="3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26</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1"/>
        </w:trPr>
        <w:tc>
          <w:tcPr>
            <w:tcW w:w="33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LOSS PER SHARE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following shares of Common Stock outstanding were excluded from the calculation of diluted net loss per share, as their inclusion would have been anti-dilutive for the periods prescribed.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7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6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860" w:type="dxa"/>
            <w:vAlign w:val="bottom"/>
            <w:tcBorders>
              <w:bottom w:val="single" w:sz="8" w:color="CCEEFF"/>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stock options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27,140,157</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31,431,068</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28,998,642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31,812,977</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vesting of non-vested shares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3,950,517</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1,371,685</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3,753,591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2,646,585</w:t>
            </w:r>
          </w:p>
        </w:tc>
      </w:tr>
      <w:tr>
        <w:trPr>
          <w:trHeight w:val="176"/>
        </w:trPr>
        <w:tc>
          <w:tcPr>
            <w:tcW w:w="3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issuable upon vesting of capped non-vested</w:t>
            </w: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4,950,938</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33,937,000</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33,937,000</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33,937,000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30,946,124</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vesting of earn-out shares</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4,999,997</w:t>
            </w:r>
          </w:p>
        </w:tc>
        <w:tc>
          <w:tcPr>
            <w:tcW w:w="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14,963,495</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that may be subject to cancellation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1,687,500</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1,687,500</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1,687,500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1,687,500</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convertible loan</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17,678,832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Governance Actions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Stephen Vogel, Ruth Epstein, Stefan Selig, Richard Rieger, Amy Butte, Yang Wu and Yanzhuan Zheng have been named as defendants in litigation filed in the Court of Chancery captioned </w:t>
      </w:r>
      <w:r>
        <w:rPr>
          <w:rFonts w:ascii="Times New Roman" w:cs="Times New Roman" w:eastAsia="Times New Roman" w:hAnsi="Times New Roman"/>
          <w:sz w:val="18"/>
          <w:szCs w:val="18"/>
          <w:i w:val="1"/>
          <w:iCs w:val="1"/>
          <w:color w:val="auto"/>
        </w:rPr>
        <w:t>Matt Jacob v. Stephen A. Vogel, et al., C.A. No. 2022-0600-PAF (</w:t>
      </w:r>
      <w:r>
        <w:rPr>
          <w:rFonts w:ascii="Times New Roman" w:cs="Times New Roman" w:eastAsia="Times New Roman" w:hAnsi="Times New Roman"/>
          <w:sz w:val="18"/>
          <w:szCs w:val="18"/>
          <w:color w:val="auto"/>
        </w:rPr>
        <w:t>Del. Ch.) (filed July 07, 2022). The plaintiff is seeking to certify the litigation as a stockholder class action. The complaint alleges that Stephen Vogel, Ruth Epstein, Stefan Selig, Richard Rieger and Amy Butte breached their fiduciary duties in connection with Tuscan's acquisition of Microvast, Inc., including by making inadequate disclosures concerning the projected earnings of Microvast, Inc. The complaint further alleges that once the earnings of the combined company became public, the Company's stock dropped, causing losses to investors. The complaint also alleges that Yang Wu and Yanzhuan Zheng aided and abetted these purported breaches. Certain defendants have answered the complaint, and certain defendants have filed motions to dismiss, which they argued on April 07, 2025. On July 08, 2025, the Court requested supplemental briefing from the parties regarding the impact of a newly issued Delaware Supreme Court opinion on the plaintiff's aiding-and-abetting claim against Messrs. Wu and Zheng. The supplemental briefing was completed on September 09, 2025 and that briefing is in process. The Court has not yet decided those motions.</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On December 13, 2023, in response to a stockholder litigation demand, the Company filed a petition in the Court of Chancery pursuant to Section 205 of the Delaware General Corporation Law seeking validation of an amendment to the Company’s Amended Certificate of Incorporation, the Business Combination and the issuance of the shares issued pursuant thereto, and the Company’s Second Amended and Restated Certificate of Incorporation adopted in connection with the Business Combination (collectively, the “Acts”) to resolve any uncertainty with respect to those matters, which action was captioned </w:t>
      </w:r>
      <w:r>
        <w:rPr>
          <w:rFonts w:ascii="Times New Roman" w:cs="Times New Roman" w:eastAsia="Times New Roman" w:hAnsi="Times New Roman"/>
          <w:sz w:val="18"/>
          <w:szCs w:val="18"/>
          <w:i w:val="1"/>
          <w:iCs w:val="1"/>
          <w:color w:val="auto"/>
        </w:rPr>
        <w:t>In re Microvast Holdings Inc</w:t>
      </w:r>
      <w:r>
        <w:rPr>
          <w:rFonts w:ascii="Times New Roman" w:cs="Times New Roman" w:eastAsia="Times New Roman" w:hAnsi="Times New Roman"/>
          <w:sz w:val="18"/>
          <w:szCs w:val="18"/>
          <w:color w:val="auto"/>
        </w:rPr>
        <w:t>., C.A. No. 2023-1245-PAF. On March 18, 2024, the Court of Chancery granted the petition, validating and declaring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Act as of the time and date such Act was originally taken.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 -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Governance Actions - continued</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The Company, the directors of the Company predecessor, Tuscan, and certain former and current Company officers and directors have also been named as defendants in litigation filed in the Court of Chancery captioned </w:t>
      </w:r>
      <w:r>
        <w:rPr>
          <w:rFonts w:ascii="Times New Roman" w:cs="Times New Roman" w:eastAsia="Times New Roman" w:hAnsi="Times New Roman"/>
          <w:sz w:val="18"/>
          <w:szCs w:val="18"/>
          <w:i w:val="1"/>
          <w:iCs w:val="1"/>
          <w:color w:val="auto"/>
        </w:rPr>
        <w:t>Denish Bhavsar v. Stephen Vogel, et al.</w:t>
      </w:r>
      <w:r>
        <w:rPr>
          <w:rFonts w:ascii="Times New Roman" w:cs="Times New Roman" w:eastAsia="Times New Roman" w:hAnsi="Times New Roman"/>
          <w:sz w:val="18"/>
          <w:szCs w:val="18"/>
          <w:color w:val="auto"/>
        </w:rPr>
        <w:t>, Case No. 2024-0137-PAF (Del. Ch.) (filed Feb. 14, 2024). The plaintiff purports to assert derivative claims on behalf of the Company. The complaint alleges that the individual defendants breached their fiduciary duties in connection with Tuscan’s acquisition of Microvast, Inc., including by making inadequate disclosures concerning Microvast, Inc.’s earnings and alleged conflicts of interest that existed between certain directors and Company stockholders. Certain defendants filed motions to dismiss, and those motions are in the process of being briefed. The Court has not yet decided those motions.</w:t>
      </w:r>
    </w:p>
    <w:p>
      <w:pPr>
        <w:spacing w:after="0" w:line="1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The Company, and certain former and current Company officers and directors have also been named as defendants in a litigation filed in the Court of Chancery captioned </w:t>
      </w:r>
      <w:r>
        <w:rPr>
          <w:rFonts w:ascii="Times New Roman" w:cs="Times New Roman" w:eastAsia="Times New Roman" w:hAnsi="Times New Roman"/>
          <w:sz w:val="18"/>
          <w:szCs w:val="18"/>
          <w:i w:val="1"/>
          <w:iCs w:val="1"/>
          <w:color w:val="auto"/>
        </w:rPr>
        <w:t>Henry Park v. Yang Wu, et al.</w:t>
      </w:r>
      <w:r>
        <w:rPr>
          <w:rFonts w:ascii="Times New Roman" w:cs="Times New Roman" w:eastAsia="Times New Roman" w:hAnsi="Times New Roman"/>
          <w:sz w:val="18"/>
          <w:szCs w:val="18"/>
          <w:color w:val="auto"/>
        </w:rPr>
        <w:t>, C.A. No. 2024-0868-PAF (Del. Ch.) (filed August 19, 2024). The plaintiff purports to assert derivative claims on behalf of the Company. The complaint alleges that certain individual defendants breached their fiduciary duties in connection with Tuscan’s acquisition of Microvast, Inc., including by making inadequate disclosures concerning Microvast, Inc.’s earnings and by refusing to investigate a litigation demand. On October 14, 2024, the Company and other defendants filed a motion to dismiss. That motion has been fully briefed but the judge has not yet ruled on the motion.</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Company has received additional demands from purported Company stockholders, requesting that the Company’s Board of Directors investigate whether current and former directors and officers of the Company and its predecessors, Tuscan and Microvast Inc., breached their fiduciary duties by allegedly making material misrepresentations about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(1) Microvast Inc.’s performance and financial health in connection with the merger between Tuscan and Microvast, Inc., and (2) the Company’s loss of a conditional grant from the United States Department of Energy. The Company has responded to the demands. The Company has also received and responded to stockholder demands for books and records made pursuant to Section 220 of the Delaware General Corporation Law that purportedly seek to investigate the (i) loss of the DOE grant, and (ii) Company's bases for denying one of the referenced stockholder demands.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Litigation</w:t>
      </w:r>
    </w:p>
    <w:p>
      <w:pPr>
        <w:spacing w:after="0" w:line="2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Company and certain of its officers have also been named as defendants in a putative class action complaint by a stockholder of the Company in the U.S. District Court for the Southern District of Texas under the caption </w:t>
      </w:r>
      <w:r>
        <w:rPr>
          <w:rFonts w:ascii="Times New Roman" w:cs="Times New Roman" w:eastAsia="Times New Roman" w:hAnsi="Times New Roman"/>
          <w:sz w:val="18"/>
          <w:szCs w:val="18"/>
          <w:i w:val="1"/>
          <w:iCs w:val="1"/>
          <w:color w:val="auto"/>
        </w:rPr>
        <w:t>Schelling v. Microvast Holdings, Inc.,</w:t>
      </w:r>
      <w:r>
        <w:rPr>
          <w:rFonts w:ascii="Times New Roman" w:cs="Times New Roman" w:eastAsia="Times New Roman" w:hAnsi="Times New Roman"/>
          <w:sz w:val="18"/>
          <w:szCs w:val="18"/>
          <w:color w:val="auto"/>
        </w:rPr>
        <w:t xml:space="preserve"> Case No. 4:23-cv-04565 (S.D. Tex.) (filed Dec. 5, 2023) (the “Schelling Action”). The complaint alleges that defendants violated certain federal securities laws by making misleading statements regarding the receipt of a conditional grant from the United States Department of Energy, the Company’s profitability, and the nature of Company-associated operations in China. On March 1, 2024, the court appointed Co-Lead Plaintiffs and Co-Lead Counsel for the proposed class of Company investors. Plaintiffs amended their complaint on May 13, 2024, and Defendants filed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motion to dismiss on June 20, 2024. On August 22, 2025, the Court granted in part and denied in part the motion to dismiss.</w:t>
      </w:r>
    </w:p>
    <w:p>
      <w:pPr>
        <w:spacing w:after="0" w:line="21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The Company and certain of its officers and directors have also been named as defendants in three derivative actions filed in the Southern District of Texas under the captions </w:t>
      </w:r>
      <w:r>
        <w:rPr>
          <w:rFonts w:ascii="Times New Roman" w:cs="Times New Roman" w:eastAsia="Times New Roman" w:hAnsi="Times New Roman"/>
          <w:sz w:val="18"/>
          <w:szCs w:val="18"/>
          <w:i w:val="1"/>
          <w:iCs w:val="1"/>
          <w:color w:val="auto"/>
        </w:rPr>
        <w:t>Bhavsar v. Wu et al.</w:t>
      </w:r>
      <w:r>
        <w:rPr>
          <w:rFonts w:ascii="Times New Roman" w:cs="Times New Roman" w:eastAsia="Times New Roman" w:hAnsi="Times New Roman"/>
          <w:sz w:val="18"/>
          <w:szCs w:val="18"/>
          <w:color w:val="auto"/>
        </w:rPr>
        <w:t xml:space="preserve">, No. 4:24-cv-00372 (S.D. Tex.) (filed Jan. 31, 2024), </w:t>
      </w:r>
      <w:r>
        <w:rPr>
          <w:rFonts w:ascii="Times New Roman" w:cs="Times New Roman" w:eastAsia="Times New Roman" w:hAnsi="Times New Roman"/>
          <w:sz w:val="18"/>
          <w:szCs w:val="18"/>
          <w:i w:val="1"/>
          <w:iCs w:val="1"/>
          <w:color w:val="auto"/>
        </w:rPr>
        <w:t>Marti et al v. Wu et al</w:t>
      </w:r>
      <w:r>
        <w:rPr>
          <w:rFonts w:ascii="Times New Roman" w:cs="Times New Roman" w:eastAsia="Times New Roman" w:hAnsi="Times New Roman"/>
          <w:sz w:val="18"/>
          <w:szCs w:val="18"/>
          <w:color w:val="auto"/>
        </w:rPr>
        <w:t xml:space="preserve">, Case No. 4:24-cv-00633 (S.D. Tex.) (filed Feb. 23, 2024), </w:t>
      </w:r>
      <w:r>
        <w:rPr>
          <w:rFonts w:ascii="Times New Roman" w:cs="Times New Roman" w:eastAsia="Times New Roman" w:hAnsi="Times New Roman"/>
          <w:sz w:val="18"/>
          <w:szCs w:val="18"/>
          <w:i w:val="1"/>
          <w:iCs w:val="1"/>
          <w:color w:val="auto"/>
        </w:rPr>
        <w:t>Gidaro v. Wu et al</w:t>
      </w:r>
      <w:r>
        <w:rPr>
          <w:rFonts w:ascii="Times New Roman" w:cs="Times New Roman" w:eastAsia="Times New Roman" w:hAnsi="Times New Roman"/>
          <w:sz w:val="18"/>
          <w:szCs w:val="18"/>
          <w:color w:val="auto"/>
        </w:rPr>
        <w:t xml:space="preserve">, Case No. 4:24-cv-00828 (S.D. Tex.) (filed Mar. 6, 2024). The complaints allege that the officer and director defendants violated the federal securities laws by making inadequate disclosures substantially similar to those alleged in the </w:t>
      </w:r>
      <w:r>
        <w:rPr>
          <w:rFonts w:ascii="Times New Roman" w:cs="Times New Roman" w:eastAsia="Times New Roman" w:hAnsi="Times New Roman"/>
          <w:sz w:val="18"/>
          <w:szCs w:val="18"/>
          <w:i w:val="1"/>
          <w:iCs w:val="1"/>
          <w:color w:val="auto"/>
        </w:rPr>
        <w:t>Schelling</w:t>
      </w:r>
      <w:r>
        <w:rPr>
          <w:rFonts w:ascii="Times New Roman" w:cs="Times New Roman" w:eastAsia="Times New Roman" w:hAnsi="Times New Roman"/>
          <w:sz w:val="18"/>
          <w:szCs w:val="18"/>
          <w:color w:val="auto"/>
        </w:rPr>
        <w:t xml:space="preserve"> Action. The complaints further allege that these inadequate disclosures resulted from, and constituted, breaches of the officer and director defendants’ fiduciary duties. On February 24, 2024, the court entered in an order in the first-filed case, </w:t>
      </w:r>
      <w:r>
        <w:rPr>
          <w:rFonts w:ascii="Times New Roman" w:cs="Times New Roman" w:eastAsia="Times New Roman" w:hAnsi="Times New Roman"/>
          <w:sz w:val="18"/>
          <w:szCs w:val="18"/>
          <w:i w:val="1"/>
          <w:iCs w:val="1"/>
          <w:color w:val="auto"/>
        </w:rPr>
        <w:t>Bhavsar v. Wu</w:t>
      </w:r>
      <w:r>
        <w:rPr>
          <w:rFonts w:ascii="Times New Roman" w:cs="Times New Roman" w:eastAsia="Times New Roman" w:hAnsi="Times New Roman"/>
          <w:sz w:val="18"/>
          <w:szCs w:val="18"/>
          <w:color w:val="auto"/>
        </w:rPr>
        <w:t xml:space="preserve"> et al., No. 4:24-cv-00372, consolidating the </w:t>
      </w:r>
      <w:r>
        <w:rPr>
          <w:rFonts w:ascii="Times New Roman" w:cs="Times New Roman" w:eastAsia="Times New Roman" w:hAnsi="Times New Roman"/>
          <w:sz w:val="18"/>
          <w:szCs w:val="18"/>
          <w:i w:val="1"/>
          <w:iCs w:val="1"/>
          <w:color w:val="auto"/>
        </w:rPr>
        <w:t>Bhavsar</w:t>
      </w:r>
      <w:r>
        <w:rPr>
          <w:rFonts w:ascii="Times New Roman" w:cs="Times New Roman" w:eastAsia="Times New Roman" w:hAnsi="Times New Roman"/>
          <w:sz w:val="18"/>
          <w:szCs w:val="18"/>
          <w:color w:val="auto"/>
        </w:rPr>
        <w:t xml:space="preserve"> case and </w:t>
      </w:r>
      <w:r>
        <w:rPr>
          <w:rFonts w:ascii="Times New Roman" w:cs="Times New Roman" w:eastAsia="Times New Roman" w:hAnsi="Times New Roman"/>
          <w:sz w:val="18"/>
          <w:szCs w:val="18"/>
          <w:i w:val="1"/>
          <w:iCs w:val="1"/>
          <w:color w:val="auto"/>
        </w:rPr>
        <w:t>Marti et al v. Wu et al</w:t>
      </w:r>
      <w:r>
        <w:rPr>
          <w:rFonts w:ascii="Times New Roman" w:cs="Times New Roman" w:eastAsia="Times New Roman" w:hAnsi="Times New Roman"/>
          <w:sz w:val="18"/>
          <w:szCs w:val="18"/>
          <w:color w:val="auto"/>
        </w:rPr>
        <w:t>, Case No. 4:24-cv-00633. The consolidated derivative litigation (the “Consolidated Derivative Action”) is captioned</w:t>
      </w:r>
      <w:r>
        <w:rPr>
          <w:rFonts w:ascii="Times New Roman" w:cs="Times New Roman" w:eastAsia="Times New Roman" w:hAnsi="Times New Roman"/>
          <w:sz w:val="18"/>
          <w:szCs w:val="18"/>
          <w:i w:val="1"/>
          <w:iCs w:val="1"/>
          <w:color w:val="auto"/>
        </w:rPr>
        <w:t xml:space="preserve"> In re Microvast Holdings, Inc. Derivative Litigation</w:t>
      </w:r>
      <w:r>
        <w:rPr>
          <w:rFonts w:ascii="Times New Roman" w:cs="Times New Roman" w:eastAsia="Times New Roman" w:hAnsi="Times New Roman"/>
          <w:sz w:val="18"/>
          <w:szCs w:val="18"/>
          <w:color w:val="auto"/>
        </w:rPr>
        <w:t>, Lead Case No. 4:24-cv-00372 (S.D. Tex.). The parties in the</w:t>
      </w:r>
      <w:r>
        <w:rPr>
          <w:rFonts w:ascii="Times New Roman" w:cs="Times New Roman" w:eastAsia="Times New Roman" w:hAnsi="Times New Roman"/>
          <w:sz w:val="18"/>
          <w:szCs w:val="18"/>
          <w:i w:val="1"/>
          <w:iCs w:val="1"/>
          <w:color w:val="auto"/>
        </w:rPr>
        <w:t xml:space="preserve"> Gidardo </w:t>
      </w:r>
      <w:r>
        <w:rPr>
          <w:rFonts w:ascii="Times New Roman" w:cs="Times New Roman" w:eastAsia="Times New Roman" w:hAnsi="Times New Roman"/>
          <w:sz w:val="18"/>
          <w:szCs w:val="18"/>
          <w:color w:val="auto"/>
        </w:rPr>
        <w:t>action filed a stipulation to consolidate the</w:t>
      </w:r>
      <w:r>
        <w:rPr>
          <w:rFonts w:ascii="Times New Roman" w:cs="Times New Roman" w:eastAsia="Times New Roman" w:hAnsi="Times New Roman"/>
          <w:sz w:val="18"/>
          <w:szCs w:val="18"/>
          <w:i w:val="1"/>
          <w:iCs w:val="1"/>
          <w:color w:val="auto"/>
        </w:rPr>
        <w:t xml:space="preserve"> Gidaro </w:t>
      </w:r>
      <w:r>
        <w:rPr>
          <w:rFonts w:ascii="Times New Roman" w:cs="Times New Roman" w:eastAsia="Times New Roman" w:hAnsi="Times New Roman"/>
          <w:sz w:val="18"/>
          <w:szCs w:val="18"/>
          <w:color w:val="auto"/>
        </w:rPr>
        <w:t>case into the Consolidated Derivative Action. The Consolidated Derivative Action is currently stayed.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 -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continued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Litigation - continued</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the Company's governing documents and indemnification agreements entered into by the Company with certain of the named defendants, in the above-described actions, the Company has indemnified those defendants for all expenses and losses related to the litigation subject to the terms of those indemnification agreements. While the lawsuits are being vigorously defended, other reported lawsuits of this type have resulted in a broad range of outcomes, with each case being dependent on its own unique set of facts and circumstances. Litigation of this kind can lead to settlement negotiations, including negotiations prompted by pre-trial civil court procedures. The outcome of any litigation is inherently uncertain, and there is always the possibility that a court rules in a manner that is adverse to the interests of the Company and the individual defendants. However, the amount of any such loss in that scenario, which could be material, cannot be reasonably estimated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Deidra Milan is an ex-employee of Microvast, and is the putative representative of a class of individual employees who were let go from their jobs at a plant in Clarksville, Tennessee. She has filed </w:t>
      </w:r>
      <w:r>
        <w:rPr>
          <w:rFonts w:ascii="Times New Roman" w:cs="Times New Roman" w:eastAsia="Times New Roman" w:hAnsi="Times New Roman"/>
          <w:sz w:val="18"/>
          <w:szCs w:val="18"/>
          <w:i w:val="1"/>
          <w:iCs w:val="1"/>
          <w:color w:val="auto"/>
        </w:rPr>
        <w:t>Civil Action No. 3:24-cv-00627, Deidre Milan, Plaintiff v. Microvast, Inc. and Microvast Holdings, Inc</w:t>
      </w:r>
      <w:r>
        <w:rPr>
          <w:rFonts w:ascii="Times New Roman" w:cs="Times New Roman" w:eastAsia="Times New Roman" w:hAnsi="Times New Roman"/>
          <w:sz w:val="18"/>
          <w:szCs w:val="18"/>
          <w:color w:val="auto"/>
        </w:rPr>
        <w:t>. in the U.S. District Court for the Middle District of Tennessee. The Company filed an answer to the suit on July 19, 2024. The class action complaint is brought under the Worker Adjustment and Notification Act, 29 U.S.C. §§2101-2109 (the “WARN Act”), which requires advance notice before certain types of plant closings and mass layoffs. Plaintiff alleges that defendants failed to give proper advance notice of a mass layoff in violation of the WARN Act. Plaintiffs seek backpay, medical expenses, attorney’s fees and statutory penalties in an unspecified amount. Putative class counsel and the Company have agreed on the terms of a class action settlement agreement subject to court approval. The Company anticipates a motion for preliminary court approval of the class action settlement will be filed before the end of Q4. If the court preliminarily approves the settlement, potential class members will receive notice of the settlement and an opportunity to object to the settlement terms or opt out of the settlement. The court will then need to rule on any objections and finally approve the settlement for all class member who do not opt out of the class settlement.</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Microvast, Inc., a subsidiary of the Company, has been named as a defendant in a contract dispute litigation filed in Montgomery County Chancery Court for the State of Tennessee under the caption </w:t>
      </w:r>
      <w:r>
        <w:rPr>
          <w:rFonts w:ascii="Times New Roman" w:cs="Times New Roman" w:eastAsia="Times New Roman" w:hAnsi="Times New Roman"/>
          <w:sz w:val="18"/>
          <w:szCs w:val="18"/>
          <w:i w:val="1"/>
          <w:iCs w:val="1"/>
          <w:color w:val="auto"/>
        </w:rPr>
        <w:t>DPR Construction, GP vs.</w:t>
      </w:r>
      <w:r>
        <w:rPr>
          <w:rFonts w:ascii="Times New Roman" w:cs="Times New Roman" w:eastAsia="Times New Roman" w:hAnsi="Times New Roman"/>
          <w:sz w:val="18"/>
          <w:szCs w:val="18"/>
          <w:color w:val="auto"/>
        </w:rPr>
        <w:t xml:space="preserve"> Microvast, </w:t>
      </w:r>
      <w:r>
        <w:rPr>
          <w:rFonts w:ascii="Times New Roman" w:cs="Times New Roman" w:eastAsia="Times New Roman" w:hAnsi="Times New Roman"/>
          <w:sz w:val="18"/>
          <w:szCs w:val="18"/>
          <w:i w:val="1"/>
          <w:iCs w:val="1"/>
          <w:color w:val="auto"/>
        </w:rPr>
        <w:t>Inc., et al</w:t>
      </w:r>
      <w:r>
        <w:rPr>
          <w:rFonts w:ascii="Times New Roman" w:cs="Times New Roman" w:eastAsia="Times New Roman" w:hAnsi="Times New Roman"/>
          <w:sz w:val="18"/>
          <w:szCs w:val="18"/>
          <w:color w:val="auto"/>
        </w:rPr>
        <w:t>, Case No. CD-24-31 (Tenn. Ch.) (filed June 20, 2024). The plaintiff alleges that the Company failed to pay it for construction work that it performed on a Microvast facility in Tennessee, and seeks damages of $19,950 in progress billings, the additional sum of $1,566 being held as retainage on plaintiff's progress billings under the contract, lost profits on the work yet to be performed under the contract plus certain fees and expenses, and foreclosure on the facility to satisfy the payment allegedly owed. The parties entered into a settlement agreement and on November 11, 2024, this matter was stayed by the order of the court.</w:t>
      </w:r>
    </w:p>
    <w:p>
      <w:pPr>
        <w:spacing w:after="0" w:line="1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Microvast, Inc. has been named as a defendant in a contract dispute litigation filed in Montgomery County Chancery Court for the State of Tennessee under the caption </w:t>
      </w:r>
      <w:r>
        <w:rPr>
          <w:rFonts w:ascii="Times New Roman" w:cs="Times New Roman" w:eastAsia="Times New Roman" w:hAnsi="Times New Roman"/>
          <w:sz w:val="18"/>
          <w:szCs w:val="18"/>
          <w:i w:val="1"/>
          <w:iCs w:val="1"/>
          <w:color w:val="auto"/>
        </w:rPr>
        <w:t>Faith Technologies, Inc. Microvast, Inc. et al.</w:t>
      </w:r>
      <w:r>
        <w:rPr>
          <w:rFonts w:ascii="Times New Roman" w:cs="Times New Roman" w:eastAsia="Times New Roman" w:hAnsi="Times New Roman"/>
          <w:sz w:val="18"/>
          <w:szCs w:val="18"/>
          <w:color w:val="auto"/>
        </w:rPr>
        <w:t>, Case No. CD-24-36 (Tenn. Ch.) (filed on July 15, 2024). Plaintiff asserts claims for damages related to its subcontract with DPR Construction, GP under which plaintiff provided fire protection system services on a Microvast facility in Tennessee, and seeks damages of $1,699 plus cost of court and attorneys and prejudgment interest. The parties entered into a settlement agreement and on November 11, 2024, this matter was stayed by order of the court.</w:t>
      </w:r>
    </w:p>
    <w:p>
      <w:pPr>
        <w:spacing w:after="0" w:line="1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Microvast, Inc. was named as a defendant in an action filed in Montgomery County Chancery Court for the State of Tennessee under the caption </w:t>
      </w:r>
      <w:r>
        <w:rPr>
          <w:rFonts w:ascii="Times New Roman" w:cs="Times New Roman" w:eastAsia="Times New Roman" w:hAnsi="Times New Roman"/>
          <w:sz w:val="18"/>
          <w:szCs w:val="18"/>
          <w:i w:val="1"/>
          <w:iCs w:val="1"/>
          <w:color w:val="auto"/>
        </w:rPr>
        <w:t>Bernhard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MCC, LLC. vs. U.S. Engineering Innovations, LLC, DPR Construction, Microvast, Inc. and the Industrial Development Board of the County of Montgomery, C</w:t>
      </w:r>
      <w:r>
        <w:rPr>
          <w:rFonts w:ascii="Times New Roman" w:cs="Times New Roman" w:eastAsia="Times New Roman" w:hAnsi="Times New Roman"/>
          <w:sz w:val="18"/>
          <w:szCs w:val="18"/>
          <w:color w:val="auto"/>
        </w:rPr>
        <w:t>ase No. CD-24-27 (Tenn. Ch.) (filed on May 28, 2024 ) brought by a subcontractor on the Microvast Facility in Tennessee for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of $5,681. The parties entered into a settlement agreement and this matter has been stayed by order of the court.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 - continued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continued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 - continued</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Microvast, Inc. was named as a defendant in an action filed in Montgomery County Chancery Court for the State of Tennessee under the caption </w:t>
      </w:r>
      <w:r>
        <w:rPr>
          <w:rFonts w:ascii="Times New Roman" w:cs="Times New Roman" w:eastAsia="Times New Roman" w:hAnsi="Times New Roman"/>
          <w:sz w:val="18"/>
          <w:szCs w:val="18"/>
          <w:i w:val="1"/>
          <w:iCs w:val="1"/>
          <w:color w:val="auto"/>
        </w:rPr>
        <w:t>Virginia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Transformer Corp. v. Microvast, Inc.and the Industrial Development Board of the County of Montgomery, Tennessee, </w:t>
      </w:r>
      <w:r>
        <w:rPr>
          <w:rFonts w:ascii="Times New Roman" w:cs="Times New Roman" w:eastAsia="Times New Roman" w:hAnsi="Times New Roman"/>
          <w:sz w:val="18"/>
          <w:szCs w:val="18"/>
          <w:color w:val="auto"/>
        </w:rPr>
        <w:t>Case No. RE-24-32 (Tenn. Ch.)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July 01, 2024) brought by a prime contractor on the Microvast Facility in Tennessee for lien enforcement of $1,769. The parties entered into a settlement agreement, but after defendant made one settlement payment of $212, a dispute arose when a third party hacked plaintiff’s email system and directed defendant to wire settlement payments totaling $425 to a fictitious bank account. Plaintiff amended its complaint to add a claim for breach of the settlement agreement, and defendant amended its answer to asset a counterclaim for plaintiff's breach of the settlement agreement. Defendant also filed a motion to compel arbitration of the entire matter based on an arbitration provision in the parties' underlying contract, which the trial court denied. Defendant has appealed the trial court’s order denying arbitration, resulting in a stay of the trial court proceedings pending the appeal. Briefing has not yet begun on the appeal.</w:t>
      </w:r>
    </w:p>
    <w:p>
      <w:pPr>
        <w:spacing w:after="0" w:line="1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Microvast, Inc. has initiated a lawsuit as a plaintiff in an action filed in the 11th Judicial District Court, Harris County, Texas under the caption </w:t>
      </w:r>
      <w:r>
        <w:rPr>
          <w:rFonts w:ascii="Times New Roman" w:cs="Times New Roman" w:eastAsia="Times New Roman" w:hAnsi="Times New Roman"/>
          <w:sz w:val="18"/>
          <w:szCs w:val="18"/>
          <w:i w:val="1"/>
          <w:iCs w:val="1"/>
          <w:color w:val="auto"/>
        </w:rPr>
        <w:t>Microvast,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Grupo Basan Barba Santana, S.A. De C.V., Cause No. 2025-11326 (</w:t>
      </w:r>
      <w:r>
        <w:rPr>
          <w:rFonts w:ascii="Times New Roman" w:cs="Times New Roman" w:eastAsia="Times New Roman" w:hAnsi="Times New Roman"/>
          <w:sz w:val="18"/>
          <w:szCs w:val="18"/>
          <w:color w:val="auto"/>
        </w:rPr>
        <w:t>filed on February 19,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Microvast ordered and paid for energy storage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from Grupo Basan. Microvast ended the supply contract and under the supply contract, Microvast was entitled to the return of a large portion of the $3.5 million deposit Microvast had paid Grupo Basan as well as compensation for a significant number of products that it never received. However, Grupo Basan not only failed to return those funds, but Grupo Basan itself demanded $2.4 million in termination costs that are not provided for in the supply agreement. Microvast is seeking at least $2.6 million plus fees and interest. Discovery is proceeding and key depositions are pending. Trial is set for September 2026.</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On November 14, 2024, Microvast Energy, Inc. was named as a defendant in breach of contract action filed before the American Arbitration Association (“AAA”) under the caption </w:t>
      </w:r>
      <w:r>
        <w:rPr>
          <w:rFonts w:ascii="Times New Roman" w:cs="Times New Roman" w:eastAsia="Times New Roman" w:hAnsi="Times New Roman"/>
          <w:sz w:val="18"/>
          <w:szCs w:val="18"/>
          <w:i w:val="1"/>
          <w:iCs w:val="1"/>
          <w:color w:val="auto"/>
        </w:rPr>
        <w:t>Clenera Battery Holdco LLC v. Microvast, Inc.., Case No. 01-24-0008-7288.</w:t>
      </w:r>
      <w:r>
        <w:rPr>
          <w:rFonts w:ascii="Times New Roman" w:cs="Times New Roman" w:eastAsia="Times New Roman" w:hAnsi="Times New Roman"/>
          <w:sz w:val="18"/>
          <w:szCs w:val="18"/>
          <w:color w:val="auto"/>
        </w:rPr>
        <w:t xml:space="preserve"> Clenera asserted a claim for breach of a supply agreement between Microvast and Clenera for custom-made battery containers. Clenera alleged that Microvast must refund approximately $36 million due to Microvast's failure to deliver the containers by the contractual deadline, per the terms of the supply agreement. Clenera also sought interest and attorneys’ fees. On November 15, 2024, Clenera filed an action for the same claim against Microvast Holdings, Inc. in the Supreme Court of the State of New York, County of New York, under the caption </w:t>
      </w:r>
      <w:r>
        <w:rPr>
          <w:rFonts w:ascii="Times New Roman" w:cs="Times New Roman" w:eastAsia="Times New Roman" w:hAnsi="Times New Roman"/>
          <w:sz w:val="18"/>
          <w:szCs w:val="18"/>
          <w:i w:val="1"/>
          <w:iCs w:val="1"/>
          <w:color w:val="auto"/>
        </w:rPr>
        <w:t>Clenera Battery Holdco LLC v. Microvast Holdings, Inc.</w:t>
      </w:r>
      <w:r>
        <w:rPr>
          <w:rFonts w:ascii="Times New Roman" w:cs="Times New Roman" w:eastAsia="Times New Roman" w:hAnsi="Times New Roman"/>
          <w:sz w:val="18"/>
          <w:szCs w:val="18"/>
          <w:color w:val="auto"/>
        </w:rPr>
        <w:t>, Index No. 659103/2024. The guaranty action was consolidated into the arbitration. On October 9, 2025, the AAA granted Clenera's dispositive motion and ordered Microvast Energy to refund Clenera approximately $36 million. No final award has yet been issued. On October 17, 2025, Clenera filed their petition for attorney's fees, costs, and pre-judgment interest asking for approximately $6.8 million. On October 31, 2025, Microvast filed their response to Clenera's dispositive motion requesting denial or substantial reduction of Clenera's fees and costs. On November 4, 2025, the AAA notified the Company that the hearings are closed as of November 03, 2025 and that the arbitrator(s) will render the final award by December 03, 2025.</w:t>
      </w:r>
    </w:p>
    <w:p>
      <w:pPr>
        <w:spacing w:after="0" w:line="1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Group is also involved in other litigation, claims, and proceedings. The Group evaluates the status of each legal matter and assesses the potential financial exposure. If the potential loss from any legal proceedings or litigation is considered probable and the amount can be reasonably estimated, the Group accrues a liability for the estimated loss. Significant judgment is required to determine the probability of a loss and whether the amount of the loss is reasonably estimated. As of September 30, 2025 and December 31, 2024, based on the information currently available, the Group believes that any loss contingencies that may arise as a result of currently pending legal proceedings cannot be accurately quantified at this time and thus cannot determine whether they will have a material adverse effect on the Group’s business, results of operations, financial condition, and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commitments for construction of property and purchase of property, plant and equipment were $10,111 as of September 30,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 or as otherwise noted)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commitments for non-cancelable contractual obligations primarily related to purchases of inventory were $44,140 as of September 30, 2025.</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Pledged assets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than those disclosed in Note 7 - Bank Borrowings, the Group may pledge certain assets to banks to secure the issuance of bank acceptance notes for the Group. As of September 30, 2025, certain of the Group's machinery and equipment with a carrying value of $21,559 has been pledged to secure the issuance of such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Liens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had received $23,590 of liens.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engaging in businesses activities for which separate financial information is available that is regularly evaluated by the Group’s chief operating decision makers (“CODM”) in deciding how to allocate resources and assess performance. The Group’s CODM has been identified as the Chief Executive Officer (“CEO”), who uses consolidated net profit or loss to measure segment profit or loss, allocate resources, and assess performance. The CODM is regularly provided with the consolidated statements of operations and uses consolidated net profit or loss to monitor budget versus actual results when making decisions about the allocation of operating and capital resources. As such, the Group concluded that it has one operating segment and one reporting segment. Significant segment expenses were the same as those presented under the cost of revenues and operating expenses in the unaudited condensed consolidated statements of operations. Other segment items included in consolidated net income were subsidiary income, interest income, interest expense, change in fair value of warrant liability and convertible loan, gain on debt restructuring, other income/(expense) in the accompanying unaudited condensed consolidated statements of operations.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previously disclosed, on October 3, 2025, the Company entered into the Sales Agreement with Cantor and Needham relating to shares of the Company's common stock, par value $0.0001 per share, offered by a prospectus supplement and the accompanying prospectus. In accordance with the terms of the Sales Agreement, from time to time the Company may offer and sell shares of its common stock having an aggregate offering price of up to $125.0 million through or to any Agents. The common stock sales, if any, may be made in any transactions that are deemed to be "at-the-market offerings" as defined in Rule 415 under the Securities Act of 1933. From third quarter end to the date of issuance of the financial statements in this Report, the Company received $12.6 million in net proceeds from the sale of shares of common stock under the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References in this Report to the “Company,” “Microvast Holdings, Inc.,” “Microvast,” “our,” “us” or “we” refer to Microvast Holdings, Inc. The following discussion and analysis of the Company’s financial condition and results of operations should be read in conjunction with the unaudited interim condensed financial statements and the notes thereto contained elsewhere in this Report. Certain information contained in the discussion and analysis set forth below includes forward-looking statements that involve risks and uncertainties.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Microvast Holdings, Inc. is an advanced battery technology company, headquartered in Stafford, Texas, and publicly traded on the NASDAQ under the ticker symbol MVST. We specialize in the design, development, and manufacturing of battery components and systems primarily for electric commercial vehicles and utility-scale energy storage systems (“ESS”).</w:t>
      </w:r>
    </w:p>
    <w:p>
      <w:pPr>
        <w:spacing w:after="0" w:line="17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Founded in 2006, Microvast was built on a guiding principle that remains central to our mission today: to innovate lithium-ion battery designs without relying on legacy technologies. This approach allows us to create purpose-built solutions for new markets, rather than repurposing existing ones.</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Our mission is to accelerate the global transition to electrification by delivering innovative battery solutions that support the adoption of electric vehicles and renewable energy. A key strategic focus is to become a leader in U.S. domestic battery production, reducing reliance on overseas suppliers, and strengthening national energy independence. We believe continuous investment in our technology and operations will deliver long-term revenue and income growth.</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Through a vertically integrated approach, we have developed proprietary technologies spanning the entire battery system—from the core cell materials (cathode, anode, electrolyte, and separator) to cells, modules, packs, energy storage containers, thermal management systems, and intelligent battery management systems. Our expertise has driven advancements in ultra-fast charging, high energy density, long lifespan, and safety—all critical factors for commercial transportation and ESS applications.</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expanding our production of battery systems and components, with an increased emphasis on ESS solutions to support the broader shift to electrification. Our goal is to become a global leader in ESS, bridging the gap between EVs and renewable energy.</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One of our innovations is our high-energy nickel manganese cobalt (NMC) 53.5Ah battery cell, which offers an energy density of approximately 235 Wh/kg and supports over 6,000 cycles at a 1C rate while maintaining over 80% state of health (“SOH”). These characteristics make it well suited for long-range commercial vehicle and utility-scale ESS applications. To bring this product to market, we have made substantial investments in fully automated production capacity in Huzhou, China, improving manufacturing throughput and operational efficiency.</w:t>
      </w:r>
    </w:p>
    <w:p>
      <w:pPr>
        <w:spacing w:after="0" w:line="1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Building on this platform, we have developed a portfolio of NMC cells optimized for distinct operating needs. Our 48Ah cell is engineered for high-power, fast-charging use cases, capable of sustaining a 3C continuous charge and discharge while delivering more than 8,000 cycles with a SOH above 80%. This makes it a preferred solution for mission-critical applications such as buses or logistics fleets requiring rapid turnaround.</w:t>
      </w:r>
    </w:p>
    <w:p>
      <w:pPr>
        <w:spacing w:after="0" w:line="2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55Ah cell strikes a balance between energy and power density, offering an energy density of approximately 250 Wh/kg and supporting 3C operation of over 6,000 cycles with a SOH above 80%. Its dual-optimized profile enables deployment across a variety of demanding commercial and specialty vehicle platforms.</w:t>
      </w:r>
    </w:p>
    <w:p>
      <w:pPr>
        <w:spacing w:after="0" w:line="21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For applications where extended range and high energy density are paramount, we have introduced a 120Ah cell with energy density of approximately 270 Wh/kg. Under 1C charge/discharge conditions, the 120Ah cell maintains more than 5,000 cycles with SOH above 80%. With the integration of the high-voltage control box and thermal management systems, including pump and coolant, the complete power solution achieves a system-level energy density of approximately 200 Wh/kg. It is ideal for heavy-duty vehicles operating in long-haul scenarios where volumetric and gravimetric energy constraints are critical.</w:t>
      </w: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battery cells are developed to meet rigorous global safety standards and are designed with long life, high power, and system-level integration flexibility in mind. These advancements support our strategic focus on enabling the next generation of electric commercial transportation and grid-connected energy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previously made significant investments in our capacity expansion in Clarksville, Tennessee. By the fourth quarter of 2023, certain sections of the production line had begun installation. However, progress on third-party construction and equipment delivery was impacted due to a lack of secured funding. Ultimately, in the second quarter of 2024, we paused construction efforts. We have since made a strategic decision to pivot from the originally planned NMC production in Clarksville to the 565Ah lithium iron phosphate (“LFP”) battery. We also consolidated our ESS operations from our former Colorado facility, which was sold in the quarter ended September 30, 2024, to Clarksville to enhance operational efficiencies for our U.S. business.</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August 2024, we introduced the Mega Energizer 6 (“ME6”), a 6 megawatt-hour (“MWh”) ESS container featuring our proprietary 565Ah LFP battery. The shift toward LFP technology for the U.S. ESS market is a strategic decision, offering lower costs, enhanced safety, and improved environmental performance compared to NMC technology. The ME6 system delivers over 10,000 cycles, compact energy storage, and enhanced reliability through IP55, C4, and nitrogen protection features.</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565Ah LFP cell adopts an aqueous-based slurry system for both cathode and anode production, which avoids the use of costly NMP (N-Methyl-2-Pyrrolidone) solvents and aligns better with regulatory and environmental conditions in North America. The planned cell production line in Clarksville, Tennessee is designed as a vertically integrated manufacturing facility, to enable production of battery cells and trays as well as the containers. Although construction progress has been delayed due to funding constraints, we remain committed to completing the Clarksville facility and establishing it as our primary U.S. base for LFP production.</w:t>
      </w:r>
    </w:p>
    <w:p>
      <w:pPr>
        <w:spacing w:after="0" w:line="22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January 2025, we announced what we believe is a major breakthrough in all-solid-state battery (“ASSB”) technology. Our architecture eliminates all liquid or gel electrolytes through a proprietary non-porous solid electrolyte membrane and a bipolar stacking configuration. This enables single-cell voltages beyond conventional limits, potentially enabling outputs of tens to hundreds of volts. We have demonstrated a 48-volt monolithic cell as a functional prototype, with potential scalability to higher voltages as required. The current ASSB design includes inherent fault tolerance, unlike conventional cells, which prevents a single point of failure from taking down an entire system. This cell design, if able to be commercialized, could have potential use cases in emerging high-growth sectors. The bipolar design reduces the need for interconnects at the module and pack level, resulting in improved energy density, simplified system architecture, and enhanced safety. We are evaluating the industrialization paths and planning to establish a pilot line for production study.</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2025, our revenue increased by $21.9 million, reaching $123.3 million, a 21.6% year-over-year increase. Additionally, our order backlog stood at $237.7 million, with the majority of these orders expected to be fulfilled in 2025 and 2026. As we continue to expand production capacity and advance next-generation battery technologies, we remain committed to driving battery innovation, scaling global production, and delivering high-performance sustainable energy solutions that power the future of mobility and energy storage.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the Business Combination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23, 2021, Microvast Holdings, Inc. (formerly known as Tuscan Holdings Corp.) consummated the previously announced acquisition of Microvast, Inc., a Delaware corporation, pursuant to the Agreement and Plan of Merger dated February 1, 2021, between Tuscan, Microvast and TSCN Merger Sub Inc., a Delaware corporation, pursuant to which Merger Sub merged with and into Microvast, with Microvast surviving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205-40, Presentation of Financial Statements – Going Concern, the Company evaluates whether there are conditions or events, considered in the aggregate, that raise substantial doubt about its ability to continue as a going concern within one year after the date the consolidated financial statements are issued.</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prior periods, the Company disclosed that substantial doubt existed about its ability to continue as a going concern due to uncertainties related to liquidity, capital requirements, and recurring operating losses. However, during the the nine months period ended September 30, 2025, the Company achieved positive operating profit and operating cashflow, reflecting meaningful progress toward sustainable profitability. This improvement was driven by increased customer demand, improved gross margins, and reduced operating expenses, all of which positively impacted the Company’s liquidity position.</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this recent operating performance, current cash balances, available funding sources, and management’s expectations regarding future operations and capital needs, the Company has concluded that it is probable that its plans will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alleviate substantial doubt about its ability to continue as a going concern for at least twelve months from the issuance date of these unaudited condensed consolidated financial statements.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additional detail, refer to Note 2 - Significant Accounting Policies to the unaudited condensed consolidated financial statements included in this Quarterly Report and to the Risk Factors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future success depends on several critical factors, including those outlined below. While these represent opportunities for growth, they also pose challenges and risks that we must effectively manage to sustain our business momentum and improve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Product Innovation</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financial performance is driven by the development and commercialization of advanced battery technologies tailored for electric vehicles and energy storage systems. Recent innovations include multiple lithium-ion cell platforms engineered for either high energy density or fast-charging high-power performance, all designed to meet the stringent demands of commercial transportation and grid-scale storage markets. These innovations reflect our vertically integrated approach, from core materials to system-level solutions, and are the result of sustained investment in R&amp;D.</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To support ongoing technology development, we continue to expand our R&amp;D footprint globally. In October 2021, we acquired a 75,000 square foot facility in Lake Mary, Florida designated as a long-term innovation center focused on next-generation strategic technology research &amp; development. Together, these U.S. centers complement our core research operations in China and Germany, forming a global R&amp;D network. As a high-technology enterprise, we expect our results of operations to be shaped by both the performance of new products and the cost-efficiency of our R&amp;D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Demand</w:t>
      </w:r>
    </w:p>
    <w:p>
      <w:pPr>
        <w:spacing w:after="0" w:line="21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Our revenue and profitability depend substantially on the demand for battery systems and battery components, which is driven by the growth of the commercial and passenger electric vehicle and energy storage markets. Many factors contribute to the development of the electric vehicle and battery energy storage sector, including product innovation, general economic and political conditions, environmental concerns, energy demand, government support and economic incentives (e.g., the IRA in the U.S. and the E.U. Green Deal, E.U. Fit for 55). While governmental economic incentives and mandates can drive market demand for the markets in which we operate and, as a result, battery systems and components, governmental economic incentives can always be gradually reduced or eliminated. Any reduction or elimination of governmental economic incentives may result in reduced demand for our products and adversely affect our financial performance.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Capacity</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growth depends on being able to meet anticipated demand for our products. As of September 30, 2025, we had a backlog of approximately $237.7 million for our electric vehicle battery systems, equivalent to approximately 1,045.5 MWh. To increase our manufacturing output, address our backlog and capture growing market opportunities, we have made significant investment in capacity expansions in both our Huzhou, China facility with further investment planned in our Clarksville, Tennessee facility, contingent on receipt of sufficient funding.</w:t>
      </w:r>
    </w:p>
    <w:p>
      <w:pPr>
        <w:spacing w:after="0" w:line="2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third quarter of 2023, we successfully completed a 2 GWh cell, module, and pack production line (Phase 3.1) for our 53.5Ah cell technology at our Huzhou, China facility. This Phase 3.1 line has been operating safely and efficiently, providing a stable manufacturing base for revenue generation in our commercial vehicle segment. In addition to the 53.5Ah cell, this line also supports the production of our 48Ah high-power cells and is scheduled to begin pilot production of 55Ah cells by the end of 2025.</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To support our expanding product portfolio, we are building a second 2 GWh production line (Phase 3.2) at our Huzhou, China facility. While this new Phase 3.2 line is primarily configured for the manufacturing of our next-generation 120Ah high-energy cells, it has been designed with flexible tooling and process architecture to accommodate multiple cell formats, including the 53.5Ah, 48Ah, and 55Ah variants. The clean rooms and utility equipment installation have been completed for Phase 3.2. Production equipment installation completion is expected by year-end, with commissioning and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pilot production to follow. This investment enhances our agile manufacturing capability and reinforces our commitment to delivering high-performance solutions across diverse application scenarios.</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 financing is needed to resume progress for our Clarksville facility, and further progress is still contingent on having full access to funding to complete the remaining project work.</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capacity expansions will require significant capital expenditures and will require a corresponding expansion of our supporting infrastructure, further development of our sales and marketing team, an expansion of our customer base and strengthened quality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Geographic Mix</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initially being focused on the Asia &amp; Pacific regions, we have expanded and continue to expand our presence and product promotion to Europe and the U.S. to capitalize on the rapidly growing electric vehicle and battery energy storage markets in those geographies. As we continue to expand our geographic focus to Europe and the U.S., we believe sales of our products in Europe and the U.S. will have the potential to generate higher gross margins because average sales prices for customers in the U.S. are typically significantly higher than the average sales prices in China. It has been our experience that buyers in Europe and the U.S. are more motivated by the technologies and quality of our products than are buyers in China, making them less sensitive to the price of our products than are similarly situated buyers in China where we are also faced with intense competition from local Chinese battery manufacturers. Therefore, the geographic sources of our revenue will have an impact on our revenue and gross margins.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battery industry is subject to stringent and evolving environmental regulations, particularly concerning hazardous waste management, pollution control, and sustainability requirements. Over time, these regulations have become increasingly strict, impacting both product costs and gross margins. Compliance with these standards requires continuous investment in manufacturing processes, material sourcing, and waste disposal practices to ensure adherence to environmental mandates across multiple jurisdictions.</w:t>
      </w:r>
    </w:p>
    <w:p>
      <w:pPr>
        <w:spacing w:after="0" w:line="20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Additionally, government policies and economic incentives play a critical role in shaping demand for EVs and ESS. Incentives such as EV purchase subsidies, tax credits for battery manufacturers, and renewable energy project grants have historically supported market growth. Similarly, carbon emission penalties and fleet-wide regulatory requirements for automakers further drive the adoption of zero-emission transportation and clean energy solutions. These policies expand our total addressable market, creating opportunities for increased sales and broader adoption of our battery technologies. However, changes in these incentives—such as reductions or eliminations of subsidies—could negatively affect demand for our products.</w:t>
      </w:r>
    </w:p>
    <w:p>
      <w:pPr>
        <w:spacing w:after="0" w:line="2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a global company with operations and sales in China, the Asia-Pacific region, Europe, and the U.S., we are also exposed to trade policies, tariffs, and regulatory shifts that could impact our ability to meet projected sales and maintain profit margins. Any significant changes in international trade agreements, supply chain restrictions, or geopolitical tensions may influence production costs, material sourcing, and cross-border sales strategies. Changes in tariff policy in particular, whether threatened or implemented, may raise costs for consumers which could lead to softened consumer demand. In addition, because our manufacturing center is located in China, ongoing trade developments between the United States and China, such as import and export controls, may complicate our ability to rely on those manufacturing centers for continued production. Navigating these regulatory complexities is essential to sustaining our competitive position and long-term growth trajectory.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conduct our business through one operating segment. Our historical results are reported in accordance with U.S. GAAP and in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derive revenue from the sales of our electric battery products, including LpTO, LpCO, MpCO, HpCO and HnCO battery power systems. While our sales have historically been concentrated in China and the broader Asia-Pacific region, we are actively expanding our international presence to capture growing demand in key global markets. The following table sets forth a breakdown of our revenue by major geographic regions, based on the locations of our customers,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0" w:type="dxa"/>
            <w:vAlign w:val="bottom"/>
            <w:tcBorders>
              <w:bottom w:val="single" w:sz="8" w:color="auto"/>
            </w:tcBorders>
          </w:tcPr>
          <w:p>
            <w:pPr>
              <w:spacing w:after="0"/>
              <w:rPr>
                <w:sz w:val="19"/>
                <w:szCs w:val="19"/>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r>
      <w:tr>
        <w:trPr>
          <w:trHeight w:val="46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China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27,458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28,716</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Asia &amp; Pacific countries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11,352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10,550</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Asia &amp; Pacific</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39,266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Italy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29,134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54,700</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589</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Europe countries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15,526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4,190</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59,479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2,643</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101,388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541"/>
        </w:trPr>
        <w:tc>
          <w:tcPr>
            <w:tcW w:w="4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0" w:type="dxa"/>
            <w:vAlign w:val="bottom"/>
            <w:tcBorders>
              <w:bottom w:val="single" w:sz="8" w:color="auto"/>
            </w:tcBorders>
          </w:tcPr>
          <w:p>
            <w:pPr>
              <w:spacing w:after="0"/>
              <w:rPr>
                <w:sz w:val="19"/>
                <w:szCs w:val="19"/>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China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106,427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89,190</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Asia &amp; Pacific countries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36,215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Asia &amp; Pacific</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125,405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47 %</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Italy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81,809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116,110</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60,948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2,146</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Europe countries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16,889</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176,842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135,145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51 %</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5,864</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266,414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derived a portion of our revenue in a given reporting period from a limited number of key customers, which vary from period to period. The following table summarizes net revenues from customers that accounted for over 10% of our net revenues for the periods indicated:</w:t>
      </w:r>
    </w:p>
    <w:p>
      <w:pPr>
        <w:spacing w:after="0" w:line="19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such customers represented less than 10% of our revenue during the respective periods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Cost of revenues includes direct and indirect materials, manufacturing overhead (including depreciation, freight and logistics), warranty reserves and expenses, write-down of obsolete inventories, and labor costs and related personnel expenses, including share-based compensation and other related expenses that are directly attributable to the manufacturing of products.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is equal to revenues less cost of revenues. Gross profit margin is equal to gross profit divided by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general and administrative expenses (“G&amp;A”), research and development (“R&amp;D”) expenses, selling and marketing expenses (“S&amp;M”), and impairment loss of long lived assets.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G&amp;A expenses primarily comprise personnel-related costs for our executive, legal, finance, human resources, and IT teams, along with professional service fees, depreciation, amortization, insurance costs and exchange gain/loss due to fluctuations in the Euro/RMB exchange rate. As we scale operations, we anticipate additional expenditures for personnel hiring, infrastructure development, and compliance-related activities. These investments are necessary to support our anticipated growth and ensure operational efficiency.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R&amp;D expenses primarily include salaries and share-based compensation for our engineers and scientists, as well as raw material costs for experimental development, utility expenses, and depreciation costs related to R&amp;D activities. As we continue to invest in new product development, advanced battery technologies, and enhanced functionality, we expect R&amp;D expenditures to increase in absolute dollar terms. These investments are critical to maintaining technological leadership and delivering next-generation battery solutions to the market.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S&amp;M expenses include personnel-related costs for our sales and marketing teams, including salaries, share-based compensation, and commission-based incentives. These expenses also cover advertising, promotional activities, and customer engagement efforts to drive product awareness and sales growth. As we continue to expand, we plan to hire additional sales personnel, enhance marketing programs, and strengthen customer relationships. Consequently, S&amp;M expenses are expected to increase in absolute dollar terms over the long term.</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Impairment loss of long-lived assets</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Impairment loss of long-lived assets primarily from the impairment loss of long-lived assets in U.S. The impairment loss is measured by the amount by which the carrying amount of the assets exceeds the fair value of the assets.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Subsidy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and expenses consist primarily of fair value changes of warrant liability and convertible loan, interest expense associated with our debt financing arrangements, interest income earned on our cash balances and gain on debt restructuring.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U.S. and foreign jurisdictions in which we do business, namely China, Germany, the UK, and other European countries. These foreign jurisdictions have statutory tax rates different from those in the U.S. Accordingly, our 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Income tax in China is generally calculated at 25% of the estimated assessable profit of our subsidiaries in China, except that two of our Chinese subsidiaries were qualified as “High and New Tech Enterprises” and thus enjoyed a preferential income tax rate of 15%. A federal corporate income tax rate of 21% is applied for our U.S. entity. The U.S. entity is also subject to Global Intangible Low-Taxed Income, a provision in the U.S. tax code designed to ensure that U.S. multinational companies pay a minimum tax on foreign earnings. Income tax in the UK is calculated at an average tax rate of 19% of the estimated assessable profit of our subsidiary in the UK. German enterprise income tax, which is a combination of corporate income tax and trade tax, is calculated at 29.1% of the estimated assessable profit of our subsidiary in Germany.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to the Three Months Ended September 30,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for the periods indicated: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17"/>
                <w:szCs w:val="17"/>
                <w:color w:val="auto"/>
              </w:rPr>
            </w:pP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2"/>
        </w:trPr>
        <w:tc>
          <w:tcPr>
            <w:tcW w:w="4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180" w:type="dxa"/>
            <w:vAlign w:val="bottom"/>
            <w:gridSpan w:val="5"/>
            <w:vMerge w:val="continue"/>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97"/>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Amount in thousands</w:t>
            </w:r>
          </w:p>
        </w:tc>
        <w:tc>
          <w:tcPr>
            <w:tcW w:w="16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82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123,287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(76,875)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(67,776)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46,412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33,612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(19,663)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(11,841)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(33,462)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(27,508)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Subsidy income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from operations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12,994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5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warrant liability and convertible loan</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(12,641)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0" w:type="dxa"/>
            <w:vAlign w:val="bottom"/>
          </w:tcPr>
          <w:p>
            <w:pPr>
              <w:spacing w:after="0"/>
              <w:rPr>
                <w:sz w:val="1"/>
                <w:szCs w:val="1"/>
                <w:color w:val="auto"/>
              </w:rPr>
            </w:pPr>
          </w:p>
        </w:tc>
      </w:tr>
      <w:tr>
        <w:trPr>
          <w:trHeight w:val="25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debt restructuring</w:t>
            </w:r>
          </w:p>
        </w:tc>
        <w:tc>
          <w:tcPr>
            <w:tcW w:w="160" w:type="dxa"/>
            <w:vAlign w:val="bottom"/>
          </w:tcPr>
          <w:p>
            <w:pPr>
              <w:spacing w:after="0"/>
              <w:rPr>
                <w:sz w:val="22"/>
                <w:szCs w:val="22"/>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(Loss)/profit before provision for income taxes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48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(loss)/profit attributable to Microvast Holdings, Inc.'s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13,247</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21"/>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6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1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revenues for the three months ended September 30, 2025 increased by $21.9 million, or 21.6%, compared to the same period in 2024. The increase was primarily driven by a 15.6% increase in sales volume from approximately 434.0 MWh for the three months ended September 30, 2024 to approximately 501.7 MWh for the same period in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revenues for the three months ended September 30, 2025 increased by $9.1 million, or 13.4%, compared to the same period in 2024. The increase in the cost of revenues was primarily driven by an increase in sales volumes, and was partially offset by $0.7 million of decreased share-based compensation expenses.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gross profit for the three months ended September 30, 2025 increased to 37.6% of revenue from 33.2% of revenue in the same period in 2024. This improvement was driven by higher production utilization, which enhanced fixed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costs absorption, as well as favorable product mix, highlighted by a growing share of higher-margin battery solutions. These factors contributed to the expansion in gross profit.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2025 increased $7.8 million or 66.1% compared to the same period in 2024. The increase in G&amp;A expenses was primarily due to $3.7 million of increased exchange loss attributed to unfavorable fluctuations in the Euro/RMB exchange rate and $5.6 million of litigation expense, partially offset by $2.9 million of decreased share-based compensation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2025 decreased $2.9 million or 27.5% compared to the same period in 2024. The decrease in R&amp;D expenses was primarily due to $1.5 million of decreased share-based compensation expenses and a $1.0 million reduction of personnel costs associated with lower employee headcount.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Selling and marketing expenses for the three months ended September 30, 2025 increased $1.0 million or 21.0% compared to the same period in 2024. The increase in S&amp;M expenses was primarily due to $1.1 million of increased service fees related to continued business development efforts, partially offset by a $0.5 million of decreased share-based compensation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Warrant and Convertible Loan</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months ended September 30, 2025, we recorded a loss of $12.6 million mainly due to the change in fair value of the Convertible Loan of $12.8 million, for details please see Note 14 – Convertible Loan measured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to the Nine Months Ended September 30, 2024</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for the periods indicated:</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24"/>
                <w:szCs w:val="24"/>
                <w:color w:val="auto"/>
              </w:rPr>
            </w:pPr>
          </w:p>
        </w:tc>
        <w:tc>
          <w:tcPr>
            <w:tcW w:w="11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156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51"/>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Amount in thousands</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4820" w:type="dxa"/>
            <w:vAlign w:val="bottom"/>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331,117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266,414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(209,966)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(188,382)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121,151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78,032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(34,113)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(23,724)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(16,229)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(15,580)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(88,039)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(75,466)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(195,056)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119,590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Subsidy income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2,455</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Profit/(loss) from operations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48,140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(114,673)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162,813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(3,695)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warrant and convertible loan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(91,002)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(7438.9)%</w:t>
            </w:r>
          </w:p>
        </w:tc>
        <w:tc>
          <w:tcPr>
            <w:tcW w:w="0" w:type="dxa"/>
            <w:vAlign w:val="bottom"/>
          </w:tcPr>
          <w:p>
            <w:pPr>
              <w:spacing w:after="0"/>
              <w:rPr>
                <w:sz w:val="1"/>
                <w:szCs w:val="1"/>
                <w:color w:val="auto"/>
              </w:rPr>
            </w:pPr>
          </w:p>
        </w:tc>
      </w:tr>
      <w:tr>
        <w:trPr>
          <w:trHeight w:val="25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debt restructuring</w:t>
            </w:r>
          </w:p>
        </w:tc>
        <w:tc>
          <w:tcPr>
            <w:tcW w:w="360" w:type="dxa"/>
            <w:vAlign w:val="bottom"/>
          </w:tcPr>
          <w:p>
            <w:pPr>
              <w:spacing w:after="0"/>
              <w:rPr>
                <w:sz w:val="22"/>
                <w:szCs w:val="22"/>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(44,798)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(113,134)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68,336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(45,757)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(113,134)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48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(loss)/profit attributable to Microvast Holdings, Inc.'s</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(45,757)</w:t>
            </w:r>
          </w:p>
        </w:tc>
        <w:tc>
          <w:tcPr>
            <w:tcW w:w="80" w:type="dxa"/>
            <w:vAlign w:val="bottom"/>
          </w:tcPr>
          <w:p>
            <w:pPr>
              <w:spacing w:after="0"/>
              <w:rPr>
                <w:sz w:val="13"/>
                <w:szCs w:val="13"/>
                <w:color w:val="auto"/>
              </w:rPr>
            </w:pPr>
          </w:p>
        </w:tc>
        <w:tc>
          <w:tcPr>
            <w:tcW w:w="5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(113,134)</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67,377</w:t>
            </w:r>
          </w:p>
        </w:tc>
        <w:tc>
          <w:tcPr>
            <w:tcW w:w="10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1"/>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3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revenues for the nine months ended September 30, 2025 increased by $64.7 million, or 24.3%, compared to the same period in 2024. This increase was primarily driven by an increase in sales volume, from approximately 1,088.9 MWh for the nine months ended September 30, 2024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1,448.9 MWh for the same period in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revenues for the nine months ended September 30, 2025 increased by $21.6 million, or 11.5%, compared to the same period in 2024. The increase in the cost of revenues was primarily driven by an increase in sales volumes and was partially offset by $3.2 million of decreased share-based compensation expenses.</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gross profit for the nine months ended September 30, 2024 increased to 36.6% of revenue from 29.3% of revenue in the same period in 2024. This improvement was driven by higher production utilization, which enhanced the absorption of fixed costs. Further, a more favorable product mix, with a growing share of higher-margin battery solutions, contributed to increased gross profit.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2025 decreased $25.0 million, or 42.3%, compared to the same period in 2024. The decrease in G&amp;A expenses was primarily due to $17.7 million of decreased share-based compensation expenses and $7.7 million of decreased exchange loss attributed to favorable fluctuations in the Euro/RMB exchange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2025 decreased $8.6 million, or 26.5%, compared to the same period in 2024. The decrease in R&amp;D expenses was primarily due to $5.4 million of decreased share-based compensation expenses and a $1.9 million reduction of personnel costs associated with lower employee headcount.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and marketing expenses for the nine months ended September 30, 2025 were stable compared to the same period in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 of long-lived assets</w:t>
      </w:r>
    </w:p>
    <w:p>
      <w:pPr>
        <w:spacing w:after="0" w:line="2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impairment loss of long-lived assets for the nine months ended September 30, 2025 decreased $86.6 million, or 98.4%, compared to the same period in 2024. The decrease was primarily due to the impairment incurred in second quarter of 2024 related to the Company pausing the construction of the manufacturing facility in Clarksville, Tennessee until additional funding for the remaining capital expenditure is secured.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Warrant and Convertible Loan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period ended September 30, 2025, we recorded a loss of $91.0 million mainly due to the change in fair value of the Convertible Loan, for details please see Note 14 – Convertible Loan measured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financed our operations primarily from capital contributions from equity holders, the issuance of convertible notes and bank borrowings.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2025, our principal sources of liquidity were our cash and cash equivalents and restricted cash in the amount of $142.6 million.</w:t>
      </w:r>
    </w:p>
    <w:p>
      <w:pPr>
        <w:spacing w:after="0" w:line="1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consolidated net cash position as of September 30, 2025 included cash and cash equivalents of $59.0 million and $22.0 million held by our Chinese and European subsidiaries, respectively, that is not available to fund our U.S. operations unless funds are repatriated. Should we need to repatriate to the U.S. part or all of the funds held by our international subsidiaries in the form of a dividend, we would need to accrue and pay withholding taxes. We do not intend to pay any cash dividends on our common stock in the foreseeable future and intend to retain all of the available funds and any future earnings for use in the operation and expansion of our business in China, Europe and the U.S.</w:t>
      </w:r>
    </w:p>
    <w:p>
      <w:pPr>
        <w:spacing w:after="0" w:line="21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accordance with Accounting Standards Update ("ASU") No. 2014-15, “Disclosure of Uncertainties about an Entity’s Ability to Continue as a Going Concern (Subtopic 205-40),” management has evaluated whether there are conditions and events, considered in the aggregate, that raise substantial doubt about our ability to continue as a going concern within one year after the date of the consolidated financial statements are issued. Considering operating requirements under our current business plan, we are projecting that the existing cash and assets available for sale and equity securities will not be sufficient to fund our operations through the next twelve months. These conditions and events raise substantial doubt about our ability to continue as a going concern.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To alleviate the conditions and events that raise substantial doubt about the Company’s ability to continue as a going concern, management has adopted a plan to mitigate this risk, including implementation of a Controlled Equity Offering, as described in Note 18 - Subsequent Events to the consolidated financial statements. The primary plans are as described below.</w:t>
      </w:r>
    </w:p>
    <w:p>
      <w:pPr>
        <w:spacing w:after="0" w:line="200" w:lineRule="exact"/>
        <w:rPr>
          <w:sz w:val="20"/>
          <w:szCs w:val="20"/>
          <w:color w:val="auto"/>
        </w:rPr>
      </w:pPr>
    </w:p>
    <w:p>
      <w:pPr>
        <w:jc w:val="both"/>
        <w:ind w:left="660" w:hanging="652"/>
        <w:spacing w:after="0" w:line="23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Forecasted cash inflow from operations </w:t>
      </w:r>
      <w:r>
        <w:rPr>
          <w:rFonts w:ascii="Times New Roman" w:cs="Times New Roman" w:eastAsia="Times New Roman" w:hAnsi="Times New Roman"/>
          <w:sz w:val="18"/>
          <w:szCs w:val="18"/>
          <w:color w:val="auto"/>
        </w:rPr>
        <w:t>- For the nine months ended September 30, 2025, the Group generated $48.1 million of profit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and $59.5 million of net cash from operating activities. We have an order backlog of $237.7 million with the majority of these orders expected to be fulfilled in 2025 and 2026. We do not expect significant fluctuations in gross margin, considering our selling prices are secured by the contract backlogs and current market conditions of major raw materials. Thus, we believe that the operating cash flow in the forecasted period will continue to be positive.</w:t>
      </w:r>
    </w:p>
    <w:p>
      <w:pPr>
        <w:spacing w:after="0" w:line="224"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Refinancing of short-term bank borrowings </w:t>
      </w:r>
      <w:r>
        <w:rPr>
          <w:rFonts w:ascii="Times New Roman" w:cs="Times New Roman" w:eastAsia="Times New Roman" w:hAnsi="Times New Roman"/>
          <w:sz w:val="18"/>
          <w:szCs w:val="18"/>
          <w:color w:val="auto"/>
        </w:rPr>
        <w:t>- Historically, we have rolled over or obtained replacement borrowings from existing creditors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bank loans upon the maturity date of the loans if needed. Of the $84.4 million in short-term bank borrowings as of September 30, 2025, we have successfully refinanced $23.5 million and assumes that it will continue to be able to further refinance for the following next twelve months.</w:t>
      </w:r>
    </w:p>
    <w:p>
      <w:pPr>
        <w:spacing w:after="0" w:line="197" w:lineRule="exact"/>
        <w:rPr>
          <w:rFonts w:ascii="Times New Roman" w:cs="Times New Roman" w:eastAsia="Times New Roman" w:hAnsi="Times New Roman"/>
          <w:sz w:val="18"/>
          <w:szCs w:val="18"/>
          <w:color w:val="auto"/>
        </w:rPr>
      </w:pPr>
    </w:p>
    <w:p>
      <w:pPr>
        <w:jc w:val="both"/>
        <w:ind w:left="660" w:hanging="652"/>
        <w:spacing w:after="0" w:line="23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Funding from equity offering </w:t>
      </w:r>
      <w:r>
        <w:rPr>
          <w:rFonts w:ascii="Times New Roman" w:cs="Times New Roman" w:eastAsia="Times New Roman" w:hAnsi="Times New Roman"/>
          <w:sz w:val="18"/>
          <w:szCs w:val="18"/>
          <w:color w:val="auto"/>
        </w:rPr>
        <w:t>- On October 3, 2025, the Group entered into a Controlled Equity Offering Sales Agreement (the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Cantor Fitzgerald &amp; Co. and Needham &amp; Company, LLC relating to shares of common stock. From third quarter end to the date of issuance of the financial statements in this Report, the Group received $12.6 million in net proceeds from the sale of shares of common stock under the Sales Agreement and expects to receive additional funds as needed for the following next twelve months, the proceeds of which the Group intends to use for general corporate purposes, which may include, among other things, paying or refinancing all or a portion of the Group's indebtedness at the time, and funding acquisitions, capital expenditures and working capital. See Note 18 - Subsequent Events for details.</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Based on the above, we concluded that it is probable that these plans, when fully implemented, will alleviate substantial doubt about the Group’s ability to continue as a going concern and that adequate sources of liquidity will exist to fund the working capital and capital expenditures requirements and to meet our short term debt obligations, and other liabilities and commitments as they become due.</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To enhance liquidity, we secured a $70.1 million bank loan during the nine months ended September 30, 2025. Further details can be found in Note 7 - Bank Borrowings. Workforce reductions were made in the U.S. during the second and third quarters of 2024, delivering cost savings and improving the Company's cash position.</w:t>
      </w:r>
    </w:p>
    <w:p>
      <w:pPr>
        <w:spacing w:after="0" w:line="2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 strategies to strengthen liquidity include optimizing operations, asset sales, and evaluating funding options. The Company achieved positive operating profit and operating cashflow during the nine months ended September 30, 2025, and continued execution of its business strategy is expected to support positive cash flow generation over the next twelve months.</w:t>
      </w:r>
    </w:p>
    <w:p>
      <w:pPr>
        <w:spacing w:after="0" w:line="2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Group remains engaged in discussions with third parties to explore additional capital-raising opportunities. Future capital requirements may change based on business developments, market conditions, and liquidity needs. The Company continues to evaluate potential options, including additional equity offerings and debt financing, to ensure financial flexibility and long-term growth.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Financings</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As of September 30, 2025, we had bank borrowings of $118.8 million, the terms of which range from 1 to 21 months. The interest rates on our bank borrowings ranged from 2.70% to 4.85% per annum. As of September 30, 2025, we had convertible bonds outstanding of $41.7 million, with interest rates ranging from 3% to 4%. The convertible bonds are all due in 2027. As of September 30, 2025, we also had the $26.2 million Convertible Loan outstanding at an initial interest rate equal to Term Secured Overnight Financing Rate ("SOFR") for the applicable interest period, plus an initial applicable margin of 9.75% per annum, 3.75% of which shall be paid in kind and added to the outstanding principal under the Convertible Loan, with the remaining interest to be paid in cash. See Note 14 - Convertible loan measured at fair value for details. As of September 30, 2025, we were in compliance with all material terms and covenants of our loan agreements, credit agreements and bonds.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July 23, 2021, we received $708.4 million from the completion of the Business Combination, $705.1 million net of transaction costs paid by Microvast, Inc. We have used $506.8 million of the net proceeds from the Business Combination to expand our manufacturing facilities and for the purchase of property and equipment associated with our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manufacturing and R&amp;D facilities. In addition, $198.3 million of the net proceeds were used for working capital as of September 30, 2025.</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Other Contractual Obligations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capital expenditures amounted to $17.4 million and $30.6 million for the three months ended September 30, 2025 and 2024, respectively. Our capital expenditures in 2025 and 2024 are primarily related to the construction and expanded production capacity of our manufacturing facilities in Clarksville, Tennessee and Huzhou, China.</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2021, we started our capacity expansion plans in Huzhou, China, Berlin, Germany and Clarksville, Tennessee. The project in Germany was completed in 2021. The China Phase 3.1 capacity expansion was successfully completed in the third quarter of 2023. To support our expanding product portfolio and growing customer demand, we initiated our Huzhou Phase 3.2 capacity expansion in the fourth quarter of 2024 with total anticipated additional production capacity of 2 GWh annually.</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of delays in securing additional financing, in the fourth quarter of 2023 we began experiencing slow progress in continuing construction of our Clarksville expansion, slowing down certain construction work streams due to the need for additional financing. This facility was initially intended to produce 53.5Ah cells for our ESS solutions; however, we believe that LFP cells are better suited for our ESS solutions and intend to utilize the Tennessee facility to produce LFP cells instead of 53.5Ah cells. Additionally, our ESS products that were previously developed and assembled in Colorado are now planned to be assembled at our Tennessee facility once the facility is completed. The proceeds from the Business Combination alone were not sufficient to complete the Clarksville expansion and meet our general working capital needs, and due to foreign restrictions and adverse tax consequences as well as the working capital needs of Microvast Power Systems Co. Ltd., we are unable to repatriate cash from China to meet obligations in the U.S. and fund the continued expansion of our U.S. operations. We are seeking alternative sources of capital. Until financing is in place, this will limit our growth opportunities, especially in the U.S. market where our customers desire products that meet their domestic content requirements. We are evaluating potential financing paths to complete the Tennessee facility.</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 funding planned production capacity expansions and for general working capital. In addition, we may in the future enter into arrangements to acquire or invest in complementary businesses or technologies. We may need to seek additional equity or debt financing in order to meet these future capital requirements. If we are unable to raise additional capital when desired, or on terms that are acceptable to us, our business, financial condition and results of operations could be adversely affected. There are no material off-balance sheet arrangements other than those described below.</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certain facilities and equipment under non-cancellable lease agreements that expire at various dates through 2036. For additional information, see Note 12 – Leases, in the notes to the unaudited condensed consolidated financial statements in Part I, Item 1 of this Report on Form 10-Q.</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43" w:lineRule="exact"/>
        <w:rPr>
          <w:sz w:val="20"/>
          <w:szCs w:val="20"/>
          <w:color w:val="auto"/>
        </w:rPr>
      </w:pPr>
    </w:p>
    <w:p>
      <w:pPr>
        <w:ind w:right="300" w:firstLine="648"/>
        <w:spacing w:after="0" w:line="242" w:lineRule="auto"/>
        <w:rPr>
          <w:sz w:val="20"/>
          <w:szCs w:val="20"/>
          <w:color w:val="auto"/>
        </w:rPr>
      </w:pPr>
      <w:r>
        <w:rPr>
          <w:rFonts w:ascii="Times New Roman" w:cs="Times New Roman" w:eastAsia="Times New Roman" w:hAnsi="Times New Roman"/>
          <w:sz w:val="18"/>
          <w:szCs w:val="18"/>
          <w:color w:val="auto"/>
        </w:rPr>
        <w:t>We regularly enter into non-cancelable contractual obligations primarily related to purchases of inventory. As of September 30, 2025, such purchase commitments, which do not qualify for recognition on our unaudited condensed consolidated balance sheets, amount to $44.1 million, most of which is short-term.</w:t>
      </w:r>
    </w:p>
    <w:p>
      <w:pPr>
        <w:spacing w:after="0" w:line="21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have not been any other material changes during the three and nine months ended September 30, 2025 to our contractual obligations included in our Annual Report on Form 10-K for the fiscal year ended December 31,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data for the periods indicated:</w:t>
      </w:r>
    </w:p>
    <w:p>
      <w:pPr>
        <w:spacing w:after="0" w:line="262"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Amount in thousands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7"/>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generated from/(used in) operating activities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59,486</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w:t>
            </w:r>
          </w:p>
        </w:tc>
      </w:tr>
      <w:tr>
        <w:trPr>
          <w:trHeight w:val="230"/>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w:t>
            </w:r>
          </w:p>
        </w:tc>
      </w:tr>
      <w:tr>
        <w:trPr>
          <w:trHeight w:val="229"/>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generated from financing activities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46,635</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our operating activities generated $59.5 million in cash. This increase in cash consisted of (1) a net loss of $45.8 million and non-cash charges of $141.0 million, of which $91.0 million is due to change in the fair value of warrant and Convertible Loan, $24.2 million is depreciation of property, plant and equipment, and $13.4 million is non-cash product warranty; and (2) a $35.7 million decrease in cash flows from operating assets and liabilities including $41.2 million cash outflow due to the net increase of accounts receivable and notes receivable, $38.2 million cash outflow due to the net decrease of advance from customers, $2.6 million cash outflow due to decrease of accounts payable and notes payable, $27.9 million cash inflow from accrued and other liabilities and prepaid expense and other current assets, $17.4 million cash inflow due to decrease in inventories, and $1.0 million cash inflow from other operating assets and liabilities.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Compared to the nine months ended September 30, 2024, the nine months ended September 30, 2025 net cash generated from operating activities benefited from more profitable operations, partially offset primarily by slower collections of accounts and notes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investing activities totaled $15.5 million. This cash outflow primarily consisted of capital expenditures related to the expansion of our manufacturing facilities and to the purchase of property and equipment associated with our existing manufacturing and R&amp;D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cash used in financing activities totaled $9.5 million. This cash outflow was a result of $65.9 million of repayment on bank borrowings, $1.4 million of repayment on long-term bonds payable and $12.3 million of deferred payments related to purchases of property, plant and equipment, partially offset by $70.1 million of proceeds from bank borrowings.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There have been no substantial changes to these estimates, or the policies related to them during the nine months ended September 30, 2025. For a full discussion of these estimates and policies, see “Management’s Discussion and Analysis of Financial Condition and Results of Operations - Critical Accounting Policies and Estimates” in Item 7 of our Annual Report on Form 10-K for the year ended December 31, 2024.</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Markets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cell, module, and pack manufacturing operations are concentrated in Huzhou, China, and we have assembly and distribution operations throughout Europe, the U.S., China and the Asia &amp; Pacific region. Rapidly changing global trade policies, such as tariffs, sanctions and export control laws, may increase operating costs and uncertainty. Tariffs in particular may raise costs for consumers which could lead to softened customer demand. In addition, because our manufacturing centers are located in China, ongoing trade developments between the United States and China, such as import and export controls, may impact our ability to rely on those manufacturing centers for continued production. We continue to monitor domestic and international regulatory developments relevant to our manufacturing and distribution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Exposure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cash and cash equivalents primarily consist of cash deposits and money market accounts, which are subject to interest rate fluctuations. While these interest-earning instruments carry a degree of interest rate risk, historical fluctuations in interest income have not been material. In addition, our bonds payable bear interest at fixed rates and are not publicly traded. Our project finance loans in China contain a spread of 115 basis points over the Loan Prime Rate in China and accordingly are exposed to movements in that reference rate. The Convertible Loan's interest rate is calculated as 975 basis points over Term SOFR. Consequently, future changes in the Term SOFR reference rate could materially affect the Company's interest expense. As a result, interest expense going forward could be materially affected by changes in the market interest rates.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our cash equivalents have a short maturity, our portfolio’s fair value is relatively insensitive to interest rate changes. We do not believe that an increase or decrease in interest rates of 100 basis points would have a material effect on our operating results or financial condition. In future periods, we will continue to evaluate our investment policy in order to ensure that we continue to meet our overall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significant operational exposure to foreign currency risk. A large portion of our transactions and cash balances are denominated in foreign currencies, primarily the Chinese Renminbi due to our operations in China, and the Euro from our sales in Europe. The volatility of exchange rates depends on many factors that we cannot forecast with reliable accuracy. As a result, fluctuations in exchange rates for the currencies have impacted and will continue to impact our operating results, affecting items such as cash, trade receivables, trade payables, and intercompany balances that are denominated in currencies other than the U.S. dollar.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assess our exposure, we considered the historical trends in foreign currency exchange rates and determined that it is reasonably possible that adverse changes in foreign currency exchange rates of 10% for all currencies could be experienced in the near-term. These changes were applied to our total monetary assets and liabilities denominated in currencies other than our local currencies at the balance sheet date to compute the impact these changes would have had on our net income before income taxes. These changes would have resulted in a loss of $18.3 million at September 30,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credit risk primarily relates to trade receivables, restricted cash, cash equivalents, and amounts due from related parties. We typically extend credit only to customers and counterparties with strong credit ratings and actively monitor overdue accounts to minimize default risk.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evaluation of credit risk exposure involves significant estimates and judgment. Holding other factors constant, a hypothetical 100-basis-point increase in the expected loss rate on our financing receivables portfolio would have resulted in an increase in the allowance for credit losses of approximately $0.7 million as of September 30,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mitigate credit risk, we have a dedicated credit management team responsible for establishing credit limits, approving credit terms and implementing collection strategies. At each reporting period, we review the recoverability of outstanding balances and ensure that adequate impairment provisions are recorded for potentially uncollectible amounts. If necessary, we negotiate revised payment terms or settlement plans with customers facing financial difficulties. Given our robust credit risk management practices, we consider our overall credit risk exposure to be significantly mitigated.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historically experienced higher sales during our third and fourth fiscal quarters as compared to our first and second fiscal quarters. However, our limited operating history makes it difficult for us to judge the exact nature or extent of the seasonality of our business. We continue to monitor sales trends and market conditions to better understand the potential impact of seasonal demand fluctuations on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supervision and with the participation of our management, including our Chief Executive Officer and Chief Financial Officer, we evaluated the effectiveness of our disclosure controls and procedures (as defined in Rules 13a-15(e) and 15d-15(e) under the Exchange Act) as of September 30, 2025. Based upon that evaluation, our Chief Executive Officer and Chief Financial Officer concluded that our disclosure controls and procedures were not effective as of September 30, 2025, as a result of the material weaknesses in the Company's internal controls over financial reporting identified below. As defined in the standards established by the Public Company Accounting Oversight Board, a “material weakness” is a deficiency, or a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these material weaknesses, we performed additional procedures and analysis to ensure that the financial statements included in this Report were prepared in accordance with U.S. GAAP. Based on these procedures, management, including our Chief Executive Officer and Chief Financial Officer, believes the unaudited condensed consolidated financial statements included in this Report fairly represent in all material respects our financial condition, results of operations and cash flows at and for the periods presented, in accordance with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Controls</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As previously disclosed in Part II, Item 9A of our Annual Report on Form 10-K for the fiscal year ended December 31, 2024, in connection with the audit of the financial year ended December 31, 2024, we identified control deficiencies in the design and operation of internal controls over financial reporting that constituted a material weakness in aggregation. Significant improvement in the design and monitoring of information technology general controls (“GITC”) was made in 2024, however a material weakness has been identified relating to the design, implementation and monitoring of GITC for the ERP system that are relevant to the preparation of our financial statements. In particular, the Company’s GITC findings included: (i) inappropriate implementation of controls allowed developers to gain access to application layer of ERP; (ii) the monitoring controls were not appropriately designed to review the overall operations of the privileged users; and (iii) the monitoring controls were not appropriately designed to review the permissions granted to users. A substantial portion of the Company's controls are dependent upon the information derived from the ERP system and therefore the dependent controls were also concluded to be ineffective.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Remediation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Subsequent to the identification of the material weakness, we have taken steps to address the control deficiencies and continue to implement our remediation plan, which we believe addresses the underlying causes. We executed on our remediation plan for the material weakness by:</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all inappropriate access as of December 31, 2024, and strictly following segregation of duty rule set for developers.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more robust and precise processes to monitor the privileged user activities.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more robust and precise processes for the user access review.</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While we believe these efforts will continue to improve our internal controls and address the underlying causes of the material weakness, the material weakness will not be remediated until our remediation plan has been fully implemented and tested and we have concluded that following the improvements, our IT general controls are operating effectively for a sufficient period of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above, the Company is taking steps to remediate the material weakness noted above. Other than the changes in connection with these remediation steps, there have been no changes in our internal control over financial reporting during the quarter ended September 30,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3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 that our disclosure controls and procedures and internal control over financial reporting are designed to provide reasonable levels of assurance of achieving their objectives and are effective at the reasonable assurance level. However, management does not expect that our disclosure controls and procedures or our internal control over financial reporting will prevent or detect all errors or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a description of our pending legal proceedings, please see Note 16. Commitments and Contingencies, to the consolidated financial statements included elsewhere in this Report. While the lawsuits are being vigorously defended, the outcome of any litigation is inherently uncertain, and there is always the possibility that a court rules in a manner that is adverse to the interests of the Company and the individual defendants. However, the amount of any such loss in that scenario cannot be reasonably estimated at this time. Regardless of the outcome, litigation has the potential to have an adverse impact on us because of defense and settlement costs, diversion of management resources and other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evaluating us and our common stock, we urge you to carefully consider the risks and other information in this Report, as well as the risk factors disclosed in Part I, Item 1A of our Annual Report on Form 10-K for the fiscal year ended December 31, 2024, and other reports that we have filed with the SEC.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our equity securities during the three months ended September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10b5-1 Trading Plans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11, 2025, Yixin Pan adopted a trading plan intended to satisfy Rule 10b5-1(c) to sell up to 12,595 shares of the Company's common stock over a period ending on January 6, 2026, subject to certain conditions.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other director or officer of the Company (as defined in Rule 16a-1(f) under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Regulations S-K during the three months ended September 30,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as part of, or incorporated by reference into, this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75"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Exhibit Title</w:t>
      </w:r>
    </w:p>
    <w:p>
      <w:pPr>
        <w:spacing w:after="0" w:line="67" w:lineRule="exact"/>
        <w:rPr>
          <w:sz w:val="20"/>
          <w:szCs w:val="20"/>
          <w:color w:val="auto"/>
        </w:rPr>
      </w:pPr>
    </w:p>
    <w:p>
      <w:pPr>
        <w:ind w:right="240"/>
        <w:spacing w:after="0" w:line="236" w:lineRule="auto"/>
        <w:rPr>
          <w:rFonts w:ascii="Times New Roman" w:cs="Times New Roman" w:eastAsia="Times New Roman" w:hAnsi="Times New Roman"/>
          <w:sz w:val="17"/>
          <w:szCs w:val="17"/>
          <w:u w:val="single" w:color="auto"/>
          <w:color w:val="0000FF"/>
        </w:rPr>
      </w:pPr>
      <w:hyperlink r:id="rId76">
        <w:r>
          <w:rPr>
            <w:rFonts w:ascii="Times New Roman" w:cs="Times New Roman" w:eastAsia="Times New Roman" w:hAnsi="Times New Roman"/>
            <w:sz w:val="17"/>
            <w:szCs w:val="17"/>
            <w:u w:val="single" w:color="auto"/>
            <w:color w:val="0000FF"/>
          </w:rPr>
          <w:t>Agreement and Plan of Merger, dated as of February 1, 2021, by and among Tuscan Holdings Corp., TSCN Merger Sub Inc., and</w:t>
        </w:r>
      </w:hyperlink>
      <w:r>
        <w:rPr>
          <w:rFonts w:ascii="Times New Roman" w:cs="Times New Roman" w:eastAsia="Times New Roman" w:hAnsi="Times New Roman"/>
          <w:sz w:val="17"/>
          <w:szCs w:val="17"/>
          <w:u w:val="single" w:color="auto"/>
          <w:color w:val="0000FF"/>
        </w:rPr>
        <w:t xml:space="preserve"> </w:t>
      </w:r>
      <w:hyperlink r:id="rId76">
        <w:r>
          <w:rPr>
            <w:rFonts w:ascii="Times New Roman" w:cs="Times New Roman" w:eastAsia="Times New Roman" w:hAnsi="Times New Roman"/>
            <w:sz w:val="17"/>
            <w:szCs w:val="17"/>
            <w:u w:val="single" w:color="auto"/>
            <w:color w:val="0000FF"/>
          </w:rPr>
          <w:t>Microvast, Inc. (incorporated by reference to the Company’s definitive proxy statement on Schedule 14A, filed with the SEC on July 2,</w:t>
        </w:r>
      </w:hyperlink>
    </w:p>
    <w:p>
      <w:pPr>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4445</wp:posOffset>
            </wp:positionV>
            <wp:extent cx="7132320" cy="266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40"/>
        <w:spacing w:after="0" w:line="234"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Second Amended and Restated Certificate of Incorporation of Microvast Holdings, Inc. (incorporated by reference from Exhibit 3.1 to the</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Company’s Current Report on Form 8-K, filed with the SEC on July 28, 2021).</w:t>
        </w:r>
      </w:hyperlink>
    </w:p>
    <w:p>
      <w:pPr>
        <w:spacing w:after="0" w:line="1" w:lineRule="exact"/>
        <w:rPr>
          <w:sz w:val="20"/>
          <w:szCs w:val="20"/>
          <w:color w:val="auto"/>
        </w:rPr>
      </w:pPr>
    </w:p>
    <w:p>
      <w:pPr>
        <w:sectPr>
          <w:pgSz w:w="11900" w:h="16838" w:orient="portrait"/>
          <w:cols w:equalWidth="0" w:num="2">
            <w:col w:w="660" w:space="600"/>
            <w:col w:w="99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60" w:type="dxa"/>
            <w:vAlign w:val="bottom"/>
          </w:tcPr>
          <w:p>
            <w:pPr>
              <w:jc w:val="right"/>
              <w:ind w:right="910"/>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9980" w:type="dxa"/>
            <w:vAlign w:val="bottom"/>
            <w:gridSpan w:val="9"/>
          </w:tcPr>
          <w:p>
            <w:pPr>
              <w:spacing w:after="0" w:line="184"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Amended and Restated Bylaws of Microvast Holdings, Inc. (incorporated by reference from Exhibit 3.2 to the Company’s Current Report</w:t>
              </w:r>
            </w:hyperlink>
          </w:p>
        </w:tc>
      </w:tr>
      <w:tr>
        <w:trPr>
          <w:trHeight w:val="156"/>
        </w:trPr>
        <w:tc>
          <w:tcPr>
            <w:tcW w:w="1260" w:type="dxa"/>
            <w:vAlign w:val="bottom"/>
          </w:tcPr>
          <w:p>
            <w:pPr>
              <w:spacing w:after="0"/>
              <w:rPr>
                <w:sz w:val="13"/>
                <w:szCs w:val="13"/>
                <w:color w:val="auto"/>
              </w:rPr>
            </w:pPr>
          </w:p>
        </w:tc>
        <w:tc>
          <w:tcPr>
            <w:tcW w:w="99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on Form 8-K, filed with the SEC on July 28, 2021).</w:t>
              </w:r>
            </w:hyperlink>
          </w:p>
        </w:tc>
        <w:tc>
          <w:tcPr>
            <w:tcW w:w="60" w:type="dxa"/>
            <w:vAlign w:val="bottom"/>
          </w:tcPr>
          <w:p>
            <w:pPr>
              <w:spacing w:after="0"/>
              <w:rPr>
                <w:sz w:val="13"/>
                <w:szCs w:val="13"/>
                <w:color w:val="auto"/>
              </w:rPr>
            </w:pPr>
          </w:p>
        </w:tc>
      </w:tr>
      <w:tr>
        <w:trPr>
          <w:trHeight w:val="34"/>
        </w:trPr>
        <w:tc>
          <w:tcPr>
            <w:tcW w:w="126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260" w:type="dxa"/>
            <w:vAlign w:val="bottom"/>
            <w:shd w:val="clear" w:color="auto" w:fill="CCEEFF"/>
          </w:tcPr>
          <w:p>
            <w:pPr>
              <w:jc w:val="right"/>
              <w:ind w:right="91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9980" w:type="dxa"/>
            <w:vAlign w:val="bottom"/>
            <w:gridSpan w:val="9"/>
            <w:shd w:val="clear" w:color="auto" w:fill="CCEEFF"/>
          </w:tcPr>
          <w:p>
            <w:pPr>
              <w:spacing w:after="0" w:line="16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Specimen Common Stock Certificate (incorporated by reference from Exhibit 4.4 to the Company’s Current Report on Form 8-K, filed</w:t>
              </w:r>
            </w:hyperlink>
          </w:p>
        </w:tc>
      </w:tr>
      <w:tr>
        <w:trPr>
          <w:trHeight w:val="155"/>
        </w:trPr>
        <w:tc>
          <w:tcPr>
            <w:tcW w:w="126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with the SEC on July 28, 2021).</w:t>
              </w:r>
            </w:hyperlink>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260" w:type="dxa"/>
            <w:vAlign w:val="bottom"/>
          </w:tcPr>
          <w:p>
            <w:pPr>
              <w:jc w:val="right"/>
              <w:ind w:right="91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980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Specimen Warrant Certificate (incorporated by reference from Exhibit 4.5 to the Company’s Current Report on Form 8-K, filed with the</w:t>
              </w:r>
            </w:hyperlink>
          </w:p>
        </w:tc>
        <w:tc>
          <w:tcPr>
            <w:tcW w:w="180" w:type="dxa"/>
            <w:vAlign w:val="bottom"/>
            <w:gridSpan w:val="2"/>
          </w:tcPr>
          <w:p>
            <w:pPr>
              <w:spacing w:after="0"/>
              <w:rPr>
                <w:sz w:val="16"/>
                <w:szCs w:val="16"/>
                <w:color w:val="auto"/>
              </w:rPr>
            </w:pPr>
          </w:p>
        </w:tc>
      </w:tr>
      <w:tr>
        <w:trPr>
          <w:trHeight w:val="156"/>
        </w:trPr>
        <w:tc>
          <w:tcPr>
            <w:tcW w:w="1260" w:type="dxa"/>
            <w:vAlign w:val="bottom"/>
          </w:tcPr>
          <w:p>
            <w:pPr>
              <w:spacing w:after="0"/>
              <w:rPr>
                <w:sz w:val="13"/>
                <w:szCs w:val="13"/>
                <w:color w:val="auto"/>
              </w:rPr>
            </w:pPr>
          </w:p>
        </w:tc>
        <w:tc>
          <w:tcPr>
            <w:tcW w:w="9800" w:type="dxa"/>
            <w:vAlign w:val="bottom"/>
            <w:gridSpan w:val="7"/>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SEC on July 28, 2021).</w:t>
              </w:r>
            </w:hyperlink>
          </w:p>
        </w:tc>
        <w:tc>
          <w:tcPr>
            <w:tcW w:w="180" w:type="dxa"/>
            <w:vAlign w:val="bottom"/>
            <w:gridSpan w:val="2"/>
          </w:tcPr>
          <w:p>
            <w:pPr>
              <w:spacing w:after="0"/>
              <w:rPr>
                <w:sz w:val="13"/>
                <w:szCs w:val="13"/>
                <w:color w:val="auto"/>
              </w:rPr>
            </w:pPr>
          </w:p>
        </w:tc>
      </w:tr>
      <w:tr>
        <w:trPr>
          <w:trHeight w:val="34"/>
        </w:trPr>
        <w:tc>
          <w:tcPr>
            <w:tcW w:w="126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260" w:type="dxa"/>
            <w:vAlign w:val="bottom"/>
            <w:shd w:val="clear" w:color="auto" w:fill="CCEEFF"/>
          </w:tcPr>
          <w:p>
            <w:pPr>
              <w:jc w:val="right"/>
              <w:ind w:right="910"/>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9980" w:type="dxa"/>
            <w:vAlign w:val="bottom"/>
            <w:gridSpan w:val="9"/>
            <w:shd w:val="clear" w:color="auto" w:fill="CCEEFF"/>
          </w:tcPr>
          <w:p>
            <w:pPr>
              <w:spacing w:after="0" w:line="16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Warrant Agreement (incorporated by reference from Exhibit 4.4 to the Company’s Registration Statement on Form S-1, filed with the</w:t>
              </w:r>
            </w:hyperlink>
          </w:p>
        </w:tc>
      </w:tr>
      <w:tr>
        <w:trPr>
          <w:trHeight w:val="155"/>
        </w:trPr>
        <w:tc>
          <w:tcPr>
            <w:tcW w:w="126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5"/>
            <w:shd w:val="clear" w:color="auto" w:fill="CCEEFF"/>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Company on February 26, 2019).</w:t>
              </w:r>
            </w:hyperlink>
          </w:p>
        </w:tc>
        <w:tc>
          <w:tcPr>
            <w:tcW w:w="360" w:type="dxa"/>
            <w:vAlign w:val="bottom"/>
            <w:tcBorders>
              <w:top w:val="single" w:sz="8" w:color="CCEEFF"/>
            </w:tcBorders>
            <w:gridSpan w:val="4"/>
            <w:shd w:val="clear" w:color="auto" w:fill="CCEEFF"/>
          </w:tcPr>
          <w:p>
            <w:pPr>
              <w:spacing w:after="0"/>
              <w:rPr>
                <w:sz w:val="13"/>
                <w:szCs w:val="13"/>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59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229" w:right="339" w:bottom="1440" w:gutter="0" w:footer="0" w:header="0"/>
          <w:type w:val="continuous"/>
        </w:sectPr>
      </w:pP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br w:type="column"/>
      </w:r>
    </w:p>
    <w:p>
      <w:pPr>
        <w:ind w:right="260"/>
        <w:spacing w:after="0" w:line="233" w:lineRule="auto"/>
        <w:rPr>
          <w:rFonts w:ascii="Times New Roman" w:cs="Times New Roman" w:eastAsia="Times New Roman" w:hAnsi="Times New Roman"/>
          <w:sz w:val="17"/>
          <w:szCs w:val="17"/>
          <w:u w:val="single" w:color="auto"/>
          <w:color w:val="0000FF"/>
        </w:rPr>
      </w:pPr>
      <w:hyperlink r:id="rId83">
        <w:r>
          <w:rPr>
            <w:rFonts w:ascii="Times New Roman" w:cs="Times New Roman" w:eastAsia="Times New Roman" w:hAnsi="Times New Roman"/>
            <w:sz w:val="17"/>
            <w:szCs w:val="17"/>
            <w:u w:val="single" w:color="auto"/>
            <w:color w:val="0000FF"/>
          </w:rPr>
          <w:t>Registration Rights and Lock-Up Agreement, dated as of July 26, 2021, by and among (a) Microvast Holdings, Inc., (b) the Microvast</w:t>
        </w:r>
      </w:hyperlink>
      <w:r>
        <w:rPr>
          <w:rFonts w:ascii="Times New Roman" w:cs="Times New Roman" w:eastAsia="Times New Roman" w:hAnsi="Times New Roman"/>
          <w:sz w:val="17"/>
          <w:szCs w:val="17"/>
          <w:u w:val="single" w:color="auto"/>
          <w:color w:val="0000FF"/>
        </w:rPr>
        <w:t xml:space="preserve"> </w:t>
      </w:r>
      <w:hyperlink r:id="rId83">
        <w:r>
          <w:rPr>
            <w:rFonts w:ascii="Times New Roman" w:cs="Times New Roman" w:eastAsia="Times New Roman" w:hAnsi="Times New Roman"/>
            <w:sz w:val="17"/>
            <w:szCs w:val="17"/>
            <w:u w:val="single" w:color="auto"/>
            <w:color w:val="0000FF"/>
          </w:rPr>
          <w:t>Equity Holders, (c) the CL Holders, (d) Tuscan Holdings Acquisition LLC, Stefan M. Selig, Richard O. Rieger and Amy Butte, and (e)</w:t>
        </w:r>
      </w:hyperlink>
    </w:p>
    <w:p>
      <w:pPr>
        <w:ind w:right="120"/>
        <w:spacing w:after="0" w:line="226" w:lineRule="auto"/>
        <w:rPr>
          <w:rFonts w:ascii="Times New Roman" w:cs="Times New Roman" w:eastAsia="Times New Roman" w:hAnsi="Times New Roman"/>
          <w:sz w:val="18"/>
          <w:szCs w:val="18"/>
          <w:u w:val="single" w:color="auto"/>
          <w:color w:val="0000FF"/>
        </w:rPr>
      </w:pPr>
      <w:hyperlink r:id="rId83">
        <w:r>
          <w:rPr>
            <w:rFonts w:ascii="Times New Roman" w:cs="Times New Roman" w:eastAsia="Times New Roman" w:hAnsi="Times New Roman"/>
            <w:sz w:val="18"/>
            <w:szCs w:val="18"/>
            <w:u w:val="single" w:color="auto"/>
            <w:color w:val="0000FF"/>
          </w:rPr>
          <w:t>EarlyBirdCapital, Inc. (incorporated by reference from Exhibit 4.1 to the Company’s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83">
        <w:r>
          <w:rPr>
            <w:rFonts w:ascii="Times New Roman" w:cs="Times New Roman" w:eastAsia="Times New Roman" w:hAnsi="Times New Roman"/>
            <w:sz w:val="18"/>
            <w:szCs w:val="18"/>
            <w:u w:val="single" w:color="auto"/>
            <w:color w:val="0000FF"/>
          </w:rPr>
          <w:t>July 28,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132320"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right="100"/>
        <w:spacing w:after="0" w:line="233" w:lineRule="auto"/>
        <w:rPr>
          <w:rFonts w:ascii="Times New Roman" w:cs="Times New Roman" w:eastAsia="Times New Roman" w:hAnsi="Times New Roman"/>
          <w:sz w:val="17"/>
          <w:szCs w:val="17"/>
          <w:u w:val="single" w:color="auto"/>
          <w:color w:val="0000FF"/>
        </w:rPr>
      </w:pPr>
      <w:hyperlink r:id="rId85">
        <w:r>
          <w:rPr>
            <w:rFonts w:ascii="Times New Roman" w:cs="Times New Roman" w:eastAsia="Times New Roman" w:hAnsi="Times New Roman"/>
            <w:sz w:val="17"/>
            <w:szCs w:val="17"/>
            <w:u w:val="single" w:color="auto"/>
            <w:color w:val="0000FF"/>
          </w:rPr>
          <w:t>Stockholders Agreement, dated July 26, 2021, by and among (a) Microvast Holdings, Inc., (b) Yang Wu and (c) Tuscan Holdings</w:t>
        </w:r>
      </w:hyperlink>
      <w:r>
        <w:rPr>
          <w:rFonts w:ascii="Times New Roman" w:cs="Times New Roman" w:eastAsia="Times New Roman" w:hAnsi="Times New Roman"/>
          <w:sz w:val="17"/>
          <w:szCs w:val="17"/>
          <w:u w:val="single" w:color="auto"/>
          <w:color w:val="0000FF"/>
        </w:rPr>
        <w:t xml:space="preserve"> </w:t>
      </w:r>
      <w:hyperlink r:id="rId85">
        <w:r>
          <w:rPr>
            <w:rFonts w:ascii="Times New Roman" w:cs="Times New Roman" w:eastAsia="Times New Roman" w:hAnsi="Times New Roman"/>
            <w:sz w:val="17"/>
            <w:szCs w:val="17"/>
            <w:u w:val="single" w:color="auto"/>
            <w:color w:val="0000FF"/>
          </w:rPr>
          <w:t>Acquisition LLC. (incorporated by reference from Exhibit 4.2 to the Company’s Current Report on Form 8-K, filed with the SEC on July</w:t>
        </w:r>
      </w:hyperlink>
    </w:p>
    <w:p>
      <w:pPr>
        <w:spacing w:after="0"/>
        <w:rPr>
          <w:rFonts w:ascii="Times New Roman" w:cs="Times New Roman" w:eastAsia="Times New Roman" w:hAnsi="Times New Roman"/>
          <w:sz w:val="18"/>
          <w:szCs w:val="18"/>
          <w:u w:val="single" w:color="auto"/>
          <w:color w:val="0000FF"/>
        </w:rPr>
      </w:pPr>
      <w:hyperlink r:id="rId85">
        <w:r>
          <w:rPr>
            <w:rFonts w:ascii="Times New Roman" w:cs="Times New Roman" w:eastAsia="Times New Roman" w:hAnsi="Times New Roman"/>
            <w:sz w:val="18"/>
            <w:szCs w:val="18"/>
            <w:u w:val="single" w:color="auto"/>
            <w:color w:val="0000FF"/>
          </w:rPr>
          <w:t>28, 2021).</w:t>
        </w:r>
      </w:hyperlink>
    </w:p>
    <w:p>
      <w:pPr>
        <w:spacing w:after="0" w:line="7" w:lineRule="exact"/>
        <w:rPr>
          <w:sz w:val="20"/>
          <w:szCs w:val="20"/>
          <w:color w:val="auto"/>
        </w:rPr>
      </w:pPr>
    </w:p>
    <w:p>
      <w:pPr>
        <w:ind w:right="160"/>
        <w:spacing w:after="0" w:line="234" w:lineRule="auto"/>
        <w:rPr>
          <w:rFonts w:ascii="Times New Roman" w:cs="Times New Roman" w:eastAsia="Times New Roman" w:hAnsi="Times New Roman"/>
          <w:sz w:val="18"/>
          <w:szCs w:val="18"/>
          <w:u w:val="single" w:color="auto"/>
          <w:color w:val="0000FF"/>
        </w:rPr>
      </w:pPr>
      <w:hyperlink r:id="rId86">
        <w:r>
          <w:rPr>
            <w:rFonts w:ascii="Times New Roman" w:cs="Times New Roman" w:eastAsia="Times New Roman" w:hAnsi="Times New Roman"/>
            <w:sz w:val="18"/>
            <w:szCs w:val="18"/>
            <w:u w:val="single" w:color="auto"/>
            <w:color w:val="0000FF"/>
          </w:rPr>
          <w:t>Common Stock Purchase Warrant, dated May 28, 2024, issued by the Company to Yang Wu (incorporated by reference from Exhibit 4.1</w:t>
        </w:r>
      </w:hyperlink>
      <w:r>
        <w:rPr>
          <w:rFonts w:ascii="Times New Roman" w:cs="Times New Roman" w:eastAsia="Times New Roman" w:hAnsi="Times New Roman"/>
          <w:sz w:val="18"/>
          <w:szCs w:val="18"/>
          <w:u w:val="single" w:color="auto"/>
          <w:color w:val="0000FF"/>
        </w:rPr>
        <w:t xml:space="preserve"> </w:t>
      </w:r>
      <w:hyperlink r:id="rId86">
        <w:r>
          <w:rPr>
            <w:rFonts w:ascii="Times New Roman" w:cs="Times New Roman" w:eastAsia="Times New Roman" w:hAnsi="Times New Roman"/>
            <w:sz w:val="18"/>
            <w:szCs w:val="18"/>
            <w:u w:val="single" w:color="auto"/>
            <w:color w:val="0000FF"/>
          </w:rPr>
          <w:t>to the Company's Current Report on Form 8-K, filed with the SEC on June 4, 2024).</w:t>
        </w:r>
      </w:hyperlink>
    </w:p>
    <w:p>
      <w:pPr>
        <w:spacing w:after="0" w:line="1" w:lineRule="exact"/>
        <w:rPr>
          <w:sz w:val="20"/>
          <w:szCs w:val="20"/>
          <w:color w:val="auto"/>
        </w:rPr>
      </w:pPr>
    </w:p>
    <w:p>
      <w:pPr>
        <w:sectPr>
          <w:pgSz w:w="11900" w:h="16838" w:orient="portrait"/>
          <w:cols w:equalWidth="0" w:num="2">
            <w:col w:w="540" w:space="720"/>
            <w:col w:w="99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60" w:type="dxa"/>
            <w:vAlign w:val="bottom"/>
            <w:shd w:val="clear" w:color="auto" w:fill="CCEEFF"/>
          </w:tcPr>
          <w:p>
            <w:pPr>
              <w:jc w:val="right"/>
              <w:ind w:right="83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9980" w:type="dxa"/>
            <w:vAlign w:val="bottom"/>
            <w:gridSpan w:val="3"/>
            <w:shd w:val="clear" w:color="auto" w:fill="CCEEFF"/>
          </w:tcPr>
          <w:p>
            <w:pPr>
              <w:spacing w:after="0" w:line="184"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Offer Letter, dated April 3, 2025, by and between Microvast Holdings, Inc. and Pat Schultz (incorporated by reference from Exhibit 10.1</w:t>
              </w:r>
            </w:hyperlink>
          </w:p>
        </w:tc>
      </w:tr>
      <w:tr>
        <w:trPr>
          <w:trHeight w:val="156"/>
        </w:trPr>
        <w:tc>
          <w:tcPr>
            <w:tcW w:w="126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to the Company's Current Report on Form 8-K, filed with the SEC on April 9, 2025).</w:t>
              </w:r>
            </w:hyperlink>
          </w:p>
        </w:tc>
        <w:tc>
          <w:tcPr>
            <w:tcW w:w="140" w:type="dxa"/>
            <w:vAlign w:val="bottom"/>
            <w:tcBorders>
              <w:top w:val="single" w:sz="8" w:color="CCEEFF"/>
            </w:tcBorders>
            <w:shd w:val="clear" w:color="auto" w:fill="CCEEFF"/>
          </w:tcPr>
          <w:p>
            <w:pPr>
              <w:spacing w:after="0"/>
              <w:rPr>
                <w:sz w:val="13"/>
                <w:szCs w:val="13"/>
                <w:color w:val="auto"/>
              </w:rPr>
            </w:pPr>
          </w:p>
        </w:tc>
      </w:tr>
      <w:tr>
        <w:trPr>
          <w:trHeight w:val="34"/>
        </w:trPr>
        <w:tc>
          <w:tcPr>
            <w:tcW w:w="1260" w:type="dxa"/>
            <w:vAlign w:val="bottom"/>
            <w:tcBorders>
              <w:top w:val="single" w:sz="8" w:color="CCEEFF"/>
            </w:tcBorders>
            <w:shd w:val="clear" w:color="auto" w:fill="CCEEFF"/>
          </w:tcPr>
          <w:p>
            <w:pPr>
              <w:spacing w:after="0"/>
              <w:rPr>
                <w:sz w:val="2"/>
                <w:szCs w:val="2"/>
                <w:color w:val="auto"/>
              </w:rPr>
            </w:pPr>
          </w:p>
        </w:tc>
        <w:tc>
          <w:tcPr>
            <w:tcW w:w="6120" w:type="dxa"/>
            <w:vAlign w:val="bottom"/>
            <w:tcBorders>
              <w:top w:val="single" w:sz="8" w:color="0000FF"/>
            </w:tcBorders>
            <w:shd w:val="clear" w:color="auto" w:fill="CCEEFF"/>
          </w:tcPr>
          <w:p>
            <w:pPr>
              <w:spacing w:after="0"/>
              <w:rPr>
                <w:sz w:val="2"/>
                <w:szCs w:val="2"/>
                <w:color w:val="auto"/>
              </w:rPr>
            </w:pPr>
          </w:p>
        </w:tc>
        <w:tc>
          <w:tcPr>
            <w:tcW w:w="37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229" w:right="339" w:bottom="1440" w:gutter="0" w:footer="0" w:header="0"/>
          <w:type w:val="continuous"/>
        </w:sectPr>
      </w:pP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ind w:right="100"/>
        <w:spacing w:after="0" w:line="234"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Securities Exchange Act Rules 13a-14(a) and 15(d)-14(a), as adopted Pursuant to Section 302 of the Sarbanes-Oxley Act of 2002.</w:t>
      </w:r>
    </w:p>
    <w:p>
      <w:pPr>
        <w:spacing w:after="0" w:line="1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Securities Exchange Act Rules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-255905</wp:posOffset>
            </wp:positionV>
            <wp:extent cx="7132320" cy="266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42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1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-255905</wp:posOffset>
            </wp:positionV>
            <wp:extent cx="7132320" cy="265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720"/>
            <w:col w:w="9980"/>
          </w:cols>
          <w:pgMar w:left="320" w:top="229" w:right="339" w:bottom="1440" w:gutter="0" w:footer="0" w:header="0"/>
          <w:type w:val="continuous"/>
        </w:sectPr>
      </w:pPr>
    </w:p>
    <w:p>
      <w:pPr>
        <w:spacing w:after="0" w:line="147" w:lineRule="exact"/>
        <w:rPr>
          <w:sz w:val="20"/>
          <w:szCs w:val="20"/>
          <w:color w:val="auto"/>
        </w:rPr>
      </w:pPr>
    </w:p>
    <w:p>
      <w:pPr>
        <w:ind w:left="20" w:right="9780" w:firstLine="6"/>
        <w:spacing w:after="0" w:line="480" w:lineRule="auto"/>
        <w:tabs>
          <w:tab w:leader="none" w:pos="37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 ** Furnished.</w:t>
      </w:r>
    </w:p>
    <w:p>
      <w:pPr>
        <w:spacing w:after="0" w:line="1" w:lineRule="exact"/>
        <w:rPr>
          <w:sz w:val="20"/>
          <w:szCs w:val="20"/>
          <w:color w:val="auto"/>
        </w:rPr>
      </w:pPr>
    </w:p>
    <w:p>
      <w:pPr>
        <w:ind w:left="380" w:right="420" w:hanging="354"/>
        <w:spacing w:after="0" w:line="237"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in accordance with Item 601(b)(2) of Regulation S-K. The Company hereby agrees to hereby furnish supplementally a copy of all omitted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10, 2025</w:t>
            </w:r>
          </w:p>
        </w:tc>
        <w:tc>
          <w:tcPr>
            <w:tcW w:w="730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MICROVAST HOLDINGS, INC.</w:t>
            </w:r>
          </w:p>
        </w:tc>
      </w:tr>
      <w:tr>
        <w:trPr>
          <w:trHeight w:val="810"/>
        </w:trPr>
        <w:tc>
          <w:tcPr>
            <w:tcW w:w="3920" w:type="dxa"/>
            <w:vAlign w:val="bottom"/>
          </w:tcPr>
          <w:p>
            <w:pPr>
              <w:spacing w:after="0"/>
              <w:rPr>
                <w:sz w:val="24"/>
                <w:szCs w:val="24"/>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Worthen</w:t>
            </w:r>
          </w:p>
        </w:tc>
      </w:tr>
      <w:tr>
        <w:trPr>
          <w:trHeight w:val="245"/>
        </w:trPr>
        <w:tc>
          <w:tcPr>
            <w:tcW w:w="3920" w:type="dxa"/>
            <w:vAlign w:val="bottom"/>
          </w:tcPr>
          <w:p>
            <w:pPr>
              <w:spacing w:after="0"/>
              <w:rPr>
                <w:sz w:val="21"/>
                <w:szCs w:val="21"/>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Rodney Worthen</w:t>
            </w:r>
          </w:p>
        </w:tc>
      </w:tr>
      <w:tr>
        <w:trPr>
          <w:trHeight w:val="261"/>
        </w:trPr>
        <w:tc>
          <w:tcPr>
            <w:tcW w:w="3920" w:type="dxa"/>
            <w:vAlign w:val="bottom"/>
          </w:tcPr>
          <w:p>
            <w:pPr>
              <w:spacing w:after="0"/>
              <w:rPr>
                <w:sz w:val="22"/>
                <w:szCs w:val="22"/>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229"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Yang Wu, certify that:</w:t>
      </w:r>
    </w:p>
    <w:p>
      <w:pPr>
        <w:spacing w:after="0" w:line="117"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Microvast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94" w:lineRule="exact"/>
        <w:rPr>
          <w:sz w:val="20"/>
          <w:szCs w:val="20"/>
          <w:color w:val="auto"/>
        </w:rPr>
      </w:pPr>
    </w:p>
    <w:p>
      <w:pPr>
        <w:ind w:left="20"/>
        <w:spacing w:after="0"/>
        <w:tabs>
          <w:tab w:leader="none" w:pos="5900" w:val="left"/>
          <w:tab w:leader="none" w:pos="646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34290</wp:posOffset>
            </wp:positionV>
            <wp:extent cx="30346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43" w:lineRule="exact"/>
        <w:rPr>
          <w:sz w:val="20"/>
          <w:szCs w:val="20"/>
          <w:color w:val="auto"/>
        </w:rPr>
      </w:pPr>
    </w:p>
    <w:p>
      <w:pPr>
        <w:ind w:left="6480"/>
        <w:spacing w:after="0"/>
        <w:tabs>
          <w:tab w:leader="none" w:pos="7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Yang Wu</w:t>
      </w:r>
    </w:p>
    <w:p>
      <w:pPr>
        <w:spacing w:after="0" w:line="50" w:lineRule="exact"/>
        <w:rPr>
          <w:sz w:val="20"/>
          <w:szCs w:val="20"/>
          <w:color w:val="auto"/>
        </w:rPr>
      </w:pPr>
    </w:p>
    <w:p>
      <w:pPr>
        <w:ind w:left="6480"/>
        <w:spacing w:after="0"/>
        <w:tabs>
          <w:tab w:leader="none" w:pos="7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5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Rodney Worthen, certify that:</w:t>
      </w:r>
    </w:p>
    <w:p>
      <w:pPr>
        <w:spacing w:after="0" w:line="117"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Microvast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94" w:lineRule="exact"/>
        <w:rPr>
          <w:sz w:val="20"/>
          <w:szCs w:val="20"/>
          <w:color w:val="auto"/>
        </w:rPr>
      </w:pPr>
    </w:p>
    <w:p>
      <w:pPr>
        <w:ind w:left="20"/>
        <w:spacing w:after="0"/>
        <w:tabs>
          <w:tab w:leader="none" w:pos="5900" w:val="left"/>
          <w:tab w:leader="none" w:pos="6460" w:val="left"/>
        </w:tabs>
        <w:rPr>
          <w:sz w:val="20"/>
          <w:szCs w:val="20"/>
          <w:color w:val="auto"/>
        </w:rPr>
      </w:pPr>
      <w:r>
        <w:rPr>
          <w:rFonts w:ascii="Times New Roman" w:cs="Times New Roman" w:eastAsia="Times New Roman" w:hAnsi="Times New Roman"/>
          <w:sz w:val="18"/>
          <w:szCs w:val="18"/>
          <w:color w:val="auto"/>
        </w:rPr>
        <w:t>Date: 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Rodney Worthen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34290</wp:posOffset>
            </wp:positionV>
            <wp:extent cx="30346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43" w:lineRule="exact"/>
        <w:rPr>
          <w:sz w:val="20"/>
          <w:szCs w:val="20"/>
          <w:color w:val="auto"/>
        </w:rPr>
      </w:pPr>
    </w:p>
    <w:p>
      <w:pPr>
        <w:ind w:left="6480"/>
        <w:spacing w:after="0"/>
        <w:tabs>
          <w:tab w:leader="none" w:pos="7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Rodney Worthen</w:t>
      </w:r>
    </w:p>
    <w:p>
      <w:pPr>
        <w:spacing w:after="0" w:line="50" w:lineRule="exact"/>
        <w:rPr>
          <w:sz w:val="20"/>
          <w:szCs w:val="20"/>
          <w:color w:val="auto"/>
        </w:rPr>
      </w:pPr>
    </w:p>
    <w:p>
      <w:pPr>
        <w:ind w:left="6480"/>
        <w:spacing w:after="0"/>
        <w:tabs>
          <w:tab w:leader="none" w:pos="7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Interim Chief Financial Officer</w:t>
      </w:r>
    </w:p>
    <w:p>
      <w:pPr>
        <w:spacing w:after="0" w:line="50"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35"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Microvast Holdings, Inc. (the “Company”) on Form 10-Q for the quarter ended September 30, 2025, as filed with the Securities and Exchange Commission on the date hereof (the “Report”), I, Yang Wu, Chief Executive Officer and Director, certify, pursuant to 18 U.S.C. Section 1350, as adopted pursuant to Section 906 of the Sarbanes-Oxley Act of 2002, that, to my knowledge:</w:t>
      </w:r>
    </w:p>
    <w:p>
      <w:pPr>
        <w:spacing w:after="0" w:line="68"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540" w:firstLine="8"/>
        <w:spacing w:after="0" w:line="399" w:lineRule="auto"/>
        <w:tabs>
          <w:tab w:leader="none" w:pos="3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10, 2025</w:t>
      </w:r>
    </w:p>
    <w:p>
      <w:pPr>
        <w:ind w:left="5900"/>
        <w:spacing w:after="0"/>
        <w:rPr>
          <w:sz w:val="20"/>
          <w:szCs w:val="20"/>
          <w:color w:val="auto"/>
        </w:rPr>
      </w:pPr>
      <w:r>
        <w:rPr>
          <w:rFonts w:ascii="Times New Roman" w:cs="Times New Roman" w:eastAsia="Times New Roman" w:hAnsi="Times New Roman"/>
          <w:sz w:val="18"/>
          <w:szCs w:val="18"/>
          <w:color w:val="auto"/>
        </w:rPr>
        <w:t>/s/ Yang Wu</w:t>
      </w:r>
    </w:p>
    <w:p>
      <w:pPr>
        <w:spacing w:after="0" w:line="27" w:lineRule="exact"/>
        <w:rPr>
          <w:sz w:val="20"/>
          <w:szCs w:val="20"/>
          <w:color w:val="auto"/>
        </w:rPr>
      </w:pPr>
    </w:p>
    <w:tbl>
      <w:tblPr>
        <w:tblLayout w:type="fixed"/>
        <w:tblInd w:w="5880" w:type="dxa"/>
        <w:tblCellMar>
          <w:top w:w="0" w:type="dxa"/>
          <w:left w:w="0" w:type="dxa"/>
          <w:bottom w:w="0" w:type="dxa"/>
          <w:right w:w="0" w:type="dxa"/>
        </w:tblCellMar>
      </w:tblPr>
      <w:tr>
        <w:trPr>
          <w:trHeight w:val="21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Yang Wu</w:t>
            </w:r>
          </w:p>
        </w:tc>
      </w:tr>
      <w:tr>
        <w:trPr>
          <w:trHeight w:val="230"/>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6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Microvast Holdings, Inc. (the “Company”) on Form 10-Q for the quarter ended September 30, 2025, as filed with the Securities and Exchange Commission on the date hereof (the “Report”), I, Rodney Worthen, Interim Chief Financial Officer , certify, pursuant to 18 U.S.C. Section 1350, as adopted pursuant to Section 906 of the Sarbanes-Oxley Act of 2002, that, to my knowledge:</w:t>
      </w:r>
    </w:p>
    <w:p>
      <w:pPr>
        <w:spacing w:after="0" w:line="68"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540" w:firstLine="8"/>
        <w:spacing w:after="0" w:line="399" w:lineRule="auto"/>
        <w:tabs>
          <w:tab w:leader="none" w:pos="3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10, 2025</w:t>
      </w:r>
    </w:p>
    <w:p>
      <w:pPr>
        <w:ind w:left="5920"/>
        <w:spacing w:after="0"/>
        <w:rPr>
          <w:sz w:val="20"/>
          <w:szCs w:val="20"/>
          <w:color w:val="auto"/>
        </w:rPr>
      </w:pPr>
      <w:r>
        <w:rPr>
          <w:rFonts w:ascii="Times New Roman" w:cs="Times New Roman" w:eastAsia="Times New Roman" w:hAnsi="Times New Roman"/>
          <w:sz w:val="18"/>
          <w:szCs w:val="18"/>
          <w:color w:val="auto"/>
        </w:rPr>
        <w:t>/s/ Rodney Worthen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34290</wp:posOffset>
            </wp:positionV>
            <wp:extent cx="33947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tabs>
          <w:tab w:leader="none" w:pos="67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Rodney Worthen</w:t>
      </w:r>
    </w:p>
    <w:p>
      <w:pPr>
        <w:spacing w:after="0" w:line="50" w:lineRule="exact"/>
        <w:rPr>
          <w:sz w:val="20"/>
          <w:szCs w:val="20"/>
          <w:color w:val="auto"/>
        </w:rPr>
      </w:pPr>
    </w:p>
    <w:p>
      <w:pPr>
        <w:ind w:left="592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Interim Chief Financial Officer</w:t>
      </w:r>
    </w:p>
    <w:p>
      <w:pPr>
        <w:spacing w:after="0" w:line="5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84"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76" Type="http://schemas.openxmlformats.org/officeDocument/2006/relationships/hyperlink" Target="https://www.sec.gov/Archives/edgar/data/1760689/000121390021035581/defm14a_tuscanholdings.htm#T151" TargetMode="External"/><Relationship Id="rId78" Type="http://schemas.openxmlformats.org/officeDocument/2006/relationships/hyperlink" Target="https://www.sec.gov/Archives/edgar/data/1760689/000121390021039093/ea144448ex3-1_microvast.htm" TargetMode="External"/><Relationship Id="rId79" Type="http://schemas.openxmlformats.org/officeDocument/2006/relationships/hyperlink" Target="https://www.sec.gov/Archives/edgar/data/1760689/000121390021039093/ea144448ex3-2_microvast.htm" TargetMode="External"/><Relationship Id="rId80" Type="http://schemas.openxmlformats.org/officeDocument/2006/relationships/hyperlink" Target="https://www.sec.gov/Archives/edgar/data/1760689/000121390021039093/ea144448ex4-4_microvast.htm" TargetMode="External"/><Relationship Id="rId81" Type="http://schemas.openxmlformats.org/officeDocument/2006/relationships/hyperlink" Target="https://www.sec.gov/Archives/edgar/data/1760689/000121390021039093/ea144448ex4-5_microvast.htm" TargetMode="External"/><Relationship Id="rId82" Type="http://schemas.openxmlformats.org/officeDocument/2006/relationships/hyperlink" Target="https://www.sec.gov/Archives/edgar/data/1760689/000121390019003155/fs12018a1ex4-4_tuscanhold.htm" TargetMode="External"/><Relationship Id="rId83" Type="http://schemas.openxmlformats.org/officeDocument/2006/relationships/hyperlink" Target="https://www.sec.gov/Archives/edgar/data/1760689/000121390021039093/ea144448ex4-1_microvast.htm" TargetMode="External"/><Relationship Id="rId85" Type="http://schemas.openxmlformats.org/officeDocument/2006/relationships/hyperlink" Target="https://www.sec.gov/Archives/edgar/data/1760689/000121390021039093/ea144448ex4-2_microvast.htm" TargetMode="External"/><Relationship Id="rId86" Type="http://schemas.openxmlformats.org/officeDocument/2006/relationships/hyperlink" Target="https://www.sec.gov/Archives/edgar/data/1760689/000176068924000021/wu_microvast-warrant.htm" TargetMode="External"/><Relationship Id="rId87" Type="http://schemas.openxmlformats.org/officeDocument/2006/relationships/hyperlink" Target="https://www.sec.gov/Archives/edgar/data/1760689/000094787125000373/ss4689169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2025-11-10T15:53:27Z</dcterms:created>
  <dcterms:modified xsi:type="dcterms:W3CDTF">2025-11-10T15:53:27Z</dcterms:modified>
</cp:coreProperties>
</file>