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Wu Yang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12603 SOUTHWEST FREEWAY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STAFFORD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Microvast Holdings, Inc.</w:t>
              </w:r>
            </w:hyperlink>
            <w:r>
              <w:rPr/>
              <w:t xml:space="preserve"> [ </w:t>
            </w:r>
            <w:r>
              <w:rPr>
                <w:rFonts w:ascii="Times;serif" w:hAnsi="Times;serif"/>
                <w:color w:val="0000FF"/>
                <w:sz w:val="24"/>
                <w:shd w:fill="FFFFFF" w:val="clear"/>
              </w:rPr>
              <w:t>MVST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3"/>
        <w:gridCol w:w="905"/>
        <w:gridCol w:w="778"/>
        <w:gridCol w:w="601"/>
        <w:gridCol w:w="331"/>
        <w:gridCol w:w="1235"/>
        <w:gridCol w:w="403"/>
        <w:gridCol w:w="568"/>
        <w:gridCol w:w="1466"/>
        <w:gridCol w:w="937"/>
        <w:gridCol w:w="113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50,000,000</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w:t>
            </w:r>
            <w:r>
              <w:rPr/>
              <w:t xml:space="preserve"> </w:t>
            </w:r>
          </w:p>
        </w:tc>
        <w:tc>
          <w:tcPr>
            <w:tcW w:w="1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134,111,752</w:t>
            </w:r>
            <w:r>
              <w:rPr>
                <w:rFonts w:ascii="Times;serif" w:hAnsi="Times;serif"/>
                <w:color w:val="008000"/>
                <w:position w:val="7"/>
                <w:sz w:val="16"/>
                <w:sz w:val="20"/>
                <w:shd w:fill="FFFFFF" w:val="clear"/>
              </w:rPr>
              <w:t>(1)</w:t>
            </w:r>
            <w:r>
              <w:rPr/>
              <w:t xml:space="preserve"> </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son (shares Reporting Person's household)</w:t>
            </w:r>
          </w:p>
        </w:tc>
      </w:tr>
    </w:tbl>
    <w:tbl>
      <w:tblPr>
        <w:tblW w:w="1315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1071"/>
        <w:gridCol w:w="906"/>
        <w:gridCol w:w="801"/>
        <w:gridCol w:w="891"/>
        <w:gridCol w:w="1221"/>
        <w:gridCol w:w="801"/>
        <w:gridCol w:w="966"/>
        <w:gridCol w:w="831"/>
        <w:gridCol w:w="846"/>
      </w:tblGrid>
      <w:tr>
        <w:trPr>
          <w:tblHeader w:val="true"/>
        </w:trPr>
        <w:tc>
          <w:tcPr>
            <w:tcW w:w="131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Convertible Loan</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12,000,000</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Convertible Loan</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13,000,000</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Warrant (Right to Buy)</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Loan and Security Agreement, dated as of May 28, 2024, by and among the Issuer, Microvast, Inc., each direct or indirect subsidiary of the Issuer that is or may from time to time become a party thereto, the Reporting Person, and Acquiom Agency Services LLC (the "Loan Agreement"), the Reporting Person made available to the Issuer an initial term loan in the amount of $12,000,000 and a delayed draw term loan in the amount of $13,000,000. Pursuant to the Loan Agreement, the Reporting Person has the right to convert the outstanding principal balance of the loans issued thereunder, in whole or in part, in increments of $100,000 into shares of common stock, par value $0.0001 per share, of the Issuer ("Common Stock") at an initial conversion rate equal to two shares of Common Stock per $1.00 of principal to be converted. The Reporting Person has exercised this conversion right in full, converting the entire $25,000,000 principal balance into 50,000,000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connection with the Issuer's entry into the Loan Agreement, the Issuer issued to the Reporting Person a warrant to purchase shares of Common Stock that is exercisable, in whole or in part, in increments of 100,000 shares of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Yang Wu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4005" TargetMode="External"/><Relationship Id="rId5" Type="http://schemas.openxmlformats.org/officeDocument/2006/relationships/hyperlink" Target="http://www.sec.gov/cgi-bin/browse-edgar?action=getcompany&amp;CIK=00017606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818</Words>
  <Characters>4395</Characters>
  <CharactersWithSpaces>5127</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