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s6762896_8k.htm"/>
      <w:bookmarkStart w:id="1" w:name="ksss6762896_8k"/>
      <w:bookmarkEnd w:id="0"/>
      <w:bookmarkEnd w:id="1"/>
      <w:r>
        <w:rPr/>
        <w:t> </w:t>
      </w:r>
    </w:p>
    <w:p>
      <w:pPr>
        <w:pStyle w:val="TextBody"/>
        <w:bidi w:val="0"/>
        <w:spacing w:before="240" w:after="60"/>
        <w:jc w:val="left"/>
        <w:rPr>
          <w:bdr w:val="single" w:sz="16" w:space="1" w:color="000000"/>
        </w:rPr>
      </w:pPr>
      <w:r>
        <w:rPr>
          <w:bdr w:val="single" w:sz="16"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D_edei--DocumentType_c20260826__20"/>
      <w:bookmarkEnd w:id="2"/>
      <w:r>
        <w:rPr>
          <w:rFonts w:ascii="Times New Roman;Times;Serif" w:hAnsi="Times New Roman;Times;Serif"/>
          <w:b/>
          <w:i w:val="false"/>
          <w:caps w:val="false"/>
          <w:smallCaps w:val="false"/>
          <w:sz w:val="20"/>
        </w:rPr>
        <w:t>8-K</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E_edei--DocumentPeriodEndDate_c202"/>
      <w:bookmarkEnd w:id="3"/>
      <w:r>
        <w:rPr>
          <w:rFonts w:ascii="Times New Roman;Times;Serif" w:hAnsi="Times New Roman;Times;Serif"/>
          <w:b/>
          <w:i w:val="false"/>
          <w:caps w:val="false"/>
          <w:smallCaps w:val="false"/>
          <w:sz w:val="20"/>
        </w:rPr>
        <w:t>August 26, 2026</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4" w:name="xdx_907_edei--EntityRegistrantName_c2026"/>
      <w:bookmarkEnd w:id="4"/>
      <w:r>
        <w:rPr>
          <w:rFonts w:ascii="Times New Roman;Times;Serif" w:hAnsi="Times New Roman;Times;Serif"/>
          <w:b/>
          <w:i w:val="false"/>
          <w:caps w:val="false"/>
          <w:smallCaps w:val="false"/>
          <w:sz w:val="20"/>
        </w:rPr>
        <w:t>Microvast Holdings,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jc w:val="center"/>
        <w:rPr>
          <w:caps w:val="false"/>
          <w:smallCaps w:val="false"/>
        </w:rPr>
      </w:pPr>
      <w:r>
        <w:rPr>
          <w:caps w:val="false"/>
          <w:smallCaps w:val="false"/>
        </w:rPr>
        <w:t> </w:t>
      </w:r>
    </w:p>
    <w:tbl>
      <w:tblPr>
        <w:tblW w:w="6255" w:type="dxa"/>
        <w:jc w:val="left"/>
        <w:tblInd w:w="0" w:type="dxa"/>
        <w:tblLayout w:type="fixed"/>
        <w:tblCellMar>
          <w:top w:w="0" w:type="dxa"/>
          <w:left w:w="0" w:type="dxa"/>
          <w:bottom w:w="0" w:type="dxa"/>
          <w:right w:w="0" w:type="dxa"/>
        </w:tblCellMar>
      </w:tblPr>
      <w:tblGrid>
        <w:gridCol w:w="2270"/>
        <w:gridCol w:w="60"/>
        <w:gridCol w:w="2300"/>
        <w:gridCol w:w="60"/>
        <w:gridCol w:w="1565"/>
      </w:tblGrid>
      <w:tr>
        <w:trPr/>
        <w:tc>
          <w:tcPr>
            <w:tcW w:w="22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A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4_edei--EntityFileNumber_c20260826"/>
            <w:bookmarkEnd w:id="6"/>
            <w:r>
              <w:rPr>
                <w:rFonts w:ascii="Times New Roman;Times;Serif" w:hAnsi="Times New Roman;Times;Serif"/>
                <w:b/>
                <w:i w:val="false"/>
                <w:caps w:val="false"/>
                <w:smallCaps w:val="false"/>
                <w:sz w:val="20"/>
              </w:rPr>
              <w:t>001-38826</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6_edei--EntityTaxIdentificationNum"/>
            <w:bookmarkEnd w:id="7"/>
            <w:r>
              <w:rPr>
                <w:rFonts w:ascii="Times New Roman;Times;Serif" w:hAnsi="Times New Roman;Times;Serif"/>
                <w:b/>
                <w:i w:val="false"/>
                <w:caps w:val="false"/>
                <w:smallCaps w:val="false"/>
                <w:sz w:val="20"/>
              </w:rPr>
              <w:t>83-2530757</w:t>
            </w:r>
          </w:p>
        </w:tc>
      </w:tr>
      <w:tr>
        <w:trPr/>
        <w:tc>
          <w:tcPr>
            <w:tcW w:w="2270" w:type="dxa"/>
            <w:tcBorders>
              <w:top w:val="single" w:sz="8" w:space="0" w:color="000000"/>
            </w:tcBorders>
            <w:tcMar>
              <w:top w:w="3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br/>
              <w:t>of incorporation)</w:t>
            </w:r>
          </w:p>
        </w:tc>
        <w:tc>
          <w:tcPr>
            <w:tcW w:w="60" w:type="dxa"/>
            <w:tcBorders/>
            <w:vAlign w:val="center"/>
          </w:tcPr>
          <w:p>
            <w:pPr>
              <w:pStyle w:val="TableContents"/>
              <w:bidi w:val="0"/>
              <w:spacing w:before="0" w:after="283"/>
              <w:jc w:val="left"/>
              <w:rPr/>
            </w:pPr>
            <w:r>
              <w:rPr/>
              <w:t> </w:t>
            </w:r>
          </w:p>
        </w:tc>
        <w:tc>
          <w:tcPr>
            <w:tcW w:w="2300" w:type="dxa"/>
            <w:tcBorders>
              <w:top w:val="single" w:sz="8" w:space="0" w:color="000000"/>
            </w:tcBorders>
            <w:tcMar>
              <w:top w:w="3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w:t>
            </w:r>
          </w:p>
        </w:tc>
        <w:tc>
          <w:tcPr>
            <w:tcW w:w="60" w:type="dxa"/>
            <w:tcBorders/>
            <w:vAlign w:val="center"/>
          </w:tcPr>
          <w:p>
            <w:pPr>
              <w:pStyle w:val="TableContents"/>
              <w:bidi w:val="0"/>
              <w:spacing w:before="0" w:after="283"/>
              <w:jc w:val="left"/>
              <w:rPr/>
            </w:pPr>
            <w:r>
              <w:rPr/>
              <w:t> </w:t>
            </w:r>
          </w:p>
        </w:tc>
        <w:tc>
          <w:tcPr>
            <w:tcW w:w="1565" w:type="dxa"/>
            <w:tcBorders>
              <w:top w:val="single" w:sz="8" w:space="0" w:color="000000"/>
            </w:tcBorders>
            <w:tcMar>
              <w:top w:w="3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br/>
              <w:t>Identification No.)</w:t>
            </w:r>
          </w:p>
        </w:tc>
      </w:tr>
    </w:tbl>
    <w:p>
      <w:pPr>
        <w:pStyle w:val="TextBody"/>
        <w:bidi w:val="0"/>
        <w:jc w:val="center"/>
        <w:rPr>
          <w:rFonts w:ascii="Times New Roman;Times;Serif" w:hAnsi="Times New Roman;Times;Serif"/>
          <w:b/>
          <w:i w:val="false"/>
          <w:caps w:val="false"/>
          <w:smallCaps w:val="false"/>
          <w:sz w:val="20"/>
        </w:rPr>
      </w:pPr>
      <w:bookmarkStart w:id="8" w:name="xdx_900_edei--EntityAddressAddressLine1_"/>
      <w:bookmarkEnd w:id="8"/>
      <w:r>
        <w:rPr>
          <w:rFonts w:ascii="Times New Roman;Times;Serif" w:hAnsi="Times New Roman;Times;Serif"/>
          <w:b/>
          <w:i w:val="false"/>
          <w:caps w:val="false"/>
          <w:smallCaps w:val="false"/>
          <w:sz w:val="20"/>
        </w:rPr>
        <w:t>2929 Briarpark Drive,</w:t>
      </w:r>
      <w:bookmarkStart w:id="9" w:name="xdx_90E_edei--EntityAddressAddressLine2_"/>
      <w:bookmarkEnd w:id="9"/>
      <w:r>
        <w:rPr>
          <w:rFonts w:ascii="Times New Roman;Times;Serif" w:hAnsi="Times New Roman;Times;Serif"/>
          <w:b/>
          <w:i w:val="false"/>
          <w:caps w:val="false"/>
          <w:smallCaps w:val="false"/>
          <w:sz w:val="20"/>
        </w:rPr>
        <w:t> Suite 400</w:t>
      </w:r>
    </w:p>
    <w:p>
      <w:pPr>
        <w:pStyle w:val="TextBody"/>
        <w:bidi w:val="0"/>
        <w:jc w:val="center"/>
        <w:rPr>
          <w:rFonts w:ascii="Times New Roman;Times;Serif" w:hAnsi="Times New Roman;Times;Serif"/>
          <w:b/>
          <w:i w:val="false"/>
          <w:caps w:val="false"/>
          <w:smallCaps w:val="false"/>
          <w:sz w:val="20"/>
        </w:rPr>
      </w:pPr>
      <w:bookmarkStart w:id="10" w:name="xdx_900_edei--EntityAddressCityOrTown_c2"/>
      <w:bookmarkEnd w:id="10"/>
      <w:r>
        <w:rPr>
          <w:rFonts w:ascii="Times New Roman;Times;Serif" w:hAnsi="Times New Roman;Times;Serif"/>
          <w:b/>
          <w:i w:val="false"/>
          <w:caps w:val="false"/>
          <w:smallCaps w:val="false"/>
          <w:sz w:val="20"/>
        </w:rPr>
        <w:t>Houston, </w:t>
      </w:r>
      <w:bookmarkStart w:id="11" w:name="xdx_905_edei--EntityAddressStateOrProvin"/>
      <w:bookmarkEnd w:id="11"/>
      <w:r>
        <w:rPr>
          <w:rFonts w:ascii="Times New Roman;Times;Serif" w:hAnsi="Times New Roman;Times;Serif"/>
          <w:b/>
          <w:i w:val="false"/>
          <w:caps w:val="false"/>
          <w:smallCaps w:val="false"/>
          <w:sz w:val="20"/>
        </w:rPr>
        <w:t xml:space="preserve">Texas </w:t>
      </w:r>
      <w:bookmarkStart w:id="12" w:name="xdx_90E_edei--EntityAddressPostalZipCode"/>
      <w:bookmarkEnd w:id="12"/>
      <w:r>
        <w:rPr>
          <w:rFonts w:ascii="Times New Roman;Times;Serif" w:hAnsi="Times New Roman;Times;Serif"/>
          <w:b/>
          <w:i w:val="false"/>
          <w:caps w:val="false"/>
          <w:smallCaps w:val="false"/>
          <w:sz w:val="20"/>
        </w:rPr>
        <w:t>77042</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including zip code)</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3" w:name="xdx_90F_edei--CityAreaCode_c20260826__20"/>
      <w:bookmarkEnd w:id="13"/>
      <w:r>
        <w:rPr>
          <w:rFonts w:ascii="Times New Roman;Times;Serif" w:hAnsi="Times New Roman;Times;Serif"/>
          <w:b/>
          <w:i w:val="false"/>
          <w:caps w:val="false"/>
          <w:smallCaps w:val="false"/>
          <w:sz w:val="20"/>
        </w:rPr>
        <w:t>281-</w:t>
      </w:r>
      <w:bookmarkStart w:id="14" w:name="xdx_90A_edei--LocalPhoneNumber_c20260826"/>
      <w:bookmarkEnd w:id="14"/>
      <w:r>
        <w:rPr>
          <w:rFonts w:ascii="Times New Roman;Times;Serif" w:hAnsi="Times New Roman;Times;Serif"/>
          <w:b/>
          <w:i w:val="false"/>
          <w:caps w:val="false"/>
          <w:smallCaps w:val="false"/>
          <w:sz w:val="20"/>
        </w:rPr>
        <w:t>491-9505</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5" w:name="xdx_90C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caps w:val="false"/>
                <w:smallCaps w:val="false"/>
              </w:rPr>
            </w:pPr>
            <w:bookmarkStart w:id="16" w:name="xdx_900_edei--SolicitingMaterial_c202608"/>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caps w:val="false"/>
                <w:smallCaps w:val="false"/>
              </w:rPr>
            </w:pPr>
            <w:bookmarkStart w:id="17" w:name="xdx_902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caps w:val="false"/>
                <w:smallCaps w:val="false"/>
              </w:rPr>
            </w:pPr>
            <w:bookmarkStart w:id="18" w:name="xdx_906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jc w:val="both"/>
        <w:rPr>
          <w:caps w:val="false"/>
          <w:smallCaps w:val="false"/>
        </w:rPr>
      </w:pPr>
      <w:r>
        <w:rPr>
          <w:caps w:val="false"/>
          <w:smallCaps w:val="false"/>
        </w:rPr>
        <w:t> </w:t>
      </w:r>
    </w:p>
    <w:tbl>
      <w:tblPr>
        <w:tblW w:w="9195" w:type="dxa"/>
        <w:jc w:val="left"/>
        <w:tblInd w:w="0" w:type="dxa"/>
        <w:tblLayout w:type="fixed"/>
        <w:tblCellMar>
          <w:top w:w="0" w:type="dxa"/>
          <w:left w:w="0" w:type="dxa"/>
          <w:bottom w:w="0" w:type="dxa"/>
          <w:right w:w="0" w:type="dxa"/>
        </w:tblCellMar>
      </w:tblPr>
      <w:tblGrid>
        <w:gridCol w:w="3755"/>
        <w:gridCol w:w="60"/>
        <w:gridCol w:w="1610"/>
        <w:gridCol w:w="60"/>
        <w:gridCol w:w="3710"/>
      </w:tblGrid>
      <w:tr>
        <w:trPr/>
        <w:tc>
          <w:tcPr>
            <w:tcW w:w="375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755" w:type="dxa"/>
            <w:tcBorders>
              <w:top w:val="single" w:sz="8" w:space="0" w:color="000000"/>
            </w:tcBorders>
            <w:shd w:fill="CCEEFF" w:val="clear"/>
            <w:tcMar>
              <w:top w:w="3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9" w:name="xdx_905_edei--Security12bTitle_c20260826"/>
            <w:bookmarkEnd w:id="19"/>
            <w:r>
              <w:rPr>
                <w:rFonts w:ascii="Times New Roman;Times;Serif" w:hAnsi="Times New Roman;Times;Serif"/>
                <w:b/>
                <w:i w:val="false"/>
                <w:caps w:val="false"/>
                <w:smallCaps w:val="false"/>
                <w:sz w:val="20"/>
              </w:rPr>
              <w:t>Common stock, par value $0.0001 per share</w:t>
            </w:r>
          </w:p>
        </w:tc>
        <w:tc>
          <w:tcPr>
            <w:tcW w:w="60" w:type="dxa"/>
            <w:tcBorders/>
            <w:shd w:fill="CCEEFF" w:val="clear"/>
            <w:vAlign w:val="center"/>
          </w:tcPr>
          <w:p>
            <w:pPr>
              <w:pStyle w:val="TableContents"/>
              <w:bidi w:val="0"/>
              <w:spacing w:before="0" w:after="283"/>
              <w:jc w:val="left"/>
              <w:rPr/>
            </w:pPr>
            <w:r>
              <w:rPr/>
              <w:t> </w:t>
            </w:r>
          </w:p>
        </w:tc>
        <w:tc>
          <w:tcPr>
            <w:tcW w:w="1610" w:type="dxa"/>
            <w:tcBorders>
              <w:top w:val="single" w:sz="8" w:space="0" w:color="000000"/>
            </w:tcBorders>
            <w:shd w:fill="CCEEFF" w:val="clear"/>
            <w:tcMar>
              <w:top w:w="3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0" w:name="xdx_902_edei--TradingSymbol_c20260826__2"/>
            <w:bookmarkEnd w:id="20"/>
            <w:r>
              <w:rPr>
                <w:rFonts w:ascii="Times New Roman;Times;Serif" w:hAnsi="Times New Roman;Times;Serif"/>
                <w:b/>
                <w:i w:val="false"/>
                <w:caps w:val="false"/>
                <w:smallCaps w:val="false"/>
                <w:sz w:val="20"/>
              </w:rPr>
              <w:t>MVST</w:t>
            </w:r>
          </w:p>
        </w:tc>
        <w:tc>
          <w:tcPr>
            <w:tcW w:w="60" w:type="dxa"/>
            <w:tcBorders/>
            <w:shd w:fill="CCEEFF" w:val="clear"/>
            <w:vAlign w:val="center"/>
          </w:tcPr>
          <w:p>
            <w:pPr>
              <w:pStyle w:val="TableContents"/>
              <w:bidi w:val="0"/>
              <w:spacing w:before="0" w:after="283"/>
              <w:jc w:val="left"/>
              <w:rPr/>
            </w:pPr>
            <w:r>
              <w:rPr/>
              <w:t> </w:t>
            </w:r>
          </w:p>
        </w:tc>
        <w:tc>
          <w:tcPr>
            <w:tcW w:w="3710" w:type="dxa"/>
            <w:tcBorders>
              <w:top w:val="single" w:sz="8" w:space="0" w:color="000000"/>
            </w:tcBorders>
            <w:shd w:fill="CCEEFF" w:val="clear"/>
            <w:tcMar>
              <w:top w:w="3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1" w:name="xdx_901_edei--SecurityExchangeName_c2026"/>
            <w:bookmarkEnd w:id="21"/>
            <w:r>
              <w:rPr>
                <w:rFonts w:ascii="Times New Roman;Times;Serif" w:hAnsi="Times New Roman;Times;Serif"/>
                <w:b/>
                <w:i w:val="false"/>
                <w:caps w:val="false"/>
                <w:smallCaps w:val="false"/>
                <w:sz w:val="20"/>
              </w:rPr>
              <w:t>The NASDAQ Stock Market LLC</w:t>
            </w:r>
          </w:p>
        </w:tc>
      </w:tr>
      <w:tr>
        <w:trPr/>
        <w:tc>
          <w:tcPr>
            <w:tcW w:w="9195" w:type="dxa"/>
            <w:gridSpan w:val="5"/>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2" w:name="xdx_905_edei--EntityEmergingGrowthCompan"/>
      <w:bookmarkEnd w:id="22"/>
      <w:r>
        <w:rPr>
          <w:rFonts w:ascii="Times New Roman;Times;Serif" w:hAnsi="Times New Roman;Times;Serif"/>
          <w:b w:val="false"/>
          <w:i w:val="false"/>
          <w:caps w:val="false"/>
          <w:smallCaps w:val="false"/>
          <w:sz w:val="20"/>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jc w:val="right"/>
        <w:rPr/>
      </w:pPr>
      <w:r>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spacing w:before="240" w:after="240"/>
        <w:ind w:left="240" w:right="24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3.01 Notice of Delisting or Failure to Satisfy a Continued Listing Rule or Standard; Transfer of Listing.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26, 2026, </w:t>
      </w:r>
      <w:r>
        <w:rPr>
          <w:rFonts w:ascii="Times New Roman;Times;Serif" w:hAnsi="Times New Roman;Times;Serif"/>
          <w:b w:val="false"/>
          <w:i w:val="false"/>
          <w:caps w:val="false"/>
          <w:smallCaps w:val="false"/>
          <w:sz w:val="20"/>
          <w:shd w:fill="FFFFFF" w:val="clear"/>
        </w:rPr>
        <w:t>Microvast Holdings, Inc.</w:t>
      </w:r>
      <w:r>
        <w:rPr>
          <w:rFonts w:ascii="Times New Roman;Times;Serif" w:hAnsi="Times New Roman;Times;Serif"/>
          <w:b w:val="false"/>
          <w:i w:val="false"/>
          <w:caps w:val="false"/>
          <w:smallCaps w:val="false"/>
          <w:sz w:val="20"/>
        </w:rPr>
        <w:t> (the “Company”) received written notice from</w:t>
      </w:r>
      <w:r>
        <w:rPr>
          <w:rFonts w:ascii="Times New Roman;Times;Serif" w:hAnsi="Times New Roman;Times;Serif"/>
          <w:b w:val="false"/>
          <w:i w:val="false"/>
          <w:caps w:val="false"/>
          <w:smallCaps w:val="false"/>
          <w:sz w:val="20"/>
          <w:shd w:fill="FFFFFF" w:val="clear"/>
        </w:rPr>
        <w:t> the NASDAQ Stock Market LLC (“Nasdaq”) notifying it tha</w:t>
      </w:r>
      <w:r>
        <w:rPr>
          <w:rFonts w:ascii="Times New Roman;Times;Serif" w:hAnsi="Times New Roman;Times;Serif"/>
          <w:b w:val="false"/>
          <w:i w:val="false"/>
          <w:caps w:val="false"/>
          <w:smallCaps w:val="false"/>
          <w:sz w:val="20"/>
        </w:rPr>
        <w:t>t the average closing bid price of the Company’s shares of common stock, par value $0.0001 per share (the “Common Stock”) was below the minimum closing bid price of $1 per share during the last 30 consecutive trading days, as required for continued listing on the Nasdaq under Rule 5450(a)(1) of Nasdaq’s listing rules (the “Rules”).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has no immediate impact on the listing of the Common Stock, which will continue to be listed and trade on Nasdaq subject to the Company’s continued compliance with the other listing requirements of the Rules. The Company’s Common Stock will have an added indicator on NASDAQ.com indicating that it is currently non-compliant. Pursuant to the Rules, the Company has 180 days to cure the deficiency and regain compliance with the minimum closing bid price (subject to additional time periods for which the Company may be eligible). The Company intends to monitor the closing bid price for the Common Stock and explore available options to regain compliance within the prescribed time period.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 Company does not evidence compliance with the minimum closing bid price requirement during the 180-day grace period (or any additional time period for which the Company may be eligible), it is expected that Nasdaq would notify the Company that the shares of Common Stock are subject to delisting. At such time, the Company may appeal such determination to a Nasdaq Hearings Panel (the “Panel”) and it is expected that the Company’s shares of Common Stock would continue to be listed and available to trade on Nasdaq at least pending the completion of the appeal process. There can be no assurance that any such appeal would be successful or that the Company would be able to evidence compliance with the terms of any extension that may be granted by the Panel.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This Current Report is filed to satisfy the obligation under Nasdaq Listing Rule 5810(b) and Item 3.01(a) of Form 8-K that the Company make a public announcement disclosing the deficiency no later than four business days from the date of the Notice.</w:t>
      </w:r>
    </w:p>
    <w:p>
      <w:pPr>
        <w:pStyle w:val="TextBody"/>
        <w:bidi w:val="0"/>
        <w:spacing w:before="240" w:after="240"/>
        <w:ind w:left="240" w:right="24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Forward Looking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includes “forward-looking statements” within the meaning of the safe harbor provisions of the United States Private Securities Litigation Reform Act of 1995. Certain of these forward-looking statements can be identified by the use of words such as “expects,” “intends,” “will,” “would” or other similar expressions. Such statements are subject to certain risks and uncertainties that may cause the Company’s actual results to differ from the expectations expressed in the forward-looking statements. There can be no assurance that the Company will achieve such expectations, including regaining compliance with the minimum closing bid price rule during any compliance period or in the future, otherwise meeting Nasdaq compliance standards, being granted by Nasdaq any relief from delisting as necessary, or ultimately meeting applicable Nasdaq requirements for any such relief. For a discussion of the risks and uncertainties that may cause the Company’s actual results to differ from the expectations expressed in these forward-looking statements, please see the Risk Factors sections included in Part I, Item 1A of our Annual Report on Form 10-K for the year ended December 31, 2025, Part II, Item 1A of our Quarterly Report on Form 10-Q for the quarter ended June 30, 2026 and any future filings we make with the Securities and Exchange Commission. The forward-looking statements contained in this report speak only as of the date of this report and the Company undertakes no obligation to publicly update any forward-looking statements to reflect changes in information, events or circumstances after the date of this report, unless required by law.</w:t>
      </w:r>
    </w:p>
    <w:p>
      <w:pPr>
        <w:pStyle w:val="TextBody"/>
        <w:bidi w:val="0"/>
        <w:spacing w:before="240" w:after="240"/>
        <w:ind w:left="240" w:right="240" w:hanging="0"/>
        <w:jc w:val="both"/>
        <w:rPr>
          <w:caps w:val="false"/>
          <w:smallCaps w:val="false"/>
        </w:rPr>
      </w:pPr>
      <w:r>
        <w:rPr>
          <w:caps w:val="false"/>
          <w:smallCaps w:val="false"/>
        </w:rPr>
        <w:t> </w:t>
      </w:r>
    </w:p>
    <w:p>
      <w:pPr>
        <w:pStyle w:val="TextBody"/>
        <w:bidi w:val="0"/>
        <w:spacing w:before="240" w:after="240"/>
        <w:ind w:left="240" w:right="240" w:hanging="0"/>
        <w:jc w:val="both"/>
        <w:rPr>
          <w:caps w:val="false"/>
          <w:smallCaps w:val="false"/>
        </w:rPr>
      </w:pPr>
      <w:r>
        <w:rPr>
          <w:caps w:val="false"/>
          <w:smallCaps w:val="false"/>
        </w:rPr>
        <w:t> </w:t>
      </w:r>
    </w:p>
    <w:p>
      <w:pPr>
        <w:pStyle w:val="TextBody"/>
        <w:bidi w:val="0"/>
        <w:spacing w:before="240" w:after="240"/>
        <w:ind w:left="240" w:right="240" w:hanging="0"/>
        <w:jc w:val="both"/>
        <w:rPr>
          <w:caps w:val="false"/>
          <w:smallCaps w:val="false"/>
        </w:rPr>
      </w:pPr>
      <w:r>
        <w:rPr>
          <w:caps w:val="false"/>
          <w:smallCaps w:val="false"/>
        </w:rPr>
        <w:t> </w:t>
      </w:r>
    </w:p>
    <w:p>
      <w:pPr>
        <w:pStyle w:val="TextBody"/>
        <w:bidi w:val="0"/>
        <w:spacing w:before="240" w:after="240"/>
        <w:ind w:left="240" w:right="24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tbl>
      <w:tblPr>
        <w:tblW w:w="5483" w:type="dxa"/>
        <w:jc w:val="left"/>
        <w:tblInd w:w="0" w:type="dxa"/>
        <w:tblLayout w:type="fixed"/>
        <w:tblCellMar>
          <w:top w:w="0" w:type="dxa"/>
          <w:left w:w="0" w:type="dxa"/>
          <w:bottom w:w="0" w:type="dxa"/>
          <w:right w:w="0" w:type="dxa"/>
        </w:tblCellMar>
      </w:tblPr>
      <w:tblGrid>
        <w:gridCol w:w="714"/>
        <w:gridCol w:w="571"/>
        <w:gridCol w:w="579"/>
        <w:gridCol w:w="1683"/>
        <w:gridCol w:w="366"/>
        <w:gridCol w:w="366"/>
        <w:gridCol w:w="366"/>
        <w:gridCol w:w="366"/>
        <w:gridCol w:w="472"/>
      </w:tblGrid>
      <w:tr>
        <w:trPr/>
        <w:tc>
          <w:tcPr>
            <w:tcW w:w="71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left"/>
              <w:rPr/>
            </w:pPr>
            <w:r>
              <w:rPr/>
              <w:t> </w:t>
            </w:r>
          </w:p>
        </w:tc>
        <w:tc>
          <w:tcPr>
            <w:tcW w:w="579" w:type="dxa"/>
            <w:tcBorders/>
            <w:vAlign w:val="center"/>
          </w:tcPr>
          <w:p>
            <w:pPr>
              <w:pStyle w:val="TableContents"/>
              <w:bidi w:val="0"/>
              <w:spacing w:before="0" w:after="283"/>
              <w:jc w:val="left"/>
              <w:rPr/>
            </w:pPr>
            <w:r>
              <w:rPr/>
              <w:t> </w:t>
            </w:r>
          </w:p>
        </w:tc>
        <w:tc>
          <w:tcPr>
            <w:tcW w:w="1683" w:type="dxa"/>
            <w:tcBorders/>
            <w:vAlign w:val="center"/>
          </w:tcPr>
          <w:p>
            <w:pPr>
              <w:pStyle w:val="TableContents"/>
              <w:bidi w:val="0"/>
              <w:spacing w:before="0" w:after="283"/>
              <w:jc w:val="left"/>
              <w:rPr/>
            </w:pPr>
            <w:r>
              <w:rPr/>
              <w:t> </w:t>
            </w:r>
          </w:p>
        </w:tc>
        <w:tc>
          <w:tcPr>
            <w:tcW w:w="366" w:type="dxa"/>
            <w:tcBorders/>
            <w:vAlign w:val="center"/>
          </w:tcPr>
          <w:p>
            <w:pPr>
              <w:pStyle w:val="TableContents"/>
              <w:bidi w:val="0"/>
              <w:spacing w:before="0" w:after="283"/>
              <w:jc w:val="left"/>
              <w:rPr/>
            </w:pPr>
            <w:r>
              <w:rPr/>
              <w:t> </w:t>
            </w:r>
          </w:p>
        </w:tc>
        <w:tc>
          <w:tcPr>
            <w:tcW w:w="366" w:type="dxa"/>
            <w:tcBorders/>
            <w:vAlign w:val="center"/>
          </w:tcPr>
          <w:p>
            <w:pPr>
              <w:pStyle w:val="TableContents"/>
              <w:bidi w:val="0"/>
              <w:spacing w:before="0" w:after="283"/>
              <w:jc w:val="left"/>
              <w:rPr/>
            </w:pPr>
            <w:r>
              <w:rPr/>
              <w:t> </w:t>
            </w:r>
          </w:p>
        </w:tc>
        <w:tc>
          <w:tcPr>
            <w:tcW w:w="366" w:type="dxa"/>
            <w:tcBorders/>
            <w:vAlign w:val="center"/>
          </w:tcPr>
          <w:p>
            <w:pPr>
              <w:pStyle w:val="TableContents"/>
              <w:bidi w:val="0"/>
              <w:spacing w:before="0" w:after="283"/>
              <w:jc w:val="left"/>
              <w:rPr/>
            </w:pPr>
            <w:r>
              <w:rPr/>
              <w:t> </w:t>
            </w:r>
          </w:p>
        </w:tc>
        <w:tc>
          <w:tcPr>
            <w:tcW w:w="366" w:type="dxa"/>
            <w:tcBorders/>
            <w:vAlign w:val="center"/>
          </w:tcPr>
          <w:p>
            <w:pPr>
              <w:pStyle w:val="TableContents"/>
              <w:bidi w:val="0"/>
              <w:spacing w:before="0" w:after="283"/>
              <w:jc w:val="left"/>
              <w:rPr/>
            </w:pPr>
            <w:r>
              <w:rPr/>
              <w:t> </w:t>
            </w:r>
          </w:p>
        </w:tc>
        <w:tc>
          <w:tcPr>
            <w:tcW w:w="472" w:type="dxa"/>
            <w:tcBorders/>
            <w:vAlign w:val="center"/>
          </w:tcPr>
          <w:p>
            <w:pPr>
              <w:pStyle w:val="TableContents"/>
              <w:bidi w:val="0"/>
              <w:spacing w:before="0" w:after="283"/>
              <w:jc w:val="left"/>
              <w:rPr/>
            </w:pPr>
            <w:r>
              <w:rPr/>
              <w:t> </w:t>
            </w:r>
          </w:p>
        </w:tc>
      </w:tr>
      <w:tr>
        <w:trPr/>
        <w:tc>
          <w:tcPr>
            <w:tcW w:w="1864" w:type="dxa"/>
            <w:gridSpan w:val="3"/>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31, 2026</w:t>
            </w:r>
          </w:p>
        </w:tc>
        <w:tc>
          <w:tcPr>
            <w:tcW w:w="3619" w:type="dxa"/>
            <w:gridSpan w:val="6"/>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MICROVAST HOLDINGS, INC.</w:t>
            </w:r>
          </w:p>
        </w:tc>
      </w:tr>
      <w:tr>
        <w:trPr/>
        <w:tc>
          <w:tcPr>
            <w:tcW w:w="1864" w:type="dxa"/>
            <w:gridSpan w:val="3"/>
            <w:tcBorders/>
            <w:shd w:fill="FFFFFF" w:val="clear"/>
            <w:vAlign w:val="center"/>
          </w:tcPr>
          <w:p>
            <w:pPr>
              <w:pStyle w:val="TableContents"/>
              <w:bidi w:val="0"/>
              <w:spacing w:before="0" w:after="283"/>
              <w:jc w:val="left"/>
              <w:rPr/>
            </w:pPr>
            <w:r>
              <w:rPr/>
              <w:t> </w:t>
            </w:r>
          </w:p>
        </w:tc>
        <w:tc>
          <w:tcPr>
            <w:tcW w:w="3619" w:type="dxa"/>
            <w:gridSpan w:val="6"/>
            <w:tcBorders/>
            <w:shd w:fill="FFFFFF" w:val="clear"/>
            <w:vAlign w:val="center"/>
          </w:tcPr>
          <w:p>
            <w:pPr>
              <w:pStyle w:val="TableContents"/>
              <w:bidi w:val="0"/>
              <w:spacing w:before="0" w:after="283"/>
              <w:jc w:val="left"/>
              <w:rPr/>
            </w:pPr>
            <w:r>
              <w:rPr/>
              <w:t> </w:t>
            </w:r>
          </w:p>
        </w:tc>
      </w:tr>
      <w:tr>
        <w:trPr/>
        <w:tc>
          <w:tcPr>
            <w:tcW w:w="1864" w:type="dxa"/>
            <w:gridSpan w:val="3"/>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36" w:type="dxa"/>
            <w:gridSpan w:val="5"/>
            <w:tcBorders>
              <w:bottom w:val="single" w:sz="8" w:space="0" w:color="000000"/>
            </w:tcBorders>
            <w:tcMar>
              <w:bottom w:w="3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Rodney Worthen</w:t>
            </w:r>
          </w:p>
        </w:tc>
      </w:tr>
      <w:tr>
        <w:trPr/>
        <w:tc>
          <w:tcPr>
            <w:tcW w:w="1864" w:type="dxa"/>
            <w:gridSpan w:val="3"/>
            <w:tcBorders/>
            <w:shd w:fill="FFFFFF" w:val="clear"/>
            <w:vAlign w:val="center"/>
          </w:tcPr>
          <w:p>
            <w:pPr>
              <w:pStyle w:val="TableContents"/>
              <w:bidi w:val="0"/>
              <w:spacing w:before="0" w:after="283"/>
              <w:jc w:val="left"/>
              <w:rPr/>
            </w:pPr>
            <w:r>
              <w:rPr/>
              <w:t> </w:t>
            </w:r>
          </w:p>
        </w:tc>
        <w:tc>
          <w:tcPr>
            <w:tcW w:w="16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36" w:type="dxa"/>
            <w:gridSpan w:val="5"/>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Rodney Worthen</w:t>
            </w:r>
          </w:p>
        </w:tc>
      </w:tr>
      <w:tr>
        <w:trPr/>
        <w:tc>
          <w:tcPr>
            <w:tcW w:w="1864" w:type="dxa"/>
            <w:gridSpan w:val="3"/>
            <w:tcBorders/>
            <w:shd w:fill="FFFFFF" w:val="clear"/>
            <w:vAlign w:val="center"/>
          </w:tcPr>
          <w:p>
            <w:pPr>
              <w:pStyle w:val="TableContents"/>
              <w:bidi w:val="0"/>
              <w:spacing w:before="0" w:after="283"/>
              <w:jc w:val="left"/>
              <w:rPr/>
            </w:pPr>
            <w:r>
              <w:rPr/>
              <w:t> </w:t>
            </w:r>
          </w:p>
        </w:tc>
        <w:tc>
          <w:tcPr>
            <w:tcW w:w="16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36" w:type="dxa"/>
            <w:gridSpan w:val="5"/>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Financial Officer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20" w:after="20"/>
        <w:jc w:val="left"/>
        <w:rPr>
          <w:bdr w:val="single" w:sz="16" w:space="1" w:color="000000"/>
        </w:rPr>
      </w:pPr>
      <w:r>
        <w:rPr>
          <w:bdr w:val="single" w:sz="16" w:space="1" w:color="000000"/>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987</Words>
  <Characters>5284</Characters>
  <CharactersWithSpaces>6301</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