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27,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60" w:type="dxa"/>
            <w:vAlign w:val="bottom"/>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001-38826</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83-2530757</w:t>
            </w:r>
          </w:p>
        </w:tc>
      </w:tr>
      <w:tr>
        <w:trPr>
          <w:trHeight w:val="27"/>
        </w:trPr>
        <w:tc>
          <w:tcPr>
            <w:tcW w:w="3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14"/>
        </w:trPr>
        <w:tc>
          <w:tcPr>
            <w:tcW w:w="31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37"/>
        </w:trPr>
        <w:tc>
          <w:tcPr>
            <w:tcW w:w="3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12603 Southwest Freeway, Suite 300</w:t>
            </w:r>
          </w:p>
        </w:tc>
        <w:tc>
          <w:tcPr>
            <w:tcW w:w="2940" w:type="dxa"/>
            <w:vAlign w:val="bottom"/>
          </w:tcPr>
          <w:p>
            <w:pPr>
              <w:spacing w:after="0"/>
              <w:rPr>
                <w:sz w:val="24"/>
                <w:szCs w:val="24"/>
                <w:color w:val="auto"/>
              </w:rPr>
            </w:pPr>
          </w:p>
        </w:tc>
      </w:tr>
      <w:tr>
        <w:trPr>
          <w:trHeight w:val="216"/>
        </w:trPr>
        <w:tc>
          <w:tcPr>
            <w:tcW w:w="3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Stafford, Texas 77477</w:t>
            </w:r>
          </w:p>
        </w:tc>
        <w:tc>
          <w:tcPr>
            <w:tcW w:w="2940" w:type="dxa"/>
            <w:vAlign w:val="bottom"/>
          </w:tcPr>
          <w:p>
            <w:pPr>
              <w:spacing w:after="0"/>
              <w:rPr>
                <w:sz w:val="18"/>
                <w:szCs w:val="18"/>
                <w:color w:val="auto"/>
              </w:rPr>
            </w:pPr>
          </w:p>
        </w:tc>
      </w:tr>
      <w:tr>
        <w:trPr>
          <w:trHeight w:val="238"/>
        </w:trPr>
        <w:tc>
          <w:tcPr>
            <w:tcW w:w="3180" w:type="dxa"/>
            <w:vAlign w:val="bottom"/>
          </w:tcPr>
          <w:p>
            <w:pPr>
              <w:spacing w:after="0"/>
              <w:rPr>
                <w:sz w:val="20"/>
                <w:szCs w:val="20"/>
                <w:color w:val="auto"/>
              </w:rPr>
            </w:pPr>
          </w:p>
        </w:tc>
        <w:tc>
          <w:tcPr>
            <w:tcW w:w="51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940" w:type="dxa"/>
            <w:vAlign w:val="bottom"/>
          </w:tcPr>
          <w:p>
            <w:pPr>
              <w:spacing w:after="0"/>
              <w:rPr>
                <w:sz w:val="20"/>
                <w:szCs w:val="20"/>
                <w:color w:val="auto"/>
              </w:rPr>
            </w:pPr>
          </w:p>
        </w:tc>
      </w:tr>
      <w:tr>
        <w:trPr>
          <w:trHeight w:val="410"/>
        </w:trPr>
        <w:tc>
          <w:tcPr>
            <w:tcW w:w="3180" w:type="dxa"/>
            <w:vAlign w:val="bottom"/>
          </w:tcPr>
          <w:p>
            <w:pPr>
              <w:spacing w:after="0"/>
              <w:rPr>
                <w:sz w:val="24"/>
                <w:szCs w:val="24"/>
                <w:color w:val="auto"/>
              </w:rPr>
            </w:pPr>
          </w:p>
        </w:tc>
        <w:tc>
          <w:tcPr>
            <w:tcW w:w="4360" w:type="dxa"/>
            <w:vAlign w:val="bottom"/>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281-491-9505</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8"/>
        </w:trPr>
        <w:tc>
          <w:tcPr>
            <w:tcW w:w="3180" w:type="dxa"/>
            <w:vAlign w:val="bottom"/>
          </w:tcPr>
          <w:p>
            <w:pPr>
              <w:spacing w:after="0"/>
              <w:rPr>
                <w:sz w:val="20"/>
                <w:szCs w:val="20"/>
                <w:color w:val="auto"/>
              </w:rPr>
            </w:pPr>
          </w:p>
        </w:tc>
        <w:tc>
          <w:tcPr>
            <w:tcW w:w="51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94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19"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19"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19"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64"/>
        </w:trPr>
        <w:tc>
          <w:tcPr>
            <w:tcW w:w="460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gridSpan w:val="3"/>
            <w:shd w:val="clear" w:color="auto" w:fill="CCEEFF"/>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3040" w:type="dxa"/>
            <w:vAlign w:val="bottom"/>
            <w:tcBorders>
              <w:bottom w:val="single" w:sz="8" w:color="CCEEFF"/>
            </w:tcBorders>
            <w:gridSpan w:val="2"/>
            <w:shd w:val="clear" w:color="auto" w:fill="CCEEFF"/>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MVST</w:t>
            </w: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4"/>
        </w:trPr>
        <w:tc>
          <w:tcPr>
            <w:tcW w:w="460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Redeemable warrants, exercisable for shares of</w:t>
            </w:r>
          </w:p>
        </w:tc>
        <w:tc>
          <w:tcPr>
            <w:tcW w:w="304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MVSTW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460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common stock at an exercise price of $11.50 per</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460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5"/>
              </w:rPr>
              <w:t>share</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89"/>
        </w:trPr>
        <w:tc>
          <w:tcPr>
            <w:tcW w:w="3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tcPr>
          <w:p>
            <w:pPr>
              <w:spacing w:after="0"/>
              <w:rPr>
                <w:sz w:val="16"/>
                <w:szCs w:val="16"/>
                <w:color w:val="auto"/>
              </w:rPr>
            </w:pPr>
          </w:p>
        </w:tc>
      </w:tr>
      <w:tr>
        <w:trPr>
          <w:trHeight w:val="28"/>
        </w:trPr>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75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121"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On September 26, 2024, Microvast Holdings, Inc. (the “Company”) received a notification letter from the Nasdaq Listing Qualifications Department (the “Staff”) of The Nasdaq Stock Market LLC (“Nasdaq”) notifying the Company that it had been granted an additional 180 days, or until March 24, 2025, to regain compliance with the minimum bid price requirement for continued listing on The Nasdaq Capital Market under Nasdaq Marketplace Rule 5550(a)</w:t>
      </w:r>
    </w:p>
    <w:p>
      <w:pPr>
        <w:spacing w:after="0" w:line="1"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(2), requiring a minimum bid price of $1.00 per share (the “Minimum Bid Price Requirement”), based on the Company meeting the continued listing requirement for market value of publicly held shares and all other applicable requirements for initial listing on The Nasdaq Capital Market with the exception of the bid price requirement, and the Company’s written notice of its intention to cure the deficiency during the second compliance period. In order to be eligible to receive the second compliance period, the Company applied to have its common stock (the “Common Stock”) transferred from the Nasdaq Global Select Market to the Nasdaq Capital Market. In connection with the grant of the second compliance period, the application was approved and the Common Stock will move to the Nasdaq Capital Market effective at the opening of business on September 27, 2024.</w:t>
      </w:r>
    </w:p>
    <w:p>
      <w:pPr>
        <w:spacing w:after="0" w:line="19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previously disclosed by the Company in a Current Report on Form 8-K filed on April 1, 2024, the Company received a notification letter from the Staff notifying the Company that, because the closing bid price for the Common Stock listed on the Nasdaq Global Select Market was below $1.00 for 30 consecutive business days, the Company no longer met the Minimum Bid Price Requirement.</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at any time before March 24, 2025, the bid price of the Common Stock closes at $1.00 per share or more for a minimum of 10 consecutive business days, the Staff will provide written confirmation that the Company has achieved compliance. If the Company does not regain compliance with the Minimum Bid Price Requirement by the end of the second compliance period, the Common Stock will become subject to delisting. In the event that the Company receives notice that the Common Stock is being delisted, the Nasdaq listing rules permit the Company to appeal a delisting determination by the Staff to a hearings panel.</w:t>
      </w:r>
    </w:p>
    <w:p>
      <w:pPr>
        <w:spacing w:after="0" w:line="18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intends to continue to monitor the closing bid price of the Common Stock between now and March 24, 2025, and will consider available options to regain compliance with the Minimum Bid Price Requirement. However, there can be no assurance that the Company will be able to regain compliance with the Minimum Bid Price Requirement or will otherwise be in compliance with other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3"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27, 2024</w:t>
            </w:r>
          </w:p>
        </w:tc>
        <w:tc>
          <w:tcPr>
            <w:tcW w:w="760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MICROVAST HOLDINGS, INC.</w:t>
            </w:r>
          </w:p>
        </w:tc>
      </w:tr>
      <w:tr>
        <w:trPr>
          <w:trHeight w:val="527"/>
        </w:trPr>
        <w:tc>
          <w:tcPr>
            <w:tcW w:w="3640" w:type="dxa"/>
            <w:vAlign w:val="bottom"/>
          </w:tcPr>
          <w:p>
            <w:pPr>
              <w:spacing w:after="0"/>
              <w:rPr>
                <w:sz w:val="24"/>
                <w:szCs w:val="24"/>
                <w:color w:val="auto"/>
              </w:rPr>
            </w:pPr>
          </w:p>
        </w:tc>
        <w:tc>
          <w:tcPr>
            <w:tcW w:w="24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 Wu Yang</w:t>
            </w:r>
          </w:p>
        </w:tc>
      </w:tr>
      <w:tr>
        <w:trPr>
          <w:trHeight w:val="27"/>
        </w:trPr>
        <w:tc>
          <w:tcPr>
            <w:tcW w:w="36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spacing w:after="0"/>
              <w:rPr>
                <w:sz w:val="20"/>
                <w:szCs w:val="20"/>
                <w:color w:val="auto"/>
              </w:rPr>
            </w:pPr>
          </w:p>
        </w:tc>
        <w:tc>
          <w:tcPr>
            <w:tcW w:w="24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Name:</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Wu Yang</w:t>
            </w:r>
          </w:p>
        </w:tc>
      </w:tr>
      <w:tr>
        <w:trPr>
          <w:trHeight w:val="284"/>
        </w:trPr>
        <w:tc>
          <w:tcPr>
            <w:tcW w:w="3640" w:type="dxa"/>
            <w:vAlign w:val="bottom"/>
          </w:tcPr>
          <w:p>
            <w:pPr>
              <w:spacing w:after="0"/>
              <w:rPr>
                <w:sz w:val="24"/>
                <w:szCs w:val="24"/>
                <w:color w:val="auto"/>
              </w:rPr>
            </w:pPr>
          </w:p>
        </w:tc>
        <w:tc>
          <w:tcPr>
            <w:tcW w:w="24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Title:</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056"/>
        </w:trPr>
        <w:tc>
          <w:tcPr>
            <w:tcW w:w="36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2024-09-27T07:06:37Z</dcterms:created>
  <dcterms:modified xsi:type="dcterms:W3CDTF">2024-09-27T07:06:37Z</dcterms:modified>
</cp:coreProperties>
</file>