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ss6931788_defa14a.htm"/>
      <w:bookmarkStart w:id="1" w:name="ksss6931788_defa14a"/>
      <w:bookmarkStart w:id="2" w:name="ss6931788_defa14a.htm"/>
      <w:bookmarkStart w:id="3" w:name="ksss6931788_defa14a"/>
      <w:bookmarkEnd w:id="2"/>
      <w:bookmarkEnd w:id="3"/>
    </w:p>
    <w:tbl>
      <w:tblPr>
        <w:tblW w:w="10205" w:type="dxa"/>
        <w:jc w:val="left"/>
        <w:tblInd w:w="0" w:type="dxa"/>
        <w:tblLayout w:type="fixed"/>
        <w:tblCellMar>
          <w:top w:w="0" w:type="dxa"/>
          <w:left w:w="0" w:type="dxa"/>
          <w:bottom w:w="0" w:type="dxa"/>
          <w:right w:w="0" w:type="dxa"/>
        </w:tblCellMar>
      </w:tblPr>
      <w:tblGrid>
        <w:gridCol w:w="2553"/>
        <w:gridCol w:w="2094"/>
        <w:gridCol w:w="5482"/>
        <w:gridCol w:w="76"/>
      </w:tblGrid>
      <w:tr>
        <w:trPr/>
        <w:tc>
          <w:tcPr>
            <w:tcW w:w="10129"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tc>
        <w:tc>
          <w:tcPr>
            <w:tcW w:w="76" w:type="dxa"/>
            <w:tcBorders/>
            <w:vAlign w:val="center"/>
          </w:tcPr>
          <w:p>
            <w:pPr>
              <w:pStyle w:val="TableContents"/>
              <w:bidi w:val="0"/>
              <w:spacing w:before="0" w:after="283"/>
              <w:jc w:val="left"/>
              <w:rPr/>
            </w:pPr>
            <w:r>
              <w:rPr/>
              <w:t> </w:t>
            </w:r>
          </w:p>
        </w:tc>
      </w:tr>
      <w:tr>
        <w:trPr/>
        <w:tc>
          <w:tcPr>
            <w:tcW w:w="10129"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tc>
        <w:tc>
          <w:tcPr>
            <w:tcW w:w="76" w:type="dxa"/>
            <w:tcBorders/>
            <w:vAlign w:val="center"/>
          </w:tcPr>
          <w:p>
            <w:pPr>
              <w:pStyle w:val="TableContents"/>
              <w:bidi w:val="0"/>
              <w:spacing w:before="0" w:after="283"/>
              <w:jc w:val="left"/>
              <w:rPr/>
            </w:pPr>
            <w:r>
              <w:rPr/>
              <w:t> </w:t>
            </w:r>
          </w:p>
        </w:tc>
      </w:tr>
      <w:tr>
        <w:trPr/>
        <w:tc>
          <w:tcPr>
            <w:tcW w:w="10129"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 </w:t>
            </w:r>
          </w:p>
        </w:tc>
        <w:tc>
          <w:tcPr>
            <w:tcW w:w="2094" w:type="dxa"/>
            <w:tcBorders/>
            <w:vAlign w:val="center"/>
          </w:tcPr>
          <w:p>
            <w:pPr>
              <w:pStyle w:val="TableContents"/>
              <w:bidi w:val="0"/>
              <w:spacing w:before="0" w:after="283"/>
              <w:jc w:val="left"/>
              <w:rPr>
                <w:caps w:val="false"/>
                <w:smallCaps w:val="false"/>
              </w:rPr>
            </w:pPr>
            <w:r>
              <w:rPr>
                <w:caps w:val="false"/>
                <w:smallCaps w:val="false"/>
              </w:rPr>
              <w:t> </w:t>
            </w:r>
          </w:p>
        </w:tc>
        <w:tc>
          <w:tcPr>
            <w:tcW w:w="5482" w:type="dxa"/>
            <w:tcBorders/>
            <w:vAlign w:val="center"/>
          </w:tcPr>
          <w:p>
            <w:pPr>
              <w:pStyle w:val="TableContents"/>
              <w:bidi w:val="0"/>
              <w:spacing w:before="0" w:after="283"/>
              <w:jc w:val="center"/>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10129" w:type="dxa"/>
            <w:gridSpan w:val="3"/>
            <w:vMerge w:val="restart"/>
            <w:tcBorders/>
            <w:vAlign w:val="center"/>
          </w:tcPr>
          <w:p>
            <w:pPr>
              <w:pStyle w:val="TableContents"/>
              <w:bidi w:val="0"/>
              <w:spacing w:lineRule="auto" w:line="333" w:before="53" w:after="53"/>
              <w:ind w:left="53" w:right="53"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w:t>
            </w:r>
          </w:p>
          <w:p>
            <w:pPr>
              <w:pStyle w:val="TableContents"/>
              <w:bidi w:val="0"/>
              <w:spacing w:lineRule="auto" w:line="333"/>
              <w:jc w:val="center"/>
              <w:rPr>
                <w:caps w:val="false"/>
                <w:smallCaps w:val="false"/>
              </w:rPr>
            </w:pPr>
            <w:r>
              <w:rPr>
                <w:caps w:val="false"/>
                <w:smallCaps w:val="false"/>
              </w:rPr>
              <w:t> </w:t>
            </w:r>
          </w:p>
          <w:p>
            <w:pPr>
              <w:pStyle w:val="TableContents"/>
              <w:bidi w:val="0"/>
              <w:spacing w:lineRule="auto" w:line="33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ableContents"/>
              <w:bidi w:val="0"/>
              <w:spacing w:lineRule="auto" w:line="333" w:before="0" w:after="3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w:t>
            </w:r>
          </w:p>
        </w:tc>
        <w:tc>
          <w:tcPr>
            <w:tcW w:w="76" w:type="dxa"/>
            <w:tcBorders/>
            <w:vAlign w:val="center"/>
          </w:tcPr>
          <w:p>
            <w:pPr>
              <w:pStyle w:val="TableContents"/>
              <w:bidi w:val="0"/>
              <w:spacing w:before="0" w:after="283"/>
              <w:jc w:val="left"/>
              <w:rPr/>
            </w:pPr>
            <w:r>
              <w:rPr/>
              <w:t> </w:t>
            </w:r>
          </w:p>
        </w:tc>
      </w:tr>
      <w:tr>
        <w:trPr/>
        <w:tc>
          <w:tcPr>
            <w:tcW w:w="10129" w:type="dxa"/>
            <w:gridSpan w:val="3"/>
            <w:vMerge w:val="continue"/>
            <w:tcBorders/>
            <w:vAlign w:val="center"/>
          </w:tcPr>
          <w:p>
            <w:pPr>
              <w:pStyle w:val="Normal"/>
              <w:bidi w:val="0"/>
              <w:jc w:val="left"/>
              <w:rPr/>
            </w:pPr>
            <w:r>
              <w:rPr/>
            </w:r>
          </w:p>
        </w:tc>
        <w:tc>
          <w:tcPr>
            <w:tcW w:w="76" w:type="dxa"/>
            <w:tcBorders/>
            <w:vAlign w:val="center"/>
          </w:tcPr>
          <w:p>
            <w:pPr>
              <w:pStyle w:val="TableContents"/>
              <w:bidi w:val="0"/>
              <w:spacing w:before="0" w:after="283"/>
              <w:jc w:val="left"/>
              <w:rPr/>
            </w:pPr>
            <w:r>
              <w:rPr/>
              <w:t> </w:t>
            </w:r>
          </w:p>
        </w:tc>
      </w:tr>
      <w:tr>
        <w:trPr/>
        <w:tc>
          <w:tcPr>
            <w:tcW w:w="10129" w:type="dxa"/>
            <w:gridSpan w:val="3"/>
            <w:vMerge w:val="continue"/>
            <w:tcBorders/>
            <w:vAlign w:val="center"/>
          </w:tcPr>
          <w:p>
            <w:pPr>
              <w:pStyle w:val="Normal"/>
              <w:bidi w:val="0"/>
              <w:jc w:val="left"/>
              <w:rPr/>
            </w:pPr>
            <w:r>
              <w:rPr/>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 </w:t>
            </w:r>
          </w:p>
        </w:tc>
        <w:tc>
          <w:tcPr>
            <w:tcW w:w="2094" w:type="dxa"/>
            <w:tcBorders/>
            <w:vAlign w:val="center"/>
          </w:tcPr>
          <w:p>
            <w:pPr>
              <w:pStyle w:val="TableContents"/>
              <w:bidi w:val="0"/>
              <w:spacing w:before="0" w:after="283"/>
              <w:jc w:val="left"/>
              <w:rPr>
                <w:caps w:val="false"/>
                <w:smallCaps w:val="false"/>
              </w:rPr>
            </w:pPr>
            <w:r>
              <w:rPr>
                <w:caps w:val="false"/>
                <w:smallCaps w:val="false"/>
              </w:rPr>
              <w:t> </w:t>
            </w:r>
          </w:p>
        </w:tc>
        <w:tc>
          <w:tcPr>
            <w:tcW w:w="5482" w:type="dxa"/>
            <w:tcBorders/>
            <w:vAlign w:val="center"/>
          </w:tcPr>
          <w:p>
            <w:pPr>
              <w:pStyle w:val="TableContents"/>
              <w:bidi w:val="0"/>
              <w:spacing w:before="0" w:after="283"/>
              <w:jc w:val="center"/>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10129"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 </w:t>
            </w:r>
          </w:p>
        </w:tc>
        <w:tc>
          <w:tcPr>
            <w:tcW w:w="2094" w:type="dxa"/>
            <w:tcBorders/>
            <w:vAlign w:val="center"/>
          </w:tcPr>
          <w:p>
            <w:pPr>
              <w:pStyle w:val="TableContents"/>
              <w:bidi w:val="0"/>
              <w:spacing w:before="0" w:after="283"/>
              <w:jc w:val="left"/>
              <w:rPr>
                <w:caps w:val="false"/>
                <w:smallCaps w:val="false"/>
              </w:rPr>
            </w:pPr>
            <w:r>
              <w:rPr>
                <w:caps w:val="false"/>
                <w:smallCaps w:val="false"/>
              </w:rPr>
              <w:t> </w:t>
            </w:r>
          </w:p>
        </w:tc>
        <w:tc>
          <w:tcPr>
            <w:tcW w:w="5482" w:type="dxa"/>
            <w:tcBorders/>
            <w:vAlign w:val="center"/>
          </w:tcPr>
          <w:p>
            <w:pPr>
              <w:pStyle w:val="TableContents"/>
              <w:bidi w:val="0"/>
              <w:spacing w:before="0" w:after="283"/>
              <w:jc w:val="center"/>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10129"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 </w:t>
            </w:r>
          </w:p>
        </w:tc>
        <w:tc>
          <w:tcPr>
            <w:tcW w:w="2094" w:type="dxa"/>
            <w:tcBorders/>
            <w:vAlign w:val="center"/>
          </w:tcPr>
          <w:p>
            <w:pPr>
              <w:pStyle w:val="TableContents"/>
              <w:bidi w:val="0"/>
              <w:spacing w:before="0" w:after="283"/>
              <w:jc w:val="left"/>
              <w:rPr>
                <w:caps w:val="false"/>
                <w:smallCaps w:val="false"/>
              </w:rPr>
            </w:pPr>
            <w:r>
              <w:rPr>
                <w:caps w:val="false"/>
                <w:smallCaps w:val="false"/>
              </w:rPr>
              <w:t> </w:t>
            </w:r>
          </w:p>
        </w:tc>
        <w:tc>
          <w:tcPr>
            <w:tcW w:w="5482" w:type="dxa"/>
            <w:tcBorders/>
            <w:vAlign w:val="center"/>
          </w:tcPr>
          <w:p>
            <w:pPr>
              <w:pStyle w:val="TableContents"/>
              <w:bidi w:val="0"/>
              <w:spacing w:before="0" w:after="283"/>
              <w:jc w:val="center"/>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10129" w:type="dxa"/>
            <w:gridSpan w:val="3"/>
            <w:tcBorders/>
            <w:vAlign w:val="center"/>
          </w:tcPr>
          <w:p>
            <w:pPr>
              <w:pStyle w:val="TableContents"/>
              <w:bidi w:val="0"/>
              <w:spacing w:lineRule="auto" w:line="333" w:before="53" w:after="53"/>
              <w:ind w:left="53" w:right="5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w:t>
            </w:r>
          </w:p>
          <w:p>
            <w:pPr>
              <w:pStyle w:val="TableContents"/>
              <w:bidi w:val="0"/>
              <w:spacing w:lineRule="auto" w:line="33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ableContents"/>
              <w:bidi w:val="0"/>
              <w:spacing w:lineRule="auto" w:line="333"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w:t>
            </w:r>
          </w:p>
        </w:tc>
        <w:tc>
          <w:tcPr>
            <w:tcW w:w="76" w:type="dxa"/>
            <w:tcBorders/>
            <w:vAlign w:val="center"/>
          </w:tcPr>
          <w:p>
            <w:pPr>
              <w:pStyle w:val="TableContents"/>
              <w:bidi w:val="0"/>
              <w:spacing w:before="0" w:after="283"/>
              <w:jc w:val="left"/>
              <w:rPr/>
            </w:pPr>
            <w:r>
              <w:rPr/>
              <w:t> </w:t>
            </w:r>
          </w:p>
        </w:tc>
      </w:tr>
      <w:tr>
        <w:trPr/>
        <w:tc>
          <w:tcPr>
            <w:tcW w:w="255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09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8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 </w:t>
            </w:r>
          </w:p>
        </w:tc>
        <w:tc>
          <w:tcPr>
            <w:tcW w:w="2094" w:type="dxa"/>
            <w:tcBorders/>
            <w:vAlign w:val="center"/>
          </w:tcPr>
          <w:p>
            <w:pPr>
              <w:pStyle w:val="TableContents"/>
              <w:bidi w:val="0"/>
              <w:spacing w:before="0" w:after="283"/>
              <w:jc w:val="left"/>
              <w:rPr>
                <w:caps w:val="false"/>
                <w:smallCaps w:val="false"/>
              </w:rPr>
            </w:pPr>
            <w:r>
              <w:rPr>
                <w:caps w:val="false"/>
                <w:smallCaps w:val="false"/>
              </w:rPr>
              <w:t> </w:t>
            </w:r>
          </w:p>
        </w:tc>
        <w:tc>
          <w:tcPr>
            <w:tcW w:w="548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 </w:t>
            </w:r>
          </w:p>
        </w:tc>
        <w:tc>
          <w:tcPr>
            <w:tcW w:w="2094" w:type="dxa"/>
            <w:tcBorders/>
            <w:vAlign w:val="center"/>
          </w:tcPr>
          <w:p>
            <w:pPr>
              <w:pStyle w:val="TableContents"/>
              <w:bidi w:val="0"/>
              <w:spacing w:before="0" w:after="283"/>
              <w:jc w:val="left"/>
              <w:rPr>
                <w:caps w:val="false"/>
                <w:smallCaps w:val="false"/>
              </w:rPr>
            </w:pPr>
            <w:r>
              <w:rPr>
                <w:caps w:val="false"/>
                <w:smallCaps w:val="false"/>
              </w:rPr>
              <w:t> </w:t>
            </w:r>
          </w:p>
        </w:tc>
        <w:tc>
          <w:tcPr>
            <w:tcW w:w="548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464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w:t>
            </w:r>
          </w:p>
        </w:tc>
        <w:tc>
          <w:tcPr>
            <w:tcW w:w="5482" w:type="dxa"/>
            <w:tcBorders/>
            <w:vAlign w:val="center"/>
          </w:tcPr>
          <w:p>
            <w:pPr>
              <w:pStyle w:val="TableContents"/>
              <w:bidi w:val="0"/>
              <w:spacing w:before="0" w:after="283"/>
              <w:jc w:val="left"/>
              <w:rPr>
                <w:caps w:val="false"/>
                <w:smallCaps w:val="false"/>
              </w:rPr>
            </w:pPr>
            <w:r>
              <w:rPr>
                <w:caps w:val="false"/>
                <w:smallCaps w:val="false"/>
              </w:rPr>
              <w:t>☑</w:t>
            </w:r>
          </w:p>
        </w:tc>
        <w:tc>
          <w:tcPr>
            <w:tcW w:w="76" w:type="dxa"/>
            <w:tcBorders/>
            <w:vAlign w:val="center"/>
          </w:tcPr>
          <w:p>
            <w:pPr>
              <w:pStyle w:val="TableContents"/>
              <w:bidi w:val="0"/>
              <w:spacing w:before="0" w:after="283"/>
              <w:jc w:val="left"/>
              <w:rPr/>
            </w:pPr>
            <w:r>
              <w:rPr/>
              <w:t> </w:t>
            </w:r>
          </w:p>
        </w:tc>
      </w:tr>
      <w:tr>
        <w:trPr/>
        <w:tc>
          <w:tcPr>
            <w:tcW w:w="464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w:t>
            </w:r>
          </w:p>
        </w:tc>
        <w:tc>
          <w:tcPr>
            <w:tcW w:w="5482"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 </w:t>
            </w:r>
          </w:p>
        </w:tc>
        <w:tc>
          <w:tcPr>
            <w:tcW w:w="2094" w:type="dxa"/>
            <w:tcBorders/>
            <w:vAlign w:val="center"/>
          </w:tcPr>
          <w:p>
            <w:pPr>
              <w:pStyle w:val="TableContents"/>
              <w:bidi w:val="0"/>
              <w:spacing w:before="0" w:after="283"/>
              <w:jc w:val="left"/>
              <w:rPr>
                <w:caps w:val="false"/>
                <w:smallCaps w:val="false"/>
              </w:rPr>
            </w:pPr>
            <w:r>
              <w:rPr>
                <w:caps w:val="false"/>
                <w:smallCaps w:val="false"/>
              </w:rPr>
              <w:t> </w:t>
            </w:r>
          </w:p>
        </w:tc>
        <w:tc>
          <w:tcPr>
            <w:tcW w:w="548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1012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7576"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7576"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14a-6(e)(2))</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7576"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w:t>
            </w:r>
          </w:p>
        </w:tc>
        <w:tc>
          <w:tcPr>
            <w:tcW w:w="7576"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7576"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under §240.14a-12</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 </w:t>
            </w:r>
          </w:p>
        </w:tc>
        <w:tc>
          <w:tcPr>
            <w:tcW w:w="2094" w:type="dxa"/>
            <w:tcBorders/>
            <w:vAlign w:val="center"/>
          </w:tcPr>
          <w:p>
            <w:pPr>
              <w:pStyle w:val="TableContents"/>
              <w:bidi w:val="0"/>
              <w:spacing w:before="0" w:after="283"/>
              <w:jc w:val="left"/>
              <w:rPr>
                <w:caps w:val="false"/>
                <w:smallCaps w:val="false"/>
              </w:rPr>
            </w:pPr>
            <w:r>
              <w:rPr>
                <w:caps w:val="false"/>
                <w:smallCaps w:val="false"/>
              </w:rPr>
              <w:t> </w:t>
            </w:r>
          </w:p>
        </w:tc>
        <w:tc>
          <w:tcPr>
            <w:tcW w:w="548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 </w:t>
            </w:r>
          </w:p>
        </w:tc>
        <w:tc>
          <w:tcPr>
            <w:tcW w:w="2094" w:type="dxa"/>
            <w:tcBorders/>
            <w:vAlign w:val="center"/>
          </w:tcPr>
          <w:p>
            <w:pPr>
              <w:pStyle w:val="TableContents"/>
              <w:bidi w:val="0"/>
              <w:spacing w:before="0" w:after="283"/>
              <w:jc w:val="left"/>
              <w:rPr>
                <w:caps w:val="false"/>
                <w:smallCaps w:val="false"/>
              </w:rPr>
            </w:pPr>
            <w:r>
              <w:rPr>
                <w:caps w:val="false"/>
                <w:smallCaps w:val="false"/>
              </w:rPr>
              <w:t> </w:t>
            </w:r>
          </w:p>
        </w:tc>
        <w:tc>
          <w:tcPr>
            <w:tcW w:w="548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10129"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MICROVAST HOLDINGS, INC.</w:t>
            </w:r>
          </w:p>
        </w:tc>
        <w:tc>
          <w:tcPr>
            <w:tcW w:w="76" w:type="dxa"/>
            <w:tcBorders/>
            <w:vAlign w:val="center"/>
          </w:tcPr>
          <w:p>
            <w:pPr>
              <w:pStyle w:val="TableContents"/>
              <w:bidi w:val="0"/>
              <w:spacing w:before="0" w:after="283"/>
              <w:jc w:val="left"/>
              <w:rPr/>
            </w:pPr>
            <w:r>
              <w:rPr/>
              <w:t> </w:t>
            </w:r>
          </w:p>
        </w:tc>
      </w:tr>
      <w:tr>
        <w:trPr/>
        <w:tc>
          <w:tcPr>
            <w:tcW w:w="10129"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 </w:t>
            </w:r>
          </w:p>
        </w:tc>
        <w:tc>
          <w:tcPr>
            <w:tcW w:w="2094" w:type="dxa"/>
            <w:tcBorders/>
            <w:vAlign w:val="center"/>
          </w:tcPr>
          <w:p>
            <w:pPr>
              <w:pStyle w:val="TableContents"/>
              <w:bidi w:val="0"/>
              <w:spacing w:before="0" w:after="283"/>
              <w:jc w:val="left"/>
              <w:rPr>
                <w:caps w:val="false"/>
                <w:smallCaps w:val="false"/>
              </w:rPr>
            </w:pPr>
            <w:r>
              <w:rPr>
                <w:caps w:val="false"/>
                <w:smallCaps w:val="false"/>
              </w:rPr>
              <w:t> </w:t>
            </w:r>
          </w:p>
        </w:tc>
        <w:tc>
          <w:tcPr>
            <w:tcW w:w="548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 </w:t>
            </w:r>
          </w:p>
        </w:tc>
        <w:tc>
          <w:tcPr>
            <w:tcW w:w="2094" w:type="dxa"/>
            <w:tcBorders/>
            <w:vAlign w:val="center"/>
          </w:tcPr>
          <w:p>
            <w:pPr>
              <w:pStyle w:val="TableContents"/>
              <w:bidi w:val="0"/>
              <w:spacing w:before="0" w:after="283"/>
              <w:jc w:val="left"/>
              <w:rPr>
                <w:caps w:val="false"/>
                <w:smallCaps w:val="false"/>
              </w:rPr>
            </w:pPr>
            <w:r>
              <w:rPr>
                <w:caps w:val="false"/>
                <w:smallCaps w:val="false"/>
              </w:rPr>
              <w:t> </w:t>
            </w:r>
          </w:p>
        </w:tc>
        <w:tc>
          <w:tcPr>
            <w:tcW w:w="548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10129" w:type="dxa"/>
            <w:gridSpan w:val="3"/>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10129"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 </w:t>
            </w:r>
          </w:p>
        </w:tc>
        <w:tc>
          <w:tcPr>
            <w:tcW w:w="2094" w:type="dxa"/>
            <w:tcBorders/>
            <w:vAlign w:val="center"/>
          </w:tcPr>
          <w:p>
            <w:pPr>
              <w:pStyle w:val="TableContents"/>
              <w:bidi w:val="0"/>
              <w:spacing w:before="0" w:after="283"/>
              <w:jc w:val="left"/>
              <w:rPr>
                <w:caps w:val="false"/>
                <w:smallCaps w:val="false"/>
              </w:rPr>
            </w:pPr>
            <w:r>
              <w:rPr>
                <w:caps w:val="false"/>
                <w:smallCaps w:val="false"/>
              </w:rPr>
              <w:t> </w:t>
            </w:r>
          </w:p>
        </w:tc>
        <w:tc>
          <w:tcPr>
            <w:tcW w:w="548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 </w:t>
            </w:r>
          </w:p>
        </w:tc>
        <w:tc>
          <w:tcPr>
            <w:tcW w:w="2094" w:type="dxa"/>
            <w:tcBorders/>
            <w:vAlign w:val="center"/>
          </w:tcPr>
          <w:p>
            <w:pPr>
              <w:pStyle w:val="TableContents"/>
              <w:bidi w:val="0"/>
              <w:spacing w:before="0" w:after="283"/>
              <w:jc w:val="left"/>
              <w:rPr>
                <w:caps w:val="false"/>
                <w:smallCaps w:val="false"/>
              </w:rPr>
            </w:pPr>
            <w:r>
              <w:rPr>
                <w:caps w:val="false"/>
                <w:smallCaps w:val="false"/>
              </w:rPr>
              <w:t> </w:t>
            </w:r>
          </w:p>
        </w:tc>
        <w:tc>
          <w:tcPr>
            <w:tcW w:w="548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1012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w:t>
            </w:r>
          </w:p>
        </w:tc>
        <w:tc>
          <w:tcPr>
            <w:tcW w:w="7576"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7576"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7576"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 </w:t>
            </w:r>
          </w:p>
        </w:tc>
        <w:tc>
          <w:tcPr>
            <w:tcW w:w="2094" w:type="dxa"/>
            <w:tcBorders/>
            <w:vAlign w:val="center"/>
          </w:tcPr>
          <w:p>
            <w:pPr>
              <w:pStyle w:val="TableContents"/>
              <w:bidi w:val="0"/>
              <w:spacing w:before="0" w:after="283"/>
              <w:jc w:val="left"/>
              <w:rPr>
                <w:caps w:val="false"/>
                <w:smallCaps w:val="false"/>
              </w:rPr>
            </w:pPr>
            <w:r>
              <w:rPr>
                <w:caps w:val="false"/>
                <w:smallCaps w:val="false"/>
              </w:rPr>
              <w:t> </w:t>
            </w:r>
          </w:p>
        </w:tc>
        <w:tc>
          <w:tcPr>
            <w:tcW w:w="548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 </w:t>
            </w:r>
          </w:p>
        </w:tc>
        <w:tc>
          <w:tcPr>
            <w:tcW w:w="2094" w:type="dxa"/>
            <w:tcBorders/>
            <w:vAlign w:val="center"/>
          </w:tcPr>
          <w:p>
            <w:pPr>
              <w:pStyle w:val="TableContents"/>
              <w:bidi w:val="0"/>
              <w:spacing w:before="0" w:after="283"/>
              <w:jc w:val="left"/>
              <w:rPr>
                <w:caps w:val="false"/>
                <w:smallCaps w:val="false"/>
              </w:rPr>
            </w:pPr>
            <w:r>
              <w:rPr>
                <w:caps w:val="false"/>
                <w:smallCaps w:val="false"/>
              </w:rPr>
              <w:t> </w:t>
            </w:r>
          </w:p>
        </w:tc>
        <w:tc>
          <w:tcPr>
            <w:tcW w:w="548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bl>
    <w:p>
      <w:pPr>
        <w:pStyle w:val="TextBody"/>
        <w:bidi w:val="0"/>
        <w:spacing w:lineRule="auto" w:line="333"/>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333"/>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8801100" cy="10848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801100" cy="10848975"/>
                    </a:xfrm>
                    <a:prstGeom prst="rect">
                      <a:avLst/>
                    </a:prstGeom>
                  </pic:spPr>
                </pic:pic>
              </a:graphicData>
            </a:graphic>
          </wp:inline>
        </w:drawing>
      </w:r>
    </w:p>
    <w:p>
      <w:pPr>
        <w:pStyle w:val="TextBody"/>
        <w:bidi w:val="0"/>
        <w:jc w:val="left"/>
        <w:rPr>
          <w:rFonts w:ascii="White" w:hAnsi="White"/>
          <w:b w:val="false"/>
          <w:i w:val="false"/>
          <w:caps w:val="false"/>
          <w:smallCaps w:val="false"/>
          <w:color w:val="FFFFFF"/>
          <w:sz w:val="2"/>
        </w:rPr>
      </w:pPr>
      <w:r>
        <w:rPr>
          <w:rFonts w:ascii="White" w:hAnsi="White"/>
          <w:b w:val="false"/>
          <w:i w:val="false"/>
          <w:caps w:val="false"/>
          <w:smallCaps w:val="false"/>
          <w:color w:val="FFFFFF"/>
          <w:sz w:val="2"/>
        </w:rPr>
        <w:t>Your Vote Counts MICROVAST HOLDINGS, INC. 2026 Annual Meeting Vote by November 29, 2026 11:59 PM ET MICROVAST HOLDINGS, INC. 2929 BRIARPARK DRIVE SUITE 400 HOUSTON, TX 77042 T04547-P58664 You invested in MICROVAST HOLDINGS, INC. and it's time to vote! You have the right to vote on proposals being presented at the Annual Meeting. This is an important notice regarding the availability of proxy materials for the stockholder meeting to be held on November 30, 2026. Get informed before you vote View the Notice and Proxy Statement and Form 10-K online OR you can receive a free paper or email copy of the material(s) by requesting prior to November 16, 2026.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 Control # Smartphone users Point your camera here and vote without entering a control number Virtually at: Vote Virtually at the Meeting* November 30, 2026 9:00 a.m., Central Time www.virtualshareholdermeeting.com/MVST2026 *Please check the meeting materials for any special requirements for meeting attendance.</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8686800" cy="11220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686800" cy="11220450"/>
                    </a:xfrm>
                    <a:prstGeom prst="rect">
                      <a:avLst/>
                    </a:prstGeom>
                  </pic:spPr>
                </pic:pic>
              </a:graphicData>
            </a:graphic>
          </wp:inline>
        </w:drawing>
      </w:r>
    </w:p>
    <w:p>
      <w:pPr>
        <w:pStyle w:val="TextBody"/>
        <w:bidi w:val="0"/>
        <w:jc w:val="left"/>
        <w:rPr>
          <w:rFonts w:ascii="White" w:hAnsi="White"/>
          <w:b w:val="false"/>
          <w:i w:val="false"/>
          <w:caps w:val="false"/>
          <w:smallCaps w:val="false"/>
          <w:color w:val="FFFFFF"/>
          <w:sz w:val="2"/>
        </w:rPr>
      </w:pPr>
      <w:r>
        <w:rPr>
          <w:rFonts w:ascii="White" w:hAnsi="White"/>
          <w:b w:val="false"/>
          <w:i w:val="false"/>
          <w:caps w:val="false"/>
          <w:smallCaps w:val="false"/>
          <w:color w:val="FFFFFF"/>
          <w:sz w:val="2"/>
        </w:rPr>
        <w:t>Vote at www.ProxyVote.com THIS IS NOT A VOTABLE BALLOT This is an overview of the proposals being presented at the upcoming stockholder meeting. Please follow the instructions on the reverse side to vote on these important matters. Voting Items Board Recommends -------------------------------------------------------------------------------- [PICTURE OMITTED] ------------------------------------------------------------------------------- 1. Election of Class II Director Nominee: 1a. Arthur Wong For ----------------------------------------------------------------------- 2. Ratification of the appointment of Deloitte Touche Tohmatsu Certified Public Accountants LLP as the Company's [PICTURE independent registered public accounting firm for the fiscal year ending December 31, 2026. OMITTED] For ----------------------------------------------------------------------- 3. Advisory vote to approve the Company's executive compensation. For ------------------------------------------------------------------------- 4. Advisory vote to approve the frequency of future advisory votes on executive compensation. 1 Year ------------------------------------------------------------------------- NOTE: Such other business as may properly come before the meeting or any adjournment thereof. ------------------------------------------------------------------------- Prefer to receive an email instead? While voting on www.ProxyVote.com, be sure to click "Delivery Settings". T04548-P58664</w:t>
      </w:r>
    </w:p>
    <w:p>
      <w:pPr>
        <w:pStyle w:val="TextBody"/>
        <w:bidi w:val="0"/>
        <w:spacing w:lineRule="auto" w:line="276"/>
        <w:jc w:val="both"/>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White">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512</Words>
  <Characters>3314</Characters>
  <CharactersWithSpaces>3889</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