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574040</wp:posOffset>
            </wp:positionH>
            <wp:positionV relativeFrom="paragraph">
              <wp:posOffset>396240</wp:posOffset>
            </wp:positionV>
            <wp:extent cx="6626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6860" cy="8255"/>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420370</wp:posOffset>
            </wp:positionV>
            <wp:extent cx="6626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6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5" w:lineRule="exact"/>
        <w:rPr>
          <w:sz w:val="24"/>
          <w:szCs w:val="24"/>
          <w:color w:val="auto"/>
        </w:rPr>
      </w:pPr>
    </w:p>
    <w:p>
      <w:pPr>
        <w:ind w:left="3440"/>
        <w:spacing w:after="0"/>
        <w:rPr>
          <w:sz w:val="20"/>
          <w:szCs w:val="20"/>
          <w:color w:val="auto"/>
        </w:rPr>
      </w:pPr>
      <w:r>
        <w:rPr>
          <w:rFonts w:ascii="Arial" w:cs="Arial" w:eastAsia="Arial" w:hAnsi="Arial"/>
          <w:sz w:val="17"/>
          <w:szCs w:val="17"/>
          <w:color w:val="auto"/>
        </w:rPr>
        <w:t>____________________________________________________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22" w:lineRule="exact"/>
        <w:rPr>
          <w:sz w:val="24"/>
          <w:szCs w:val="24"/>
          <w:color w:val="auto"/>
        </w:rPr>
      </w:pPr>
    </w:p>
    <w:p>
      <w:pPr>
        <w:ind w:left="3440"/>
        <w:spacing w:after="0"/>
        <w:rPr>
          <w:sz w:val="20"/>
          <w:szCs w:val="20"/>
          <w:color w:val="auto"/>
        </w:rPr>
      </w:pPr>
      <w:r>
        <w:rPr>
          <w:rFonts w:ascii="Arial" w:cs="Arial" w:eastAsia="Arial" w:hAnsi="Arial"/>
          <w:sz w:val="17"/>
          <w:szCs w:val="17"/>
          <w:color w:val="auto"/>
        </w:rPr>
        <w:t>____________________________________________________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(Mark One)</w:t>
      </w:r>
    </w:p>
    <w:p>
      <w:pPr>
        <w:spacing w:after="0" w:line="17" w:lineRule="exact"/>
        <w:rPr>
          <w:sz w:val="24"/>
          <w:szCs w:val="24"/>
          <w:color w:val="auto"/>
        </w:rPr>
      </w:pPr>
    </w:p>
    <w:p>
      <w:pPr>
        <w:jc w:val="center"/>
        <w:ind w:left="4040" w:right="1480" w:hanging="2551"/>
        <w:spacing w:after="0" w:line="485" w:lineRule="auto"/>
        <w:tabs>
          <w:tab w:leader="none" w:pos="1677" w:val="left"/>
        </w:tabs>
        <w:numPr>
          <w:ilvl w:val="1"/>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OR</w:t>
      </w:r>
    </w:p>
    <w:p>
      <w:pPr>
        <w:spacing w:after="0" w:line="206" w:lineRule="exact"/>
        <w:rPr>
          <w:rFonts w:ascii="MS PGothic" w:cs="MS PGothic" w:eastAsia="MS PGothic" w:hAnsi="MS PGothic"/>
          <w:sz w:val="17"/>
          <w:szCs w:val="17"/>
          <w:color w:val="auto"/>
        </w:rPr>
      </w:pPr>
    </w:p>
    <w:p>
      <w:pPr>
        <w:jc w:val="center"/>
        <w:ind w:left="3560" w:right="1260" w:hanging="2290"/>
        <w:spacing w:after="0" w:line="493" w:lineRule="auto"/>
        <w:tabs>
          <w:tab w:leader="none" w:pos="1469"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from___________to___________</w:t>
      </w:r>
    </w:p>
    <w:p>
      <w:pPr>
        <w:jc w:val="center"/>
        <w:spacing w:after="0"/>
        <w:rPr>
          <w:sz w:val="20"/>
          <w:szCs w:val="20"/>
          <w:color w:val="auto"/>
        </w:rPr>
      </w:pPr>
      <w:r>
        <w:rPr>
          <w:rFonts w:ascii="Arial" w:cs="Arial" w:eastAsia="Arial" w:hAnsi="Arial"/>
          <w:sz w:val="17"/>
          <w:szCs w:val="17"/>
          <w:b w:val="1"/>
          <w:bCs w:val="1"/>
          <w:color w:val="auto"/>
        </w:rPr>
        <w:t>Commission File Number: 001-38826</w:t>
      </w:r>
    </w:p>
    <w:p>
      <w:pPr>
        <w:spacing w:after="0" w:line="22" w:lineRule="exact"/>
        <w:rPr>
          <w:sz w:val="24"/>
          <w:szCs w:val="24"/>
          <w:color w:val="auto"/>
        </w:rPr>
      </w:pPr>
    </w:p>
    <w:p>
      <w:pPr>
        <w:ind w:left="3440"/>
        <w:spacing w:after="0"/>
        <w:rPr>
          <w:sz w:val="20"/>
          <w:szCs w:val="20"/>
          <w:color w:val="auto"/>
        </w:rPr>
      </w:pPr>
      <w:r>
        <w:rPr>
          <w:rFonts w:ascii="Arial" w:cs="Arial" w:eastAsia="Arial" w:hAnsi="Arial"/>
          <w:sz w:val="17"/>
          <w:szCs w:val="17"/>
          <w:color w:val="auto"/>
        </w:rPr>
        <w:t>____________________________________________________</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5" w:lineRule="exact"/>
        <w:rPr>
          <w:sz w:val="24"/>
          <w:szCs w:val="24"/>
          <w:color w:val="auto"/>
        </w:rPr>
      </w:pPr>
    </w:p>
    <w:p>
      <w:pPr>
        <w:ind w:left="3440"/>
        <w:spacing w:after="0"/>
        <w:rPr>
          <w:sz w:val="20"/>
          <w:szCs w:val="20"/>
          <w:color w:val="auto"/>
        </w:rPr>
      </w:pPr>
      <w:r>
        <w:rPr>
          <w:rFonts w:ascii="Arial" w:cs="Arial" w:eastAsia="Arial" w:hAnsi="Arial"/>
          <w:sz w:val="17"/>
          <w:szCs w:val="17"/>
          <w:color w:val="auto"/>
        </w:rPr>
        <w:t>____________________________________________________</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Delaware</w:t>
            </w:r>
          </w:p>
        </w:tc>
        <w:tc>
          <w:tcPr>
            <w:tcW w:w="80" w:type="dxa"/>
            <w:vAlign w:val="bottom"/>
          </w:tcPr>
          <w:p>
            <w:pPr>
              <w:spacing w:after="0"/>
              <w:rPr>
                <w:sz w:val="19"/>
                <w:szCs w:val="19"/>
                <w:color w:val="auto"/>
              </w:rPr>
            </w:pPr>
          </w:p>
        </w:tc>
        <w:tc>
          <w:tcPr>
            <w:tcW w:w="5580" w:type="dxa"/>
            <w:vAlign w:val="bottom"/>
            <w:tcBorders>
              <w:bottom w:val="single" w:sz="8" w:color="auto"/>
            </w:tcBorders>
          </w:tcPr>
          <w:p>
            <w:pPr>
              <w:jc w:val="right"/>
              <w:ind w:right="2296"/>
              <w:spacing w:after="0"/>
              <w:rPr>
                <w:sz w:val="20"/>
                <w:szCs w:val="20"/>
                <w:color w:val="auto"/>
              </w:rPr>
            </w:pPr>
            <w:r>
              <w:rPr>
                <w:rFonts w:ascii="Arial" w:cs="Arial" w:eastAsia="Arial" w:hAnsi="Arial"/>
                <w:sz w:val="17"/>
                <w:szCs w:val="17"/>
                <w:b w:val="1"/>
                <w:bCs w:val="1"/>
                <w:color w:val="auto"/>
              </w:rPr>
              <w:t>83-2530757</w:t>
            </w:r>
          </w:p>
        </w:tc>
      </w:tr>
      <w:tr>
        <w:trPr>
          <w:trHeight w:val="221"/>
        </w:trPr>
        <w:tc>
          <w:tcPr>
            <w:tcW w:w="56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(State or other jurisdiction of</w:t>
            </w:r>
          </w:p>
        </w:tc>
        <w:tc>
          <w:tcPr>
            <w:tcW w:w="5580" w:type="dxa"/>
            <w:vAlign w:val="bottom"/>
          </w:tcPr>
          <w:p>
            <w:pPr>
              <w:jc w:val="center"/>
              <w:spacing w:after="0"/>
              <w:rPr>
                <w:sz w:val="20"/>
                <w:szCs w:val="20"/>
                <w:color w:val="auto"/>
              </w:rPr>
            </w:pPr>
            <w:r>
              <w:rPr>
                <w:rFonts w:ascii="Arial" w:cs="Arial" w:eastAsia="Arial" w:hAnsi="Arial"/>
                <w:sz w:val="17"/>
                <w:szCs w:val="17"/>
                <w:b w:val="1"/>
                <w:bCs w:val="1"/>
                <w:color w:val="auto"/>
                <w:w w:val="92"/>
              </w:rPr>
              <w:t>(I.R.S. Employer</w:t>
            </w:r>
          </w:p>
        </w:tc>
      </w:tr>
      <w:tr>
        <w:trPr>
          <w:trHeight w:val="217"/>
        </w:trPr>
        <w:tc>
          <w:tcPr>
            <w:tcW w:w="56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incorporation or organization)</w:t>
            </w:r>
          </w:p>
        </w:tc>
        <w:tc>
          <w:tcPr>
            <w:tcW w:w="5580" w:type="dxa"/>
            <w:vAlign w:val="bottom"/>
          </w:tcPr>
          <w:p>
            <w:pPr>
              <w:jc w:val="center"/>
              <w:spacing w:after="0"/>
              <w:rPr>
                <w:sz w:val="20"/>
                <w:szCs w:val="20"/>
                <w:color w:val="auto"/>
              </w:rPr>
            </w:pPr>
            <w:r>
              <w:rPr>
                <w:rFonts w:ascii="Arial" w:cs="Arial" w:eastAsia="Arial" w:hAnsi="Arial"/>
                <w:sz w:val="17"/>
                <w:szCs w:val="17"/>
                <w:b w:val="1"/>
                <w:bCs w:val="1"/>
                <w:color w:val="auto"/>
                <w:w w:val="90"/>
              </w:rPr>
              <w:t>Identification No.)</w:t>
            </w:r>
          </w:p>
        </w:tc>
      </w:tr>
      <w:tr>
        <w:trPr>
          <w:trHeight w:val="549"/>
        </w:trPr>
        <w:tc>
          <w:tcPr>
            <w:tcW w:w="56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12603 Southwest Freeway, Suite 300</w:t>
            </w:r>
          </w:p>
        </w:tc>
        <w:tc>
          <w:tcPr>
            <w:tcW w:w="5580" w:type="dxa"/>
            <w:vAlign w:val="bottom"/>
          </w:tcPr>
          <w:p>
            <w:pPr>
              <w:spacing w:after="0"/>
              <w:rPr>
                <w:sz w:val="24"/>
                <w:szCs w:val="24"/>
                <w:color w:val="auto"/>
              </w:rPr>
            </w:pPr>
          </w:p>
        </w:tc>
      </w:tr>
      <w:tr>
        <w:trPr>
          <w:trHeight w:val="236"/>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Stafford, Texas</w:t>
            </w:r>
          </w:p>
        </w:tc>
        <w:tc>
          <w:tcPr>
            <w:tcW w:w="80" w:type="dxa"/>
            <w:vAlign w:val="bottom"/>
          </w:tcPr>
          <w:p>
            <w:pPr>
              <w:spacing w:after="0"/>
              <w:rPr>
                <w:sz w:val="20"/>
                <w:szCs w:val="20"/>
                <w:color w:val="auto"/>
              </w:rPr>
            </w:pPr>
          </w:p>
        </w:tc>
        <w:tc>
          <w:tcPr>
            <w:tcW w:w="5580" w:type="dxa"/>
            <w:vAlign w:val="bottom"/>
            <w:tcBorders>
              <w:bottom w:val="single" w:sz="8" w:color="auto"/>
            </w:tcBorders>
          </w:tcPr>
          <w:p>
            <w:pPr>
              <w:jc w:val="right"/>
              <w:ind w:right="2496"/>
              <w:spacing w:after="0"/>
              <w:rPr>
                <w:sz w:val="20"/>
                <w:szCs w:val="20"/>
                <w:color w:val="auto"/>
              </w:rPr>
            </w:pPr>
            <w:r>
              <w:rPr>
                <w:rFonts w:ascii="Arial" w:cs="Arial" w:eastAsia="Arial" w:hAnsi="Arial"/>
                <w:sz w:val="17"/>
                <w:szCs w:val="17"/>
                <w:b w:val="1"/>
                <w:bCs w:val="1"/>
                <w:color w:val="auto"/>
              </w:rPr>
              <w:t>77477</w:t>
            </w:r>
          </w:p>
        </w:tc>
      </w:tr>
      <w:tr>
        <w:trPr>
          <w:trHeight w:val="225"/>
        </w:trPr>
        <w:tc>
          <w:tcPr>
            <w:tcW w:w="56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(Address of principal executive office)</w:t>
            </w:r>
          </w:p>
        </w:tc>
        <w:tc>
          <w:tcPr>
            <w:tcW w:w="5580" w:type="dxa"/>
            <w:vAlign w:val="bottom"/>
          </w:tcPr>
          <w:p>
            <w:pPr>
              <w:jc w:val="center"/>
              <w:spacing w:after="0"/>
              <w:rPr>
                <w:sz w:val="20"/>
                <w:szCs w:val="20"/>
                <w:color w:val="auto"/>
              </w:rPr>
            </w:pPr>
            <w:r>
              <w:rPr>
                <w:rFonts w:ascii="Arial" w:cs="Arial" w:eastAsia="Arial" w:hAnsi="Arial"/>
                <w:sz w:val="17"/>
                <w:szCs w:val="17"/>
                <w:b w:val="1"/>
                <w:bCs w:val="1"/>
                <w:color w:val="auto"/>
                <w:w w:val="92"/>
              </w:rPr>
              <w:t>(Zip Code)</w:t>
            </w:r>
          </w:p>
        </w:tc>
      </w:tr>
    </w:tbl>
    <w:p>
      <w:pPr>
        <w:spacing w:after="0" w:line="28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(281) 491-9505</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5"/>
              </w:rPr>
              <w:t>Title of each class</w:t>
            </w:r>
          </w:p>
        </w:tc>
        <w:tc>
          <w:tcPr>
            <w:tcW w:w="100" w:type="dxa"/>
            <w:vAlign w:val="bottom"/>
            <w:tcBorders>
              <w:bottom w:val="single" w:sz="8" w:color="CCEEFF"/>
            </w:tcBorders>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Trading Symbol(s)</w:t>
            </w:r>
          </w:p>
        </w:tc>
        <w:tc>
          <w:tcPr>
            <w:tcW w:w="80" w:type="dxa"/>
            <w:vAlign w:val="bottom"/>
            <w:tcBorders>
              <w:bottom w:val="single" w:sz="8" w:color="CCEEFF"/>
            </w:tcBorders>
          </w:tcPr>
          <w:p>
            <w:pPr>
              <w:spacing w:after="0"/>
              <w:rPr>
                <w:sz w:val="19"/>
                <w:szCs w:val="19"/>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Name of each exchange on which registered</w:t>
            </w:r>
          </w:p>
        </w:tc>
      </w:tr>
      <w:tr>
        <w:trPr>
          <w:trHeight w:val="237"/>
        </w:trPr>
        <w:tc>
          <w:tcPr>
            <w:tcW w:w="41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8"/>
              </w:rPr>
              <w:t>Common stock, par value $0.0001 per share</w:t>
            </w:r>
          </w:p>
        </w:tc>
        <w:tc>
          <w:tcPr>
            <w:tcW w:w="30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MVST</w:t>
            </w:r>
          </w:p>
        </w:tc>
        <w:tc>
          <w:tcPr>
            <w:tcW w:w="4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The Nasdaq Stock Market LLC</w:t>
            </w:r>
          </w:p>
        </w:tc>
      </w:tr>
      <w:tr>
        <w:trPr>
          <w:trHeight w:val="201"/>
        </w:trPr>
        <w:tc>
          <w:tcPr>
            <w:tcW w:w="416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Redeemable warrants, exercisable for shares of common</w:t>
            </w: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Pr>
          <w:p>
            <w:pPr>
              <w:spacing w:after="0"/>
              <w:rPr>
                <w:sz w:val="17"/>
                <w:szCs w:val="17"/>
                <w:color w:val="auto"/>
              </w:rPr>
            </w:pPr>
          </w:p>
        </w:tc>
      </w:tr>
      <w:tr>
        <w:trPr>
          <w:trHeight w:val="213"/>
        </w:trPr>
        <w:tc>
          <w:tcPr>
            <w:tcW w:w="416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stock at an exercise price of $11.50 per share</w:t>
            </w:r>
          </w:p>
        </w:tc>
        <w:tc>
          <w:tcPr>
            <w:tcW w:w="300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MVSTW</w:t>
            </w:r>
          </w:p>
        </w:tc>
        <w:tc>
          <w:tcPr>
            <w:tcW w:w="4080" w:type="dxa"/>
            <w:vAlign w:val="bottom"/>
          </w:tcPr>
          <w:p>
            <w:pPr>
              <w:jc w:val="center"/>
              <w:spacing w:after="0"/>
              <w:rPr>
                <w:sz w:val="20"/>
                <w:szCs w:val="20"/>
                <w:color w:val="auto"/>
              </w:rPr>
            </w:pPr>
            <w:r>
              <w:rPr>
                <w:rFonts w:ascii="Arial" w:cs="Arial" w:eastAsia="Arial" w:hAnsi="Arial"/>
                <w:sz w:val="17"/>
                <w:szCs w:val="17"/>
                <w:color w:val="auto"/>
                <w:w w:val="90"/>
              </w:rPr>
              <w:t>The Nasdaq Stock Market LLC</w:t>
            </w:r>
          </w:p>
        </w:tc>
      </w:tr>
    </w:tbl>
    <w:p>
      <w:pPr>
        <w:spacing w:after="0" w:line="28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22" w:lineRule="exact"/>
        <w:rPr>
          <w:sz w:val="24"/>
          <w:szCs w:val="24"/>
          <w:color w:val="auto"/>
        </w:rPr>
      </w:pPr>
    </w:p>
    <w:p>
      <w:pPr>
        <w:ind w:left="3440"/>
        <w:spacing w:after="0"/>
        <w:rPr>
          <w:sz w:val="20"/>
          <w:szCs w:val="20"/>
          <w:color w:val="auto"/>
        </w:rPr>
      </w:pPr>
      <w:r>
        <w:rPr>
          <w:rFonts w:ascii="Arial" w:cs="Arial" w:eastAsia="Arial" w:hAnsi="Arial"/>
          <w:sz w:val="17"/>
          <w:szCs w:val="17"/>
          <w:color w:val="auto"/>
        </w:rPr>
        <w:t>____________________________________________________</w:t>
      </w:r>
    </w:p>
    <w:p>
      <w:pPr>
        <w:spacing w:after="0" w:line="194" w:lineRule="exact"/>
        <w:rPr>
          <w:sz w:val="24"/>
          <w:szCs w:val="24"/>
          <w:color w:val="auto"/>
        </w:rPr>
      </w:pPr>
    </w:p>
    <w:p>
      <w:pPr>
        <w:ind w:left="600"/>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o No x</w:t>
      </w:r>
    </w:p>
    <w:p>
      <w:pPr>
        <w:spacing w:after="0" w:line="206" w:lineRule="exact"/>
        <w:rPr>
          <w:sz w:val="24"/>
          <w:szCs w:val="24"/>
          <w:color w:val="auto"/>
        </w:rPr>
      </w:pPr>
    </w:p>
    <w:p>
      <w:pPr>
        <w:ind w:left="60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 Yes o No x</w:t>
      </w:r>
    </w:p>
    <w:p>
      <w:pPr>
        <w:spacing w:after="0" w:line="206" w:lineRule="exact"/>
        <w:rPr>
          <w:sz w:val="24"/>
          <w:szCs w:val="24"/>
          <w:color w:val="auto"/>
        </w:rPr>
      </w:pPr>
    </w:p>
    <w:p>
      <w:pPr>
        <w:ind w:right="80" w:firstLine="603"/>
        <w:spacing w:after="0" w:line="257"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5" w:lineRule="exact"/>
        <w:rPr>
          <w:sz w:val="24"/>
          <w:szCs w:val="24"/>
          <w:color w:val="auto"/>
        </w:rPr>
      </w:pPr>
    </w:p>
    <w:p>
      <w:pPr>
        <w:ind w:right="120" w:firstLine="603"/>
        <w:spacing w:after="0" w:line="33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1" w:lineRule="exact"/>
        <w:rPr>
          <w:sz w:val="24"/>
          <w:szCs w:val="24"/>
          <w:color w:val="auto"/>
        </w:rPr>
      </w:pPr>
    </w:p>
    <w:p>
      <w:pPr>
        <w:ind w:right="80" w:firstLine="603"/>
        <w:spacing w:after="0" w:line="25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6"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4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00" w:type="dxa"/>
            <w:vAlign w:val="bottom"/>
          </w:tcPr>
          <w:p>
            <w:pPr>
              <w:ind w:left="920"/>
              <w:spacing w:after="0"/>
              <w:rPr>
                <w:sz w:val="20"/>
                <w:szCs w:val="20"/>
                <w:color w:val="auto"/>
              </w:rPr>
            </w:pPr>
            <w:r>
              <w:rPr>
                <w:rFonts w:ascii="Arial" w:cs="Arial" w:eastAsia="Arial" w:hAnsi="Arial"/>
                <w:sz w:val="17"/>
                <w:szCs w:val="17"/>
                <w:color w:val="auto"/>
              </w:rPr>
              <w:t>o</w:t>
            </w:r>
          </w:p>
        </w:tc>
        <w:tc>
          <w:tcPr>
            <w:tcW w:w="4660" w:type="dxa"/>
            <w:vAlign w:val="bottom"/>
          </w:tcPr>
          <w:p>
            <w:pPr>
              <w:ind w:left="2080"/>
              <w:spacing w:after="0"/>
              <w:rPr>
                <w:sz w:val="20"/>
                <w:szCs w:val="20"/>
                <w:color w:val="auto"/>
              </w:rPr>
            </w:pPr>
            <w:r>
              <w:rPr>
                <w:rFonts w:ascii="Arial" w:cs="Arial" w:eastAsia="Arial" w:hAnsi="Arial"/>
                <w:sz w:val="17"/>
                <w:szCs w:val="17"/>
                <w:color w:val="auto"/>
              </w:rPr>
              <w:t>Accelerated filer</w:t>
            </w:r>
          </w:p>
        </w:tc>
        <w:tc>
          <w:tcPr>
            <w:tcW w:w="840" w:type="dxa"/>
            <w:vAlign w:val="bottom"/>
          </w:tcPr>
          <w:p>
            <w:pPr>
              <w:ind w:left="760"/>
              <w:spacing w:after="0"/>
              <w:rPr>
                <w:sz w:val="20"/>
                <w:szCs w:val="20"/>
                <w:color w:val="auto"/>
              </w:rPr>
            </w:pPr>
            <w:r>
              <w:rPr>
                <w:rFonts w:ascii="Arial" w:cs="Arial" w:eastAsia="Arial" w:hAnsi="Arial"/>
                <w:sz w:val="17"/>
                <w:szCs w:val="17"/>
                <w:color w:val="auto"/>
                <w:w w:val="70"/>
              </w:rPr>
              <w:t>x</w:t>
            </w:r>
          </w:p>
        </w:tc>
      </w:tr>
      <w:tr>
        <w:trPr>
          <w:trHeight w:val="239"/>
        </w:trPr>
        <w:tc>
          <w:tcPr>
            <w:tcW w:w="2440" w:type="dxa"/>
            <w:vAlign w:val="bottom"/>
          </w:tcPr>
          <w:p>
            <w:pPr>
              <w:spacing w:after="0"/>
              <w:rPr>
                <w:sz w:val="20"/>
                <w:szCs w:val="20"/>
                <w:color w:val="auto"/>
              </w:rPr>
            </w:pPr>
            <w:r>
              <w:rPr>
                <w:rFonts w:ascii="Arial" w:cs="Arial" w:eastAsia="Arial" w:hAnsi="Arial"/>
                <w:sz w:val="17"/>
                <w:szCs w:val="17"/>
                <w:color w:val="auto"/>
              </w:rPr>
              <w:t>Non-accelerated filer</w:t>
            </w:r>
          </w:p>
        </w:tc>
        <w:tc>
          <w:tcPr>
            <w:tcW w:w="3100" w:type="dxa"/>
            <w:vAlign w:val="bottom"/>
          </w:tcPr>
          <w:p>
            <w:pPr>
              <w:ind w:left="920"/>
              <w:spacing w:after="0"/>
              <w:rPr>
                <w:sz w:val="20"/>
                <w:szCs w:val="20"/>
                <w:color w:val="auto"/>
              </w:rPr>
            </w:pPr>
            <w:r>
              <w:rPr>
                <w:rFonts w:ascii="Arial" w:cs="Arial" w:eastAsia="Arial" w:hAnsi="Arial"/>
                <w:sz w:val="17"/>
                <w:szCs w:val="17"/>
                <w:color w:val="auto"/>
              </w:rPr>
              <w:t>o</w:t>
            </w:r>
          </w:p>
        </w:tc>
        <w:tc>
          <w:tcPr>
            <w:tcW w:w="4660" w:type="dxa"/>
            <w:vAlign w:val="bottom"/>
          </w:tcPr>
          <w:p>
            <w:pPr>
              <w:ind w:left="2080"/>
              <w:spacing w:after="0"/>
              <w:rPr>
                <w:sz w:val="20"/>
                <w:szCs w:val="20"/>
                <w:color w:val="auto"/>
              </w:rPr>
            </w:pPr>
            <w:r>
              <w:rPr>
                <w:rFonts w:ascii="Arial" w:cs="Arial" w:eastAsia="Arial" w:hAnsi="Arial"/>
                <w:sz w:val="17"/>
                <w:szCs w:val="17"/>
                <w:color w:val="auto"/>
              </w:rPr>
              <w:t>Smaller reporting company</w:t>
            </w:r>
          </w:p>
        </w:tc>
        <w:tc>
          <w:tcPr>
            <w:tcW w:w="840" w:type="dxa"/>
            <w:vAlign w:val="bottom"/>
          </w:tcPr>
          <w:p>
            <w:pPr>
              <w:ind w:left="760"/>
              <w:spacing w:after="0"/>
              <w:rPr>
                <w:sz w:val="20"/>
                <w:szCs w:val="20"/>
                <w:color w:val="auto"/>
              </w:rPr>
            </w:pPr>
            <w:r>
              <w:rPr>
                <w:rFonts w:ascii="Arial" w:cs="Arial" w:eastAsia="Arial" w:hAnsi="Arial"/>
                <w:sz w:val="15"/>
                <w:szCs w:val="15"/>
                <w:color w:val="auto"/>
                <w:w w:val="71"/>
              </w:rPr>
              <w:t>o</w:t>
            </w:r>
          </w:p>
        </w:tc>
      </w:tr>
      <w:tr>
        <w:trPr>
          <w:trHeight w:val="238"/>
        </w:trPr>
        <w:tc>
          <w:tcPr>
            <w:tcW w:w="24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660" w:type="dxa"/>
            <w:vAlign w:val="bottom"/>
          </w:tcPr>
          <w:p>
            <w:pPr>
              <w:ind w:left="2080"/>
              <w:spacing w:after="0"/>
              <w:rPr>
                <w:sz w:val="20"/>
                <w:szCs w:val="20"/>
                <w:color w:val="auto"/>
              </w:rPr>
            </w:pPr>
            <w:r>
              <w:rPr>
                <w:rFonts w:ascii="Arial" w:cs="Arial" w:eastAsia="Arial" w:hAnsi="Arial"/>
                <w:sz w:val="17"/>
                <w:szCs w:val="17"/>
                <w:color w:val="auto"/>
              </w:rPr>
              <w:t>Emerging growth company</w:t>
            </w:r>
          </w:p>
        </w:tc>
        <w:tc>
          <w:tcPr>
            <w:tcW w:w="840" w:type="dxa"/>
            <w:vAlign w:val="bottom"/>
          </w:tcPr>
          <w:p>
            <w:pPr>
              <w:ind w:left="760"/>
              <w:spacing w:after="0"/>
              <w:rPr>
                <w:sz w:val="20"/>
                <w:szCs w:val="20"/>
                <w:color w:val="auto"/>
              </w:rPr>
            </w:pPr>
            <w:r>
              <w:rPr>
                <w:rFonts w:ascii="Arial" w:cs="Arial" w:eastAsia="Arial" w:hAnsi="Arial"/>
                <w:sz w:val="17"/>
                <w:szCs w:val="17"/>
                <w:color w:val="auto"/>
                <w:w w:val="70"/>
              </w:rPr>
              <w:t>x</w:t>
            </w:r>
          </w:p>
        </w:tc>
      </w:tr>
    </w:tbl>
    <w:p>
      <w:pPr>
        <w:spacing w:after="0" w:line="276" w:lineRule="exact"/>
        <w:rPr>
          <w:sz w:val="24"/>
          <w:szCs w:val="24"/>
          <w:color w:val="auto"/>
        </w:rPr>
      </w:pPr>
    </w:p>
    <w:p>
      <w:pPr>
        <w:jc w:val="both"/>
        <w:ind w:right="160" w:firstLine="603"/>
        <w:spacing w:after="0" w:line="268"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6" w:lineRule="exact"/>
        <w:rPr>
          <w:sz w:val="24"/>
          <w:szCs w:val="24"/>
          <w:color w:val="auto"/>
        </w:rPr>
      </w:pPr>
    </w:p>
    <w:p>
      <w:pPr>
        <w:ind w:right="140" w:firstLine="603"/>
        <w:spacing w:after="0" w:line="335"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ectPr>
          <w:pgSz w:w="11900" w:h="16838" w:orient="portrait"/>
          <w:cols w:equalWidth="0" w:num="1">
            <w:col w:w="11240"/>
          </w:cols>
          <w:pgMar w:left="320" w:top="223" w:right="339" w:bottom="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t>report. o</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w:t>
      </w:r>
    </w:p>
    <w:p>
      <w:pPr>
        <w:spacing w:after="0" w:line="206" w:lineRule="exact"/>
        <w:rPr>
          <w:sz w:val="20"/>
          <w:szCs w:val="20"/>
          <w:color w:val="auto"/>
        </w:rPr>
      </w:pPr>
    </w:p>
    <w:p>
      <w:pPr>
        <w:ind w:right="2800" w:firstLine="603"/>
        <w:spacing w:after="0" w:line="335" w:lineRule="auto"/>
        <w:rPr>
          <w:sz w:val="20"/>
          <w:szCs w:val="20"/>
          <w:color w:val="auto"/>
        </w:rPr>
      </w:pPr>
      <w:r>
        <w:rPr>
          <w:rFonts w:ascii="Arial" w:cs="Arial" w:eastAsia="Arial" w:hAnsi="Arial"/>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108" w:lineRule="exact"/>
        <w:rPr>
          <w:sz w:val="20"/>
          <w:szCs w:val="20"/>
          <w:color w:val="auto"/>
        </w:rPr>
      </w:pPr>
    </w:p>
    <w:p>
      <w:pPr>
        <w:ind w:firstLine="603"/>
        <w:spacing w:after="0" w:line="254" w:lineRule="auto"/>
        <w:rPr>
          <w:sz w:val="20"/>
          <w:szCs w:val="20"/>
          <w:color w:val="auto"/>
        </w:rPr>
      </w:pPr>
      <w:r>
        <w:rPr>
          <w:rFonts w:ascii="Arial" w:cs="Arial" w:eastAsia="Arial" w:hAnsi="Arial"/>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ind w:right="260" w:firstLine="603"/>
        <w:spacing w:after="0" w:line="253" w:lineRule="auto"/>
        <w:rPr>
          <w:sz w:val="20"/>
          <w:szCs w:val="20"/>
          <w:color w:val="auto"/>
        </w:rPr>
      </w:pPr>
      <w:r>
        <w:rPr>
          <w:rFonts w:ascii="Arial" w:cs="Arial" w:eastAsia="Arial" w:hAnsi="Arial"/>
          <w:sz w:val="17"/>
          <w:szCs w:val="17"/>
          <w:color w:val="auto"/>
        </w:rPr>
        <w:t>The aggregate market value of the common voting stock held by non-affiliates of the registrant as of the last business day of the registrant’s most recently completed fiscal quarter, June 30, 2022, based on the closing price on that date of $2.22, was $467.9 million.</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March 10, 2023, the registrant had 309,408,528 shares of the Company’s common stock, par value $0.0001,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788035</wp:posOffset>
            </wp:positionV>
            <wp:extent cx="716724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7245"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71418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8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194945</wp:posOffset>
            </wp:positionV>
            <wp:extent cx="71418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845" cy="8255"/>
                    </a:xfrm>
                    <a:prstGeom prst="rect">
                      <a:avLst/>
                    </a:prstGeom>
                    <a:noFill/>
                  </pic:spPr>
                </pic:pic>
              </a:graphicData>
            </a:graphic>
          </wp:anchor>
        </w:drawing>
      </w:r>
    </w:p>
    <w:p>
      <w:pPr>
        <w:sectPr>
          <w:pgSz w:w="11900" w:h="16838" w:orient="portrait"/>
          <w:cols w:equalWidth="0" w:num="1">
            <w:col w:w="11160"/>
          </w:cols>
          <w:pgMar w:left="320" w:top="127" w:right="41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320" w:type="dxa"/>
            <w:vAlign w:val="bottom"/>
            <w:gridSpan w:val="8"/>
          </w:tcPr>
          <w:p>
            <w:pPr>
              <w:ind w:left="600"/>
              <w:spacing w:after="0"/>
              <w:rPr>
                <w:sz w:val="20"/>
                <w:szCs w:val="20"/>
                <w:color w:val="auto"/>
              </w:rPr>
            </w:pPr>
            <w:r>
              <w:rPr>
                <w:rFonts w:ascii="Arial" w:cs="Arial" w:eastAsia="Arial" w:hAnsi="Arial"/>
                <w:sz w:val="17"/>
                <w:szCs w:val="17"/>
                <w:b w:val="1"/>
                <w:bCs w:val="1"/>
                <w:color w:val="auto"/>
              </w:rPr>
              <w:t>TABLE OF CONTENTS</w:t>
            </w:r>
          </w:p>
        </w:tc>
        <w:tc>
          <w:tcPr>
            <w:tcW w:w="800" w:type="dxa"/>
            <w:vAlign w:val="bottom"/>
          </w:tcPr>
          <w:p>
            <w:pPr>
              <w:spacing w:after="0"/>
              <w:rPr>
                <w:sz w:val="18"/>
                <w:szCs w:val="18"/>
                <w:color w:val="auto"/>
              </w:rPr>
            </w:pPr>
          </w:p>
        </w:tc>
      </w:tr>
      <w:tr>
        <w:trPr>
          <w:trHeight w:val="458"/>
        </w:trPr>
        <w:tc>
          <w:tcPr>
            <w:tcW w:w="8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38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3"/>
              </w:rPr>
              <w:t>Page</w:t>
            </w:r>
          </w:p>
        </w:tc>
      </w:tr>
      <w:tr>
        <w:trPr>
          <w:trHeight w:val="205"/>
        </w:trPr>
        <w:tc>
          <w:tcPr>
            <w:tcW w:w="820" w:type="dxa"/>
            <w:vAlign w:val="bottom"/>
            <w:shd w:val="clear" w:color="auto" w:fill="CCEEFF"/>
          </w:tcPr>
          <w:p>
            <w:pPr>
              <w:spacing w:after="0"/>
              <w:rPr>
                <w:sz w:val="17"/>
                <w:szCs w:val="17"/>
                <w:color w:val="auto"/>
              </w:rPr>
            </w:pPr>
          </w:p>
        </w:tc>
        <w:tc>
          <w:tcPr>
            <w:tcW w:w="9620" w:type="dxa"/>
            <w:vAlign w:val="bottom"/>
            <w:gridSpan w:val="26"/>
            <w:shd w:val="clear" w:color="auto" w:fill="CCEEFF"/>
          </w:tcPr>
          <w:p>
            <w:pPr>
              <w:ind w:left="220"/>
              <w:spacing w:after="0" w:line="175" w:lineRule="exact"/>
              <w:rPr>
                <w:sz w:val="20"/>
                <w:szCs w:val="20"/>
                <w:color w:val="auto"/>
              </w:rPr>
            </w:pPr>
            <w:r>
              <w:rPr>
                <w:rFonts w:ascii="Arial" w:cs="Arial" w:eastAsia="Arial" w:hAnsi="Arial"/>
                <w:sz w:val="17"/>
                <w:szCs w:val="17"/>
                <w:color w:val="0000FF"/>
              </w:rPr>
              <w:t>PART I</w:t>
            </w:r>
          </w:p>
        </w:tc>
        <w:tc>
          <w:tcPr>
            <w:tcW w:w="800" w:type="dxa"/>
            <w:vAlign w:val="bottom"/>
            <w:shd w:val="clear" w:color="auto" w:fill="CCEEFF"/>
          </w:tcPr>
          <w:p>
            <w:pPr>
              <w:spacing w:after="0"/>
              <w:rPr>
                <w:sz w:val="17"/>
                <w:szCs w:val="17"/>
                <w:color w:val="auto"/>
              </w:rPr>
            </w:pPr>
          </w:p>
        </w:tc>
      </w:tr>
      <w:tr>
        <w:trPr>
          <w:trHeight w:val="289"/>
        </w:trPr>
        <w:tc>
          <w:tcPr>
            <w:tcW w:w="8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38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r>
      <w:tr>
        <w:trPr>
          <w:trHeight w:val="188"/>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Item 1.</w:t>
            </w:r>
          </w:p>
        </w:tc>
        <w:tc>
          <w:tcPr>
            <w:tcW w:w="9620" w:type="dxa"/>
            <w:vAlign w:val="bottom"/>
            <w:gridSpan w:val="26"/>
            <w:shd w:val="clear" w:color="auto" w:fill="CCEEFF"/>
          </w:tcPr>
          <w:p>
            <w:pPr>
              <w:ind w:left="220"/>
              <w:spacing w:after="0" w:line="189" w:lineRule="exact"/>
              <w:rPr>
                <w:sz w:val="20"/>
                <w:szCs w:val="20"/>
                <w:color w:val="auto"/>
              </w:rPr>
            </w:pPr>
            <w:r>
              <w:rPr>
                <w:rFonts w:ascii="Arial" w:cs="Arial" w:eastAsia="Arial" w:hAnsi="Arial"/>
                <w:sz w:val="17"/>
                <w:szCs w:val="17"/>
                <w:color w:val="0000FF"/>
              </w:rPr>
              <w:t>Business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1</w:t>
            </w:r>
          </w:p>
        </w:tc>
      </w:tr>
      <w:tr>
        <w:trPr>
          <w:trHeight w:val="30"/>
        </w:trPr>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1A.</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Risk Factors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13</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Item 1B.</w:t>
            </w:r>
          </w:p>
        </w:tc>
        <w:tc>
          <w:tcPr>
            <w:tcW w:w="9620" w:type="dxa"/>
            <w:vAlign w:val="bottom"/>
            <w:gridSpan w:val="26"/>
            <w:shd w:val="clear" w:color="auto" w:fill="CCEEFF"/>
          </w:tcPr>
          <w:p>
            <w:pPr>
              <w:ind w:left="220"/>
              <w:spacing w:after="0" w:line="189" w:lineRule="exact"/>
              <w:rPr>
                <w:sz w:val="20"/>
                <w:szCs w:val="20"/>
                <w:color w:val="auto"/>
              </w:rPr>
            </w:pPr>
            <w:r>
              <w:rPr>
                <w:rFonts w:ascii="Arial" w:cs="Arial" w:eastAsia="Arial" w:hAnsi="Arial"/>
                <w:sz w:val="17"/>
                <w:szCs w:val="17"/>
                <w:color w:val="0000FF"/>
              </w:rPr>
              <w:t>Unresolved Staff Comments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49</w:t>
            </w:r>
          </w:p>
        </w:tc>
      </w:tr>
      <w:tr>
        <w:trPr>
          <w:trHeight w:val="30"/>
        </w:trPr>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2.</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Properties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50</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Item 3.</w:t>
            </w:r>
          </w:p>
        </w:tc>
        <w:tc>
          <w:tcPr>
            <w:tcW w:w="9620" w:type="dxa"/>
            <w:vAlign w:val="bottom"/>
            <w:gridSpan w:val="26"/>
            <w:shd w:val="clear" w:color="auto" w:fill="CCEEFF"/>
          </w:tcPr>
          <w:p>
            <w:pPr>
              <w:ind w:left="220"/>
              <w:spacing w:after="0" w:line="189" w:lineRule="exact"/>
              <w:rPr>
                <w:sz w:val="20"/>
                <w:szCs w:val="20"/>
                <w:color w:val="auto"/>
              </w:rPr>
            </w:pPr>
            <w:r>
              <w:rPr>
                <w:rFonts w:ascii="Arial" w:cs="Arial" w:eastAsia="Arial" w:hAnsi="Arial"/>
                <w:sz w:val="17"/>
                <w:szCs w:val="17"/>
                <w:color w:val="0000FF"/>
              </w:rPr>
              <w:t>Legal Proceedings</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51</w:t>
            </w:r>
          </w:p>
        </w:tc>
      </w:tr>
      <w:tr>
        <w:trPr>
          <w:trHeight w:val="30"/>
        </w:trPr>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4.</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Mine Safety Disclosures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51</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9"/>
        </w:trPr>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PART II</w:t>
            </w:r>
          </w:p>
        </w:tc>
        <w:tc>
          <w:tcPr>
            <w:tcW w:w="800" w:type="dxa"/>
            <w:vAlign w:val="bottom"/>
          </w:tcPr>
          <w:p>
            <w:pPr>
              <w:spacing w:after="0"/>
              <w:rPr>
                <w:sz w:val="16"/>
                <w:szCs w:val="16"/>
                <w:color w:val="auto"/>
              </w:rPr>
            </w:pP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9"/>
        </w:trPr>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5.</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Market for the Registrant’s Common Equity and Related Matters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52</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Item 6.</w:t>
            </w:r>
          </w:p>
        </w:tc>
        <w:tc>
          <w:tcPr>
            <w:tcW w:w="9620" w:type="dxa"/>
            <w:vAlign w:val="bottom"/>
            <w:gridSpan w:val="26"/>
            <w:shd w:val="clear" w:color="auto" w:fill="CCEEFF"/>
          </w:tcPr>
          <w:p>
            <w:pPr>
              <w:ind w:left="220"/>
              <w:spacing w:after="0" w:line="189" w:lineRule="exact"/>
              <w:rPr>
                <w:sz w:val="20"/>
                <w:szCs w:val="20"/>
                <w:color w:val="auto"/>
              </w:rPr>
            </w:pPr>
            <w:r>
              <w:rPr>
                <w:rFonts w:ascii="Arial" w:cs="Arial" w:eastAsia="Arial" w:hAnsi="Arial"/>
                <w:sz w:val="17"/>
                <w:szCs w:val="17"/>
                <w:color w:val="0000FF"/>
              </w:rPr>
              <w:t>[Reserved]</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53</w:t>
            </w:r>
          </w:p>
        </w:tc>
      </w:tr>
      <w:tr>
        <w:trPr>
          <w:trHeight w:val="30"/>
        </w:trPr>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7.</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53</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Item 7A.</w:t>
            </w:r>
          </w:p>
        </w:tc>
        <w:tc>
          <w:tcPr>
            <w:tcW w:w="9620" w:type="dxa"/>
            <w:vAlign w:val="bottom"/>
            <w:gridSpan w:val="26"/>
            <w:shd w:val="clear" w:color="auto" w:fill="CCEEFF"/>
          </w:tcPr>
          <w:p>
            <w:pPr>
              <w:ind w:left="220"/>
              <w:spacing w:after="0" w:line="189" w:lineRule="exact"/>
              <w:rPr>
                <w:sz w:val="20"/>
                <w:szCs w:val="20"/>
                <w:color w:val="auto"/>
              </w:rPr>
            </w:pPr>
            <w:r>
              <w:rPr>
                <w:rFonts w:ascii="Arial" w:cs="Arial" w:eastAsia="Arial" w:hAnsi="Arial"/>
                <w:sz w:val="17"/>
                <w:szCs w:val="17"/>
                <w:color w:val="0000FF"/>
              </w:rPr>
              <w:t>Quantitative and Qualitative Disclosures about Market Risk</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65</w:t>
            </w:r>
          </w:p>
        </w:tc>
      </w:tr>
      <w:tr>
        <w:trPr>
          <w:trHeight w:val="30"/>
        </w:trPr>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8.</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Financial Statements and Supplementary Data</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93"/>
              </w:rPr>
              <w:t>F-1</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Item 9.</w:t>
            </w:r>
          </w:p>
        </w:tc>
        <w:tc>
          <w:tcPr>
            <w:tcW w:w="9620" w:type="dxa"/>
            <w:vAlign w:val="bottom"/>
            <w:gridSpan w:val="26"/>
            <w:shd w:val="clear" w:color="auto" w:fill="CCEEFF"/>
          </w:tcPr>
          <w:p>
            <w:pPr>
              <w:ind w:left="220"/>
              <w:spacing w:after="0" w:line="189" w:lineRule="exact"/>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76</w:t>
            </w:r>
          </w:p>
        </w:tc>
      </w:tr>
      <w:tr>
        <w:trPr>
          <w:trHeight w:val="30"/>
        </w:trPr>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9A.</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Controls and Procedures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76</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Item 9B.</w:t>
            </w:r>
          </w:p>
        </w:tc>
        <w:tc>
          <w:tcPr>
            <w:tcW w:w="9620" w:type="dxa"/>
            <w:vAlign w:val="bottom"/>
            <w:gridSpan w:val="26"/>
            <w:shd w:val="clear" w:color="auto" w:fill="CCEEFF"/>
          </w:tcPr>
          <w:p>
            <w:pPr>
              <w:ind w:left="220"/>
              <w:spacing w:after="0" w:line="189" w:lineRule="exact"/>
              <w:rPr>
                <w:sz w:val="20"/>
                <w:szCs w:val="20"/>
                <w:color w:val="auto"/>
              </w:rPr>
            </w:pPr>
            <w:r>
              <w:rPr>
                <w:rFonts w:ascii="Arial" w:cs="Arial" w:eastAsia="Arial" w:hAnsi="Arial"/>
                <w:sz w:val="17"/>
                <w:szCs w:val="17"/>
                <w:color w:val="0000FF"/>
              </w:rPr>
              <w:t>Other Information</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77</w:t>
            </w:r>
          </w:p>
        </w:tc>
      </w:tr>
      <w:tr>
        <w:trPr>
          <w:trHeight w:val="30"/>
        </w:trPr>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9C.</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Disclosure Regarding Foreign Jurisdictions that Prevent Inspections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77</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9"/>
        </w:trPr>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PART III</w:t>
            </w:r>
          </w:p>
        </w:tc>
        <w:tc>
          <w:tcPr>
            <w:tcW w:w="800" w:type="dxa"/>
            <w:vAlign w:val="bottom"/>
          </w:tcPr>
          <w:p>
            <w:pPr>
              <w:spacing w:after="0"/>
              <w:rPr>
                <w:sz w:val="16"/>
                <w:szCs w:val="16"/>
                <w:color w:val="auto"/>
              </w:rPr>
            </w:pP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9"/>
        </w:trPr>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10.</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Directors, Executive Officers and Corporate Governance</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78</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Item 11.</w:t>
            </w:r>
          </w:p>
        </w:tc>
        <w:tc>
          <w:tcPr>
            <w:tcW w:w="9620" w:type="dxa"/>
            <w:vAlign w:val="bottom"/>
            <w:gridSpan w:val="26"/>
            <w:shd w:val="clear" w:color="auto" w:fill="CCEEFF"/>
          </w:tcPr>
          <w:p>
            <w:pPr>
              <w:ind w:left="220"/>
              <w:spacing w:after="0" w:line="189" w:lineRule="exact"/>
              <w:rPr>
                <w:sz w:val="20"/>
                <w:szCs w:val="20"/>
                <w:color w:val="auto"/>
              </w:rPr>
            </w:pPr>
            <w:r>
              <w:rPr>
                <w:rFonts w:ascii="Arial" w:cs="Arial" w:eastAsia="Arial" w:hAnsi="Arial"/>
                <w:sz w:val="17"/>
                <w:szCs w:val="17"/>
                <w:color w:val="0000FF"/>
              </w:rPr>
              <w:t>Executive Compensation</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83</w:t>
            </w:r>
          </w:p>
        </w:tc>
      </w:tr>
      <w:tr>
        <w:trPr>
          <w:trHeight w:val="30"/>
        </w:trPr>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12.</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Security Ownership of Certain Beneficial Owners and Management</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90</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Item 13.</w:t>
            </w:r>
          </w:p>
        </w:tc>
        <w:tc>
          <w:tcPr>
            <w:tcW w:w="9620" w:type="dxa"/>
            <w:vAlign w:val="bottom"/>
            <w:gridSpan w:val="26"/>
            <w:shd w:val="clear" w:color="auto" w:fill="CCEEFF"/>
          </w:tcPr>
          <w:p>
            <w:pPr>
              <w:ind w:left="220"/>
              <w:spacing w:after="0" w:line="189" w:lineRule="exact"/>
              <w:rPr>
                <w:sz w:val="20"/>
                <w:szCs w:val="20"/>
                <w:color w:val="auto"/>
              </w:rPr>
            </w:pPr>
            <w:r>
              <w:rPr>
                <w:rFonts w:ascii="Arial" w:cs="Arial" w:eastAsia="Arial" w:hAnsi="Arial"/>
                <w:sz w:val="17"/>
                <w:szCs w:val="17"/>
                <w:color w:val="0000FF"/>
              </w:rPr>
              <w:t>Certain Relationships and Related Transactions, and Director Independence</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91</w:t>
            </w:r>
          </w:p>
        </w:tc>
      </w:tr>
      <w:tr>
        <w:trPr>
          <w:trHeight w:val="30"/>
        </w:trPr>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14.</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Principal Accountant Fees and Services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94</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9"/>
        </w:trPr>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PART IV</w:t>
            </w:r>
          </w:p>
        </w:tc>
        <w:tc>
          <w:tcPr>
            <w:tcW w:w="800" w:type="dxa"/>
            <w:vAlign w:val="bottom"/>
          </w:tcPr>
          <w:p>
            <w:pPr>
              <w:spacing w:after="0"/>
              <w:rPr>
                <w:sz w:val="16"/>
                <w:szCs w:val="16"/>
                <w:color w:val="auto"/>
              </w:rPr>
            </w:pP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9"/>
        </w:trPr>
        <w:tc>
          <w:tcPr>
            <w:tcW w:w="8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188"/>
        </w:trPr>
        <w:tc>
          <w:tcPr>
            <w:tcW w:w="820" w:type="dxa"/>
            <w:vAlign w:val="bottom"/>
          </w:tcPr>
          <w:p>
            <w:pPr>
              <w:ind w:left="20"/>
              <w:spacing w:after="0" w:line="189" w:lineRule="exact"/>
              <w:rPr>
                <w:sz w:val="20"/>
                <w:szCs w:val="20"/>
                <w:color w:val="auto"/>
              </w:rPr>
            </w:pPr>
            <w:r>
              <w:rPr>
                <w:rFonts w:ascii="Arial" w:cs="Arial" w:eastAsia="Arial" w:hAnsi="Arial"/>
                <w:sz w:val="17"/>
                <w:szCs w:val="17"/>
                <w:color w:val="auto"/>
              </w:rPr>
              <w:t>Item 15.</w:t>
            </w:r>
          </w:p>
        </w:tc>
        <w:tc>
          <w:tcPr>
            <w:tcW w:w="9620" w:type="dxa"/>
            <w:vAlign w:val="bottom"/>
            <w:gridSpan w:val="26"/>
          </w:tcPr>
          <w:p>
            <w:pPr>
              <w:ind w:left="220"/>
              <w:spacing w:after="0" w:line="189" w:lineRule="exact"/>
              <w:rPr>
                <w:sz w:val="20"/>
                <w:szCs w:val="20"/>
                <w:color w:val="auto"/>
              </w:rPr>
            </w:pPr>
            <w:r>
              <w:rPr>
                <w:rFonts w:ascii="Arial" w:cs="Arial" w:eastAsia="Arial" w:hAnsi="Arial"/>
                <w:sz w:val="17"/>
                <w:szCs w:val="17"/>
                <w:color w:val="0000FF"/>
              </w:rPr>
              <w:t>Exhibits and Financial Statement Schedules</w:t>
            </w:r>
          </w:p>
        </w:tc>
        <w:tc>
          <w:tcPr>
            <w:tcW w:w="800" w:type="dxa"/>
            <w:vAlign w:val="bottom"/>
          </w:tcPr>
          <w:p>
            <w:pPr>
              <w:jc w:val="center"/>
              <w:spacing w:after="0" w:line="189" w:lineRule="exact"/>
              <w:rPr>
                <w:sz w:val="20"/>
                <w:szCs w:val="20"/>
                <w:color w:val="auto"/>
              </w:rPr>
            </w:pPr>
            <w:r>
              <w:rPr>
                <w:rFonts w:ascii="Arial" w:cs="Arial" w:eastAsia="Arial" w:hAnsi="Arial"/>
                <w:sz w:val="17"/>
                <w:szCs w:val="17"/>
                <w:color w:val="auto"/>
                <w:w w:val="84"/>
              </w:rPr>
              <w:t>95</w:t>
            </w:r>
          </w:p>
        </w:tc>
      </w:tr>
      <w:tr>
        <w:trPr>
          <w:trHeight w:val="30"/>
        </w:trPr>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8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Item 16.</w:t>
            </w:r>
          </w:p>
        </w:tc>
        <w:tc>
          <w:tcPr>
            <w:tcW w:w="9620" w:type="dxa"/>
            <w:vAlign w:val="bottom"/>
            <w:gridSpan w:val="26"/>
            <w:shd w:val="clear" w:color="auto" w:fill="CCEEFF"/>
          </w:tcPr>
          <w:p>
            <w:pPr>
              <w:ind w:left="220"/>
              <w:spacing w:after="0" w:line="189" w:lineRule="exact"/>
              <w:rPr>
                <w:sz w:val="20"/>
                <w:szCs w:val="20"/>
                <w:color w:val="auto"/>
              </w:rPr>
            </w:pPr>
            <w:r>
              <w:rPr>
                <w:rFonts w:ascii="Arial" w:cs="Arial" w:eastAsia="Arial" w:hAnsi="Arial"/>
                <w:sz w:val="17"/>
                <w:szCs w:val="17"/>
                <w:color w:val="0000FF"/>
              </w:rPr>
              <w:t>Form 10-K Summary</w:t>
            </w:r>
          </w:p>
        </w:tc>
        <w:tc>
          <w:tcPr>
            <w:tcW w:w="8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97</w:t>
            </w:r>
          </w:p>
        </w:tc>
      </w:tr>
      <w:tr>
        <w:trPr>
          <w:trHeight w:val="30"/>
        </w:trPr>
        <w:tc>
          <w:tcPr>
            <w:tcW w:w="8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3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23" w:lineRule="exact"/>
        <w:rPr>
          <w:sz w:val="20"/>
          <w:szCs w:val="20"/>
          <w:color w:val="auto"/>
        </w:rPr>
      </w:pPr>
    </w:p>
    <w:p>
      <w:pPr>
        <w:ind w:firstLine="603"/>
        <w:spacing w:after="0" w:line="267" w:lineRule="auto"/>
        <w:rPr>
          <w:sz w:val="20"/>
          <w:szCs w:val="20"/>
          <w:color w:val="auto"/>
        </w:rPr>
      </w:pPr>
      <w:r>
        <w:rPr>
          <w:rFonts w:ascii="Arial" w:cs="Arial" w:eastAsia="Arial" w:hAnsi="Arial"/>
          <w:sz w:val="15"/>
          <w:szCs w:val="15"/>
          <w:color w:val="auto"/>
        </w:rPr>
        <w:t>This annual report on Form 10-K (the “Annual Report”) contains “forward-looking statements” within the meaning of the Private Securities Litigation Reform Act of 1995. Such statements include, but are not limited to, statements about future financial and operating results, our objectives, expectations and intentions with respect to future operations, products and services; and other statements identified by words such as “anticipate,” “believe,” “continue,” “could,” “estimate,” “expect,” “intend,” “may,” “might,” “objective,” “plan,” “project,” “predict,” “outlook” “should,” “will,” “would,” or the negative of these terms, or other comparable terminology intended to identify statements about the future. These forward-looking statements include, but are not limited to, statements regarding our industry and market sizes, and future opportunities for us. Such forward-looking statements are based upon the current beliefs and expectations of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72" w:lineRule="exact"/>
        <w:rPr>
          <w:sz w:val="20"/>
          <w:szCs w:val="20"/>
          <w:color w:val="auto"/>
        </w:rPr>
      </w:pPr>
    </w:p>
    <w:p>
      <w:pPr>
        <w:ind w:right="280" w:firstLine="603"/>
        <w:spacing w:after="0" w:line="268" w:lineRule="auto"/>
        <w:rPr>
          <w:sz w:val="20"/>
          <w:szCs w:val="20"/>
          <w:color w:val="auto"/>
        </w:rPr>
      </w:pPr>
      <w:r>
        <w:rPr>
          <w:rFonts w:ascii="Arial" w:cs="Arial" w:eastAsia="Arial" w:hAnsi="Arial"/>
          <w:sz w:val="17"/>
          <w:szCs w:val="17"/>
          <w:color w:val="auto"/>
        </w:rPr>
        <w:t>In addition to factors identified elsewhere in this Annual Report, the following factors, among others, could cause actual results and the timing of events to differ materially from the anticipated results or other expectations expressed in the forward-looking statements:</w:t>
      </w:r>
    </w:p>
    <w:p>
      <w:pPr>
        <w:spacing w:after="0" w:line="166" w:lineRule="exact"/>
        <w:rPr>
          <w:sz w:val="20"/>
          <w:szCs w:val="20"/>
          <w:color w:val="auto"/>
        </w:rPr>
      </w:pPr>
    </w:p>
    <w:p>
      <w:pPr>
        <w:ind w:left="900" w:right="160" w:hanging="297"/>
        <w:spacing w:after="0" w:line="268" w:lineRule="auto"/>
        <w:tabs>
          <w:tab w:leader="none" w:pos="896"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highly competitive market in which we compete, including with respect to our competitive landscape, technology evolution or regulatory changes;</w:t>
      </w:r>
    </w:p>
    <w:p>
      <w:pPr>
        <w:spacing w:after="0" w:line="165"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 that we may not be able to execute our growth strategies or achieve profitability;</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of operations in China;</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impact of inflation;</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availability and price of raw materials;</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markets that we target;</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heightened awareness of environmental issues and concern about global warming and climate change;</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 that we are unable to secure or protect our intellectual property;</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 that our customers or third-party suppliers are unable to meet their obligations fully or in a timely manner;</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 that our customers will adjust, cancel or suspend their orders for our products;</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 that we will need to raise additional capital to execute our business plan, which may not be available on acceptable terms or at all;</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 of product liability or regulatory lawsuits or proceedings relating to our products or services;</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economic, financial and other impacts of the coronavirus (“COVID-19”) pandemic, including global supply chain disruptions; and</w:t>
      </w:r>
    </w:p>
    <w:p>
      <w:pPr>
        <w:spacing w:after="0" w:line="206" w:lineRule="exact"/>
        <w:rPr>
          <w:rFonts w:ascii="Arial" w:cs="Arial" w:eastAsia="Arial" w:hAnsi="Arial"/>
          <w:sz w:val="17"/>
          <w:szCs w:val="17"/>
          <w:color w:val="auto"/>
        </w:rPr>
      </w:pPr>
    </w:p>
    <w:p>
      <w:pPr>
        <w:ind w:left="900" w:right="60" w:hanging="297"/>
        <w:spacing w:after="0" w:line="268" w:lineRule="auto"/>
        <w:tabs>
          <w:tab w:leader="none" w:pos="896"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conflict between Russia and Ukraine and any restrictive actions that have been or may be taken by the U.S. and/or other countries in response thereto, such as sanctions or export controls.</w:t>
      </w:r>
    </w:p>
    <w:p>
      <w:pPr>
        <w:spacing w:after="0" w:line="166" w:lineRule="exact"/>
        <w:rPr>
          <w:sz w:val="20"/>
          <w:szCs w:val="20"/>
          <w:color w:val="auto"/>
        </w:rPr>
      </w:pPr>
    </w:p>
    <w:p>
      <w:pPr>
        <w:ind w:right="140" w:firstLine="603"/>
        <w:spacing w:after="0" w:line="298" w:lineRule="auto"/>
        <w:rPr>
          <w:sz w:val="20"/>
          <w:szCs w:val="20"/>
          <w:color w:val="auto"/>
        </w:rPr>
      </w:pPr>
      <w:r>
        <w:rPr>
          <w:rFonts w:ascii="Arial" w:cs="Arial" w:eastAsia="Arial" w:hAnsi="Arial"/>
          <w:sz w:val="15"/>
          <w:szCs w:val="15"/>
          <w:color w:val="auto"/>
        </w:rPr>
        <w:t>Actual results, performance or achievements may differ materially, and potentially adversely, from any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forward-looking statements are based on estimates and assumptions that are inherently subject to various significant risks, uncertainties and other factors, many of which are beyond our control.</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603"/>
        <w:spacing w:after="0" w:line="338" w:lineRule="auto"/>
        <w:rPr>
          <w:sz w:val="20"/>
          <w:szCs w:val="20"/>
          <w:color w:val="auto"/>
        </w:rPr>
      </w:pPr>
      <w:r>
        <w:rPr>
          <w:rFonts w:ascii="Arial" w:cs="Arial" w:eastAsia="Arial" w:hAnsi="Arial"/>
          <w:sz w:val="14"/>
          <w:szCs w:val="14"/>
          <w:color w:val="auto"/>
        </w:rPr>
        <w:t>All information set forth herein speaks only as of the date hereof, and we disclaim any intention or obligation to update any forward-looking statements as a result of developments occurring after the date hereof except as may be required under applicable securities laws. Forecasts and estimates regarding our industry and end markets are based on sources we believe to be reliable, however, there can be no assurance these forecasts and estimates will prove accurate in whole or in part.</w:t>
      </w:r>
    </w:p>
    <w:p>
      <w:pPr>
        <w:spacing w:after="0" w:line="123" w:lineRule="exact"/>
        <w:rPr>
          <w:sz w:val="20"/>
          <w:szCs w:val="20"/>
          <w:color w:val="auto"/>
        </w:rPr>
      </w:pPr>
    </w:p>
    <w:p>
      <w:pPr>
        <w:ind w:right="300" w:firstLine="603"/>
        <w:spacing w:after="0" w:line="268" w:lineRule="auto"/>
        <w:rPr>
          <w:sz w:val="20"/>
          <w:szCs w:val="20"/>
          <w:color w:val="auto"/>
        </w:rPr>
      </w:pPr>
      <w:r>
        <w:rPr>
          <w:rFonts w:ascii="Arial" w:cs="Arial" w:eastAsia="Arial" w:hAnsi="Arial"/>
          <w:sz w:val="17"/>
          <w:szCs w:val="17"/>
          <w:i w:val="1"/>
          <w:iCs w:val="1"/>
          <w:color w:val="auto"/>
        </w:rPr>
        <w:t>All references to the “Company,” “we,” “us” or “our” refer to Microvast Holdings, Inc. and its consolidated subsidiaries other than certain historical information which refers to the business of Microvast prior to the consummation of the Business Combination.</w:t>
      </w: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040"/>
          </w:cols>
          <w:pgMar w:left="320" w:top="123" w:right="5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GLOSSARY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Industry Specific Defined Terms</w:t>
      </w:r>
    </w:p>
    <w:p>
      <w:pPr>
        <w:spacing w:after="0" w:line="244" w:lineRule="exact"/>
        <w:rPr>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“°C” refers to degrees measured in Celsius;</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“BMS” refers to the battery management system;</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“ESS” refers to utility-scale energy storage systems;</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“FCG” refers to the full concentration gradient;</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“GHG” refers to greenhouse gas;</w:t>
      </w:r>
    </w:p>
    <w:p>
      <w:pPr>
        <w:spacing w:after="0" w:line="209"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“GWh” refers to gigawatt hours;</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“kWh” refers to kilowatt-hour;</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“LFP” refers to lithium iron phosphate;</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“LTO” refers to lithium titanate oxide;</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“MWh” refers to megawatt hours;</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“NMC-1” refers to nickel manganese cobalt version 1;</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“NMC-2” refers to nickel manganese cobalt version 2; and</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3"/>
        </w:numPr>
        <w:rPr>
          <w:rFonts w:ascii="Arial" w:cs="Arial" w:eastAsia="Arial" w:hAnsi="Arial"/>
          <w:sz w:val="20"/>
          <w:szCs w:val="20"/>
          <w:color w:val="auto"/>
        </w:rPr>
      </w:pPr>
      <w:r>
        <w:rPr>
          <w:rFonts w:ascii="Arial" w:cs="Arial" w:eastAsia="Arial" w:hAnsi="Arial"/>
          <w:sz w:val="17"/>
          <w:szCs w:val="17"/>
          <w:color w:val="auto"/>
        </w:rPr>
        <w:t>“OEMs” refers to original equipment manufacturers.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Defined Terms</w:t>
      </w:r>
    </w:p>
    <w:p>
      <w:pPr>
        <w:spacing w:after="0" w:line="244" w:lineRule="exact"/>
        <w:rPr>
          <w:sz w:val="20"/>
          <w:szCs w:val="20"/>
          <w:color w:val="auto"/>
        </w:rPr>
      </w:pPr>
    </w:p>
    <w:p>
      <w:pPr>
        <w:ind w:left="600" w:hanging="298"/>
        <w:spacing w:after="0"/>
        <w:tabs>
          <w:tab w:leader="none" w:pos="600" w:val="left"/>
        </w:tabs>
        <w:numPr>
          <w:ilvl w:val="0"/>
          <w:numId w:val="4"/>
        </w:numPr>
        <w:rPr>
          <w:rFonts w:ascii="Arial" w:cs="Arial" w:eastAsia="Arial" w:hAnsi="Arial"/>
          <w:sz w:val="20"/>
          <w:szCs w:val="20"/>
          <w:color w:val="auto"/>
        </w:rPr>
      </w:pPr>
      <w:r>
        <w:rPr>
          <w:rFonts w:ascii="Arial" w:cs="Arial" w:eastAsia="Arial" w:hAnsi="Arial"/>
          <w:sz w:val="17"/>
          <w:szCs w:val="17"/>
          <w:color w:val="auto"/>
        </w:rPr>
        <w:t>“2021 Plan” refers to the Microvast Holdings, Inc. 2021 Equity Incentive Plan;</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4"/>
        </w:numPr>
        <w:rPr>
          <w:rFonts w:ascii="Arial" w:cs="Arial" w:eastAsia="Arial" w:hAnsi="Arial"/>
          <w:sz w:val="20"/>
          <w:szCs w:val="20"/>
          <w:color w:val="auto"/>
        </w:rPr>
      </w:pPr>
      <w:r>
        <w:rPr>
          <w:rFonts w:ascii="Arial" w:cs="Arial" w:eastAsia="Arial" w:hAnsi="Arial"/>
          <w:sz w:val="17"/>
          <w:szCs w:val="17"/>
          <w:color w:val="auto"/>
        </w:rPr>
        <w:t>“Annual Report” refers to this annual report for the year ended December 31, 2022 filed on Form 10-K;</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4"/>
        </w:numPr>
        <w:rPr>
          <w:rFonts w:ascii="Arial" w:cs="Arial" w:eastAsia="Arial" w:hAnsi="Arial"/>
          <w:sz w:val="20"/>
          <w:szCs w:val="20"/>
          <w:color w:val="auto"/>
        </w:rPr>
      </w:pPr>
      <w:r>
        <w:rPr>
          <w:rFonts w:ascii="Arial" w:cs="Arial" w:eastAsia="Arial" w:hAnsi="Arial"/>
          <w:sz w:val="17"/>
          <w:szCs w:val="17"/>
          <w:color w:val="auto"/>
        </w:rPr>
        <w:t>“Annual RSUs” refers to an annual award of restricted stock units;</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4"/>
        </w:numPr>
        <w:rPr>
          <w:rFonts w:ascii="Arial" w:cs="Arial" w:eastAsia="Arial" w:hAnsi="Arial"/>
          <w:sz w:val="20"/>
          <w:szCs w:val="20"/>
          <w:color w:val="auto"/>
        </w:rPr>
      </w:pPr>
      <w:r>
        <w:rPr>
          <w:rFonts w:ascii="Arial" w:cs="Arial" w:eastAsia="Arial" w:hAnsi="Arial"/>
          <w:sz w:val="17"/>
          <w:szCs w:val="17"/>
          <w:color w:val="auto"/>
        </w:rPr>
        <w:t>“Board” refers to the board of directors of Microvast Holdings, Inc.;</w:t>
      </w:r>
    </w:p>
    <w:p>
      <w:pPr>
        <w:spacing w:after="0" w:line="226" w:lineRule="exact"/>
        <w:rPr>
          <w:rFonts w:ascii="Arial" w:cs="Arial" w:eastAsia="Arial" w:hAnsi="Arial"/>
          <w:sz w:val="20"/>
          <w:szCs w:val="20"/>
          <w:color w:val="auto"/>
        </w:rPr>
      </w:pPr>
    </w:p>
    <w:p>
      <w:pPr>
        <w:ind w:left="600" w:hanging="298"/>
        <w:spacing w:after="0" w:line="226" w:lineRule="auto"/>
        <w:tabs>
          <w:tab w:leader="none" w:pos="595" w:val="left"/>
        </w:tabs>
        <w:numPr>
          <w:ilvl w:val="0"/>
          <w:numId w:val="4"/>
        </w:numPr>
        <w:rPr>
          <w:rFonts w:ascii="Arial" w:cs="Arial" w:eastAsia="Arial" w:hAnsi="Arial"/>
          <w:sz w:val="20"/>
          <w:szCs w:val="20"/>
          <w:color w:val="auto"/>
        </w:rPr>
      </w:pPr>
      <w:r>
        <w:rPr>
          <w:rFonts w:ascii="Arial" w:cs="Arial" w:eastAsia="Arial" w:hAnsi="Arial"/>
          <w:sz w:val="17"/>
          <w:szCs w:val="17"/>
          <w:color w:val="auto"/>
        </w:rPr>
        <w:t>“Business Combination” refers to the business combination pursuant to the Agreement and Plan of Merger dated February 1, 2021, between Tuscan, Microvast, Inc. and TSCN Merger Sub Inc.;</w:t>
      </w:r>
    </w:p>
    <w:p>
      <w:pPr>
        <w:spacing w:after="0" w:line="222" w:lineRule="exact"/>
        <w:rPr>
          <w:rFonts w:ascii="Arial" w:cs="Arial" w:eastAsia="Arial" w:hAnsi="Arial"/>
          <w:sz w:val="20"/>
          <w:szCs w:val="20"/>
          <w:color w:val="auto"/>
        </w:rPr>
      </w:pPr>
    </w:p>
    <w:p>
      <w:pPr>
        <w:ind w:left="600" w:hanging="298"/>
        <w:spacing w:after="0"/>
        <w:tabs>
          <w:tab w:leader="none" w:pos="600" w:val="left"/>
        </w:tabs>
        <w:numPr>
          <w:ilvl w:val="0"/>
          <w:numId w:val="4"/>
        </w:numPr>
        <w:rPr>
          <w:rFonts w:ascii="Arial" w:cs="Arial" w:eastAsia="Arial" w:hAnsi="Arial"/>
          <w:sz w:val="20"/>
          <w:szCs w:val="20"/>
          <w:color w:val="auto"/>
        </w:rPr>
      </w:pPr>
      <w:r>
        <w:rPr>
          <w:rFonts w:ascii="Arial" w:cs="Arial" w:eastAsia="Arial" w:hAnsi="Arial"/>
          <w:sz w:val="17"/>
          <w:szCs w:val="17"/>
          <w:color w:val="auto"/>
        </w:rPr>
        <w:t>“CAC” refers to the Cyberspace Administration of China;</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4"/>
        </w:numPr>
        <w:rPr>
          <w:rFonts w:ascii="Arial" w:cs="Arial" w:eastAsia="Arial" w:hAnsi="Arial"/>
          <w:sz w:val="20"/>
          <w:szCs w:val="20"/>
          <w:color w:val="auto"/>
        </w:rPr>
      </w:pPr>
      <w:r>
        <w:rPr>
          <w:rFonts w:ascii="Arial" w:cs="Arial" w:eastAsia="Arial" w:hAnsi="Arial"/>
          <w:sz w:val="17"/>
          <w:szCs w:val="17"/>
          <w:color w:val="auto"/>
        </w:rPr>
        <w:t>“COVID-19” refers to the coronavirus pandemic;</w:t>
      </w:r>
    </w:p>
    <w:p>
      <w:pPr>
        <w:spacing w:after="0" w:line="201" w:lineRule="exact"/>
        <w:rPr>
          <w:rFonts w:ascii="Arial" w:cs="Arial" w:eastAsia="Arial" w:hAnsi="Arial"/>
          <w:sz w:val="20"/>
          <w:szCs w:val="20"/>
          <w:color w:val="auto"/>
        </w:rPr>
      </w:pPr>
    </w:p>
    <w:p>
      <w:pPr>
        <w:ind w:left="600" w:hanging="298"/>
        <w:spacing w:after="0"/>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“CSRC” refers to the China Securities Regulatory Commission;</w:t>
      </w:r>
    </w:p>
    <w:p>
      <w:pPr>
        <w:spacing w:after="0" w:line="239" w:lineRule="exact"/>
        <w:rPr>
          <w:rFonts w:ascii="Arial" w:cs="Arial" w:eastAsia="Arial" w:hAnsi="Arial"/>
          <w:sz w:val="17"/>
          <w:szCs w:val="17"/>
          <w:color w:val="auto"/>
        </w:rPr>
      </w:pPr>
    </w:p>
    <w:p>
      <w:pPr>
        <w:ind w:left="600" w:hanging="298"/>
        <w:spacing w:after="0"/>
        <w:tabs>
          <w:tab w:leader="none" w:pos="600" w:val="left"/>
        </w:tabs>
        <w:numPr>
          <w:ilvl w:val="0"/>
          <w:numId w:val="4"/>
        </w:numPr>
        <w:rPr>
          <w:rFonts w:ascii="Arial" w:cs="Arial" w:eastAsia="Arial" w:hAnsi="Arial"/>
          <w:sz w:val="20"/>
          <w:szCs w:val="20"/>
          <w:color w:val="auto"/>
        </w:rPr>
      </w:pPr>
      <w:r>
        <w:rPr>
          <w:rFonts w:ascii="Arial" w:cs="Arial" w:eastAsia="Arial" w:hAnsi="Arial"/>
          <w:sz w:val="17"/>
          <w:szCs w:val="17"/>
          <w:color w:val="auto"/>
        </w:rPr>
        <w:t>“DOE” refers to the U.S. Department of Energy;</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4"/>
        </w:numPr>
        <w:rPr>
          <w:rFonts w:ascii="Arial" w:cs="Arial" w:eastAsia="Arial" w:hAnsi="Arial"/>
          <w:sz w:val="20"/>
          <w:szCs w:val="20"/>
          <w:color w:val="auto"/>
        </w:rPr>
      </w:pPr>
      <w:r>
        <w:rPr>
          <w:rFonts w:ascii="Arial" w:cs="Arial" w:eastAsia="Arial" w:hAnsi="Arial"/>
          <w:sz w:val="17"/>
          <w:szCs w:val="17"/>
          <w:color w:val="auto"/>
        </w:rPr>
        <w:t>“E.U.” refers to the European Union;</w:t>
      </w:r>
    </w:p>
    <w:p>
      <w:pPr>
        <w:spacing w:after="0" w:line="200" w:lineRule="exact"/>
        <w:rPr>
          <w:sz w:val="20"/>
          <w:szCs w:val="20"/>
          <w:color w:val="auto"/>
        </w:rPr>
      </w:pPr>
    </w:p>
    <w:p>
      <w:pPr>
        <w:spacing w:after="0" w:line="35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540"/>
          </w:cols>
          <w:pgMar w:left="320" w:top="123" w:right="10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“Elective RSUs” refers to non-employee directors annual cash retainer;</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“Escrow Agent” refers to Continental Stock Transfer &amp; Trust Company as escrow agent;</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“Exchange Act” refers to the Securities Exchange Act of 1934, as amended;</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“FCPA” refers to the Foreign Corrupt Practices Act;</w:t>
      </w:r>
    </w:p>
    <w:p>
      <w:pPr>
        <w:spacing w:after="0" w:line="238"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5"/>
          <w:szCs w:val="15"/>
          <w:color w:val="auto"/>
        </w:rPr>
        <w:t>“Founder Shares” refers to the 6,900,000 founder shares purchased by the Tuscan Group for a purchase price of $25,000 in connection with the IPO;</w:t>
      </w:r>
    </w:p>
    <w:p>
      <w:pPr>
        <w:spacing w:after="0" w:line="228" w:lineRule="exact"/>
        <w:rPr>
          <w:rFonts w:ascii="Arial" w:cs="Arial" w:eastAsia="Arial" w:hAnsi="Arial"/>
          <w:sz w:val="18"/>
          <w:szCs w:val="18"/>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“IPO” refers to Tuscan Holdings Corp.’s initial public offering;</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“IRA” refers to the Inflation Reduction Act passed in August 2022;</w:t>
      </w:r>
    </w:p>
    <w:p>
      <w:pPr>
        <w:spacing w:after="0" w:line="226" w:lineRule="exact"/>
        <w:rPr>
          <w:rFonts w:ascii="Arial" w:cs="Arial" w:eastAsia="Arial" w:hAnsi="Arial"/>
          <w:sz w:val="20"/>
          <w:szCs w:val="20"/>
          <w:color w:val="auto"/>
        </w:rPr>
      </w:pPr>
    </w:p>
    <w:p>
      <w:pPr>
        <w:ind w:left="600" w:hanging="298"/>
        <w:spacing w:after="0" w:line="226" w:lineRule="auto"/>
        <w:tabs>
          <w:tab w:leader="none" w:pos="595" w:val="left"/>
        </w:tabs>
        <w:numPr>
          <w:ilvl w:val="0"/>
          <w:numId w:val="5"/>
        </w:numPr>
        <w:rPr>
          <w:rFonts w:ascii="Arial" w:cs="Arial" w:eastAsia="Arial" w:hAnsi="Arial"/>
          <w:sz w:val="20"/>
          <w:szCs w:val="20"/>
          <w:color w:val="auto"/>
        </w:rPr>
      </w:pPr>
      <w:r>
        <w:rPr>
          <w:rFonts w:ascii="Arial" w:cs="Arial" w:eastAsia="Arial" w:hAnsi="Arial"/>
          <w:sz w:val="17"/>
          <w:szCs w:val="17"/>
          <w:color w:val="auto"/>
        </w:rPr>
        <w:t>“Microvast Energy” refers to our energy division headquartered and incorporated in Colorado that designs, develops and manufactures battery energy storage systems;</w:t>
      </w:r>
    </w:p>
    <w:p>
      <w:pPr>
        <w:spacing w:after="0" w:line="21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“MPS” refers to Microvast Power Systems Co. Ltd. our majority-owned subsidiary incorporated in Huzhou, China;</w:t>
      </w:r>
    </w:p>
    <w:p>
      <w:pPr>
        <w:ind w:left="600" w:hanging="298"/>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"NASDAQ" refers to the NASDAQ stock exchange;</w:t>
      </w:r>
    </w:p>
    <w:p>
      <w:pPr>
        <w:spacing w:after="0" w:line="225" w:lineRule="exact"/>
        <w:rPr>
          <w:rFonts w:ascii="Arial" w:cs="Arial" w:eastAsia="Arial" w:hAnsi="Arial"/>
          <w:sz w:val="17"/>
          <w:szCs w:val="17"/>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“NEOs” refers to our named executive officers for the year ended December 31, 2022 as defined by the Securities Act;</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“PCAOB” refers to the Public Company Accounting Oversight Board;</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“PRC” refers to the People’s Republic of China;</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“PSUs” refers to performance stock units;</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“R&amp;D” refers to research and development;</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“RMB" refers to Renminbi;</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“RSUs” refers to restricted stock units;</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“SEC” refers to the U.S. Securities and Exchange Commission;</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“Securities Act” refers to the Securities Act of 1933, as amended;</w:t>
      </w:r>
    </w:p>
    <w:p>
      <w:pPr>
        <w:spacing w:after="0" w:line="226" w:lineRule="exact"/>
        <w:rPr>
          <w:rFonts w:ascii="Arial" w:cs="Arial" w:eastAsia="Arial" w:hAnsi="Arial"/>
          <w:sz w:val="20"/>
          <w:szCs w:val="20"/>
          <w:color w:val="auto"/>
        </w:rPr>
      </w:pPr>
    </w:p>
    <w:p>
      <w:pPr>
        <w:ind w:left="600" w:right="20" w:hanging="298"/>
        <w:spacing w:after="0" w:line="226" w:lineRule="auto"/>
        <w:tabs>
          <w:tab w:leader="none" w:pos="595" w:val="left"/>
        </w:tabs>
        <w:numPr>
          <w:ilvl w:val="0"/>
          <w:numId w:val="5"/>
        </w:numPr>
        <w:rPr>
          <w:rFonts w:ascii="Arial" w:cs="Arial" w:eastAsia="Arial" w:hAnsi="Arial"/>
          <w:sz w:val="20"/>
          <w:szCs w:val="20"/>
          <w:color w:val="auto"/>
        </w:rPr>
      </w:pPr>
      <w:r>
        <w:rPr>
          <w:rFonts w:ascii="Arial" w:cs="Arial" w:eastAsia="Arial" w:hAnsi="Arial"/>
          <w:sz w:val="17"/>
          <w:szCs w:val="17"/>
          <w:color w:val="auto"/>
        </w:rPr>
        <w:t>“Stockholders Agreement” refers to the agreement, entered into on July 23, 2021 by and among Microvast Holdings, Inc., Tuscan Holdings Acquisition LLC and Mr. Yang Wu;</w:t>
      </w:r>
    </w:p>
    <w:p>
      <w:pPr>
        <w:spacing w:after="0" w:line="222"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“TSR” refers to total shareholder return;</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5"/>
        </w:numPr>
        <w:rPr>
          <w:rFonts w:ascii="Arial" w:cs="Arial" w:eastAsia="Arial" w:hAnsi="Arial"/>
          <w:sz w:val="20"/>
          <w:szCs w:val="20"/>
          <w:color w:val="auto"/>
        </w:rPr>
      </w:pPr>
      <w:r>
        <w:rPr>
          <w:rFonts w:ascii="Arial" w:cs="Arial" w:eastAsia="Arial" w:hAnsi="Arial"/>
          <w:sz w:val="17"/>
          <w:szCs w:val="17"/>
          <w:color w:val="auto"/>
        </w:rPr>
        <w:t>“Tuscan Director” refers to Stephen Vogel as the director nominated by the Tuscan Group under the terms of the Stockholders Agreement;</w:t>
      </w: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00" w:hanging="298"/>
        <w:spacing w:after="0" w:line="252" w:lineRule="auto"/>
        <w:tabs>
          <w:tab w:leader="none" w:pos="596" w:val="left"/>
        </w:tabs>
        <w:numPr>
          <w:ilvl w:val="0"/>
          <w:numId w:val="6"/>
        </w:numPr>
        <w:rPr>
          <w:rFonts w:ascii="Arial" w:cs="Arial" w:eastAsia="Arial" w:hAnsi="Arial"/>
          <w:sz w:val="17"/>
          <w:szCs w:val="17"/>
          <w:color w:val="auto"/>
        </w:rPr>
      </w:pPr>
      <w:r>
        <w:rPr>
          <w:rFonts w:ascii="Arial" w:cs="Arial" w:eastAsia="Arial" w:hAnsi="Arial"/>
          <w:sz w:val="17"/>
          <w:szCs w:val="17"/>
          <w:color w:val="auto"/>
        </w:rPr>
        <w:t>"Tuscan" refers to Tuscan Holdings Corp, a Delaware corporation established in April 2016 for the purpose of effecting a merger, capital stock exchange, asset acquisition, stock purchase, reorganization, or similar business combination with one or more businesses;</w:t>
      </w:r>
    </w:p>
    <w:p>
      <w:pPr>
        <w:spacing w:after="0" w:line="212" w:lineRule="exact"/>
        <w:rPr>
          <w:rFonts w:ascii="Arial" w:cs="Arial" w:eastAsia="Arial" w:hAnsi="Arial"/>
          <w:sz w:val="17"/>
          <w:szCs w:val="17"/>
          <w:color w:val="auto"/>
        </w:rPr>
      </w:pPr>
    </w:p>
    <w:p>
      <w:pPr>
        <w:ind w:left="600" w:hanging="298"/>
        <w:spacing w:after="0"/>
        <w:tabs>
          <w:tab w:leader="none" w:pos="600" w:val="left"/>
        </w:tabs>
        <w:numPr>
          <w:ilvl w:val="0"/>
          <w:numId w:val="6"/>
        </w:numPr>
        <w:rPr>
          <w:rFonts w:ascii="Arial" w:cs="Arial" w:eastAsia="Arial" w:hAnsi="Arial"/>
          <w:sz w:val="20"/>
          <w:szCs w:val="20"/>
          <w:color w:val="auto"/>
        </w:rPr>
      </w:pPr>
      <w:r>
        <w:rPr>
          <w:rFonts w:ascii="Arial" w:cs="Arial" w:eastAsia="Arial" w:hAnsi="Arial"/>
          <w:sz w:val="17"/>
          <w:szCs w:val="17"/>
          <w:color w:val="auto"/>
        </w:rPr>
        <w:t>“Tuscan Group” refers to Stefan M. Selig, Richard O. Rieger and Amy Butte of Tuscan Holdings Acquisition LLC;</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6"/>
        </w:numPr>
        <w:rPr>
          <w:rFonts w:ascii="Arial" w:cs="Arial" w:eastAsia="Arial" w:hAnsi="Arial"/>
          <w:sz w:val="20"/>
          <w:szCs w:val="20"/>
          <w:color w:val="auto"/>
        </w:rPr>
      </w:pPr>
      <w:r>
        <w:rPr>
          <w:rFonts w:ascii="Arial" w:cs="Arial" w:eastAsia="Arial" w:hAnsi="Arial"/>
          <w:sz w:val="17"/>
          <w:szCs w:val="17"/>
          <w:color w:val="auto"/>
        </w:rPr>
        <w:t>“U.K.” refers to the United Kingdom;</w:t>
      </w:r>
    </w:p>
    <w:p>
      <w:pPr>
        <w:spacing w:after="0" w:line="221" w:lineRule="exact"/>
        <w:rPr>
          <w:rFonts w:ascii="Arial" w:cs="Arial" w:eastAsia="Arial" w:hAnsi="Arial"/>
          <w:sz w:val="20"/>
          <w:szCs w:val="20"/>
          <w:color w:val="auto"/>
        </w:rPr>
      </w:pPr>
    </w:p>
    <w:p>
      <w:pPr>
        <w:ind w:left="600" w:hanging="298"/>
        <w:spacing w:after="0"/>
        <w:tabs>
          <w:tab w:leader="none" w:pos="600" w:val="left"/>
        </w:tabs>
        <w:numPr>
          <w:ilvl w:val="0"/>
          <w:numId w:val="6"/>
        </w:numPr>
        <w:rPr>
          <w:rFonts w:ascii="Arial" w:cs="Arial" w:eastAsia="Arial" w:hAnsi="Arial"/>
          <w:sz w:val="20"/>
          <w:szCs w:val="20"/>
          <w:color w:val="auto"/>
        </w:rPr>
      </w:pPr>
      <w:r>
        <w:rPr>
          <w:rFonts w:ascii="Arial" w:cs="Arial" w:eastAsia="Arial" w:hAnsi="Arial"/>
          <w:sz w:val="17"/>
          <w:szCs w:val="17"/>
          <w:color w:val="auto"/>
        </w:rPr>
        <w:t>“U.S” refers to the United States of America;</w:t>
      </w:r>
    </w:p>
    <w:p>
      <w:pPr>
        <w:spacing w:after="0" w:line="233" w:lineRule="exact"/>
        <w:rPr>
          <w:rFonts w:ascii="Arial" w:cs="Arial" w:eastAsia="Arial" w:hAnsi="Arial"/>
          <w:sz w:val="20"/>
          <w:szCs w:val="20"/>
          <w:color w:val="auto"/>
        </w:rPr>
      </w:pPr>
    </w:p>
    <w:p>
      <w:pPr>
        <w:ind w:left="600" w:hanging="298"/>
        <w:spacing w:after="0"/>
        <w:tabs>
          <w:tab w:leader="none" w:pos="600" w:val="left"/>
        </w:tabs>
        <w:numPr>
          <w:ilvl w:val="0"/>
          <w:numId w:val="6"/>
        </w:numPr>
        <w:rPr>
          <w:rFonts w:ascii="Arial" w:cs="Arial" w:eastAsia="Arial" w:hAnsi="Arial"/>
          <w:sz w:val="19"/>
          <w:szCs w:val="19"/>
          <w:color w:val="auto"/>
        </w:rPr>
      </w:pPr>
      <w:r>
        <w:rPr>
          <w:rFonts w:ascii="Arial" w:cs="Arial" w:eastAsia="Arial" w:hAnsi="Arial"/>
          <w:sz w:val="16"/>
          <w:szCs w:val="16"/>
          <w:color w:val="auto"/>
        </w:rPr>
        <w:t>“WFOE” or “wholly foreign owned enterprises” refers to a company incorporated in China and wholly-owned by one or more foreign investors; and</w:t>
      </w:r>
    </w:p>
    <w:p>
      <w:pPr>
        <w:spacing w:after="0" w:line="238" w:lineRule="exact"/>
        <w:rPr>
          <w:rFonts w:ascii="Arial" w:cs="Arial" w:eastAsia="Arial" w:hAnsi="Arial"/>
          <w:sz w:val="19"/>
          <w:szCs w:val="19"/>
          <w:color w:val="auto"/>
        </w:rPr>
      </w:pPr>
    </w:p>
    <w:p>
      <w:pPr>
        <w:ind w:left="600" w:right="20" w:hanging="298"/>
        <w:spacing w:after="0" w:line="219" w:lineRule="auto"/>
        <w:tabs>
          <w:tab w:leader="none" w:pos="595" w:val="left"/>
        </w:tabs>
        <w:numPr>
          <w:ilvl w:val="0"/>
          <w:numId w:val="6"/>
        </w:numPr>
        <w:rPr>
          <w:rFonts w:ascii="Arial" w:cs="Arial" w:eastAsia="Arial" w:hAnsi="Arial"/>
          <w:sz w:val="20"/>
          <w:szCs w:val="20"/>
          <w:color w:val="auto"/>
        </w:rPr>
      </w:pPr>
      <w:r>
        <w:rPr>
          <w:rFonts w:ascii="Arial" w:cs="Arial" w:eastAsia="Arial" w:hAnsi="Arial"/>
          <w:sz w:val="17"/>
          <w:szCs w:val="17"/>
          <w:color w:val="auto"/>
        </w:rPr>
        <w:t>“Wu Directors” refers to the current directors Mr. Wu nominated under the terms of the Stockholders Agreement, including Mr. Wu, Yanzhuan Zheng, Stanley Whittingham and Arthur Wong.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Microvast Holdings, Inc. is an advanced battery technology company headquartered near Houston, Texas, and is publicly traded on the NASDAQ stock</w:t>
      </w:r>
    </w:p>
    <w:p>
      <w:pPr>
        <w:spacing w:after="0" w:line="6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exchange (the “NASDAQ”). We design, develop and manufacture battery components and systems primarily for electric commercial vehicles and utility-scale energy storage systems (“ESS”).</w:t>
      </w:r>
    </w:p>
    <w:p>
      <w:pPr>
        <w:spacing w:after="0" w:line="191" w:lineRule="exact"/>
        <w:rPr>
          <w:sz w:val="20"/>
          <w:szCs w:val="20"/>
          <w:color w:val="auto"/>
        </w:rPr>
      </w:pPr>
    </w:p>
    <w:p>
      <w:pPr>
        <w:ind w:right="40" w:firstLine="603"/>
        <w:spacing w:after="0" w:line="251" w:lineRule="auto"/>
        <w:rPr>
          <w:sz w:val="20"/>
          <w:szCs w:val="20"/>
          <w:color w:val="auto"/>
        </w:rPr>
      </w:pPr>
      <w:r>
        <w:rPr>
          <w:rFonts w:ascii="Arial" w:cs="Arial" w:eastAsia="Arial" w:hAnsi="Arial"/>
          <w:sz w:val="17"/>
          <w:szCs w:val="17"/>
          <w:color w:val="auto"/>
        </w:rPr>
        <w:t>When we founded Microvast in 2006, our guiding principle, which remains at the heart of everything we do today, was to adopt an innovative and creative approach to the design of lithium-ion batteries without relying on past technologies.We call this true innovation. Our design approach began without preconceptions on how to make a lithium-ion battery, which contrasts to many other battery companies which took legacy battery technologies used in consumer electronics and adopted those for use in new market opportunities, such as electric vehicles, which we believe is product development, not innovation. To understand this difference, is to understand what we have set out to achieve.</w:t>
      </w:r>
    </w:p>
    <w:p>
      <w:pPr>
        <w:spacing w:after="0" w:line="208" w:lineRule="exact"/>
        <w:rPr>
          <w:sz w:val="20"/>
          <w:szCs w:val="20"/>
          <w:color w:val="auto"/>
        </w:rPr>
      </w:pPr>
    </w:p>
    <w:p>
      <w:pPr>
        <w:ind w:right="20" w:firstLine="603"/>
        <w:spacing w:after="0" w:line="251" w:lineRule="auto"/>
        <w:rPr>
          <w:sz w:val="20"/>
          <w:szCs w:val="20"/>
          <w:color w:val="auto"/>
        </w:rPr>
      </w:pPr>
      <w:r>
        <w:rPr>
          <w:rFonts w:ascii="Arial" w:cs="Arial" w:eastAsia="Arial" w:hAnsi="Arial"/>
          <w:sz w:val="17"/>
          <w:szCs w:val="17"/>
          <w:color w:val="auto"/>
        </w:rPr>
        <w:t>Our mission is to use our innovative approach to create the battery technologies and solutions to accelerate the adoption of electric vehicles and the integration of renewable energy sources in order to power the transition to a sustainable economy. In particular, we seek to lead the charge in establishing and securing U.S. domestic battery production, which will strengthen the U.S. battery manufacturing base and reduce reliance on foreign battery manufacturing, in what is becoming a sector with significant strategic importance. We believe continuous investment in our technology and operations will deliver long-term targeted revenue and income growth.</w:t>
      </w:r>
    </w:p>
    <w:p>
      <w:pPr>
        <w:spacing w:after="0" w:line="208" w:lineRule="exact"/>
        <w:rPr>
          <w:sz w:val="20"/>
          <w:szCs w:val="20"/>
          <w:color w:val="auto"/>
        </w:rPr>
      </w:pPr>
    </w:p>
    <w:p>
      <w:pPr>
        <w:ind w:right="120" w:firstLine="603"/>
        <w:spacing w:after="0" w:line="307" w:lineRule="auto"/>
        <w:rPr>
          <w:sz w:val="20"/>
          <w:szCs w:val="20"/>
          <w:color w:val="auto"/>
        </w:rPr>
      </w:pPr>
      <w:r>
        <w:rPr>
          <w:rFonts w:ascii="Arial" w:cs="Arial" w:eastAsia="Arial" w:hAnsi="Arial"/>
          <w:sz w:val="15"/>
          <w:szCs w:val="15"/>
          <w:color w:val="auto"/>
        </w:rPr>
        <w:t>We have developed proprietary technologies covering the entire battery system through our vertically integrated approach: from basic cell materials like the cathode, anode, electrolyte and separator, to cooling systems and software controls for the battery pack. Since our inception, we have primarily focused on developing new battery solutions for the transportation industry which requires batteries that are ultra-fast charging, high energy density, long lasting and safe.</w:t>
      </w:r>
    </w:p>
    <w:p>
      <w:pPr>
        <w:spacing w:after="0" w:line="167" w:lineRule="exact"/>
        <w:rPr>
          <w:sz w:val="20"/>
          <w:szCs w:val="20"/>
          <w:color w:val="auto"/>
        </w:rPr>
      </w:pPr>
    </w:p>
    <w:p>
      <w:pPr>
        <w:ind w:right="80" w:firstLine="603"/>
        <w:spacing w:after="0" w:line="305" w:lineRule="auto"/>
        <w:rPr>
          <w:sz w:val="20"/>
          <w:szCs w:val="20"/>
          <w:color w:val="auto"/>
        </w:rPr>
      </w:pPr>
      <w:r>
        <w:rPr>
          <w:rFonts w:ascii="Arial" w:cs="Arial" w:eastAsia="Arial" w:hAnsi="Arial"/>
          <w:sz w:val="15"/>
          <w:szCs w:val="15"/>
          <w:color w:val="auto"/>
        </w:rPr>
        <w:t>In the future, in addition to expanding our production of battery systems and battery components, we expect to increase our focus on producing ESS solutions to support the shift to electrification, with the goal of becoming a leading global ESS solution provider to the energy market. This is a necessity because electric</w:t>
      </w:r>
    </w:p>
    <w:p>
      <w:pPr>
        <w:spacing w:after="0" w:line="1"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vehicles can only be considered as a green technology if the energy used to power them is also green. Addressing this symbiotic relationship is at the heart of our research activities and we expect it will shape our strategies for the foreseeable future.</w:t>
      </w:r>
    </w:p>
    <w:p>
      <w:pPr>
        <w:spacing w:after="0" w:line="191" w:lineRule="exact"/>
        <w:rPr>
          <w:sz w:val="20"/>
          <w:szCs w:val="20"/>
          <w:color w:val="auto"/>
        </w:rPr>
      </w:pPr>
    </w:p>
    <w:p>
      <w:pPr>
        <w:ind w:firstLine="603"/>
        <w:spacing w:after="0" w:line="329" w:lineRule="auto"/>
        <w:rPr>
          <w:sz w:val="20"/>
          <w:szCs w:val="20"/>
          <w:color w:val="auto"/>
        </w:rPr>
      </w:pPr>
      <w:r>
        <w:rPr>
          <w:rFonts w:ascii="Arial" w:cs="Arial" w:eastAsia="Arial" w:hAnsi="Arial"/>
          <w:sz w:val="16"/>
          <w:szCs w:val="16"/>
          <w:color w:val="auto"/>
        </w:rPr>
        <w:t>Our most recent innovation is our high-energy nickel manganese cobalt (“NMC”) 53.5 ampere-hour battery cell (the “53.5Ah”), whose performance characteristics make it an ideal solution for commercial vehicle and ESS applications. To bring this product to market we have made significant investments in capacity expansions in Huzhou, China and Clarksville, Tennessee. Both facilities are using the same fully-automated production equipment for the 53.5Ah cell which will give us considerable operating efficiencies. We expect the 53.5Ah cell to be our dominant revenue driver for this next phase of our growth.</w:t>
      </w:r>
    </w:p>
    <w:p>
      <w:pPr>
        <w:spacing w:after="0" w:line="146" w:lineRule="exact"/>
        <w:rPr>
          <w:sz w:val="20"/>
          <w:szCs w:val="20"/>
          <w:color w:val="auto"/>
        </w:rPr>
      </w:pPr>
    </w:p>
    <w:p>
      <w:pPr>
        <w:ind w:right="280" w:firstLine="603"/>
        <w:spacing w:after="0" w:line="298" w:lineRule="auto"/>
        <w:rPr>
          <w:sz w:val="20"/>
          <w:szCs w:val="20"/>
          <w:color w:val="auto"/>
        </w:rPr>
      </w:pPr>
      <w:r>
        <w:rPr>
          <w:rFonts w:ascii="Arial" w:cs="Arial" w:eastAsia="Arial" w:hAnsi="Arial"/>
          <w:sz w:val="15"/>
          <w:szCs w:val="15"/>
          <w:color w:val="auto"/>
        </w:rPr>
        <w:t>Since 2009, when we launched our first ultra-fast battery system, we have sold and delivered approximately 3,347.9 megawatt hours (“MWh”) of battery systems. Our revenue for the year ended December 31, 2022, increased $52.5 million to $204.5 million, a 35% increase compared to the year ended December 31, 2021. As of December 31, 2022, we had an order backlog of approximately $410.5 million for our battery systems (the equivalent of approximately 1,599.7 MWh), nearly 90% of which is attributable to the U.S. and Europe. We expect to fulfill a majority of our backlog within 2023 and 2024.</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Applications</w:t>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three principal areas of focus for our business and future growth are electric commercial vehicles, utility-scale ESS and battery components.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Electric Commercial Vehicles</w:t>
      </w:r>
    </w:p>
    <w:p>
      <w:pPr>
        <w:spacing w:after="0" w:line="231" w:lineRule="exact"/>
        <w:rPr>
          <w:sz w:val="20"/>
          <w:szCs w:val="20"/>
          <w:color w:val="auto"/>
        </w:rPr>
      </w:pPr>
    </w:p>
    <w:p>
      <w:pPr>
        <w:ind w:right="320" w:firstLine="603"/>
        <w:spacing w:after="0" w:line="268" w:lineRule="auto"/>
        <w:rPr>
          <w:sz w:val="20"/>
          <w:szCs w:val="20"/>
          <w:color w:val="auto"/>
        </w:rPr>
      </w:pPr>
      <w:r>
        <w:rPr>
          <w:rFonts w:ascii="Arial" w:cs="Arial" w:eastAsia="Arial" w:hAnsi="Arial"/>
          <w:sz w:val="17"/>
          <w:szCs w:val="17"/>
          <w:color w:val="auto"/>
        </w:rPr>
        <w:t>We design, develop and manufacture battery solutions for electric commercial vehicles such as light, medium and heavy-duty trucks, buses, trains, mining trucks, marine and port vehicles, automated guided and specialty vehicles. We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focus on combining critical attributes for better performance, including ultra-fast charging capabilities, long lifespan, low total cost of ownership, high-energy density and high safety. The ultra-fast charging capabilities of our battery systems mean electric commercial vehicles equipped with our batteries only need to charge for as little as 10 to 30 minutes to reach 80% to 95% of full design capacity, which allows for their continuous operation. Certain of our competitors’ batteries typically need to charge anywhere from 3 hours to overnight to reach full design capacity. Ultra-fast charging capability is a critical performance differentiator for applications that are in year-round 24/7 operation, such as those vehicles used in ports, airports, logistics, warehousing and other similar use cases.</w:t>
      </w:r>
    </w:p>
    <w:p>
      <w:pPr>
        <w:spacing w:after="0" w:line="177" w:lineRule="exact"/>
        <w:rPr>
          <w:sz w:val="20"/>
          <w:szCs w:val="20"/>
          <w:color w:val="auto"/>
        </w:rPr>
      </w:pPr>
    </w:p>
    <w:p>
      <w:pPr>
        <w:ind w:right="80" w:firstLine="603"/>
        <w:spacing w:after="0" w:line="257" w:lineRule="auto"/>
        <w:rPr>
          <w:sz w:val="20"/>
          <w:szCs w:val="20"/>
          <w:color w:val="auto"/>
        </w:rPr>
      </w:pPr>
      <w:r>
        <w:rPr>
          <w:rFonts w:ascii="Arial" w:cs="Arial" w:eastAsia="Arial" w:hAnsi="Arial"/>
          <w:sz w:val="17"/>
          <w:szCs w:val="17"/>
          <w:color w:val="auto"/>
        </w:rPr>
        <w:t>Furthermore, our battery system’s lifespan covers the typical operational life for commercial vehicle use, avoiding the significant cost of replacing the battery during the lifespan of the vehicle. In contrast, a majority of our competitors’ batteries need to be replaced on an average of 5 to 6 years, which is only half of the lifespan of our batteries.</w:t>
      </w:r>
    </w:p>
    <w:p>
      <w:pPr>
        <w:spacing w:after="0" w:line="201" w:lineRule="exact"/>
        <w:rPr>
          <w:sz w:val="20"/>
          <w:szCs w:val="20"/>
          <w:color w:val="auto"/>
        </w:rPr>
      </w:pPr>
    </w:p>
    <w:p>
      <w:pPr>
        <w:ind w:right="320" w:firstLine="603"/>
        <w:spacing w:after="0" w:line="299" w:lineRule="auto"/>
        <w:rPr>
          <w:sz w:val="20"/>
          <w:szCs w:val="20"/>
          <w:color w:val="auto"/>
        </w:rPr>
      </w:pPr>
      <w:r>
        <w:rPr>
          <w:rFonts w:ascii="Arial" w:cs="Arial" w:eastAsia="Arial" w:hAnsi="Arial"/>
          <w:sz w:val="16"/>
          <w:szCs w:val="16"/>
          <w:color w:val="auto"/>
        </w:rPr>
        <w:t>The high-energy density of our battery systems makes our products an ideal choice for light duty vans. By equipping sufficient energy onboard these mid-range delivery vehicles, our products are capable of optimizing the daily operational requirements for the commercial vehicle user.</w:t>
      </w:r>
    </w:p>
    <w:p>
      <w:pPr>
        <w:spacing w:after="0" w:line="169" w:lineRule="exact"/>
        <w:rPr>
          <w:sz w:val="20"/>
          <w:szCs w:val="20"/>
          <w:color w:val="auto"/>
        </w:rPr>
      </w:pPr>
    </w:p>
    <w:p>
      <w:pPr>
        <w:ind w:right="40" w:firstLine="603"/>
        <w:spacing w:after="0" w:line="298" w:lineRule="auto"/>
        <w:rPr>
          <w:sz w:val="20"/>
          <w:szCs w:val="20"/>
          <w:color w:val="auto"/>
        </w:rPr>
      </w:pPr>
      <w:r>
        <w:rPr>
          <w:rFonts w:ascii="Arial" w:cs="Arial" w:eastAsia="Arial" w:hAnsi="Arial"/>
          <w:sz w:val="15"/>
          <w:szCs w:val="15"/>
          <w:color w:val="auto"/>
        </w:rPr>
        <w:t>In addition, fundamental to the purchasing decision of a commercial vehicle customer is an understanding of the total cost of ownership from deploying a particular battery solution and comparing that to competing powertrains, which have traditionally been internal combustion engines. The key variables influencing the total cost of ownership are system cost, cycle life and charging capability. Because of our industry-leading performance, especially on cycle life, we believe our battery systems are able to give commercial vehicle customers a superior total cost of ownership versus what would be achieved from competing systems.</w:t>
      </w:r>
    </w:p>
    <w:p>
      <w:pPr>
        <w:spacing w:after="0" w:line="173" w:lineRule="exact"/>
        <w:rPr>
          <w:sz w:val="20"/>
          <w:szCs w:val="20"/>
          <w:color w:val="auto"/>
        </w:rPr>
      </w:pPr>
    </w:p>
    <w:p>
      <w:pPr>
        <w:ind w:right="260" w:firstLine="603"/>
        <w:spacing w:after="0" w:line="249" w:lineRule="auto"/>
        <w:rPr>
          <w:sz w:val="20"/>
          <w:szCs w:val="20"/>
          <w:color w:val="auto"/>
        </w:rPr>
      </w:pPr>
      <w:r>
        <w:rPr>
          <w:rFonts w:ascii="Arial" w:cs="Arial" w:eastAsia="Arial" w:hAnsi="Arial"/>
          <w:sz w:val="17"/>
          <w:szCs w:val="17"/>
          <w:color w:val="auto"/>
        </w:rPr>
        <w:t>The solutions we provide to customer vehicle original equipment manufacturers ("OEMs") are equipped with state-of-the-art BMS that we have developed internally. Our latest BMS for the commercial vehicle market will completely meet automotive functional safety “ISO 26262” and automotive cybersecurity “ISO 21434” standards. Microvast’s BMS 5.0 will also have built-in digital twin technology.</w:t>
      </w:r>
    </w:p>
    <w:p>
      <w:pPr>
        <w:spacing w:after="0" w:line="195" w:lineRule="exact"/>
        <w:rPr>
          <w:sz w:val="20"/>
          <w:szCs w:val="20"/>
          <w:color w:val="auto"/>
        </w:rPr>
      </w:pPr>
    </w:p>
    <w:p>
      <w:pPr>
        <w:jc w:val="both"/>
        <w:ind w:right="40" w:firstLine="603"/>
        <w:spacing w:after="0" w:line="257" w:lineRule="auto"/>
        <w:rPr>
          <w:sz w:val="20"/>
          <w:szCs w:val="20"/>
          <w:color w:val="auto"/>
        </w:rPr>
      </w:pPr>
      <w:r>
        <w:rPr>
          <w:rFonts w:ascii="Arial" w:cs="Arial" w:eastAsia="Arial" w:hAnsi="Arial"/>
          <w:sz w:val="17"/>
          <w:szCs w:val="17"/>
          <w:color w:val="auto"/>
        </w:rPr>
        <w:t>As the volume of our battery systems sold increases, our installed base grows correspondingly. In order to add value during the operational life of our product, we are investing in service personnel and predictive and diagnostic software to better monitor the after-sales needs of our customers so that we can expand and further improve our after-sales product offering to customers.</w:t>
      </w:r>
    </w:p>
    <w:p>
      <w:pPr>
        <w:spacing w:after="0" w:line="201" w:lineRule="exact"/>
        <w:rPr>
          <w:sz w:val="20"/>
          <w:szCs w:val="20"/>
          <w:color w:val="auto"/>
        </w:rPr>
      </w:pPr>
    </w:p>
    <w:p>
      <w:pPr>
        <w:ind w:right="20" w:firstLine="603"/>
        <w:spacing w:after="0" w:line="251" w:lineRule="auto"/>
        <w:rPr>
          <w:sz w:val="20"/>
          <w:szCs w:val="20"/>
          <w:color w:val="auto"/>
        </w:rPr>
      </w:pPr>
      <w:r>
        <w:rPr>
          <w:rFonts w:ascii="Arial" w:cs="Arial" w:eastAsia="Arial" w:hAnsi="Arial"/>
          <w:sz w:val="17"/>
          <w:szCs w:val="17"/>
          <w:color w:val="auto"/>
        </w:rPr>
        <w:t>The market potential for electric commercial vehicles is large because the global transportation sector is the second largest emitter of GHG’s, with commercial vehicles accounting for approximately a third of these emissions. Currently, the global electric commercial vehicle market is valued at $43.5 billion and based on data from Allied Market Research is projected to reach $558.4 billion by 2031, growing at a CAGR of 29.9%. This electric commercial vehicle opportunity encompasses all types of vehicle, including buses, light commercial vans, light, medium and heavy-duty trucks, mining equipment, port equipment and specialty vehicles. Microvast technologies are in operation in all these vehicle types.</w:t>
      </w:r>
    </w:p>
    <w:p>
      <w:pPr>
        <w:spacing w:after="0" w:line="208" w:lineRule="exact"/>
        <w:rPr>
          <w:sz w:val="20"/>
          <w:szCs w:val="20"/>
          <w:color w:val="auto"/>
        </w:rPr>
      </w:pPr>
    </w:p>
    <w:p>
      <w:pPr>
        <w:ind w:right="20" w:firstLine="603"/>
        <w:spacing w:after="0" w:line="250" w:lineRule="auto"/>
        <w:rPr>
          <w:sz w:val="20"/>
          <w:szCs w:val="20"/>
          <w:color w:val="auto"/>
        </w:rPr>
      </w:pPr>
      <w:r>
        <w:rPr>
          <w:rFonts w:ascii="Arial" w:cs="Arial" w:eastAsia="Arial" w:hAnsi="Arial"/>
          <w:sz w:val="17"/>
          <w:szCs w:val="17"/>
          <w:color w:val="auto"/>
        </w:rPr>
        <w:t>The key benefits of our technologies are clearly being recognized by leading commercial vehicle OEMs. For instance, based on the Industrial and Commercial Cooperation Agreement we entered into with Iveco Group in 2019, we have been nominated by them to supply battery systems for their light commercial vehicles (IVECO eDaily, which launched in Q4 of 2022) and certain bus platforms, such as the Iveco Crossway which has been presented for multiple tenders in 2022, with potential deliveries starting mid-2023. In the port equipment sector, we are a supplier to Kalmar (one of the world’s leading OEMs in this segment), and we have a long-term partnership agreement in place, which has been extended to 2026 to work on their electrification projects. In addition, we work with multiple mining truck OEMs including XCMG and others. In parallel, we participated in the mining industry electrification consortium led by Shell, and our battery systems are deployed in heavy-duty mining trucks from 90 to 400 tons.</w:t>
      </w:r>
    </w:p>
    <w:p>
      <w:pPr>
        <w:spacing w:after="0" w:line="207" w:lineRule="exact"/>
        <w:rPr>
          <w:sz w:val="20"/>
          <w:szCs w:val="20"/>
          <w:color w:val="auto"/>
        </w:rPr>
      </w:pPr>
    </w:p>
    <w:p>
      <w:pPr>
        <w:ind w:firstLine="603"/>
        <w:spacing w:after="0" w:line="253" w:lineRule="auto"/>
        <w:rPr>
          <w:sz w:val="20"/>
          <w:szCs w:val="20"/>
          <w:color w:val="auto"/>
        </w:rPr>
      </w:pPr>
      <w:r>
        <w:rPr>
          <w:rFonts w:ascii="Arial" w:cs="Arial" w:eastAsia="Arial" w:hAnsi="Arial"/>
          <w:sz w:val="17"/>
          <w:szCs w:val="17"/>
          <w:color w:val="auto"/>
        </w:rPr>
        <w:t>Recently, we were selected by Trepel to electrify its airport cargo handling equipment because our battery systems are able to meet their demand of year-round 24/7 operations. We also work with multiple bus OEMs on their electrification strategies, including full electric, hybrid or fuel-cell, and we are present in all the main global bus markets, such as the Asia &amp; Pacific region, India and Europe working with the likes of FPT Industrial (branch of Iveco Group), SAFRA, Foton, Higer, JBM Group, Ashok Leyland and others.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Utility-Scale ESS</w:t>
      </w:r>
    </w:p>
    <w:p>
      <w:pPr>
        <w:spacing w:after="0" w:line="231" w:lineRule="exact"/>
        <w:rPr>
          <w:sz w:val="20"/>
          <w:szCs w:val="20"/>
          <w:color w:val="auto"/>
        </w:rPr>
      </w:pPr>
    </w:p>
    <w:p>
      <w:pPr>
        <w:jc w:val="both"/>
        <w:ind w:right="260" w:firstLine="603"/>
        <w:spacing w:after="0" w:line="249" w:lineRule="auto"/>
        <w:rPr>
          <w:sz w:val="20"/>
          <w:szCs w:val="20"/>
          <w:color w:val="auto"/>
        </w:rPr>
      </w:pPr>
      <w:r>
        <w:rPr>
          <w:rFonts w:ascii="Arial" w:cs="Arial" w:eastAsia="Arial" w:hAnsi="Arial"/>
          <w:sz w:val="17"/>
          <w:szCs w:val="17"/>
          <w:color w:val="auto"/>
        </w:rPr>
        <w:t>The goal of eliminating greenhouse gas (“GHG”) emissions from the commercial vehicle sector is most impactful if the energy source for these vehicles is also non-polluting. Renewable energy sources, such as solar energy, require storage, and therefore we believe that energy storage is currently the foundation for all electrification.</w:t>
      </w:r>
    </w:p>
    <w:p>
      <w:pPr>
        <w:spacing w:after="0" w:line="195" w:lineRule="exact"/>
        <w:rPr>
          <w:sz w:val="20"/>
          <w:szCs w:val="20"/>
          <w:color w:val="auto"/>
        </w:rPr>
      </w:pPr>
    </w:p>
    <w:p>
      <w:pPr>
        <w:ind w:right="220" w:firstLine="603"/>
        <w:spacing w:after="0" w:line="272" w:lineRule="auto"/>
        <w:rPr>
          <w:sz w:val="20"/>
          <w:szCs w:val="20"/>
          <w:color w:val="auto"/>
        </w:rPr>
      </w:pPr>
      <w:r>
        <w:rPr>
          <w:rFonts w:ascii="Arial" w:cs="Arial" w:eastAsia="Arial" w:hAnsi="Arial"/>
          <w:sz w:val="16"/>
          <w:szCs w:val="16"/>
          <w:color w:val="auto"/>
        </w:rPr>
        <w:t>In October 2022, we announced the development of our new battery ESS solution to address this challenge. This utility-scale ESS solution stores energy generated by solar, wind, or other energy sources and then dispatches the stored power to the grid when needed, such as during periods of peak electricity demand, a usage commonly referred to as “energy shifting”. Our ESS container incorporates our high-energy 53.5Ah cell technology.</w:t>
      </w:r>
    </w:p>
    <w:p>
      <w:pPr>
        <w:spacing w:after="0" w:line="178" w:lineRule="exact"/>
        <w:rPr>
          <w:sz w:val="20"/>
          <w:szCs w:val="20"/>
          <w:color w:val="auto"/>
        </w:rPr>
      </w:pPr>
    </w:p>
    <w:p>
      <w:pPr>
        <w:ind w:right="40" w:firstLine="603"/>
        <w:spacing w:after="0" w:line="249" w:lineRule="auto"/>
        <w:rPr>
          <w:sz w:val="20"/>
          <w:szCs w:val="20"/>
          <w:color w:val="auto"/>
        </w:rPr>
      </w:pPr>
      <w:r>
        <w:rPr>
          <w:rFonts w:ascii="Arial" w:cs="Arial" w:eastAsia="Arial" w:hAnsi="Arial"/>
          <w:sz w:val="17"/>
          <w:szCs w:val="17"/>
          <w:color w:val="auto"/>
        </w:rPr>
        <w:t>Our current ESS product is designed to supply energy for up to 4 hours, which is currently in high demand for energy shifting applications, thereby increasing grid resilience, reliability, and performance while helping reduce GHG emissions. We plan to manufacture the battery cells and modules for the ESS container in our Clarksville, Tennessee facility beginning in the fourth quarter of 2023.</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ESS container features 4.3 MWh energy per 20-foot container and is easily transportable and deployable. Our higher energy density ESS allows energy</w:t>
      </w:r>
    </w:p>
    <w:p>
      <w:pPr>
        <w:spacing w:after="0" w:line="66"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storage developers to use fewer containers to reach the total rated energy design of an energy storage project. We estimate that by using our ESS solution up to 30% fewer containers would be required to reach the total rated energy design of an energy storage project. This smaller footprint in turn lowers construction cost, provides for easier and faster installation, and reduces maintenance with far fewer containers to maintain over the life of the project.</w:t>
      </w:r>
    </w:p>
    <w:p>
      <w:pPr>
        <w:spacing w:after="0" w:line="185" w:lineRule="exact"/>
        <w:rPr>
          <w:sz w:val="20"/>
          <w:szCs w:val="20"/>
          <w:color w:val="auto"/>
        </w:rPr>
      </w:pPr>
    </w:p>
    <w:p>
      <w:pPr>
        <w:jc w:val="both"/>
        <w:ind w:right="100" w:firstLine="603"/>
        <w:spacing w:after="0" w:line="298" w:lineRule="auto"/>
        <w:rPr>
          <w:sz w:val="20"/>
          <w:szCs w:val="20"/>
          <w:color w:val="auto"/>
        </w:rPr>
      </w:pPr>
      <w:r>
        <w:rPr>
          <w:rFonts w:ascii="Arial" w:cs="Arial" w:eastAsia="Arial" w:hAnsi="Arial"/>
          <w:sz w:val="15"/>
          <w:szCs w:val="15"/>
          <w:color w:val="auto"/>
        </w:rPr>
        <w:t>The BMS offered in our ESS container provides customers the ability to monitor the performance of the ESS and provides functionality that allows the BMS to fix operational problems inside each individual tray and optimize system performance. The BMS for our ESS container was designed and developed in the U.S. at our Fort Collins, Colorado facility, and with the BMS also being manufactured in the U.S., this will help ensure the security and safety of the U.S. electric grid.</w:t>
      </w:r>
    </w:p>
    <w:p>
      <w:pPr>
        <w:spacing w:after="0" w:line="161" w:lineRule="exact"/>
        <w:rPr>
          <w:sz w:val="20"/>
          <w:szCs w:val="20"/>
          <w:color w:val="auto"/>
        </w:rPr>
      </w:pPr>
    </w:p>
    <w:p>
      <w:pPr>
        <w:ind w:right="60" w:firstLine="603"/>
        <w:spacing w:after="0" w:line="251" w:lineRule="auto"/>
        <w:rPr>
          <w:sz w:val="20"/>
          <w:szCs w:val="20"/>
          <w:color w:val="auto"/>
        </w:rPr>
      </w:pPr>
      <w:r>
        <w:rPr>
          <w:rFonts w:ascii="Arial" w:cs="Arial" w:eastAsia="Arial" w:hAnsi="Arial"/>
          <w:sz w:val="17"/>
          <w:szCs w:val="17"/>
          <w:color w:val="auto"/>
        </w:rPr>
        <w:t>In December 2022, we were awarded a contract to supply a utility-scale 1.2 gigawatt hours (“GWh”) battery ESS project to a customer in the U.S., one of the largest contracts of its kind to date. First deliveries of our ESS containers to this customer are expected to commence in the third quarter of 2023. We expect our ESS container to be a direct beneficiary under section 45X of the Inflation Reduction Act (the “IRA”), which offers a $45 per kilowatt-hour (“kWh”) tax credit. We believe our U.S. customers will also benefit from our cell and module production qualifying as domestic content which will enable them to increase their investment tax credit under the IRA from 30% to 40% of the total project cost.</w:t>
      </w:r>
    </w:p>
    <w:p>
      <w:pPr>
        <w:spacing w:after="0" w:line="246" w:lineRule="exact"/>
        <w:rPr>
          <w:sz w:val="20"/>
          <w:szCs w:val="20"/>
          <w:color w:val="auto"/>
        </w:rPr>
      </w:pPr>
    </w:p>
    <w:p>
      <w:pPr>
        <w:ind w:right="60" w:firstLine="603"/>
        <w:spacing w:after="0" w:line="305" w:lineRule="auto"/>
        <w:rPr>
          <w:sz w:val="20"/>
          <w:szCs w:val="20"/>
          <w:color w:val="auto"/>
        </w:rPr>
      </w:pPr>
      <w:r>
        <w:rPr>
          <w:rFonts w:ascii="Arial" w:cs="Arial" w:eastAsia="Arial" w:hAnsi="Arial"/>
          <w:sz w:val="15"/>
          <w:szCs w:val="15"/>
          <w:color w:val="auto"/>
        </w:rPr>
        <w:t>We expect to be awarded many additional ESS projects due to our technologies’ key benefits listed above. Further, global additions of energy storage in 2022 were 35 GWh and are projected to grow at a 21% CAGR through 2030, with the U.S. and China being the leading individual markets (according to Bloomberg New</w:t>
      </w:r>
    </w:p>
    <w:p>
      <w:pPr>
        <w:spacing w:after="0" w:line="1" w:lineRule="exact"/>
        <w:rPr>
          <w:sz w:val="20"/>
          <w:szCs w:val="20"/>
          <w:color w:val="auto"/>
        </w:rPr>
      </w:pPr>
    </w:p>
    <w:p>
      <w:pPr>
        <w:ind w:right="60"/>
        <w:spacing w:after="0" w:line="313" w:lineRule="auto"/>
        <w:rPr>
          <w:sz w:val="20"/>
          <w:szCs w:val="20"/>
          <w:color w:val="auto"/>
        </w:rPr>
      </w:pPr>
      <w:r>
        <w:rPr>
          <w:rFonts w:ascii="Arial" w:cs="Arial" w:eastAsia="Arial" w:hAnsi="Arial"/>
          <w:sz w:val="16"/>
          <w:szCs w:val="16"/>
          <w:color w:val="auto"/>
        </w:rPr>
        <w:t>Energy Finance (“BNEF”)). Our current focus is the U.S. market where it is estimated that 13.5 GWh of energy storage capacity will have been installed by the end of 2022. Based on research from BNEF, approximately 396 GWh of energy storage capacity will be added by 2030, with approximately 70% of this being for energy shifting applications, which is our target market. This presents an approximately $45 billion market opportunity through 2030.</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Battery Components</w:t>
      </w:r>
    </w:p>
    <w:p>
      <w:pPr>
        <w:spacing w:after="0" w:line="231" w:lineRule="exact"/>
        <w:rPr>
          <w:sz w:val="20"/>
          <w:szCs w:val="20"/>
          <w:color w:val="auto"/>
        </w:rPr>
      </w:pPr>
    </w:p>
    <w:p>
      <w:pPr>
        <w:ind w:firstLine="603"/>
        <w:spacing w:after="0" w:line="293" w:lineRule="auto"/>
        <w:rPr>
          <w:sz w:val="20"/>
          <w:szCs w:val="20"/>
          <w:color w:val="auto"/>
        </w:rPr>
      </w:pPr>
      <w:r>
        <w:rPr>
          <w:rFonts w:ascii="Arial" w:cs="Arial" w:eastAsia="Arial" w:hAnsi="Arial"/>
          <w:sz w:val="15"/>
          <w:szCs w:val="15"/>
          <w:color w:val="auto"/>
        </w:rPr>
        <w:t>As a vertically integrated battery company, we develop and own proprietary intellectual property and know-how relating to the design, development and manufacture of the four critical components of lithium-ion batteries, namely the cathode, anode, electrolyte and separator. This allows us to use these components in our products and market the individual components, such as the cathode or separator, to other lithium-ion battery companies or significant purchasers of lithium-ion batteries, like passenger car OEMs and consumer electronics manufacturers. We believe our most recent developments to the cathode and the separator have resulted in significant and unique proprietary intellectual property, including our full concentration gradient (“FCG”) cathode and polyaramid separator.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100" w:firstLine="603"/>
        <w:spacing w:after="0" w:line="307" w:lineRule="auto"/>
        <w:rPr>
          <w:sz w:val="20"/>
          <w:szCs w:val="20"/>
          <w:color w:val="auto"/>
        </w:rPr>
      </w:pPr>
      <w:r>
        <w:rPr>
          <w:rFonts w:ascii="Arial" w:cs="Arial" w:eastAsia="Arial" w:hAnsi="Arial"/>
          <w:sz w:val="15"/>
          <w:szCs w:val="15"/>
          <w:color w:val="auto"/>
        </w:rPr>
        <w:t>We believe our exclusive polyaramid separator, which includes 26 patented technologies, has significant safety advantages over traditional polyethylene and polypropylene separators, including high mechanical and thermal stabilities, helping to ensure less thermo-induced changes. We believe our exclusive FCG cathode, which includes 33 patented technologies, offers a safer and more reliable solution that increases energy density and minimizes the use of cobalt in the cathode.</w:t>
      </w:r>
    </w:p>
    <w:p>
      <w:pPr>
        <w:spacing w:after="0" w:line="167" w:lineRule="exact"/>
        <w:rPr>
          <w:sz w:val="20"/>
          <w:szCs w:val="20"/>
          <w:color w:val="auto"/>
        </w:rPr>
      </w:pPr>
    </w:p>
    <w:p>
      <w:pPr>
        <w:ind w:firstLine="603"/>
        <w:spacing w:after="0" w:line="266" w:lineRule="auto"/>
        <w:rPr>
          <w:sz w:val="20"/>
          <w:szCs w:val="20"/>
          <w:color w:val="auto"/>
        </w:rPr>
      </w:pPr>
      <w:r>
        <w:rPr>
          <w:rFonts w:ascii="Arial" w:cs="Arial" w:eastAsia="Arial" w:hAnsi="Arial"/>
          <w:sz w:val="16"/>
          <w:szCs w:val="16"/>
          <w:color w:val="auto"/>
        </w:rPr>
        <w:t>In October 2022, we were notified by the U.S. Department of Energy (“DOE”) that we had been selected, in collaboration with General Motors, to receive $200 million in grant funding as part of the DOE's Battery Materials Processing and Battery Manufacturing initiative pursuant to the recently enacted infrastructure law, subject to negotiation of specific terms. Once finalized, the grant funding will remain subject to certain conditions precedent and other terms and conditions to be agreed between us and the DOE. The grant funding is expected to support the construction of a new polyaramid separator manufacturing facility in the U.S. To complete this project, we will need to obtain additional financing. We cannot assure you that such financing will be available on acceptable terms. See “</w:t>
      </w:r>
      <w:r>
        <w:rPr>
          <w:rFonts w:ascii="Arial" w:cs="Arial" w:eastAsia="Arial" w:hAnsi="Arial"/>
          <w:sz w:val="16"/>
          <w:szCs w:val="16"/>
          <w:i w:val="1"/>
          <w:iCs w:val="1"/>
          <w:color w:val="auto"/>
        </w:rPr>
        <w:t>Risks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to Our Business and Industry— We may be unable to meet our future capital requirements and we may require additional capital to support business growth, and this capital might not be available on acceptable terms, or at all</w:t>
      </w:r>
      <w:r>
        <w:rPr>
          <w:rFonts w:ascii="Arial" w:cs="Arial" w:eastAsia="Arial" w:hAnsi="Arial"/>
          <w:sz w:val="16"/>
          <w:szCs w:val="16"/>
          <w:color w:val="auto"/>
        </w:rPr>
        <w:t>” and "</w:t>
      </w:r>
      <w:r>
        <w:rPr>
          <w:rFonts w:ascii="Arial" w:cs="Arial" w:eastAsia="Arial" w:hAnsi="Arial"/>
          <w:sz w:val="16"/>
          <w:szCs w:val="16"/>
          <w:i w:val="1"/>
          <w:iCs w:val="1"/>
          <w:color w:val="auto"/>
        </w:rPr>
        <w:t>Risks Related to Our Business and Industry—Our $200 million grant from the DOE remains subject to negotiation of specific terms, and completion of the project the grant supports will require us to obtain additional financing which may not be available at all or on acceptable terms; continued availability of grant funding is uncertain and contingent on our compliance with the requirements of the grants we have or may receive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Technologies</w:t>
      </w:r>
    </w:p>
    <w:p>
      <w:pPr>
        <w:spacing w:after="0" w:line="273" w:lineRule="exact"/>
        <w:rPr>
          <w:sz w:val="20"/>
          <w:szCs w:val="20"/>
          <w:color w:val="auto"/>
        </w:rPr>
      </w:pPr>
    </w:p>
    <w:p>
      <w:pPr>
        <w:ind w:right="80" w:firstLine="603"/>
        <w:spacing w:after="0" w:line="268" w:lineRule="auto"/>
        <w:rPr>
          <w:sz w:val="20"/>
          <w:szCs w:val="20"/>
          <w:color w:val="auto"/>
        </w:rPr>
      </w:pPr>
      <w:r>
        <w:rPr>
          <w:rFonts w:ascii="Arial" w:cs="Arial" w:eastAsia="Arial" w:hAnsi="Arial"/>
          <w:sz w:val="17"/>
          <w:szCs w:val="17"/>
          <w:color w:val="auto"/>
        </w:rPr>
        <w:t>Since 2008, our objectives and research have been focused on developing innovative battery technologies targeted to provide ultra-fast charging capabilities, long lifespan, high-energy density and safety. Some of the key highlights from our technology portfolio are: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Battery Cell Materials</w:t>
      </w:r>
    </w:p>
    <w:p>
      <w:pPr>
        <w:spacing w:after="0" w:line="269" w:lineRule="exact"/>
        <w:rPr>
          <w:sz w:val="20"/>
          <w:szCs w:val="20"/>
          <w:color w:val="auto"/>
        </w:rPr>
      </w:pPr>
    </w:p>
    <w:p>
      <w:pPr>
        <w:ind w:left="600" w:right="220" w:hanging="298"/>
        <w:spacing w:after="0" w:line="252" w:lineRule="auto"/>
        <w:tabs>
          <w:tab w:leader="none" w:pos="595" w:val="left"/>
        </w:tabs>
        <w:numPr>
          <w:ilvl w:val="0"/>
          <w:numId w:val="7"/>
        </w:numPr>
        <w:rPr>
          <w:rFonts w:ascii="Arial" w:cs="Arial" w:eastAsia="Arial" w:hAnsi="Arial"/>
          <w:sz w:val="19"/>
          <w:szCs w:val="19"/>
          <w:color w:val="auto"/>
        </w:rPr>
      </w:pPr>
      <w:r>
        <w:rPr>
          <w:rFonts w:ascii="Arial" w:cs="Arial" w:eastAsia="Arial" w:hAnsi="Arial"/>
          <w:sz w:val="16"/>
          <w:szCs w:val="16"/>
          <w:i w:val="1"/>
          <w:iCs w:val="1"/>
          <w:color w:val="auto"/>
        </w:rPr>
        <w:t>Polyaramid Separator</w:t>
      </w:r>
      <w:r>
        <w:rPr>
          <w:rFonts w:ascii="Arial" w:cs="Arial" w:eastAsia="Arial" w:hAnsi="Arial"/>
          <w:sz w:val="16"/>
          <w:szCs w:val="16"/>
          <w:color w:val="auto"/>
        </w:rPr>
        <w:t>—Our polyaramid separator, conceived and developed entirely by us, is significantly more stable under heat than traditional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polyethylene separators. Polyaramid is similar to Kevlar, the material that is used in bulletproof vests, and its excellent thermal properties (stable to nearly 300°C in the air) are well known, but we have developed proprietary techniques to form this material into ~10um thick, </w:t>
      </w:r>
      <w:r>
        <w:rPr>
          <w:rFonts w:ascii="Arial" w:cs="Arial" w:eastAsia="Arial" w:hAnsi="Arial"/>
          <w:sz w:val="19"/>
          <w:szCs w:val="19"/>
          <w:color w:val="auto"/>
        </w:rPr>
        <w:t>meters wide and hundreds of</w:t>
      </w:r>
      <w:r>
        <w:rPr>
          <w:rFonts w:ascii="Arial" w:cs="Arial" w:eastAsia="Arial" w:hAnsi="Arial"/>
          <w:sz w:val="16"/>
          <w:szCs w:val="16"/>
          <w:color w:val="auto"/>
        </w:rPr>
        <w:t xml:space="preserve"> </w:t>
      </w:r>
      <w:r>
        <w:rPr>
          <w:rFonts w:ascii="Arial" w:cs="Arial" w:eastAsia="Arial" w:hAnsi="Arial"/>
          <w:sz w:val="19"/>
          <w:szCs w:val="19"/>
          <w:color w:val="auto"/>
        </w:rPr>
        <w:t xml:space="preserve">meters </w:t>
      </w:r>
      <w:r>
        <w:rPr>
          <w:rFonts w:ascii="Arial" w:cs="Arial" w:eastAsia="Arial" w:hAnsi="Arial"/>
          <w:sz w:val="15"/>
          <w:szCs w:val="15"/>
          <w:color w:val="auto"/>
        </w:rPr>
        <w:t>long porous separator material that is suited for lithium-ion batteries. The project manager from one of the big three OEMs has described this</w:t>
      </w:r>
      <w:r>
        <w:rPr>
          <w:rFonts w:ascii="Arial" w:cs="Arial" w:eastAsia="Arial" w:hAnsi="Arial"/>
          <w:sz w:val="19"/>
          <w:szCs w:val="19"/>
          <w:color w:val="auto"/>
        </w:rPr>
        <w:t xml:space="preserve"> </w:t>
      </w:r>
      <w:r>
        <w:rPr>
          <w:rFonts w:ascii="Arial" w:cs="Arial" w:eastAsia="Arial" w:hAnsi="Arial"/>
          <w:sz w:val="15"/>
          <w:szCs w:val="15"/>
          <w:color w:val="auto"/>
        </w:rPr>
        <w:t>technology as “the greatest breakthrough in lithium-ion battery separator technology in 20 years.”</w:t>
      </w:r>
    </w:p>
    <w:p>
      <w:pPr>
        <w:spacing w:after="0" w:line="18" w:lineRule="exact"/>
        <w:rPr>
          <w:rFonts w:ascii="Arial" w:cs="Arial" w:eastAsia="Arial" w:hAnsi="Arial"/>
          <w:sz w:val="19"/>
          <w:szCs w:val="19"/>
          <w:color w:val="auto"/>
        </w:rPr>
      </w:pPr>
    </w:p>
    <w:p>
      <w:pPr>
        <w:ind w:left="600" w:right="220" w:hanging="298"/>
        <w:spacing w:after="0" w:line="237" w:lineRule="auto"/>
        <w:tabs>
          <w:tab w:leader="none" w:pos="595" w:val="left"/>
        </w:tabs>
        <w:numPr>
          <w:ilvl w:val="0"/>
          <w:numId w:val="7"/>
        </w:numPr>
        <w:rPr>
          <w:rFonts w:ascii="Arial" w:cs="Arial" w:eastAsia="Arial" w:hAnsi="Arial"/>
          <w:sz w:val="20"/>
          <w:szCs w:val="20"/>
          <w:color w:val="auto"/>
        </w:rPr>
      </w:pPr>
      <w:r>
        <w:rPr>
          <w:rFonts w:ascii="Arial" w:cs="Arial" w:eastAsia="Arial" w:hAnsi="Arial"/>
          <w:sz w:val="17"/>
          <w:szCs w:val="17"/>
          <w:i w:val="1"/>
          <w:iCs w:val="1"/>
          <w:color w:val="auto"/>
        </w:rPr>
        <w:t>LTO</w:t>
      </w:r>
      <w:r>
        <w:rPr>
          <w:rFonts w:ascii="Arial" w:cs="Arial" w:eastAsia="Arial" w:hAnsi="Arial"/>
          <w:sz w:val="17"/>
          <w:szCs w:val="17"/>
          <w:color w:val="auto"/>
        </w:rPr>
        <w:t>—Our lithium titanate oxide (“LTO”) powder is specifically manufactured to promote high power operation, making it ideal for ultra-fast-charging</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applications. LTO is a safer lithium-ion battery anode material because it is one of the only anode materials inherently stable against traditional lithium-ion electrolytes.</w:t>
      </w:r>
    </w:p>
    <w:p>
      <w:pPr>
        <w:spacing w:after="0" w:line="27" w:lineRule="exact"/>
        <w:rPr>
          <w:rFonts w:ascii="Arial" w:cs="Arial" w:eastAsia="Arial" w:hAnsi="Arial"/>
          <w:sz w:val="20"/>
          <w:szCs w:val="20"/>
          <w:color w:val="auto"/>
        </w:rPr>
      </w:pPr>
    </w:p>
    <w:p>
      <w:pPr>
        <w:ind w:left="600" w:right="60" w:hanging="298"/>
        <w:spacing w:after="0" w:line="258" w:lineRule="auto"/>
        <w:tabs>
          <w:tab w:leader="none" w:pos="595" w:val="left"/>
        </w:tabs>
        <w:numPr>
          <w:ilvl w:val="0"/>
          <w:numId w:val="7"/>
        </w:numPr>
        <w:rPr>
          <w:rFonts w:ascii="Arial" w:cs="Arial" w:eastAsia="Arial" w:hAnsi="Arial"/>
          <w:sz w:val="19"/>
          <w:szCs w:val="19"/>
          <w:color w:val="auto"/>
        </w:rPr>
      </w:pPr>
      <w:r>
        <w:rPr>
          <w:rFonts w:ascii="Arial" w:cs="Arial" w:eastAsia="Arial" w:hAnsi="Arial"/>
          <w:sz w:val="16"/>
          <w:szCs w:val="16"/>
          <w:i w:val="1"/>
          <w:iCs w:val="1"/>
          <w:color w:val="auto"/>
        </w:rPr>
        <w:t>FCG Cathode</w:t>
      </w:r>
      <w:r>
        <w:rPr>
          <w:rFonts w:ascii="Arial" w:cs="Arial" w:eastAsia="Arial" w:hAnsi="Arial"/>
          <w:sz w:val="16"/>
          <w:szCs w:val="16"/>
          <w:color w:val="auto"/>
        </w:rPr>
        <w:t>—Our FCG cathode was licensed from Argonne National Labs in 2017. Since then, we have developed significant, flexible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know-how to produce the material with minimal cost increases compared to normal NMC materials. We have found that by controlling the concentration of metals within a particle, the material’s safety can be enhanced. This is because the gradient is a designer cathode, meaning the material design can be tailored for specific end uses and cells/customers can receive a unique material product tailored to their needs. This customization makes the technology well suited for ultra-fast charging and low-cost advanced lithium-ion cells. We believe this technology is especially well suited going forward for the development of materials that greatly reduce or eliminate cobalt from the cathode.</w:t>
      </w:r>
    </w:p>
    <w:p>
      <w:pPr>
        <w:spacing w:after="0" w:line="18" w:lineRule="exact"/>
        <w:rPr>
          <w:rFonts w:ascii="Arial" w:cs="Arial" w:eastAsia="Arial" w:hAnsi="Arial"/>
          <w:sz w:val="19"/>
          <w:szCs w:val="19"/>
          <w:color w:val="auto"/>
        </w:rPr>
      </w:pPr>
    </w:p>
    <w:p>
      <w:pPr>
        <w:ind w:left="600" w:right="60" w:hanging="298"/>
        <w:spacing w:after="0" w:line="241" w:lineRule="auto"/>
        <w:tabs>
          <w:tab w:leader="none" w:pos="595" w:val="left"/>
        </w:tabs>
        <w:numPr>
          <w:ilvl w:val="0"/>
          <w:numId w:val="7"/>
        </w:numPr>
        <w:rPr>
          <w:rFonts w:ascii="Arial" w:cs="Arial" w:eastAsia="Arial" w:hAnsi="Arial"/>
          <w:sz w:val="20"/>
          <w:szCs w:val="20"/>
          <w:color w:val="auto"/>
        </w:rPr>
      </w:pPr>
      <w:r>
        <w:rPr>
          <w:rFonts w:ascii="Arial" w:cs="Arial" w:eastAsia="Arial" w:hAnsi="Arial"/>
          <w:sz w:val="17"/>
          <w:szCs w:val="17"/>
          <w:i w:val="1"/>
          <w:iCs w:val="1"/>
          <w:color w:val="auto"/>
        </w:rPr>
        <w:t>Non-Flammable Electrolyte</w:t>
      </w:r>
      <w:r>
        <w:rPr>
          <w:rFonts w:ascii="Arial" w:cs="Arial" w:eastAsia="Arial" w:hAnsi="Arial"/>
          <w:sz w:val="17"/>
          <w:szCs w:val="17"/>
          <w:color w:val="auto"/>
        </w:rPr>
        <w:t>—Since lithium-ion batteries typically use flammable organic solvents, they have the potential, under certain conditions, to catch</w:t>
      </w:r>
      <w:r>
        <w:rPr>
          <w:rFonts w:ascii="Arial" w:cs="Arial" w:eastAsia="Arial" w:hAnsi="Arial"/>
          <w:sz w:val="17"/>
          <w:szCs w:val="17"/>
          <w:i w:val="1"/>
          <w:iCs w:val="1"/>
          <w:color w:val="auto"/>
        </w:rPr>
        <w:t xml:space="preserve"> </w:t>
      </w:r>
      <w:r>
        <w:rPr>
          <w:rFonts w:ascii="Arial" w:cs="Arial" w:eastAsia="Arial" w:hAnsi="Arial"/>
          <w:sz w:val="17"/>
          <w:szCs w:val="17"/>
          <w:color w:val="auto"/>
        </w:rPr>
        <w:t>fire. Our technology, protected through patents and trade secrets, will not catch fire even if a flame is directly brought in contact with a cup of the electrolyte formulation. We believe that the use of our electrolyte greatly slows, and in some cases can entirely stop, a lithium-ion cell from catching fire. Reducing the flammability of lithium-ion cells is an important safety feature that we believe will become more valued as the market pushes towards ever higher, and hence less stable, energy density cells.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Cell Chemistry</w:t>
      </w:r>
    </w:p>
    <w:p>
      <w:pPr>
        <w:spacing w:after="0" w:line="269" w:lineRule="exact"/>
        <w:rPr>
          <w:sz w:val="20"/>
          <w:szCs w:val="20"/>
          <w:color w:val="auto"/>
        </w:rPr>
      </w:pPr>
    </w:p>
    <w:p>
      <w:pPr>
        <w:ind w:left="600" w:right="120" w:hanging="298"/>
        <w:spacing w:after="0" w:line="239" w:lineRule="auto"/>
        <w:tabs>
          <w:tab w:leader="none" w:pos="595" w:val="left"/>
        </w:tabs>
        <w:numPr>
          <w:ilvl w:val="0"/>
          <w:numId w:val="8"/>
        </w:numPr>
        <w:rPr>
          <w:rFonts w:ascii="Arial" w:cs="Arial" w:eastAsia="Arial" w:hAnsi="Arial"/>
          <w:sz w:val="20"/>
          <w:szCs w:val="20"/>
          <w:color w:val="auto"/>
        </w:rPr>
      </w:pPr>
      <w:r>
        <w:rPr>
          <w:rFonts w:ascii="Arial" w:cs="Arial" w:eastAsia="Arial" w:hAnsi="Arial"/>
          <w:sz w:val="17"/>
          <w:szCs w:val="17"/>
          <w:i w:val="1"/>
          <w:iCs w:val="1"/>
          <w:color w:val="auto"/>
        </w:rPr>
        <w:t>LTO</w:t>
      </w:r>
      <w:r>
        <w:rPr>
          <w:rFonts w:ascii="Arial" w:cs="Arial" w:eastAsia="Arial" w:hAnsi="Arial"/>
          <w:sz w:val="17"/>
          <w:szCs w:val="17"/>
          <w:color w:val="auto"/>
        </w:rPr>
        <w:t>—LTO is used in place of the typical graphite on the anode. LTO greatly enhances the lithium-ion cell’s safety and fast charge ability, at the cost of some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density. As compared to a majority of our carbon anode competitors, our cells using LTO have an exceptional lifespan, lasting up to 20 times longer. Our cells using LTO have successfully addressed a key problem for the technology, cell gassing, which degrades battery performance. By eliminating the gas generation during cycling, our cells can have a long lifespan.</w:t>
      </w:r>
    </w:p>
    <w:p>
      <w:pPr>
        <w:spacing w:after="0" w:line="28" w:lineRule="exact"/>
        <w:rPr>
          <w:rFonts w:ascii="Arial" w:cs="Arial" w:eastAsia="Arial" w:hAnsi="Arial"/>
          <w:sz w:val="20"/>
          <w:szCs w:val="20"/>
          <w:color w:val="auto"/>
        </w:rPr>
      </w:pPr>
    </w:p>
    <w:p>
      <w:pPr>
        <w:ind w:left="600" w:hanging="298"/>
        <w:spacing w:after="0" w:line="257" w:lineRule="auto"/>
        <w:tabs>
          <w:tab w:leader="none" w:pos="595" w:val="left"/>
        </w:tabs>
        <w:numPr>
          <w:ilvl w:val="0"/>
          <w:numId w:val="8"/>
        </w:numPr>
        <w:rPr>
          <w:rFonts w:ascii="Arial" w:cs="Arial" w:eastAsia="Arial" w:hAnsi="Arial"/>
          <w:sz w:val="19"/>
          <w:szCs w:val="19"/>
          <w:color w:val="auto"/>
        </w:rPr>
      </w:pPr>
      <w:r>
        <w:rPr>
          <w:rFonts w:ascii="Arial" w:cs="Arial" w:eastAsia="Arial" w:hAnsi="Arial"/>
          <w:sz w:val="16"/>
          <w:szCs w:val="16"/>
          <w:i w:val="1"/>
          <w:iCs w:val="1"/>
          <w:color w:val="auto"/>
        </w:rPr>
        <w:t>NMC</w:t>
      </w:r>
      <w:r>
        <w:rPr>
          <w:rFonts w:ascii="Arial" w:cs="Arial" w:eastAsia="Arial" w:hAnsi="Arial"/>
          <w:sz w:val="16"/>
          <w:szCs w:val="16"/>
          <w:color w:val="auto"/>
        </w:rPr>
        <w:t>—Applications requiring higher energy cell density today must be built using the layered metal oxide crystal structure (which includes NMC, nickel</w:t>
      </w:r>
      <w:r>
        <w:rPr>
          <w:rFonts w:ascii="Arial" w:cs="Arial" w:eastAsia="Arial" w:hAnsi="Arial"/>
          <w:sz w:val="16"/>
          <w:szCs w:val="16"/>
          <w:i w:val="1"/>
          <w:iCs w:val="1"/>
          <w:color w:val="auto"/>
        </w:rPr>
        <w:t xml:space="preserve"> </w:t>
      </w:r>
      <w:r>
        <w:rPr>
          <w:rFonts w:ascii="Arial" w:cs="Arial" w:eastAsia="Arial" w:hAnsi="Arial"/>
          <w:sz w:val="16"/>
          <w:szCs w:val="16"/>
          <w:color w:val="auto"/>
        </w:rPr>
        <w:t>cobalt aluminum, and nickel cobalt manganese aluminum). Our cells based on this chemistry have excellent cycle performance, as demonstrated by our cells being able to complete thousands of constant current charge cycles before losing performance compared to cells produced by certain of our competitors, which we contribute to our better understanding of the various cell materials from our vertical integration structure. Through our control of the cathode and separator technologies, we expect our NMC cells will have a lower total cost of ownership and enhanced safety compared to many of our competitors’ products. Microvast cells using NMC technology have been third-party evaluated by various U.S. National Labs and by Technischer Überwachungsverein (Technical Inspection Association), confirming our claims to performance. The high energy 53.5Ah cell is our latest product offering from our long history of developing and manufacturing NMC cell technologies.</w:t>
      </w:r>
    </w:p>
    <w:p>
      <w:pPr>
        <w:spacing w:after="0" w:line="5" w:lineRule="exact"/>
        <w:rPr>
          <w:rFonts w:ascii="Arial" w:cs="Arial" w:eastAsia="Arial" w:hAnsi="Arial"/>
          <w:sz w:val="19"/>
          <w:szCs w:val="19"/>
          <w:color w:val="auto"/>
        </w:rPr>
      </w:pPr>
    </w:p>
    <w:p>
      <w:pPr>
        <w:ind w:left="600" w:right="260" w:hanging="298"/>
        <w:spacing w:after="0" w:line="269"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LFP—One of the safest cathode options, lithium iron phosphate (“LFP”), is manufactured from lower-cost materials, making it more affordable than NMC cells, though in recent times this cost advantage has been somewhat eroded due to the significant increases in the price of lithium, which is used in higher quantities in a LFP cell compared to a NMC cell. Our LFP cells were developed at the behest of a Chinese OEM, and we believe that our technology was selected over one of the biggest battery companies in the world because our performance and price were superior.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Benefits of our Technology and Applications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believe our technologies and battery systems offer the following advantages:</w:t>
      </w:r>
    </w:p>
    <w:p>
      <w:pPr>
        <w:spacing w:after="0" w:line="269" w:lineRule="exact"/>
        <w:rPr>
          <w:sz w:val="20"/>
          <w:szCs w:val="20"/>
          <w:color w:val="auto"/>
        </w:rPr>
      </w:pPr>
    </w:p>
    <w:p>
      <w:pPr>
        <w:ind w:left="600" w:right="120" w:hanging="298"/>
        <w:spacing w:after="0" w:line="316" w:lineRule="auto"/>
        <w:tabs>
          <w:tab w:leader="none" w:pos="595" w:val="left"/>
        </w:tabs>
        <w:numPr>
          <w:ilvl w:val="0"/>
          <w:numId w:val="9"/>
        </w:numPr>
        <w:rPr>
          <w:rFonts w:ascii="Arial" w:cs="Arial" w:eastAsia="Arial" w:hAnsi="Arial"/>
          <w:sz w:val="18"/>
          <w:szCs w:val="18"/>
          <w:color w:val="auto"/>
        </w:rPr>
      </w:pPr>
      <w:r>
        <w:rPr>
          <w:rFonts w:ascii="Arial" w:cs="Arial" w:eastAsia="Arial" w:hAnsi="Arial"/>
          <w:sz w:val="15"/>
          <w:szCs w:val="15"/>
          <w:i w:val="1"/>
          <w:iCs w:val="1"/>
          <w:color w:val="auto"/>
        </w:rPr>
        <w:t>Tailored Battery Solutions</w:t>
      </w:r>
      <w:r>
        <w:rPr>
          <w:rFonts w:ascii="Arial" w:cs="Arial" w:eastAsia="Arial" w:hAnsi="Arial"/>
          <w:sz w:val="15"/>
          <w:szCs w:val="15"/>
          <w:color w:val="auto"/>
        </w:rPr>
        <w:t>. Our history of conducting research into lithium-ion batteries has allowed us to develop and commercialize a broad range of cell</w:t>
      </w:r>
      <w:r>
        <w:rPr>
          <w:rFonts w:ascii="Arial" w:cs="Arial" w:eastAsia="Arial" w:hAnsi="Arial"/>
          <w:sz w:val="15"/>
          <w:szCs w:val="15"/>
          <w:i w:val="1"/>
          <w:iCs w:val="1"/>
          <w:color w:val="auto"/>
        </w:rPr>
        <w:t xml:space="preserve"> </w:t>
      </w:r>
      <w:r>
        <w:rPr>
          <w:rFonts w:ascii="Arial" w:cs="Arial" w:eastAsia="Arial" w:hAnsi="Arial"/>
          <w:sz w:val="15"/>
          <w:szCs w:val="15"/>
          <w:color w:val="auto"/>
        </w:rPr>
        <w:t>chemistries, including LTO, LFP, nickel manganese cobalt version 1 (“NMC-1”) and nickel manganese cobalt version 2 (“NMC-2”). This broad spectrum of lithium-ion cell technologies allows us to tailor our product offering to suit each customer’s needs. We are then able to take their preferred cell chemistry and</w:t>
      </w:r>
    </w:p>
    <w:p>
      <w:pPr>
        <w:spacing w:after="0" w:line="1" w:lineRule="exact"/>
        <w:rPr>
          <w:rFonts w:ascii="Arial" w:cs="Arial" w:eastAsia="Arial" w:hAnsi="Arial"/>
          <w:sz w:val="18"/>
          <w:szCs w:val="18"/>
          <w:color w:val="auto"/>
        </w:rPr>
      </w:pPr>
    </w:p>
    <w:p>
      <w:pPr>
        <w:ind w:left="600" w:right="40"/>
        <w:spacing w:after="0" w:line="253" w:lineRule="auto"/>
        <w:rPr>
          <w:rFonts w:ascii="Arial" w:cs="Arial" w:eastAsia="Arial" w:hAnsi="Arial"/>
          <w:sz w:val="18"/>
          <w:szCs w:val="18"/>
          <w:color w:val="auto"/>
        </w:rPr>
      </w:pPr>
      <w:r>
        <w:rPr>
          <w:rFonts w:ascii="Arial" w:cs="Arial" w:eastAsia="Arial" w:hAnsi="Arial"/>
          <w:sz w:val="17"/>
          <w:szCs w:val="17"/>
          <w:color w:val="auto"/>
        </w:rPr>
        <w:t>integrate it into our modules and packs, which are designed to maximize the performance of each Microvast cell technology. As a result, we have battery solutions for any commercial vehicle application, including light, medium, and heavy-duty trucks, buses, trains, mining trucks, marine and port vehicles, automated guided and specialty vehicles. In some cases, BMS and installation may be provided to the customer. The BMS monitors the battery, improving the safety and thermal control, which enhances the battery system lifespan and cost-efficiency.</w:t>
      </w:r>
    </w:p>
    <w:p>
      <w:pPr>
        <w:spacing w:after="0" w:line="242" w:lineRule="exact"/>
        <w:rPr>
          <w:rFonts w:ascii="Arial" w:cs="Arial" w:eastAsia="Arial" w:hAnsi="Arial"/>
          <w:sz w:val="18"/>
          <w:szCs w:val="18"/>
          <w:color w:val="auto"/>
        </w:rPr>
      </w:pPr>
    </w:p>
    <w:p>
      <w:pPr>
        <w:ind w:left="600" w:right="60" w:hanging="298"/>
        <w:spacing w:after="0" w:line="278" w:lineRule="auto"/>
        <w:tabs>
          <w:tab w:leader="none" w:pos="595" w:val="left"/>
        </w:tabs>
        <w:numPr>
          <w:ilvl w:val="0"/>
          <w:numId w:val="9"/>
        </w:numPr>
        <w:rPr>
          <w:rFonts w:ascii="Arial" w:cs="Arial" w:eastAsia="Arial" w:hAnsi="Arial"/>
          <w:sz w:val="18"/>
          <w:szCs w:val="18"/>
          <w:color w:val="auto"/>
        </w:rPr>
      </w:pPr>
      <w:r>
        <w:rPr>
          <w:rFonts w:ascii="Arial" w:cs="Arial" w:eastAsia="Arial" w:hAnsi="Arial"/>
          <w:sz w:val="15"/>
          <w:szCs w:val="15"/>
          <w:i w:val="1"/>
          <w:iCs w:val="1"/>
          <w:color w:val="auto"/>
        </w:rPr>
        <w:t>Ultra-Fast Charging Capability</w:t>
      </w:r>
      <w:r>
        <w:rPr>
          <w:rFonts w:ascii="Arial" w:cs="Arial" w:eastAsia="Arial" w:hAnsi="Arial"/>
          <w:sz w:val="15"/>
          <w:szCs w:val="15"/>
          <w:color w:val="auto"/>
        </w:rPr>
        <w:t>. Depending on the selected battery chemistry, we can offer battery solutions that can be fully charged in as little as 10 to 30</w:t>
      </w:r>
      <w:r>
        <w:rPr>
          <w:rFonts w:ascii="Arial" w:cs="Arial" w:eastAsia="Arial" w:hAnsi="Arial"/>
          <w:sz w:val="15"/>
          <w:szCs w:val="15"/>
          <w:i w:val="1"/>
          <w:iCs w:val="1"/>
          <w:color w:val="auto"/>
        </w:rPr>
        <w:t xml:space="preserve"> </w:t>
      </w:r>
      <w:r>
        <w:rPr>
          <w:rFonts w:ascii="Arial" w:cs="Arial" w:eastAsia="Arial" w:hAnsi="Arial"/>
          <w:sz w:val="15"/>
          <w:szCs w:val="15"/>
          <w:color w:val="auto"/>
        </w:rPr>
        <w:t>minutes, significantly faster than commonly used battery systems. The ultra-fast charging capabilities of our battery systems significantly enhance electric vehicle mobility, and we believe our solutions have the potential to accelerate consumer adoption of electric vehicles. Our latest-generation LTO cells can be fully charged within 10 minutes while providing an energy density of up to 180 watt-hours per liter (“Wh/l”) and 95 watt-hours per kilogram (“Wh/kg”). These ultra-fast charging capabilities and long battery life can meet the diverse vehicle design requirements of our OEM customers. Our NMC-2 products can</w:t>
      </w:r>
    </w:p>
    <w:p>
      <w:pPr>
        <w:spacing w:after="0" w:line="2" w:lineRule="exact"/>
        <w:rPr>
          <w:rFonts w:ascii="Arial" w:cs="Arial" w:eastAsia="Arial" w:hAnsi="Arial"/>
          <w:sz w:val="18"/>
          <w:szCs w:val="18"/>
          <w:color w:val="auto"/>
        </w:rPr>
      </w:pPr>
    </w:p>
    <w:p>
      <w:pPr>
        <w:ind w:left="600" w:right="200"/>
        <w:spacing w:after="0" w:line="335" w:lineRule="auto"/>
        <w:rPr>
          <w:rFonts w:ascii="Arial" w:cs="Arial" w:eastAsia="Arial" w:hAnsi="Arial"/>
          <w:sz w:val="18"/>
          <w:szCs w:val="18"/>
          <w:color w:val="auto"/>
        </w:rPr>
      </w:pPr>
      <w:r>
        <w:rPr>
          <w:rFonts w:ascii="Arial" w:cs="Arial" w:eastAsia="Arial" w:hAnsi="Arial"/>
          <w:sz w:val="15"/>
          <w:szCs w:val="15"/>
          <w:color w:val="auto"/>
        </w:rPr>
        <w:t>be fully charged within 30 minutes, providing higher energy density of more than 220Wh/kg. Ultra-Fast charging capabilities are a critical performance criterion for our commercial vehicle business while cells with higher energy densities are important to both electric commercial vehicle and ESS customers.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00" w:right="140" w:hanging="298"/>
        <w:spacing w:after="0" w:line="241" w:lineRule="auto"/>
        <w:tabs>
          <w:tab w:leader="none" w:pos="595" w:val="left"/>
        </w:tabs>
        <w:numPr>
          <w:ilvl w:val="0"/>
          <w:numId w:val="10"/>
        </w:numPr>
        <w:rPr>
          <w:rFonts w:ascii="Arial" w:cs="Arial" w:eastAsia="Arial" w:hAnsi="Arial"/>
          <w:sz w:val="20"/>
          <w:szCs w:val="20"/>
          <w:color w:val="auto"/>
        </w:rPr>
      </w:pPr>
      <w:r>
        <w:rPr>
          <w:rFonts w:ascii="Arial" w:cs="Arial" w:eastAsia="Arial" w:hAnsi="Arial"/>
          <w:sz w:val="17"/>
          <w:szCs w:val="17"/>
          <w:i w:val="1"/>
          <w:iCs w:val="1"/>
          <w:color w:val="auto"/>
        </w:rPr>
        <w:t>Long Battery Lifespan</w:t>
      </w:r>
      <w:r>
        <w:rPr>
          <w:rFonts w:ascii="Arial" w:cs="Arial" w:eastAsia="Arial" w:hAnsi="Arial"/>
          <w:sz w:val="17"/>
          <w:szCs w:val="17"/>
          <w:color w:val="auto"/>
        </w:rPr>
        <w:t>. We can offer battery solutions with a lifespan of between 2,500 and 20,000 full charge/discharge cycles. The longer battery lifespan</w:t>
      </w:r>
      <w:r>
        <w:rPr>
          <w:rFonts w:ascii="Arial" w:cs="Arial" w:eastAsia="Arial" w:hAnsi="Arial"/>
          <w:sz w:val="17"/>
          <w:szCs w:val="17"/>
          <w:i w:val="1"/>
          <w:iCs w:val="1"/>
          <w:color w:val="auto"/>
        </w:rPr>
        <w:t xml:space="preserve"> </w:t>
      </w:r>
      <w:r>
        <w:rPr>
          <w:rFonts w:ascii="Arial" w:cs="Arial" w:eastAsia="Arial" w:hAnsi="Arial"/>
          <w:sz w:val="17"/>
          <w:szCs w:val="17"/>
          <w:color w:val="auto"/>
        </w:rPr>
        <w:t>enables our battery systems’ useful life to match the life of the vehicles or energy storage projects in which our systems are installed, avoiding the need to replace the battery and thereby lowering our customers’ total cost of ownership. For example, our LTO batteries retain 90% of their initial capacity after approximately 10,300 full charge/discharge cycles, according to a test report produced by the Warwick Manufacturing Group, an academic department at the University of Warwick in the United Kingdom (the “U.K.”).</w:t>
      </w:r>
    </w:p>
    <w:p>
      <w:pPr>
        <w:spacing w:after="0" w:line="251" w:lineRule="exact"/>
        <w:rPr>
          <w:rFonts w:ascii="Arial" w:cs="Arial" w:eastAsia="Arial" w:hAnsi="Arial"/>
          <w:sz w:val="20"/>
          <w:szCs w:val="20"/>
          <w:color w:val="auto"/>
        </w:rPr>
      </w:pPr>
    </w:p>
    <w:p>
      <w:pPr>
        <w:ind w:left="600" w:right="40" w:hanging="298"/>
        <w:spacing w:after="0" w:line="260" w:lineRule="auto"/>
        <w:tabs>
          <w:tab w:leader="none" w:pos="595" w:val="left"/>
        </w:tabs>
        <w:numPr>
          <w:ilvl w:val="0"/>
          <w:numId w:val="10"/>
        </w:numPr>
        <w:rPr>
          <w:rFonts w:ascii="Arial" w:cs="Arial" w:eastAsia="Arial" w:hAnsi="Arial"/>
          <w:sz w:val="19"/>
          <w:szCs w:val="19"/>
          <w:color w:val="auto"/>
        </w:rPr>
      </w:pPr>
      <w:r>
        <w:rPr>
          <w:rFonts w:ascii="Arial" w:cs="Arial" w:eastAsia="Arial" w:hAnsi="Arial"/>
          <w:sz w:val="16"/>
          <w:szCs w:val="16"/>
          <w:i w:val="1"/>
          <w:iCs w:val="1"/>
          <w:color w:val="auto"/>
        </w:rPr>
        <w:t>Enhanced Margin of Safety</w:t>
      </w:r>
      <w:r>
        <w:rPr>
          <w:rFonts w:ascii="Arial" w:cs="Arial" w:eastAsia="Arial" w:hAnsi="Arial"/>
          <w:sz w:val="16"/>
          <w:szCs w:val="16"/>
          <w:color w:val="auto"/>
        </w:rPr>
        <w:t>. Drawing from an intellectual property library that took over a decade to develop, we work to increase the margin of safety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beginning with the initial design and continuing through the use of carefully selected battery components. We believe our LTO battery is inherently safer than other battery chemistries, due to its thermal stability, ability to operate in a broad range of temperatures, and a lower risk of internal short circuits and fire-related hazards. For products demanding higher energy densities, our in-house manufactured battery components, polyaramid separator, non-flammable electrolyte and FCG cathode individually or collectively are being implemented in certain current and future products to improve product safety. Our in-depth knowledge of how these battery components interact with each other in the battery cell is utilized in the design and development of our products, enhancing our product margins.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Strategies</w:t>
      </w:r>
    </w:p>
    <w:p>
      <w:pPr>
        <w:spacing w:after="0" w:line="22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strategic objective is to generate long-term value for our stakeholders. To achieve this goal, we intend to focus on the following:</w:t>
      </w:r>
    </w:p>
    <w:p>
      <w:pPr>
        <w:spacing w:after="0" w:line="269" w:lineRule="exact"/>
        <w:rPr>
          <w:sz w:val="20"/>
          <w:szCs w:val="20"/>
          <w:color w:val="auto"/>
        </w:rPr>
      </w:pPr>
    </w:p>
    <w:p>
      <w:pPr>
        <w:ind w:left="600" w:hanging="298"/>
        <w:spacing w:after="0" w:line="279" w:lineRule="auto"/>
        <w:tabs>
          <w:tab w:leader="none" w:pos="595" w:val="left"/>
        </w:tabs>
        <w:numPr>
          <w:ilvl w:val="0"/>
          <w:numId w:val="11"/>
        </w:numPr>
        <w:rPr>
          <w:rFonts w:ascii="Arial" w:cs="Arial" w:eastAsia="Arial" w:hAnsi="Arial"/>
          <w:sz w:val="18"/>
          <w:szCs w:val="18"/>
          <w:color w:val="auto"/>
        </w:rPr>
      </w:pPr>
      <w:r>
        <w:rPr>
          <w:rFonts w:ascii="Arial" w:cs="Arial" w:eastAsia="Arial" w:hAnsi="Arial"/>
          <w:sz w:val="15"/>
          <w:szCs w:val="15"/>
          <w:i w:val="1"/>
          <w:iCs w:val="1"/>
          <w:color w:val="auto"/>
        </w:rPr>
        <w:t xml:space="preserve">Grow our ESS capabilities to help solve energy transition needs. </w:t>
      </w:r>
      <w:r>
        <w:rPr>
          <w:rFonts w:ascii="Arial" w:cs="Arial" w:eastAsia="Arial" w:hAnsi="Arial"/>
          <w:sz w:val="15"/>
          <w:szCs w:val="15"/>
          <w:color w:val="auto"/>
        </w:rPr>
        <w:t>We have developed, and are continuing to develop, a broad range of battery technologies that</w:t>
      </w:r>
      <w:r>
        <w:rPr>
          <w:rFonts w:ascii="Arial" w:cs="Arial" w:eastAsia="Arial" w:hAnsi="Arial"/>
          <w:sz w:val="15"/>
          <w:szCs w:val="15"/>
          <w:i w:val="1"/>
          <w:iCs w:val="1"/>
          <w:color w:val="auto"/>
        </w:rPr>
        <w:t xml:space="preserve"> </w:t>
      </w:r>
      <w:r>
        <w:rPr>
          <w:rFonts w:ascii="Arial" w:cs="Arial" w:eastAsia="Arial" w:hAnsi="Arial"/>
          <w:sz w:val="15"/>
          <w:szCs w:val="15"/>
          <w:color w:val="auto"/>
        </w:rPr>
        <w:t>will enable the transition to meet energy needs from clean and renewable sources. Our growth strategy includes leveraging our technology and industry expertise to gain market share and play a key part in decarbonization and mitigating climate change. We intend to further develop our line of ESS solutions and services globally. So far, we have primarily sold our battery solutions to OEMs for use in electric commercial vehicles and other specialty vehicles. We are now seeing considerable interest for our battery systems from operators and developers of renewable energy projects, including as energy storage for renewable energy generators and utility grids and for frequency regulation. The energy storage market offers significant growth potential, and we plan to focus our efforts in the near term on the development of our ESS container utilizing our 53.5Ah cell technology.</w:t>
      </w:r>
    </w:p>
    <w:p>
      <w:pPr>
        <w:spacing w:after="0" w:line="188" w:lineRule="exact"/>
        <w:rPr>
          <w:rFonts w:ascii="Arial" w:cs="Arial" w:eastAsia="Arial" w:hAnsi="Arial"/>
          <w:sz w:val="18"/>
          <w:szCs w:val="18"/>
          <w:color w:val="auto"/>
        </w:rPr>
      </w:pPr>
    </w:p>
    <w:p>
      <w:pPr>
        <w:ind w:left="600" w:right="120" w:hanging="298"/>
        <w:spacing w:after="0" w:line="249" w:lineRule="auto"/>
        <w:tabs>
          <w:tab w:leader="none" w:pos="59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Continue our focus on shifting operations to Europe and the U.S. </w:t>
      </w:r>
      <w:r>
        <w:rPr>
          <w:rFonts w:ascii="Arial" w:cs="Arial" w:eastAsia="Arial" w:hAnsi="Arial"/>
          <w:sz w:val="17"/>
          <w:szCs w:val="17"/>
          <w:color w:val="auto"/>
        </w:rPr>
        <w:t>Initially, customer demand for battery solutions for electric commercial vehicles was</w:t>
      </w:r>
      <w:r>
        <w:rPr>
          <w:rFonts w:ascii="Arial" w:cs="Arial" w:eastAsia="Arial" w:hAnsi="Arial"/>
          <w:sz w:val="17"/>
          <w:szCs w:val="17"/>
          <w:i w:val="1"/>
          <w:iCs w:val="1"/>
          <w:color w:val="auto"/>
        </w:rPr>
        <w:t xml:space="preserve"> </w:t>
      </w:r>
      <w:r>
        <w:rPr>
          <w:rFonts w:ascii="Arial" w:cs="Arial" w:eastAsia="Arial" w:hAnsi="Arial"/>
          <w:sz w:val="17"/>
          <w:szCs w:val="17"/>
          <w:color w:val="auto"/>
        </w:rPr>
        <w:t>concentrated in the Asia &amp; Pacific regions. As customer demand for our products and services has grown in Europe and the U.S., we have expanded to meet these growth opportunities for our battery technologies. We expect the demand for our products to continue to grow in these markets partly due to regulatory incentives created by the IRA in the U.S. and the E.U. Green Deal, E.U. Fit for 55. In 2021, we completed a 170,000 square foot module and pack manufacturing facility near Berlin, Germany. We are also investing hundreds of millions of dollars across our U.S. operations, encompassing our new battery cell and module manufacturing facility in Tennessee, our research and development (“R&amp;D”) facility in Florida, and a new facility for our ESS operations in Colorado. Additionally, we continue to invest in our existing operations in the Asia &amp; Pacific region and our efforts to grow our business in that region as well.</w:t>
      </w:r>
    </w:p>
    <w:p>
      <w:pPr>
        <w:spacing w:after="0" w:line="247" w:lineRule="exact"/>
        <w:rPr>
          <w:rFonts w:ascii="Arial" w:cs="Arial" w:eastAsia="Arial" w:hAnsi="Arial"/>
          <w:sz w:val="17"/>
          <w:szCs w:val="17"/>
          <w:color w:val="auto"/>
        </w:rPr>
      </w:pPr>
    </w:p>
    <w:p>
      <w:pPr>
        <w:ind w:left="600" w:right="80" w:hanging="298"/>
        <w:spacing w:after="0" w:line="245" w:lineRule="auto"/>
        <w:tabs>
          <w:tab w:leader="none" w:pos="595" w:val="left"/>
        </w:tabs>
        <w:numPr>
          <w:ilvl w:val="0"/>
          <w:numId w:val="11"/>
        </w:numPr>
        <w:rPr>
          <w:rFonts w:ascii="Arial" w:cs="Arial" w:eastAsia="Arial" w:hAnsi="Arial"/>
          <w:sz w:val="20"/>
          <w:szCs w:val="20"/>
          <w:color w:val="auto"/>
        </w:rPr>
      </w:pPr>
      <w:r>
        <w:rPr>
          <w:rFonts w:ascii="Arial" w:cs="Arial" w:eastAsia="Arial" w:hAnsi="Arial"/>
          <w:sz w:val="17"/>
          <w:szCs w:val="17"/>
          <w:i w:val="1"/>
          <w:iCs w:val="1"/>
          <w:color w:val="auto"/>
        </w:rPr>
        <w:t xml:space="preserve">Improve performance and reduce total cost of ownership of our battery systems. </w:t>
      </w:r>
      <w:r>
        <w:rPr>
          <w:rFonts w:ascii="Arial" w:cs="Arial" w:eastAsia="Arial" w:hAnsi="Arial"/>
          <w:sz w:val="17"/>
          <w:szCs w:val="17"/>
          <w:color w:val="auto"/>
        </w:rPr>
        <w:t>The total cost of ownership is an important criterion for commercial electric</w:t>
      </w:r>
      <w:r>
        <w:rPr>
          <w:rFonts w:ascii="Arial" w:cs="Arial" w:eastAsia="Arial" w:hAnsi="Arial"/>
          <w:sz w:val="17"/>
          <w:szCs w:val="17"/>
          <w:i w:val="1"/>
          <w:iCs w:val="1"/>
          <w:color w:val="auto"/>
        </w:rPr>
        <w:t xml:space="preserve"> </w:t>
      </w:r>
      <w:r>
        <w:rPr>
          <w:rFonts w:ascii="Arial" w:cs="Arial" w:eastAsia="Arial" w:hAnsi="Arial"/>
          <w:sz w:val="17"/>
          <w:szCs w:val="17"/>
          <w:color w:val="auto"/>
        </w:rPr>
        <w:t>vehicle and ESS customers. In order to maintain our market position, we intend to continue to invest in R&amp;D of our battery technology and seek new innovations to further lower costs. For battery system solutions, this means continuing to develop new battery cells and modules and improving the energy densities of our existing batteries. Our R&amp;D team is working to integrate new designs, technologies and materials into our cells to enhance performance and lower cost. One important strategy we have employed historically and will continue to focus on going forward is an emphasis on research related to advanced materials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00"/>
        <w:spacing w:after="0" w:line="268" w:lineRule="auto"/>
        <w:rPr>
          <w:sz w:val="20"/>
          <w:szCs w:val="20"/>
          <w:color w:val="auto"/>
        </w:rPr>
      </w:pPr>
      <w:r>
        <w:rPr>
          <w:rFonts w:ascii="Arial" w:cs="Arial" w:eastAsia="Arial" w:hAnsi="Arial"/>
          <w:sz w:val="17"/>
          <w:szCs w:val="17"/>
          <w:color w:val="auto"/>
        </w:rPr>
        <w:t>and their ability to enhance our products. We believe that improving performance of the base components has the added advantage of making all of our battery solutions, ESS solutions and our battery components more attractive generally.</w:t>
      </w:r>
    </w:p>
    <w:p>
      <w:pPr>
        <w:spacing w:after="0" w:line="229" w:lineRule="exact"/>
        <w:rPr>
          <w:sz w:val="20"/>
          <w:szCs w:val="20"/>
          <w:color w:val="auto"/>
        </w:rPr>
      </w:pPr>
    </w:p>
    <w:p>
      <w:pPr>
        <w:ind w:left="600" w:hanging="298"/>
        <w:spacing w:after="0" w:line="260" w:lineRule="auto"/>
        <w:tabs>
          <w:tab w:leader="none" w:pos="595" w:val="left"/>
        </w:tabs>
        <w:numPr>
          <w:ilvl w:val="0"/>
          <w:numId w:val="12"/>
        </w:numPr>
        <w:rPr>
          <w:rFonts w:ascii="Arial" w:cs="Arial" w:eastAsia="Arial" w:hAnsi="Arial"/>
          <w:sz w:val="19"/>
          <w:szCs w:val="19"/>
          <w:color w:val="auto"/>
        </w:rPr>
      </w:pPr>
      <w:r>
        <w:rPr>
          <w:rFonts w:ascii="Arial" w:cs="Arial" w:eastAsia="Arial" w:hAnsi="Arial"/>
          <w:sz w:val="16"/>
          <w:szCs w:val="16"/>
          <w:i w:val="1"/>
          <w:iCs w:val="1"/>
          <w:color w:val="auto"/>
        </w:rPr>
        <w:t xml:space="preserve">Expand our manufacturing capacity to meet growing demand. </w:t>
      </w:r>
      <w:r>
        <w:rPr>
          <w:rFonts w:ascii="Arial" w:cs="Arial" w:eastAsia="Arial" w:hAnsi="Arial"/>
          <w:sz w:val="16"/>
          <w:szCs w:val="16"/>
          <w:color w:val="auto"/>
        </w:rPr>
        <w:t>With the construction and expansion of facilities and resources in the U.S., Europe and China,</w:t>
      </w:r>
      <w:r>
        <w:rPr>
          <w:rFonts w:ascii="Arial" w:cs="Arial" w:eastAsia="Arial" w:hAnsi="Arial"/>
          <w:sz w:val="16"/>
          <w:szCs w:val="16"/>
          <w:i w:val="1"/>
          <w:iCs w:val="1"/>
          <w:color w:val="auto"/>
        </w:rPr>
        <w:t xml:space="preserve"> </w:t>
      </w:r>
      <w:r>
        <w:rPr>
          <w:rFonts w:ascii="Arial" w:cs="Arial" w:eastAsia="Arial" w:hAnsi="Arial"/>
          <w:sz w:val="16"/>
          <w:szCs w:val="16"/>
          <w:color w:val="auto"/>
        </w:rPr>
        <w:t>our manufacturing facilities will be located in close proximity to our customers in each major region. We plan to prudently expand our manufacturing capacity to capture the large and growing market opportunity for electric vehicles and ESS solutions, especially in the U.S. and Europe. Our capacity expansions will be in phases based on our ongoing assessment of medium- and long-term demand for our products. The aggregate manufacturing capacity is approximately 3 GWh per year as of December 31, 2022. After adding 4.0 GWh of new capacity in 2023, we will strategically review some of our existing manufacturing equipment and optimize that to best address anticipated future demand for our products. We plan to achieve a total manufacturing capacity of 7 GWh and 11 GWh per year by December 31, 2023 and 2025, respectively, to support growing demand for our existing products. In addition, we plan to expand our manufacturing capacity in the U.S. for the polyaramid separator in connection with a recent award we received in collaboration with General Motors for a $200 million grant from the DOE.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Capacity</w:t>
      </w:r>
    </w:p>
    <w:p>
      <w:pPr>
        <w:spacing w:after="0" w:line="235" w:lineRule="exact"/>
        <w:rPr>
          <w:sz w:val="20"/>
          <w:szCs w:val="20"/>
          <w:color w:val="auto"/>
        </w:rPr>
      </w:pPr>
    </w:p>
    <w:p>
      <w:pPr>
        <w:ind w:right="200" w:firstLine="603"/>
        <w:spacing w:after="0" w:line="268" w:lineRule="auto"/>
        <w:rPr>
          <w:sz w:val="20"/>
          <w:szCs w:val="20"/>
          <w:color w:val="auto"/>
        </w:rPr>
      </w:pPr>
      <w:r>
        <w:rPr>
          <w:rFonts w:ascii="Arial" w:cs="Arial" w:eastAsia="Arial" w:hAnsi="Arial"/>
          <w:sz w:val="17"/>
          <w:szCs w:val="17"/>
          <w:color w:val="auto"/>
        </w:rPr>
        <w:t>We measure our manufacturing capacity in GWh, which represents the energy capacity of all batteries produced for a single complete discharge, rather than the number of batteries we produce per year.</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December 31, 2022, we had an annual manufacturing capacity of approximately 3 GWh cell, module and pack capacity, 600 tons per year of cathode</w:t>
      </w:r>
    </w:p>
    <w:p>
      <w:pPr>
        <w:spacing w:after="0" w:line="6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capacity, 3,000 tons of electrolyte capacity and 5 million square meters of separator material capacity on a pilot line. All of this capacity is currently derived from our facility in Huzhou, China.</w:t>
      </w:r>
    </w:p>
    <w:p>
      <w:pPr>
        <w:spacing w:after="0" w:line="229" w:lineRule="exact"/>
        <w:rPr>
          <w:sz w:val="20"/>
          <w:szCs w:val="20"/>
          <w:color w:val="auto"/>
        </w:rPr>
      </w:pPr>
    </w:p>
    <w:p>
      <w:pPr>
        <w:ind w:right="20" w:firstLine="603"/>
        <w:spacing w:after="0" w:line="258" w:lineRule="auto"/>
        <w:rPr>
          <w:sz w:val="20"/>
          <w:szCs w:val="20"/>
          <w:color w:val="auto"/>
        </w:rPr>
      </w:pPr>
      <w:r>
        <w:rPr>
          <w:rFonts w:ascii="Arial" w:cs="Arial" w:eastAsia="Arial" w:hAnsi="Arial"/>
          <w:sz w:val="17"/>
          <w:szCs w:val="17"/>
          <w:color w:val="auto"/>
        </w:rPr>
        <w:t>In Europe, we have a 170,000 square foot module and pack manufacturing facility near Berlin, Germany which has been in production since 2021. We expect that, in the future, we may need to develop additional cell manufacturing capacity in Europe to meet local demand in light of new European Union ("E.U.") regulations aimed at requiring battery cell production in Europe, together with additional “green” regulations and policies that are likely to further increase demand for battery-operated solutions.</w:t>
      </w:r>
    </w:p>
    <w:p>
      <w:pPr>
        <w:spacing w:after="0" w:line="201" w:lineRule="exact"/>
        <w:rPr>
          <w:sz w:val="20"/>
          <w:szCs w:val="20"/>
          <w:color w:val="auto"/>
        </w:rPr>
      </w:pPr>
    </w:p>
    <w:p>
      <w:pPr>
        <w:ind w:right="80" w:firstLine="603"/>
        <w:spacing w:after="0" w:line="269" w:lineRule="auto"/>
        <w:rPr>
          <w:sz w:val="20"/>
          <w:szCs w:val="20"/>
          <w:color w:val="auto"/>
        </w:rPr>
      </w:pPr>
      <w:r>
        <w:rPr>
          <w:rFonts w:ascii="Arial" w:cs="Arial" w:eastAsia="Arial" w:hAnsi="Arial"/>
          <w:sz w:val="16"/>
          <w:szCs w:val="16"/>
          <w:color w:val="auto"/>
        </w:rPr>
        <w:t>In 2021, we purchased an existing building in Clarksville, Tennessee and are renovating it to support up to 2 GWh of cell, module and pack capacity, which we expect to be in production by the fourth quarter of 2023. The Tennessee facility, once fully equipped, will be able to support up to 4 GWh of cell, module and pack capacity. Once completed, it is anticipated that this facility will primarily serve our customers in the U.S. In addition, we believe there is sufficient acreage at the existing Tennessee facility to construct another building and further increase capacity by an additional 4 GWh, for a total of 8 GWh of future manufacturing capacity. Further, we expect the battery cells and battery modules produced in our Tennessee facility to be a direct beneficiary under section 45X of the IRA, which offers tax credits of $35 kWh for battery cells and $10 kWh for battery modules for a total of $45 kWh in tax credits.</w:t>
      </w:r>
    </w:p>
    <w:p>
      <w:pPr>
        <w:spacing w:after="0" w:line="194" w:lineRule="exact"/>
        <w:rPr>
          <w:sz w:val="20"/>
          <w:szCs w:val="20"/>
          <w:color w:val="auto"/>
        </w:rPr>
      </w:pPr>
    </w:p>
    <w:p>
      <w:pPr>
        <w:ind w:right="320" w:firstLine="603"/>
        <w:spacing w:after="0" w:line="251" w:lineRule="auto"/>
        <w:rPr>
          <w:sz w:val="20"/>
          <w:szCs w:val="20"/>
          <w:color w:val="auto"/>
        </w:rPr>
      </w:pPr>
      <w:r>
        <w:rPr>
          <w:rFonts w:ascii="Arial" w:cs="Arial" w:eastAsia="Arial" w:hAnsi="Arial"/>
          <w:sz w:val="17"/>
          <w:szCs w:val="17"/>
          <w:color w:val="auto"/>
        </w:rPr>
        <w:t>Additionally, we are in the process of adding 2 GWh battery cell and module capacity and 10 million square meters of separator capacity to our facility in Huzhou, China, which we expect to be in full production of cells and modules during the first quarter of 2023. We believe the newly built facility in Huzhou will support a total future manufacturing capacity of up to 12 GWh.</w:t>
      </w:r>
    </w:p>
    <w:p>
      <w:pPr>
        <w:spacing w:after="0" w:line="1" w:lineRule="exact"/>
        <w:rPr>
          <w:sz w:val="20"/>
          <w:szCs w:val="20"/>
          <w:color w:val="auto"/>
        </w:rPr>
      </w:pPr>
    </w:p>
    <w:p>
      <w:pPr>
        <w:ind w:right="220" w:firstLine="603"/>
        <w:spacing w:after="0" w:line="371" w:lineRule="auto"/>
        <w:rPr>
          <w:sz w:val="20"/>
          <w:szCs w:val="20"/>
          <w:color w:val="auto"/>
        </w:rPr>
      </w:pPr>
      <w:r>
        <w:rPr>
          <w:rFonts w:ascii="Arial" w:cs="Arial" w:eastAsia="Arial" w:hAnsi="Arial"/>
          <w:sz w:val="15"/>
          <w:szCs w:val="15"/>
          <w:color w:val="auto"/>
        </w:rPr>
        <w:t>By the end of 2023, we expect our total battery manufacturing capacity to be approximately 7 GWh with 4 GWh of that devoted to fully automated lines to produce the high energy 53.5Ah cell. We are planning to increase our total battery manufacturing capacity to approximately 11 GWh per year by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and Other Intellectual Property</w:t>
      </w:r>
    </w:p>
    <w:p>
      <w:pPr>
        <w:spacing w:after="0" w:line="235" w:lineRule="exact"/>
        <w:rPr>
          <w:sz w:val="20"/>
          <w:szCs w:val="20"/>
          <w:color w:val="auto"/>
        </w:rPr>
      </w:pPr>
    </w:p>
    <w:p>
      <w:pPr>
        <w:ind w:right="60" w:firstLine="603"/>
        <w:spacing w:after="0" w:line="268" w:lineRule="auto"/>
        <w:rPr>
          <w:sz w:val="20"/>
          <w:szCs w:val="20"/>
          <w:color w:val="auto"/>
        </w:rPr>
      </w:pPr>
      <w:r>
        <w:rPr>
          <w:rFonts w:ascii="Arial" w:cs="Arial" w:eastAsia="Arial" w:hAnsi="Arial"/>
          <w:sz w:val="17"/>
          <w:szCs w:val="17"/>
          <w:color w:val="auto"/>
        </w:rPr>
        <w:t>We have built a proprietary intellectual property portfolio for over 15 years. We possess patents, licenses and/or know-how covering the following proprietary material technologies:</w:t>
      </w:r>
    </w:p>
    <w:p>
      <w:pPr>
        <w:spacing w:after="0" w:line="229" w:lineRule="exact"/>
        <w:rPr>
          <w:sz w:val="20"/>
          <w:szCs w:val="20"/>
          <w:color w:val="auto"/>
        </w:rPr>
      </w:pPr>
    </w:p>
    <w:p>
      <w:pPr>
        <w:ind w:left="600" w:right="60" w:hanging="298"/>
        <w:spacing w:after="0" w:line="233" w:lineRule="auto"/>
        <w:tabs>
          <w:tab w:leader="none" w:pos="595" w:val="left"/>
        </w:tabs>
        <w:numPr>
          <w:ilvl w:val="0"/>
          <w:numId w:val="13"/>
        </w:numPr>
        <w:rPr>
          <w:rFonts w:ascii="Arial" w:cs="Arial" w:eastAsia="Arial" w:hAnsi="Arial"/>
          <w:sz w:val="20"/>
          <w:szCs w:val="20"/>
          <w:color w:val="auto"/>
        </w:rPr>
      </w:pPr>
      <w:r>
        <w:rPr>
          <w:rFonts w:ascii="Arial" w:cs="Arial" w:eastAsia="Arial" w:hAnsi="Arial"/>
          <w:sz w:val="17"/>
          <w:szCs w:val="17"/>
          <w:i w:val="1"/>
          <w:iCs w:val="1"/>
          <w:color w:val="auto"/>
        </w:rPr>
        <w:t>Separators</w:t>
      </w:r>
      <w:r>
        <w:rPr>
          <w:rFonts w:ascii="Arial" w:cs="Arial" w:eastAsia="Arial" w:hAnsi="Arial"/>
          <w:sz w:val="17"/>
          <w:szCs w:val="17"/>
          <w:color w:val="auto"/>
        </w:rPr>
        <w:t>—We have developed a high-thermal separator made of polyaramid polymer with a melting point above 300°C, which we believe will improve the</w:t>
      </w:r>
      <w:r>
        <w:rPr>
          <w:rFonts w:ascii="Arial" w:cs="Arial" w:eastAsia="Arial" w:hAnsi="Arial"/>
          <w:sz w:val="17"/>
          <w:szCs w:val="17"/>
          <w:i w:val="1"/>
          <w:iCs w:val="1"/>
          <w:color w:val="auto"/>
        </w:rPr>
        <w:t xml:space="preserve"> </w:t>
      </w:r>
      <w:r>
        <w:rPr>
          <w:rFonts w:ascii="Arial" w:cs="Arial" w:eastAsia="Arial" w:hAnsi="Arial"/>
          <w:sz w:val="17"/>
          <w:szCs w:val="17"/>
          <w:color w:val="auto"/>
        </w:rPr>
        <w:t>safety of our batteries.</w:t>
      </w:r>
    </w:p>
    <w:p>
      <w:pPr>
        <w:spacing w:after="0" w:line="26" w:lineRule="exact"/>
        <w:rPr>
          <w:rFonts w:ascii="Arial" w:cs="Arial" w:eastAsia="Arial" w:hAnsi="Arial"/>
          <w:sz w:val="20"/>
          <w:szCs w:val="20"/>
          <w:color w:val="auto"/>
        </w:rPr>
      </w:pPr>
    </w:p>
    <w:p>
      <w:pPr>
        <w:ind w:left="600" w:right="260" w:hanging="298"/>
        <w:spacing w:after="0" w:line="250" w:lineRule="auto"/>
        <w:tabs>
          <w:tab w:leader="none" w:pos="595" w:val="left"/>
        </w:tabs>
        <w:numPr>
          <w:ilvl w:val="0"/>
          <w:numId w:val="13"/>
        </w:numPr>
        <w:rPr>
          <w:rFonts w:ascii="Arial" w:cs="Arial" w:eastAsia="Arial" w:hAnsi="Arial"/>
          <w:sz w:val="19"/>
          <w:szCs w:val="19"/>
          <w:color w:val="auto"/>
        </w:rPr>
      </w:pPr>
      <w:r>
        <w:rPr>
          <w:rFonts w:ascii="Arial" w:cs="Arial" w:eastAsia="Arial" w:hAnsi="Arial"/>
          <w:sz w:val="16"/>
          <w:szCs w:val="16"/>
          <w:i w:val="1"/>
          <w:iCs w:val="1"/>
          <w:color w:val="auto"/>
        </w:rPr>
        <w:t>FCG Cathode</w:t>
      </w:r>
      <w:r>
        <w:rPr>
          <w:rFonts w:ascii="Arial" w:cs="Arial" w:eastAsia="Arial" w:hAnsi="Arial"/>
          <w:sz w:val="16"/>
          <w:szCs w:val="16"/>
          <w:color w:val="auto"/>
        </w:rPr>
        <w:t>—In 2017, we licensed the FCG cathode process from Argonne National Labs. The FCG cathode is distinguished by its unique manufacture,</w:t>
      </w:r>
      <w:r>
        <w:rPr>
          <w:rFonts w:ascii="Arial" w:cs="Arial" w:eastAsia="Arial" w:hAnsi="Arial"/>
          <w:sz w:val="16"/>
          <w:szCs w:val="16"/>
          <w:i w:val="1"/>
          <w:iCs w:val="1"/>
          <w:color w:val="auto"/>
        </w:rPr>
        <w:t xml:space="preserve"> </w:t>
      </w:r>
      <w:r>
        <w:rPr>
          <w:rFonts w:ascii="Arial" w:cs="Arial" w:eastAsia="Arial" w:hAnsi="Arial"/>
          <w:sz w:val="16"/>
          <w:szCs w:val="16"/>
          <w:color w:val="auto"/>
        </w:rPr>
        <w:t>where a clear and gradual gradient in the transition metal content can be observed during the analysis of a cathode particle.</w:t>
      </w:r>
    </w:p>
    <w:p>
      <w:pPr>
        <w:spacing w:after="0" w:line="20" w:lineRule="exact"/>
        <w:rPr>
          <w:rFonts w:ascii="Arial" w:cs="Arial" w:eastAsia="Arial" w:hAnsi="Arial"/>
          <w:sz w:val="19"/>
          <w:szCs w:val="19"/>
          <w:color w:val="auto"/>
        </w:rPr>
      </w:pPr>
    </w:p>
    <w:p>
      <w:pPr>
        <w:ind w:left="600" w:right="160" w:hanging="298"/>
        <w:spacing w:after="0" w:line="241" w:lineRule="auto"/>
        <w:tabs>
          <w:tab w:leader="none" w:pos="595" w:val="left"/>
        </w:tabs>
        <w:numPr>
          <w:ilvl w:val="0"/>
          <w:numId w:val="13"/>
        </w:numPr>
        <w:rPr>
          <w:rFonts w:ascii="Arial" w:cs="Arial" w:eastAsia="Arial" w:hAnsi="Arial"/>
          <w:sz w:val="20"/>
          <w:szCs w:val="20"/>
          <w:color w:val="auto"/>
        </w:rPr>
      </w:pPr>
      <w:r>
        <w:rPr>
          <w:rFonts w:ascii="Arial" w:cs="Arial" w:eastAsia="Arial" w:hAnsi="Arial"/>
          <w:sz w:val="17"/>
          <w:szCs w:val="17"/>
          <w:i w:val="1"/>
          <w:iCs w:val="1"/>
          <w:color w:val="auto"/>
        </w:rPr>
        <w:t>Electrolytes</w:t>
      </w:r>
      <w:r>
        <w:rPr>
          <w:rFonts w:ascii="Arial" w:cs="Arial" w:eastAsia="Arial" w:hAnsi="Arial"/>
          <w:sz w:val="17"/>
          <w:szCs w:val="17"/>
          <w:color w:val="auto"/>
        </w:rPr>
        <w:t>—We have developed a high/low-temperature electrolyte that is stable at high temperatures (approximately 70°C) and can release approximately</w:t>
      </w:r>
      <w:r>
        <w:rPr>
          <w:rFonts w:ascii="Arial" w:cs="Arial" w:eastAsia="Arial" w:hAnsi="Arial"/>
          <w:sz w:val="17"/>
          <w:szCs w:val="17"/>
          <w:i w:val="1"/>
          <w:iCs w:val="1"/>
          <w:color w:val="auto"/>
        </w:rPr>
        <w:t xml:space="preserve"> </w:t>
      </w:r>
      <w:r>
        <w:rPr>
          <w:rFonts w:ascii="Arial" w:cs="Arial" w:eastAsia="Arial" w:hAnsi="Arial"/>
          <w:sz w:val="17"/>
          <w:szCs w:val="17"/>
          <w:color w:val="auto"/>
        </w:rPr>
        <w:t>70% of its energy at extremely cold temperatures (approximately -30°C) at a charge rate of 0 to 100% in one hour.</w:t>
      </w:r>
    </w:p>
    <w:p>
      <w:pPr>
        <w:spacing w:after="0" w:line="24" w:lineRule="exact"/>
        <w:rPr>
          <w:rFonts w:ascii="Arial" w:cs="Arial" w:eastAsia="Arial" w:hAnsi="Arial"/>
          <w:sz w:val="20"/>
          <w:szCs w:val="20"/>
          <w:color w:val="auto"/>
        </w:rPr>
      </w:pPr>
    </w:p>
    <w:p>
      <w:pPr>
        <w:ind w:left="600" w:right="220" w:hanging="298"/>
        <w:spacing w:after="0" w:line="273" w:lineRule="auto"/>
        <w:tabs>
          <w:tab w:leader="none" w:pos="595" w:val="left"/>
        </w:tabs>
        <w:numPr>
          <w:ilvl w:val="0"/>
          <w:numId w:val="13"/>
        </w:numPr>
        <w:rPr>
          <w:rFonts w:ascii="Arial" w:cs="Arial" w:eastAsia="Arial" w:hAnsi="Arial"/>
          <w:sz w:val="18"/>
          <w:szCs w:val="18"/>
          <w:color w:val="auto"/>
        </w:rPr>
      </w:pPr>
      <w:r>
        <w:rPr>
          <w:rFonts w:ascii="Arial" w:cs="Arial" w:eastAsia="Arial" w:hAnsi="Arial"/>
          <w:sz w:val="15"/>
          <w:szCs w:val="15"/>
          <w:i w:val="1"/>
          <w:iCs w:val="1"/>
          <w:color w:val="auto"/>
        </w:rPr>
        <w:t>LTO powder</w:t>
      </w:r>
      <w:r>
        <w:rPr>
          <w:rFonts w:ascii="Arial" w:cs="Arial" w:eastAsia="Arial" w:hAnsi="Arial"/>
          <w:sz w:val="15"/>
          <w:szCs w:val="15"/>
          <w:color w:val="auto"/>
        </w:rPr>
        <w:t>—Our proprietary LTO powder used for our electrodes compacts densely, leading to higher volumetric density while sustaining the ultra-fast</w:t>
      </w:r>
      <w:r>
        <w:rPr>
          <w:rFonts w:ascii="Arial" w:cs="Arial" w:eastAsia="Arial" w:hAnsi="Arial"/>
          <w:sz w:val="15"/>
          <w:szCs w:val="15"/>
          <w:i w:val="1"/>
          <w:iCs w:val="1"/>
          <w:color w:val="auto"/>
        </w:rPr>
        <w:t xml:space="preserve"> </w:t>
      </w:r>
      <w:r>
        <w:rPr>
          <w:rFonts w:ascii="Arial" w:cs="Arial" w:eastAsia="Arial" w:hAnsi="Arial"/>
          <w:sz w:val="15"/>
          <w:szCs w:val="15"/>
          <w:color w:val="auto"/>
        </w:rPr>
        <w:t>charging properties of our batteries. It also allows our batteries to operate with less resistance by preventing the formation and/or degradation of solid-electrolyte interphase (a barrier formed between the electrolyte solution and electrode when the battery is charged) and limits the formation of dendrites. Dendrites reduce performance and increase the risk of short circuits and fire-related hazards. More importantly, our proprietary powder causes negligible volume expansion when the battery is charged and discharged. This provides our batteries with stability during recharges and extends the life of the battery.</w:t>
      </w:r>
    </w:p>
    <w:p>
      <w:pPr>
        <w:spacing w:after="0" w:line="21" w:lineRule="exact"/>
        <w:rPr>
          <w:rFonts w:ascii="Arial" w:cs="Arial" w:eastAsia="Arial" w:hAnsi="Arial"/>
          <w:sz w:val="18"/>
          <w:szCs w:val="18"/>
          <w:color w:val="auto"/>
        </w:rPr>
      </w:pPr>
    </w:p>
    <w:p>
      <w:pPr>
        <w:ind w:left="600" w:right="260" w:hanging="298"/>
        <w:spacing w:after="0" w:line="237" w:lineRule="auto"/>
        <w:tabs>
          <w:tab w:leader="none" w:pos="595" w:val="left"/>
        </w:tabs>
        <w:numPr>
          <w:ilvl w:val="0"/>
          <w:numId w:val="13"/>
        </w:numPr>
        <w:rPr>
          <w:rFonts w:ascii="Arial" w:cs="Arial" w:eastAsia="Arial" w:hAnsi="Arial"/>
          <w:sz w:val="20"/>
          <w:szCs w:val="20"/>
          <w:color w:val="auto"/>
        </w:rPr>
      </w:pPr>
      <w:r>
        <w:rPr>
          <w:rFonts w:ascii="Arial" w:cs="Arial" w:eastAsia="Arial" w:hAnsi="Arial"/>
          <w:sz w:val="17"/>
          <w:szCs w:val="17"/>
          <w:i w:val="1"/>
          <w:iCs w:val="1"/>
          <w:color w:val="auto"/>
        </w:rPr>
        <w:t>Anode</w:t>
      </w:r>
      <w:r>
        <w:rPr>
          <w:rFonts w:ascii="Arial" w:cs="Arial" w:eastAsia="Arial" w:hAnsi="Arial"/>
          <w:sz w:val="17"/>
          <w:szCs w:val="17"/>
          <w:color w:val="auto"/>
        </w:rPr>
        <w:t>—We are experimenting with and have developed various types of anode materials. For example, we have developed porous carbon-based anode</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materials allowing for a higher charging rate. The porous structure allows for faster transport of lithium-ions, contributing to the fast-charging properties of our batteries.</w:t>
      </w:r>
    </w:p>
    <w:p>
      <w:pPr>
        <w:spacing w:after="0" w:line="215" w:lineRule="exact"/>
        <w:rPr>
          <w:sz w:val="20"/>
          <w:szCs w:val="20"/>
          <w:color w:val="auto"/>
        </w:rPr>
      </w:pPr>
    </w:p>
    <w:p>
      <w:pPr>
        <w:ind w:firstLine="603"/>
        <w:spacing w:after="0" w:line="269"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designs and technology. Our policy is to protect our proprietary and intellectual property, which are the drivers of our profitability. Understanding the risks of technology infringement in China, we compartmentalize know-how and trade secrets in the U.S., and we have no IT connections between our operations in the U.S. and our operations in China. While we have attempted to protect the unpatented proprietary technology that we develop or acquire, and will continue to protect future proprietary technology. We believe that our success will depend, to a large extent, upon continued innovation and technological expertise. For a more comprehensive discussion of the risks related to our intellectual property, please see “</w:t>
      </w:r>
      <w:r>
        <w:rPr>
          <w:rFonts w:ascii="Arial" w:cs="Arial" w:eastAsia="Arial" w:hAnsi="Arial"/>
          <w:sz w:val="16"/>
          <w:szCs w:val="16"/>
          <w:i w:val="1"/>
          <w:iCs w:val="1"/>
          <w:color w:val="auto"/>
        </w:rPr>
        <w:t>Risk Factors — Risks Related to Our Intellectual Property</w:t>
      </w:r>
      <w:r>
        <w:rPr>
          <w:rFonts w:ascii="Arial" w:cs="Arial" w:eastAsia="Arial" w:hAnsi="Arial"/>
          <w:sz w:val="16"/>
          <w:szCs w:val="16"/>
          <w:color w:val="auto"/>
        </w:rPr>
        <w:t>.”</w:t>
      </w:r>
    </w:p>
    <w:p>
      <w:pPr>
        <w:spacing w:after="0" w:line="194" w:lineRule="exact"/>
        <w:rPr>
          <w:sz w:val="20"/>
          <w:szCs w:val="20"/>
          <w:color w:val="auto"/>
        </w:rPr>
      </w:pPr>
    </w:p>
    <w:p>
      <w:pPr>
        <w:ind w:right="360" w:firstLine="603"/>
        <w:spacing w:after="0" w:line="257" w:lineRule="auto"/>
        <w:rPr>
          <w:sz w:val="20"/>
          <w:szCs w:val="20"/>
          <w:color w:val="auto"/>
        </w:rPr>
      </w:pPr>
      <w:r>
        <w:rPr>
          <w:rFonts w:ascii="Arial" w:cs="Arial" w:eastAsia="Arial" w:hAnsi="Arial"/>
          <w:sz w:val="17"/>
          <w:szCs w:val="17"/>
          <w:color w:val="auto"/>
        </w:rPr>
        <w:t>We use trademarks on some of our batteries and believe that having distinctive trademarks is an important factor in marketing our batteries. We have registered in China, the U.S. and internationally our Microvast mark (including the Microvast logo) and our other trademarks, including the LpTO, LpCO, MpCO, HpCO and Clean City Transit marks.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35" w:lineRule="exact"/>
        <w:rPr>
          <w:sz w:val="20"/>
          <w:szCs w:val="20"/>
          <w:color w:val="auto"/>
        </w:rPr>
      </w:pPr>
    </w:p>
    <w:p>
      <w:pPr>
        <w:ind w:right="80" w:firstLine="603"/>
        <w:spacing w:after="0" w:line="257" w:lineRule="auto"/>
        <w:rPr>
          <w:sz w:val="20"/>
          <w:szCs w:val="20"/>
          <w:color w:val="auto"/>
        </w:rPr>
      </w:pPr>
      <w:r>
        <w:rPr>
          <w:rFonts w:ascii="Arial" w:cs="Arial" w:eastAsia="Arial" w:hAnsi="Arial"/>
          <w:sz w:val="17"/>
          <w:szCs w:val="17"/>
          <w:color w:val="auto"/>
        </w:rPr>
        <w:t>Our R&amp;D and engineering efforts are focused on developing new battery solutions and continuously improving the performance of existing battery systems. We design our battery systems by targeting specific performance metrics, including energy density, power density and specific power, charge rate capability, cycle life, through-put energy and various safety and abuse-tolerance metrics.</w:t>
      </w:r>
    </w:p>
    <w:p>
      <w:pPr>
        <w:spacing w:after="0" w:line="201" w:lineRule="exact"/>
        <w:rPr>
          <w:sz w:val="20"/>
          <w:szCs w:val="20"/>
          <w:color w:val="auto"/>
        </w:rPr>
      </w:pPr>
    </w:p>
    <w:p>
      <w:pPr>
        <w:ind w:right="200" w:firstLine="603"/>
        <w:spacing w:after="0" w:line="268" w:lineRule="auto"/>
        <w:rPr>
          <w:sz w:val="20"/>
          <w:szCs w:val="20"/>
          <w:color w:val="auto"/>
        </w:rPr>
      </w:pPr>
      <w:r>
        <w:rPr>
          <w:rFonts w:ascii="Arial" w:cs="Arial" w:eastAsia="Arial" w:hAnsi="Arial"/>
          <w:sz w:val="17"/>
          <w:szCs w:val="17"/>
          <w:color w:val="auto"/>
        </w:rPr>
        <w:t>Our technology center is responsible for material development, cell development, pack development, FCG manufacture, polyaramid separator manufacture, future technology development, testing simulation and analysis, and intellectual property.</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R&amp;D efforts are focused on the following areas:</w:t>
      </w:r>
    </w:p>
    <w:p>
      <w:pPr>
        <w:spacing w:after="0" w:line="26" w:lineRule="exact"/>
        <w:rPr>
          <w:sz w:val="20"/>
          <w:szCs w:val="20"/>
          <w:color w:val="auto"/>
        </w:rPr>
      </w:pPr>
    </w:p>
    <w:p>
      <w:pPr>
        <w:ind w:left="600" w:hanging="298"/>
        <w:spacing w:after="0"/>
        <w:tabs>
          <w:tab w:leader="none" w:pos="600" w:val="left"/>
        </w:tabs>
        <w:numPr>
          <w:ilvl w:val="0"/>
          <w:numId w:val="14"/>
        </w:numPr>
        <w:rPr>
          <w:rFonts w:ascii="Arial" w:cs="Arial" w:eastAsia="Arial" w:hAnsi="Arial"/>
          <w:sz w:val="20"/>
          <w:szCs w:val="20"/>
          <w:color w:val="auto"/>
        </w:rPr>
      </w:pPr>
      <w:r>
        <w:rPr>
          <w:rFonts w:ascii="Arial" w:cs="Arial" w:eastAsia="Arial" w:hAnsi="Arial"/>
          <w:sz w:val="17"/>
          <w:szCs w:val="17"/>
          <w:color w:val="auto"/>
        </w:rPr>
        <w:t>improving the energy density, power, life and safety through developing key battery materials: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4"/>
        </w:numPr>
        <w:rPr>
          <w:rFonts w:ascii="Arial" w:cs="Arial" w:eastAsia="Arial" w:hAnsi="Arial"/>
          <w:sz w:val="20"/>
          <w:szCs w:val="20"/>
          <w:color w:val="auto"/>
        </w:rPr>
      </w:pPr>
      <w:r>
        <w:rPr>
          <w:rFonts w:ascii="Arial" w:cs="Arial" w:eastAsia="Arial" w:hAnsi="Arial"/>
          <w:sz w:val="17"/>
          <w:szCs w:val="17"/>
          <w:color w:val="auto"/>
        </w:rPr>
        <w:t>high energy cell and IT components;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4"/>
        </w:numPr>
        <w:rPr>
          <w:rFonts w:ascii="Arial" w:cs="Arial" w:eastAsia="Arial" w:hAnsi="Arial"/>
          <w:sz w:val="20"/>
          <w:szCs w:val="20"/>
          <w:color w:val="auto"/>
        </w:rPr>
      </w:pPr>
      <w:r>
        <w:rPr>
          <w:rFonts w:ascii="Arial" w:cs="Arial" w:eastAsia="Arial" w:hAnsi="Arial"/>
          <w:sz w:val="17"/>
          <w:szCs w:val="17"/>
          <w:color w:val="auto"/>
        </w:rPr>
        <w:t>battery cell safety;</w:t>
      </w:r>
    </w:p>
    <w:p>
      <w:pPr>
        <w:spacing w:after="0" w:line="21" w:lineRule="exact"/>
        <w:rPr>
          <w:rFonts w:ascii="Arial" w:cs="Arial" w:eastAsia="Arial" w:hAnsi="Arial"/>
          <w:sz w:val="20"/>
          <w:szCs w:val="20"/>
          <w:color w:val="auto"/>
        </w:rPr>
      </w:pPr>
    </w:p>
    <w:p>
      <w:pPr>
        <w:ind w:left="600" w:hanging="298"/>
        <w:spacing w:after="0"/>
        <w:tabs>
          <w:tab w:leader="none" w:pos="600" w:val="left"/>
        </w:tabs>
        <w:numPr>
          <w:ilvl w:val="0"/>
          <w:numId w:val="14"/>
        </w:numPr>
        <w:rPr>
          <w:rFonts w:ascii="Arial" w:cs="Arial" w:eastAsia="Arial" w:hAnsi="Arial"/>
          <w:sz w:val="20"/>
          <w:szCs w:val="20"/>
          <w:color w:val="auto"/>
        </w:rPr>
      </w:pPr>
      <w:r>
        <w:rPr>
          <w:rFonts w:ascii="Arial" w:cs="Arial" w:eastAsia="Arial" w:hAnsi="Arial"/>
          <w:sz w:val="17"/>
          <w:szCs w:val="17"/>
          <w:color w:val="auto"/>
        </w:rPr>
        <w:t>new cell applications development;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600" w:hanging="298"/>
        <w:spacing w:after="0"/>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process development and scale-up;</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improving electrical, mechanical and thermal designs; and</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5"/>
        </w:numPr>
        <w:rPr>
          <w:rFonts w:ascii="Arial" w:cs="Arial" w:eastAsia="Arial" w:hAnsi="Arial"/>
          <w:sz w:val="20"/>
          <w:szCs w:val="20"/>
          <w:color w:val="auto"/>
        </w:rPr>
      </w:pPr>
      <w:r>
        <w:rPr>
          <w:rFonts w:ascii="Arial" w:cs="Arial" w:eastAsia="Arial" w:hAnsi="Arial"/>
          <w:sz w:val="17"/>
          <w:szCs w:val="17"/>
          <w:color w:val="auto"/>
        </w:rPr>
        <w:t>improving battery systems-level designs.</w:t>
      </w:r>
    </w:p>
    <w:p>
      <w:pPr>
        <w:spacing w:after="0" w:line="227"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We believe that our ability to deliver higher performance batteries and battery systems depends on the rapid and effective transfer of the technology developed in our R&amp;D laboratories into our high-volume manufacturing facilities. Therefore, we maintain pilot plant facilities and reserve a portion of our manufacturing capacity for structured experiments related to manufacturing process development.</w:t>
      </w:r>
    </w:p>
    <w:p>
      <w:pPr>
        <w:spacing w:after="0" w:line="201" w:lineRule="exact"/>
        <w:rPr>
          <w:sz w:val="20"/>
          <w:szCs w:val="20"/>
          <w:color w:val="auto"/>
        </w:rPr>
      </w:pPr>
    </w:p>
    <w:p>
      <w:pPr>
        <w:ind w:right="60" w:firstLine="603"/>
        <w:spacing w:after="0" w:line="307" w:lineRule="auto"/>
        <w:rPr>
          <w:sz w:val="20"/>
          <w:szCs w:val="20"/>
          <w:color w:val="auto"/>
        </w:rPr>
      </w:pPr>
      <w:r>
        <w:rPr>
          <w:rFonts w:ascii="Arial" w:cs="Arial" w:eastAsia="Arial" w:hAnsi="Arial"/>
          <w:sz w:val="15"/>
          <w:szCs w:val="15"/>
          <w:color w:val="auto"/>
        </w:rPr>
        <w:t>In December 2006, we established a research center, which covers approximately 75,000 square feet, in our Huzhou, China manufacturing facility. The center is equipped with a full range of scientific equipment for a material science research center, including an X-ray powder diffraction machine, scanning electron microscope, gas chromatograph/mass spectrometer cape, laser particle size analyzers, electrochemical comprehensive test analyzers and other scientific equipment.</w:t>
      </w:r>
    </w:p>
    <w:p>
      <w:pPr>
        <w:spacing w:after="0" w:line="167" w:lineRule="exact"/>
        <w:rPr>
          <w:sz w:val="20"/>
          <w:szCs w:val="20"/>
          <w:color w:val="auto"/>
        </w:rPr>
      </w:pPr>
    </w:p>
    <w:p>
      <w:pPr>
        <w:ind w:right="140" w:firstLine="603"/>
        <w:spacing w:after="0" w:line="268" w:lineRule="auto"/>
        <w:rPr>
          <w:sz w:val="20"/>
          <w:szCs w:val="20"/>
          <w:color w:val="auto"/>
        </w:rPr>
      </w:pPr>
      <w:r>
        <w:rPr>
          <w:rFonts w:ascii="Arial" w:cs="Arial" w:eastAsia="Arial" w:hAnsi="Arial"/>
          <w:sz w:val="17"/>
          <w:szCs w:val="17"/>
          <w:color w:val="auto"/>
        </w:rPr>
        <w:t>In September 2016, we also set up a research center in Orlando, Florida to work on longer-term technology development. In October 2021, we expanded our presence in the greater Orlando area with the purchase of a 75,000 square foot facility, which is dedicated to R&amp;D efforts.</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R&amp;D expenses totaled $16.6 million, $34.4 million and $43.5 million for the years ended December 31, 2020, 2021 and 2022, respectively.</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35" w:lineRule="exact"/>
        <w:rPr>
          <w:sz w:val="20"/>
          <w:szCs w:val="20"/>
          <w:color w:val="auto"/>
        </w:rPr>
      </w:pPr>
    </w:p>
    <w:p>
      <w:pPr>
        <w:ind w:right="80" w:firstLine="603"/>
        <w:spacing w:after="0" w:line="268" w:lineRule="auto"/>
        <w:rPr>
          <w:sz w:val="20"/>
          <w:szCs w:val="20"/>
          <w:color w:val="auto"/>
        </w:rPr>
      </w:pPr>
      <w:r>
        <w:rPr>
          <w:rFonts w:ascii="Arial" w:cs="Arial" w:eastAsia="Arial" w:hAnsi="Arial"/>
          <w:sz w:val="17"/>
          <w:szCs w:val="17"/>
          <w:color w:val="auto"/>
        </w:rPr>
        <w:t>We market and sell our products primarily through a direct sales force divided into three regional divisions: Europe, Middle East and Africa, North and South America, and the Asia &amp; Pacific region.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Electric Commercial Vehicles</w:t>
      </w:r>
    </w:p>
    <w:p>
      <w:pPr>
        <w:spacing w:after="0" w:line="231" w:lineRule="exact"/>
        <w:rPr>
          <w:sz w:val="20"/>
          <w:szCs w:val="20"/>
          <w:color w:val="auto"/>
        </w:rPr>
      </w:pPr>
    </w:p>
    <w:p>
      <w:pPr>
        <w:ind w:right="60" w:firstLine="603"/>
        <w:spacing w:after="0" w:line="250" w:lineRule="auto"/>
        <w:rPr>
          <w:sz w:val="20"/>
          <w:szCs w:val="20"/>
          <w:color w:val="auto"/>
        </w:rPr>
      </w:pPr>
      <w:r>
        <w:rPr>
          <w:rFonts w:ascii="Arial" w:cs="Arial" w:eastAsia="Arial" w:hAnsi="Arial"/>
          <w:sz w:val="17"/>
          <w:szCs w:val="17"/>
          <w:color w:val="auto"/>
        </w:rPr>
        <w:t>We engage electric vehicle and drive train manufacturers directly to educate and inform them about the benefits of our technology and products. Our sales cycles vary by market segment, but typically follow a lengthy development and qualification period prior to commercial manufacturing. We expect the total time from customer introduction to commercial manufacturing will range from 2 to 4 years depending on the specific solution and market segment. For example, total time in the transportation market includes a customer’s preliminary technology review, which generally ranges from 3 to 9 months, followed by test and evaluation, which generally ranges from 12 to 18 months. We also offer standard off-the-shelf packs to our customers which provide them with the potential to dramatically shorten their time to market.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Utility-Scale ESS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Initially, our ESS sales and marketing efforts are focused on the utility scale ESS market for energy shifting in the U.S. This segment of the ESS market is</w:t>
      </w:r>
    </w:p>
    <w:p>
      <w:pPr>
        <w:spacing w:after="0" w:line="66"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predicted to be the largest by volume and value in the U.S. Our plan is to pursue sales opportunities in other regions once we have developed an established market presence in the U.S.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marketing is focused on the launch of our ESS container, communicating the attributes of our product and technologies, and creating awareness for the</w:t>
      </w:r>
    </w:p>
    <w:p>
      <w:pPr>
        <w:spacing w:after="0" w:line="6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Microvast brand in the energy sector. Our sales cycle usually involves a request for proposal process and can take 6 to 12 months from start to manufacturing. A distinct advantage of the ESS business is this much shorter sales cycle, where project owners and developers do not need to go through the same testing requirements as is required for putting a battery into a vehicle.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Battery Components</w:t>
      </w:r>
    </w:p>
    <w:p>
      <w:pPr>
        <w:spacing w:after="0" w:line="231" w:lineRule="exact"/>
        <w:rPr>
          <w:sz w:val="20"/>
          <w:szCs w:val="20"/>
          <w:color w:val="auto"/>
        </w:rPr>
      </w:pPr>
    </w:p>
    <w:p>
      <w:pPr>
        <w:ind w:right="240" w:firstLine="603"/>
        <w:spacing w:after="0" w:line="268" w:lineRule="auto"/>
        <w:rPr>
          <w:sz w:val="20"/>
          <w:szCs w:val="20"/>
          <w:color w:val="auto"/>
        </w:rPr>
      </w:pPr>
      <w:r>
        <w:rPr>
          <w:rFonts w:ascii="Arial" w:cs="Arial" w:eastAsia="Arial" w:hAnsi="Arial"/>
          <w:sz w:val="17"/>
          <w:szCs w:val="17"/>
          <w:color w:val="auto"/>
        </w:rPr>
        <w:t>For battery components, our product promotion starts with R&amp;D engineers for passenger car OEMs and consumer electronics manufacturers. We may send certain customers samples of materials and/or prototypes for evaluation to support the sale of the component.</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All lithium-ion batteries are composed of an anode, cathode, electrolyte and separator.</w:t>
      </w:r>
    </w:p>
    <w:p>
      <w:pPr>
        <w:spacing w:after="0" w:line="269" w:lineRule="exact"/>
        <w:rPr>
          <w:sz w:val="20"/>
          <w:szCs w:val="20"/>
          <w:color w:val="auto"/>
        </w:rPr>
      </w:pPr>
    </w:p>
    <w:p>
      <w:pPr>
        <w:ind w:left="600" w:right="220" w:hanging="298"/>
        <w:spacing w:after="0" w:line="233" w:lineRule="auto"/>
        <w:tabs>
          <w:tab w:leader="none" w:pos="595" w:val="left"/>
        </w:tabs>
        <w:numPr>
          <w:ilvl w:val="0"/>
          <w:numId w:val="16"/>
        </w:numPr>
        <w:rPr>
          <w:rFonts w:ascii="Arial" w:cs="Arial" w:eastAsia="Arial" w:hAnsi="Arial"/>
          <w:sz w:val="20"/>
          <w:szCs w:val="20"/>
          <w:color w:val="auto"/>
        </w:rPr>
      </w:pPr>
      <w:r>
        <w:rPr>
          <w:rFonts w:ascii="Arial" w:cs="Arial" w:eastAsia="Arial" w:hAnsi="Arial"/>
          <w:sz w:val="17"/>
          <w:szCs w:val="17"/>
          <w:i w:val="1"/>
          <w:iCs w:val="1"/>
          <w:color w:val="auto"/>
        </w:rPr>
        <w:t xml:space="preserve">Anode </w:t>
      </w:r>
      <w:r>
        <w:rPr>
          <w:rFonts w:ascii="Arial" w:cs="Arial" w:eastAsia="Arial" w:hAnsi="Arial"/>
          <w:sz w:val="17"/>
          <w:szCs w:val="17"/>
          <w:color w:val="auto"/>
        </w:rPr>
        <w:t>— Our anode is selected historically from LTO or graphite in our product cells. In the coming years, we anticipate that we will develop and market a</w:t>
      </w:r>
      <w:r>
        <w:rPr>
          <w:rFonts w:ascii="Arial" w:cs="Arial" w:eastAsia="Arial" w:hAnsi="Arial"/>
          <w:sz w:val="17"/>
          <w:szCs w:val="17"/>
          <w:i w:val="1"/>
          <w:iCs w:val="1"/>
          <w:color w:val="auto"/>
        </w:rPr>
        <w:t xml:space="preserve"> </w:t>
      </w:r>
      <w:r>
        <w:rPr>
          <w:rFonts w:ascii="Arial" w:cs="Arial" w:eastAsia="Arial" w:hAnsi="Arial"/>
          <w:sz w:val="17"/>
          <w:szCs w:val="17"/>
          <w:color w:val="auto"/>
        </w:rPr>
        <w:t>new product that contains silicon or silicon oxide.</w:t>
      </w:r>
    </w:p>
    <w:p>
      <w:pPr>
        <w:spacing w:after="0" w:line="26" w:lineRule="exact"/>
        <w:rPr>
          <w:rFonts w:ascii="Arial" w:cs="Arial" w:eastAsia="Arial" w:hAnsi="Arial"/>
          <w:sz w:val="20"/>
          <w:szCs w:val="20"/>
          <w:color w:val="auto"/>
        </w:rPr>
      </w:pPr>
    </w:p>
    <w:p>
      <w:pPr>
        <w:ind w:left="600" w:right="20" w:hanging="298"/>
        <w:spacing w:after="0" w:line="239" w:lineRule="auto"/>
        <w:tabs>
          <w:tab w:leader="none" w:pos="595" w:val="left"/>
        </w:tabs>
        <w:numPr>
          <w:ilvl w:val="0"/>
          <w:numId w:val="16"/>
        </w:numPr>
        <w:rPr>
          <w:rFonts w:ascii="Arial" w:cs="Arial" w:eastAsia="Arial" w:hAnsi="Arial"/>
          <w:sz w:val="20"/>
          <w:szCs w:val="20"/>
          <w:color w:val="auto"/>
        </w:rPr>
      </w:pPr>
      <w:r>
        <w:rPr>
          <w:rFonts w:ascii="Arial" w:cs="Arial" w:eastAsia="Arial" w:hAnsi="Arial"/>
          <w:sz w:val="17"/>
          <w:szCs w:val="17"/>
          <w:i w:val="1"/>
          <w:iCs w:val="1"/>
          <w:color w:val="auto"/>
        </w:rPr>
        <w:t xml:space="preserve">Cathode </w:t>
      </w:r>
      <w:r>
        <w:rPr>
          <w:rFonts w:ascii="Arial" w:cs="Arial" w:eastAsia="Arial" w:hAnsi="Arial"/>
          <w:sz w:val="17"/>
          <w:szCs w:val="17"/>
          <w:color w:val="auto"/>
        </w:rPr>
        <w:t>— For NMC, our existing products are made using commercially supplied materials, and our future cell products will utilize FCG when possible. For</w:t>
      </w:r>
      <w:r>
        <w:rPr>
          <w:rFonts w:ascii="Arial" w:cs="Arial" w:eastAsia="Arial" w:hAnsi="Arial"/>
          <w:sz w:val="17"/>
          <w:szCs w:val="17"/>
          <w:i w:val="1"/>
          <w:iCs w:val="1"/>
          <w:color w:val="auto"/>
        </w:rPr>
        <w:t xml:space="preserve"> </w:t>
      </w:r>
      <w:r>
        <w:rPr>
          <w:rFonts w:ascii="Arial" w:cs="Arial" w:eastAsia="Arial" w:hAnsi="Arial"/>
          <w:sz w:val="17"/>
          <w:szCs w:val="17"/>
          <w:color w:val="auto"/>
        </w:rPr>
        <w:t>NMC-based cathodes, the sourcing and availability of cobalt is a key issue for many OEM buyers. As such, we are actively engaged in research to greatly reduce or eliminate the use of cobalt from our material stream. We have made LFP cells for a manufacturer of passenger electric vehicles in China and the raw materials for this cell are sourced from a commercial supplier.</w:t>
      </w:r>
    </w:p>
    <w:p>
      <w:pPr>
        <w:spacing w:after="0" w:line="28" w:lineRule="exact"/>
        <w:rPr>
          <w:rFonts w:ascii="Arial" w:cs="Arial" w:eastAsia="Arial" w:hAnsi="Arial"/>
          <w:sz w:val="20"/>
          <w:szCs w:val="20"/>
          <w:color w:val="auto"/>
        </w:rPr>
      </w:pPr>
    </w:p>
    <w:p>
      <w:pPr>
        <w:ind w:left="600" w:right="60" w:hanging="298"/>
        <w:spacing w:after="0" w:line="243" w:lineRule="auto"/>
        <w:tabs>
          <w:tab w:leader="none" w:pos="595" w:val="left"/>
        </w:tabs>
        <w:numPr>
          <w:ilvl w:val="0"/>
          <w:numId w:val="16"/>
        </w:numPr>
        <w:rPr>
          <w:rFonts w:ascii="Arial" w:cs="Arial" w:eastAsia="Arial" w:hAnsi="Arial"/>
          <w:sz w:val="20"/>
          <w:szCs w:val="20"/>
          <w:color w:val="auto"/>
        </w:rPr>
      </w:pPr>
      <w:r>
        <w:rPr>
          <w:rFonts w:ascii="Arial" w:cs="Arial" w:eastAsia="Arial" w:hAnsi="Arial"/>
          <w:sz w:val="17"/>
          <w:szCs w:val="17"/>
          <w:i w:val="1"/>
          <w:iCs w:val="1"/>
          <w:color w:val="auto"/>
        </w:rPr>
        <w:t xml:space="preserve">Electrolyte </w:t>
      </w:r>
      <w:r>
        <w:rPr>
          <w:rFonts w:ascii="Arial" w:cs="Arial" w:eastAsia="Arial" w:hAnsi="Arial"/>
          <w:sz w:val="17"/>
          <w:szCs w:val="17"/>
          <w:color w:val="auto"/>
        </w:rPr>
        <w:t>— Our present lithium-ion cells use liquid-based electrolyte formulations. For carbonate-based electrolytes we typically elect to buy the base</w:t>
      </w:r>
      <w:r>
        <w:rPr>
          <w:rFonts w:ascii="Arial" w:cs="Arial" w:eastAsia="Arial" w:hAnsi="Arial"/>
          <w:sz w:val="17"/>
          <w:szCs w:val="17"/>
          <w:i w:val="1"/>
          <w:iCs w:val="1"/>
          <w:color w:val="auto"/>
        </w:rPr>
        <w:t xml:space="preserve"> </w:t>
      </w:r>
      <w:r>
        <w:rPr>
          <w:rFonts w:ascii="Arial" w:cs="Arial" w:eastAsia="Arial" w:hAnsi="Arial"/>
          <w:sz w:val="17"/>
          <w:szCs w:val="17"/>
          <w:color w:val="auto"/>
        </w:rPr>
        <w:t>solvents from commercial suppliers due to lower costs from their economies of scale, and then blend solutions in-house to ensure our proprietary mixtures are not shared outside the company.</w:t>
      </w:r>
    </w:p>
    <w:p>
      <w:pPr>
        <w:spacing w:after="0" w:line="24" w:lineRule="exact"/>
        <w:rPr>
          <w:rFonts w:ascii="Arial" w:cs="Arial" w:eastAsia="Arial" w:hAnsi="Arial"/>
          <w:sz w:val="20"/>
          <w:szCs w:val="20"/>
          <w:color w:val="auto"/>
        </w:rPr>
      </w:pPr>
    </w:p>
    <w:p>
      <w:pPr>
        <w:ind w:left="600" w:right="40" w:hanging="298"/>
        <w:spacing w:after="0" w:line="279" w:lineRule="auto"/>
        <w:tabs>
          <w:tab w:leader="none" w:pos="595" w:val="left"/>
        </w:tabs>
        <w:numPr>
          <w:ilvl w:val="0"/>
          <w:numId w:val="16"/>
        </w:numPr>
        <w:rPr>
          <w:rFonts w:ascii="Arial" w:cs="Arial" w:eastAsia="Arial" w:hAnsi="Arial"/>
          <w:sz w:val="18"/>
          <w:szCs w:val="18"/>
          <w:color w:val="auto"/>
        </w:rPr>
      </w:pPr>
      <w:r>
        <w:rPr>
          <w:rFonts w:ascii="Arial" w:cs="Arial" w:eastAsia="Arial" w:hAnsi="Arial"/>
          <w:sz w:val="15"/>
          <w:szCs w:val="15"/>
          <w:i w:val="1"/>
          <w:iCs w:val="1"/>
          <w:color w:val="auto"/>
        </w:rPr>
        <w:t xml:space="preserve">Separator </w:t>
      </w:r>
      <w:r>
        <w:rPr>
          <w:rFonts w:ascii="Arial" w:cs="Arial" w:eastAsia="Arial" w:hAnsi="Arial"/>
          <w:sz w:val="15"/>
          <w:szCs w:val="15"/>
          <w:color w:val="auto"/>
        </w:rPr>
        <w:t>— The separator is another key material in our lithium-ion cells. While we have in the past used the industry norm polyethylene/polypropylene</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materials, we are now working so that in the future we will integrate as many cells as possible with our proprietary polyaramid technology. In addition, we are actively working to build on our polyaramid knowledge to develop a solid electrolyte battery system that could incorporate the polyaramid material as a component of the solid electrolytes. If the solid electrolyte approach is successful, not only will it eliminate the use of liquid electrolytes, but it will also potentially enable new anode chemistries such as lithium metal, which is needed to reach cells with over 1,000 Wh/l energy densities.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Suppliers and Supply Arrangements</w:t>
      </w:r>
    </w:p>
    <w:p>
      <w:pPr>
        <w:spacing w:after="0" w:line="223" w:lineRule="exact"/>
        <w:rPr>
          <w:sz w:val="20"/>
          <w:szCs w:val="20"/>
          <w:color w:val="auto"/>
        </w:rPr>
      </w:pPr>
    </w:p>
    <w:p>
      <w:pPr>
        <w:jc w:val="both"/>
        <w:ind w:firstLine="603"/>
        <w:spacing w:after="0" w:line="269" w:lineRule="auto"/>
        <w:rPr>
          <w:sz w:val="20"/>
          <w:szCs w:val="20"/>
          <w:color w:val="auto"/>
        </w:rPr>
      </w:pPr>
      <w:r>
        <w:rPr>
          <w:rFonts w:ascii="Arial" w:cs="Arial" w:eastAsia="Arial" w:hAnsi="Arial"/>
          <w:sz w:val="15"/>
          <w:szCs w:val="15"/>
          <w:color w:val="auto"/>
        </w:rPr>
        <w:t>We currently purchase certain key raw materials for our electrodes and a variety of other components from third parties, some of which we only source from one supplier or from a limited number of suppliers. By purchasing larger volumes of raw materials, we have been able to establish long-term supply agreements for some of our key raw materials and components and made measurable improvements in pricing and supplier payment terms. We have also increased the sources of supply for some of our key raw materials. Some of our raw material prices are indexed to a benchmark price for that material or its underlying base metal and therefore fluctuations of metal prices may cause our suppliers to adjust their prices accordingly. See “</w:t>
      </w:r>
      <w:r>
        <w:rPr>
          <w:rFonts w:ascii="Arial" w:cs="Arial" w:eastAsia="Arial" w:hAnsi="Arial"/>
          <w:sz w:val="15"/>
          <w:szCs w:val="15"/>
          <w:i w:val="1"/>
          <w:iCs w:val="1"/>
          <w:color w:val="auto"/>
        </w:rPr>
        <w:t>Risk Factors — Risks Related to our Business and Industry — We currently</w:t>
      </w:r>
      <w:r>
        <w:rPr>
          <w:rFonts w:ascii="Arial" w:cs="Arial" w:eastAsia="Arial" w:hAnsi="Arial"/>
          <w:sz w:val="15"/>
          <w:szCs w:val="15"/>
          <w:color w:val="auto"/>
        </w:rPr>
        <w:t xml:space="preserve"> </w:t>
      </w:r>
      <w:r>
        <w:rPr>
          <w:rFonts w:ascii="Arial" w:cs="Arial" w:eastAsia="Arial" w:hAnsi="Arial"/>
          <w:sz w:val="15"/>
          <w:szCs w:val="15"/>
          <w:i w:val="1"/>
          <w:iCs w:val="1"/>
          <w:color w:val="auto"/>
        </w:rPr>
        <w:t>purchase certain key raw materials and components from third parties, some of which we only source from one supplier or from a limited number of suppliers.</w:t>
      </w:r>
      <w:r>
        <w:rPr>
          <w:rFonts w:ascii="Arial" w:cs="Arial" w:eastAsia="Arial" w:hAnsi="Arial"/>
          <w:sz w:val="15"/>
          <w:szCs w:val="15"/>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223" w:lineRule="exact"/>
        <w:rPr>
          <w:sz w:val="20"/>
          <w:szCs w:val="20"/>
          <w:color w:val="auto"/>
        </w:rPr>
      </w:pPr>
    </w:p>
    <w:p>
      <w:pPr>
        <w:ind w:right="120" w:firstLine="603"/>
        <w:spacing w:after="0" w:line="279" w:lineRule="auto"/>
        <w:rPr>
          <w:sz w:val="20"/>
          <w:szCs w:val="20"/>
          <w:color w:val="auto"/>
        </w:rPr>
      </w:pPr>
      <w:r>
        <w:rPr>
          <w:rFonts w:ascii="Arial" w:cs="Arial" w:eastAsia="Arial" w:hAnsi="Arial"/>
          <w:sz w:val="15"/>
          <w:szCs w:val="15"/>
          <w:color w:val="auto"/>
        </w:rPr>
        <w:t>We have various arrangements in place with major global electric vehicle manufacturers to develop batteries and battery systems, mostly in relation to the commercial vehicle market. Our battery systems are used in plug-in hybrid electric vehicles, battery electric vehicles and hybrid electric vehicles markets. For the electric commercial vehicle market, we typically enter into long-term supply agreements or framework agreements and these usually do not provide for any minimum</w:t>
      </w:r>
    </w:p>
    <w:p>
      <w:pPr>
        <w:spacing w:after="0" w:line="1"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purchase obligations on the customer. Typically, the customers under these agreements will issue purchase orders for a fixed quantity of battery systems, and that purchase order is its contractual commitment to purchase.</w:t>
      </w:r>
    </w:p>
    <w:p>
      <w:pPr>
        <w:spacing w:after="0" w:line="192" w:lineRule="exact"/>
        <w:rPr>
          <w:sz w:val="20"/>
          <w:szCs w:val="20"/>
          <w:color w:val="auto"/>
        </w:rPr>
      </w:pPr>
    </w:p>
    <w:p>
      <w:pPr>
        <w:ind w:right="120" w:firstLine="603"/>
        <w:spacing w:after="0" w:line="241" w:lineRule="auto"/>
        <w:rPr>
          <w:sz w:val="20"/>
          <w:szCs w:val="20"/>
          <w:color w:val="auto"/>
        </w:rPr>
      </w:pPr>
      <w:r>
        <w:rPr>
          <w:rFonts w:ascii="Arial" w:cs="Arial" w:eastAsia="Arial" w:hAnsi="Arial"/>
          <w:sz w:val="17"/>
          <w:szCs w:val="17"/>
          <w:color w:val="auto"/>
        </w:rPr>
        <w:t>We will also enter into contracts where a customer is committed to take a defined volume of battery systems, as is much more characteristic of the ESS market. In 2022, we entered into such an agreement to supply our container solution for a 1,200 MWh battery energy storage project co-located with a solar facility in the U.S.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20" w:firstLine="603"/>
        <w:spacing w:after="0" w:line="307" w:lineRule="auto"/>
        <w:rPr>
          <w:sz w:val="20"/>
          <w:szCs w:val="20"/>
          <w:color w:val="auto"/>
        </w:rPr>
      </w:pPr>
      <w:r>
        <w:rPr>
          <w:rFonts w:ascii="Arial" w:cs="Arial" w:eastAsia="Arial" w:hAnsi="Arial"/>
          <w:sz w:val="15"/>
          <w:szCs w:val="15"/>
          <w:color w:val="auto"/>
        </w:rPr>
        <w:t>Due to the sales cycle of our solutions and the relatively small customer base, we experience significant customer concentration. For the year ended December 31, 2022, our top five customers contributed 36.1% of our revenue. See “</w:t>
      </w:r>
      <w:r>
        <w:rPr>
          <w:rFonts w:ascii="Arial" w:cs="Arial" w:eastAsia="Arial" w:hAnsi="Arial"/>
          <w:sz w:val="15"/>
          <w:szCs w:val="15"/>
          <w:i w:val="1"/>
          <w:iCs w:val="1"/>
          <w:color w:val="auto"/>
        </w:rPr>
        <w:t>Risk Factors — Risks Related to our Business and Industry — We have a limited</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 base and depend on a small number of customers for a significant portion of our revenues to date and this dependence is likely to continue.</w:t>
      </w:r>
      <w:r>
        <w:rPr>
          <w:rFonts w:ascii="Arial" w:cs="Arial" w:eastAsia="Arial" w:hAnsi="Arial"/>
          <w:sz w:val="15"/>
          <w:szCs w:val="15"/>
          <w:color w:val="auto"/>
        </w:rPr>
        <w:t>”</w:t>
      </w:r>
    </w:p>
    <w:p>
      <w:pPr>
        <w:spacing w:after="0" w:line="141" w:lineRule="exact"/>
        <w:rPr>
          <w:sz w:val="20"/>
          <w:szCs w:val="20"/>
          <w:color w:val="auto"/>
        </w:rPr>
      </w:pPr>
    </w:p>
    <w:p>
      <w:pPr>
        <w:ind w:right="420" w:firstLine="603"/>
        <w:spacing w:after="0" w:line="268" w:lineRule="auto"/>
        <w:rPr>
          <w:sz w:val="20"/>
          <w:szCs w:val="20"/>
          <w:color w:val="auto"/>
        </w:rPr>
      </w:pPr>
      <w:r>
        <w:rPr>
          <w:rFonts w:ascii="Arial" w:cs="Arial" w:eastAsia="Arial" w:hAnsi="Arial"/>
          <w:sz w:val="17"/>
          <w:szCs w:val="17"/>
          <w:color w:val="auto"/>
        </w:rPr>
        <w:t>As of December 31, 2022, we had an order backlog for our battery systems of approximately $410.5 million, equivalent to approximately 1,599.7 MWh, approximately 90% of which is attributable to the U.S. and Europe. We expect to fulfill most of our backlog within 2023 and 2024.</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210"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color w:val="auto"/>
        </w:rPr>
        <w:t>As of December 31, 2022, we had 1,535 full-time employees and 730 independent contractors. All decisions and control, and all of our senior management, are centralized in the U.S. Our key human capital objectives in managing our business include attracting, developing and retaining top talent while integrating diversity, equity and inclusion principles and practices. We have built a team comprised of individuals with diverse backgrounds, skills and perspectives to produce better ideas and provide greater success in meeting the needs of our customers. Our results-oriented culture is committed to developing and delivering differentiated solutions at a faster rate than our competitors.</w:t>
      </w:r>
    </w:p>
    <w:p>
      <w:pPr>
        <w:spacing w:after="0" w:line="208" w:lineRule="exact"/>
        <w:rPr>
          <w:sz w:val="20"/>
          <w:szCs w:val="20"/>
          <w:color w:val="auto"/>
        </w:rPr>
      </w:pPr>
    </w:p>
    <w:p>
      <w:pPr>
        <w:ind w:right="20" w:firstLine="603"/>
        <w:spacing w:after="0" w:line="257" w:lineRule="auto"/>
        <w:rPr>
          <w:sz w:val="20"/>
          <w:szCs w:val="20"/>
          <w:color w:val="auto"/>
        </w:rPr>
      </w:pPr>
      <w:r>
        <w:rPr>
          <w:rFonts w:ascii="Arial" w:cs="Arial" w:eastAsia="Arial" w:hAnsi="Arial"/>
          <w:sz w:val="17"/>
          <w:szCs w:val="17"/>
          <w:color w:val="auto"/>
        </w:rPr>
        <w:t>We offer competitive benefits packages for our full-time employees. Additionally, our employees have opportunities to earn annual bonuses and eligible employees have the opportunity to participate in our equity-based compensation program. We believe our compensation programs allow us to attract and retain talented employees willing to grow with us.</w:t>
      </w:r>
    </w:p>
    <w:p>
      <w:pPr>
        <w:spacing w:after="0" w:line="201" w:lineRule="exact"/>
        <w:rPr>
          <w:sz w:val="20"/>
          <w:szCs w:val="20"/>
          <w:color w:val="auto"/>
        </w:rPr>
      </w:pPr>
    </w:p>
    <w:p>
      <w:pPr>
        <w:ind w:right="60" w:firstLine="603"/>
        <w:spacing w:after="0" w:line="253" w:lineRule="auto"/>
        <w:rPr>
          <w:sz w:val="20"/>
          <w:szCs w:val="20"/>
          <w:color w:val="auto"/>
        </w:rPr>
      </w:pPr>
      <w:r>
        <w:rPr>
          <w:rFonts w:ascii="Arial" w:cs="Arial" w:eastAsia="Arial" w:hAnsi="Arial"/>
          <w:sz w:val="17"/>
          <w:szCs w:val="17"/>
          <w:color w:val="auto"/>
        </w:rPr>
        <w:t>We emphasize the importance of safety to all of our employees who work in our manufacturing and research facilities. Our safety performance and training results are measured and reported weekly. The foundations of our safety programs are based on global health and safety standards. During the COVID-19 pandemic, we followed local authority guidelines in all locations to ensure the safety of both employees and our customers. To date, we have not experienced any work stoppages as a result of labor disputes, and we consider our employee relations to be good.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3" w:lineRule="exact"/>
        <w:rPr>
          <w:sz w:val="20"/>
          <w:szCs w:val="20"/>
          <w:color w:val="auto"/>
        </w:rPr>
      </w:pPr>
    </w:p>
    <w:p>
      <w:pPr>
        <w:ind w:right="380" w:firstLine="603"/>
        <w:spacing w:after="0" w:line="283" w:lineRule="auto"/>
        <w:rPr>
          <w:sz w:val="20"/>
          <w:szCs w:val="20"/>
          <w:color w:val="auto"/>
        </w:rPr>
      </w:pPr>
      <w:r>
        <w:rPr>
          <w:rFonts w:ascii="Arial" w:cs="Arial" w:eastAsia="Arial" w:hAnsi="Arial"/>
          <w:sz w:val="16"/>
          <w:szCs w:val="16"/>
          <w:color w:val="auto"/>
        </w:rPr>
        <w:t>Competition in the battery industry is fierce and rapidly evolving. Our markets are subject to changing and evolving technology trends, shifting customer needs and expectations and frequent introduction of new technologies. We believe the primary competitive factors in our markets are:</w:t>
      </w:r>
    </w:p>
    <w:p>
      <w:pPr>
        <w:spacing w:after="0" w:line="202" w:lineRule="exact"/>
        <w:rPr>
          <w:sz w:val="20"/>
          <w:szCs w:val="20"/>
          <w:color w:val="auto"/>
        </w:rPr>
      </w:pPr>
    </w:p>
    <w:p>
      <w:pPr>
        <w:ind w:left="600" w:hanging="298"/>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17"/>
          <w:szCs w:val="17"/>
          <w:color w:val="auto"/>
        </w:rPr>
        <w:t>product performance, reliability and safety;</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7"/>
        </w:numPr>
        <w:rPr>
          <w:rFonts w:ascii="Arial" w:cs="Arial" w:eastAsia="Arial" w:hAnsi="Arial"/>
          <w:sz w:val="20"/>
          <w:szCs w:val="20"/>
          <w:color w:val="auto"/>
        </w:rPr>
      </w:pPr>
      <w:r>
        <w:rPr>
          <w:rFonts w:ascii="Arial" w:cs="Arial" w:eastAsia="Arial" w:hAnsi="Arial"/>
          <w:sz w:val="17"/>
          <w:szCs w:val="17"/>
          <w:color w:val="auto"/>
        </w:rPr>
        <w:t>integrated solutions;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7"/>
        </w:numPr>
        <w:rPr>
          <w:rFonts w:ascii="Arial" w:cs="Arial" w:eastAsia="Arial" w:hAnsi="Arial"/>
          <w:sz w:val="20"/>
          <w:szCs w:val="20"/>
          <w:color w:val="auto"/>
        </w:rPr>
      </w:pPr>
      <w:r>
        <w:rPr>
          <w:rFonts w:ascii="Arial" w:cs="Arial" w:eastAsia="Arial" w:hAnsi="Arial"/>
          <w:sz w:val="17"/>
          <w:szCs w:val="17"/>
          <w:color w:val="auto"/>
        </w:rPr>
        <w:t>total cost of ownership;</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7"/>
        </w:numPr>
        <w:rPr>
          <w:rFonts w:ascii="Arial" w:cs="Arial" w:eastAsia="Arial" w:hAnsi="Arial"/>
          <w:sz w:val="20"/>
          <w:szCs w:val="20"/>
          <w:color w:val="auto"/>
        </w:rPr>
      </w:pPr>
      <w:r>
        <w:rPr>
          <w:rFonts w:ascii="Arial" w:cs="Arial" w:eastAsia="Arial" w:hAnsi="Arial"/>
          <w:sz w:val="17"/>
          <w:szCs w:val="17"/>
          <w:color w:val="auto"/>
        </w:rPr>
        <w:t>regional and industrial regulations;</w:t>
      </w:r>
    </w:p>
    <w:p>
      <w:pPr>
        <w:spacing w:after="0" w:line="21" w:lineRule="exact"/>
        <w:rPr>
          <w:rFonts w:ascii="Arial" w:cs="Arial" w:eastAsia="Arial" w:hAnsi="Arial"/>
          <w:sz w:val="20"/>
          <w:szCs w:val="20"/>
          <w:color w:val="auto"/>
        </w:rPr>
      </w:pPr>
    </w:p>
    <w:p>
      <w:pPr>
        <w:ind w:left="600" w:hanging="298"/>
        <w:spacing w:after="0"/>
        <w:tabs>
          <w:tab w:leader="none" w:pos="600" w:val="left"/>
        </w:tabs>
        <w:numPr>
          <w:ilvl w:val="0"/>
          <w:numId w:val="17"/>
        </w:numPr>
        <w:rPr>
          <w:rFonts w:ascii="Arial" w:cs="Arial" w:eastAsia="Arial" w:hAnsi="Arial"/>
          <w:sz w:val="20"/>
          <w:szCs w:val="20"/>
          <w:color w:val="auto"/>
        </w:rPr>
      </w:pPr>
      <w:r>
        <w:rPr>
          <w:rFonts w:ascii="Arial" w:cs="Arial" w:eastAsia="Arial" w:hAnsi="Arial"/>
          <w:sz w:val="17"/>
          <w:szCs w:val="17"/>
          <w:color w:val="auto"/>
        </w:rPr>
        <w:t>pricing;</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7"/>
        </w:numPr>
        <w:rPr>
          <w:rFonts w:ascii="Arial" w:cs="Arial" w:eastAsia="Arial" w:hAnsi="Arial"/>
          <w:sz w:val="20"/>
          <w:szCs w:val="20"/>
          <w:color w:val="auto"/>
        </w:rPr>
      </w:pPr>
      <w:r>
        <w:rPr>
          <w:rFonts w:ascii="Arial" w:cs="Arial" w:eastAsia="Arial" w:hAnsi="Arial"/>
          <w:sz w:val="17"/>
          <w:szCs w:val="17"/>
          <w:color w:val="auto"/>
        </w:rPr>
        <w:t>availability and pricing of raw materials;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7"/>
        </w:numPr>
        <w:rPr>
          <w:rFonts w:ascii="Arial" w:cs="Arial" w:eastAsia="Arial" w:hAnsi="Arial"/>
          <w:sz w:val="20"/>
          <w:szCs w:val="20"/>
          <w:color w:val="auto"/>
        </w:rPr>
      </w:pPr>
      <w:r>
        <w:rPr>
          <w:rFonts w:ascii="Arial" w:cs="Arial" w:eastAsia="Arial" w:hAnsi="Arial"/>
          <w:sz w:val="17"/>
          <w:szCs w:val="17"/>
          <w:color w:val="auto"/>
        </w:rPr>
        <w:t>time to market for new technologies/chemistries; and</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7"/>
        </w:numPr>
        <w:rPr>
          <w:rFonts w:ascii="Arial" w:cs="Arial" w:eastAsia="Arial" w:hAnsi="Arial"/>
          <w:sz w:val="20"/>
          <w:szCs w:val="20"/>
          <w:color w:val="auto"/>
        </w:rPr>
      </w:pPr>
      <w:r>
        <w:rPr>
          <w:rFonts w:ascii="Arial" w:cs="Arial" w:eastAsia="Arial" w:hAnsi="Arial"/>
          <w:sz w:val="17"/>
          <w:szCs w:val="17"/>
          <w:color w:val="auto"/>
        </w:rPr>
        <w:t>manufacturing capabilities.</w:t>
      </w:r>
    </w:p>
    <w:p>
      <w:pPr>
        <w:spacing w:after="0" w:line="202" w:lineRule="exact"/>
        <w:rPr>
          <w:sz w:val="20"/>
          <w:szCs w:val="20"/>
          <w:color w:val="auto"/>
        </w:rPr>
      </w:pPr>
    </w:p>
    <w:p>
      <w:pPr>
        <w:ind w:right="180" w:firstLine="603"/>
        <w:spacing w:after="0" w:line="251" w:lineRule="auto"/>
        <w:rPr>
          <w:sz w:val="20"/>
          <w:szCs w:val="20"/>
          <w:color w:val="auto"/>
        </w:rPr>
      </w:pPr>
      <w:r>
        <w:rPr>
          <w:rFonts w:ascii="Arial" w:cs="Arial" w:eastAsia="Arial" w:hAnsi="Arial"/>
          <w:sz w:val="16"/>
          <w:szCs w:val="16"/>
          <w:color w:val="auto"/>
        </w:rPr>
        <w:t>Our competitors include many large, established, high volume battery manufacturers as well as new companies focused on the development of one or more battery technologies. The established Asian competitors from China, Japan and South Korea still dominate the global market and, due to the scale of their operations, have the ability to engage in tactical pricing initiatives to preserve and grow market share. See “</w:t>
      </w:r>
      <w:r>
        <w:rPr>
          <w:rFonts w:ascii="Arial" w:cs="Arial" w:eastAsia="Arial" w:hAnsi="Arial"/>
          <w:sz w:val="16"/>
          <w:szCs w:val="16"/>
          <w:i w:val="1"/>
          <w:iCs w:val="1"/>
          <w:color w:val="auto"/>
        </w:rPr>
        <w:t>Risk Factors — Risks Related to our Business and Industry — We</w:t>
      </w:r>
      <w:r>
        <w:rPr>
          <w:rFonts w:ascii="Arial" w:cs="Arial" w:eastAsia="Arial" w:hAnsi="Arial"/>
          <w:sz w:val="16"/>
          <w:szCs w:val="16"/>
          <w:color w:val="auto"/>
        </w:rPr>
        <w:t xml:space="preserve"> </w:t>
      </w:r>
      <w:r>
        <w:rPr>
          <w:rFonts w:ascii="Arial" w:cs="Arial" w:eastAsia="Arial" w:hAnsi="Arial"/>
          <w:sz w:val="16"/>
          <w:szCs w:val="16"/>
          <w:i w:val="1"/>
          <w:iCs w:val="1"/>
          <w:color w:val="auto"/>
        </w:rPr>
        <w:t>mainly manufacture and market lithium-based battery systems. If a viable substitute product or chemistry to lithium-based battery systems emerges and gains market acceptance, our business, financial condition and results of operations will be materially and adversely affected. Furthermore, our failure to keep up with rapid technological changes and evolving industry standards within the lithium-based battery market may cause our products to become obsolete and less marketable, resulting in loss of market share to our competitors.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Governmental Regulation and Environmental Compliance</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Matters — Our Asian facility</w:t>
      </w:r>
    </w:p>
    <w:p>
      <w:pPr>
        <w:spacing w:after="0" w:line="231" w:lineRule="exact"/>
        <w:rPr>
          <w:sz w:val="20"/>
          <w:szCs w:val="20"/>
          <w:color w:val="auto"/>
        </w:rPr>
      </w:pPr>
    </w:p>
    <w:p>
      <w:pPr>
        <w:ind w:firstLine="603"/>
        <w:spacing w:after="0" w:line="290" w:lineRule="auto"/>
        <w:rPr>
          <w:sz w:val="20"/>
          <w:szCs w:val="20"/>
          <w:color w:val="auto"/>
        </w:rPr>
      </w:pPr>
      <w:r>
        <w:rPr>
          <w:rFonts w:ascii="Arial" w:cs="Arial" w:eastAsia="Arial" w:hAnsi="Arial"/>
          <w:sz w:val="15"/>
          <w:szCs w:val="15"/>
          <w:color w:val="auto"/>
        </w:rPr>
        <w:t>Our manufacturing activities in China are subject to the requirements of Chinese environmental laws and regulations on air emission, wastewater discharge, solid waste and noise and the generation, handling, storage, use, transportation and disposal of hazardous materials. We believe we are in compliance with these environmental laws and regulations in all material aspects. We have built environmental treatment facilities concurrently with the construction of our manufacturing facilities, where the waste air, wastewater and waste solids we generate can be treated in accordance with the relevant requirements. We have outsourced the disposal of hazardous solid waste we generate to a third-party contractor in accordance with the relevant laws. We believe we have maintained pollutant emission levels at each of our facilities in material compliance with levels prescribed by the relevant governmental authorities.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Matters — Our European Production Facility</w:t>
      </w:r>
    </w:p>
    <w:p>
      <w:pPr>
        <w:spacing w:after="0" w:line="231" w:lineRule="exact"/>
        <w:rPr>
          <w:sz w:val="20"/>
          <w:szCs w:val="20"/>
          <w:color w:val="auto"/>
        </w:rPr>
      </w:pPr>
    </w:p>
    <w:p>
      <w:pPr>
        <w:ind w:right="60" w:firstLine="603"/>
        <w:spacing w:after="0" w:line="293" w:lineRule="auto"/>
        <w:rPr>
          <w:sz w:val="20"/>
          <w:szCs w:val="20"/>
          <w:color w:val="auto"/>
        </w:rPr>
      </w:pPr>
      <w:r>
        <w:rPr>
          <w:rFonts w:ascii="Arial" w:cs="Arial" w:eastAsia="Arial" w:hAnsi="Arial"/>
          <w:sz w:val="15"/>
          <w:szCs w:val="15"/>
          <w:color w:val="auto"/>
        </w:rPr>
        <w:t>Operations at our German facility are subject to a variety of environmental, health and safety regulations, including those governing the generation, handling, storage, use, transportation and disposal of hazardous materials. In order to conduct our operations by the fourth quarter of 2023, we obtained the Quality Management Standards IATF 16949:2016 and ISO 9001:2015 followed by ISO 14001:2015 — Environmental Quality Management Standard and ISO 50001:2011 — Energy Management. For safer working conditions we will also implement ISO 45001-2018 by the fourth quarter of 2023 — Occupational Health and Safety and all our machines and production lines are delivered with Conformitè Europëenne, European Quality Standard label according to the Machinery Directive 2006/42/EC.</w:t>
      </w:r>
    </w:p>
    <w:p>
      <w:pPr>
        <w:spacing w:after="0" w:line="177" w:lineRule="exact"/>
        <w:rPr>
          <w:sz w:val="20"/>
          <w:szCs w:val="20"/>
          <w:color w:val="auto"/>
        </w:rPr>
      </w:pPr>
    </w:p>
    <w:p>
      <w:pPr>
        <w:ind w:right="140" w:firstLine="603"/>
        <w:spacing w:after="0" w:line="251" w:lineRule="auto"/>
        <w:rPr>
          <w:sz w:val="20"/>
          <w:szCs w:val="20"/>
          <w:color w:val="auto"/>
        </w:rPr>
      </w:pPr>
      <w:r>
        <w:rPr>
          <w:rFonts w:ascii="Arial" w:cs="Arial" w:eastAsia="Arial" w:hAnsi="Arial"/>
          <w:sz w:val="17"/>
          <w:szCs w:val="17"/>
          <w:color w:val="auto"/>
        </w:rPr>
        <w:t>In transit, lithium-ion batteries are subject to rules governing the transportation of “dangerous goods.” We only use carriers that meet these requirements. We have policies and programs in place to help assure compliance with our obligations such as machine guarding, laser welding, hazardous material management and transportation. Furthermore, in order to obtain the existing building permits, we are obligated to perform environmental compliance and fire protection concept requirements under German regulations. All these standards and certificates are designed to comply with applicable government regulations and laws, as well as the standards of the automotive industry.</w:t>
      </w:r>
    </w:p>
    <w:p>
      <w:pPr>
        <w:spacing w:after="0" w:line="208" w:lineRule="exact"/>
        <w:rPr>
          <w:sz w:val="20"/>
          <w:szCs w:val="20"/>
          <w:color w:val="auto"/>
        </w:rPr>
      </w:pPr>
    </w:p>
    <w:p>
      <w:pPr>
        <w:ind w:right="500" w:firstLine="603"/>
        <w:spacing w:after="0" w:line="252" w:lineRule="auto"/>
        <w:rPr>
          <w:sz w:val="20"/>
          <w:szCs w:val="20"/>
          <w:color w:val="auto"/>
        </w:rPr>
      </w:pPr>
      <w:r>
        <w:rPr>
          <w:rFonts w:ascii="Arial" w:cs="Arial" w:eastAsia="Arial" w:hAnsi="Arial"/>
          <w:sz w:val="17"/>
          <w:szCs w:val="17"/>
          <w:color w:val="auto"/>
        </w:rPr>
        <w:t>We train our employees and conduct internal audits of our operations to assess our fulfillment of these policies. As demonstrated in our pilot project for “Sustainable Battery Production” with TÜV SÜD Germany, the environment is very important to us.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Matters — Our U.S. Production Facility</w:t>
      </w:r>
    </w:p>
    <w:p>
      <w:pPr>
        <w:spacing w:after="0" w:line="231" w:lineRule="exact"/>
        <w:rPr>
          <w:sz w:val="20"/>
          <w:szCs w:val="20"/>
          <w:color w:val="auto"/>
        </w:rPr>
      </w:pPr>
    </w:p>
    <w:p>
      <w:pPr>
        <w:ind w:right="180" w:firstLine="603"/>
        <w:spacing w:after="0" w:line="307" w:lineRule="auto"/>
        <w:rPr>
          <w:sz w:val="20"/>
          <w:szCs w:val="20"/>
          <w:color w:val="auto"/>
        </w:rPr>
      </w:pPr>
      <w:r>
        <w:rPr>
          <w:rFonts w:ascii="Arial" w:cs="Arial" w:eastAsia="Arial" w:hAnsi="Arial"/>
          <w:sz w:val="15"/>
          <w:szCs w:val="15"/>
          <w:color w:val="auto"/>
        </w:rPr>
        <w:t>Federal, state, and local regulations impose significant environmental requirements on the manufacture, storage, transportation, and disposal of various components of advanced ESS. Although we believe that our operations are in material compliance with current applicable environmental regulations, there can be no assurance that changes in such laws and regulations will not impose costly compliance requirements on us or otherwise subject us to future liabilities.</w:t>
      </w:r>
    </w:p>
    <w:p>
      <w:pPr>
        <w:spacing w:after="0" w:line="167" w:lineRule="exact"/>
        <w:rPr>
          <w:sz w:val="20"/>
          <w:szCs w:val="20"/>
          <w:color w:val="auto"/>
        </w:rPr>
      </w:pPr>
    </w:p>
    <w:p>
      <w:pPr>
        <w:ind w:right="540" w:firstLine="603"/>
        <w:spacing w:after="0" w:line="257" w:lineRule="auto"/>
        <w:rPr>
          <w:sz w:val="20"/>
          <w:szCs w:val="20"/>
          <w:color w:val="auto"/>
        </w:rPr>
      </w:pPr>
      <w:r>
        <w:rPr>
          <w:rFonts w:ascii="Arial" w:cs="Arial" w:eastAsia="Arial" w:hAnsi="Arial"/>
          <w:sz w:val="17"/>
          <w:szCs w:val="17"/>
          <w:color w:val="auto"/>
        </w:rPr>
        <w:t>Moreover, federal, state, and local governments may enact additional regulations relating to the manufacture, storage, transportation, and disposal of components of advanced ESS. Compliance with such additional regulations could require us to devote significant time and resources and could adversely affect demand for our products.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Environmental Matters</w:t>
      </w:r>
    </w:p>
    <w:p>
      <w:pPr>
        <w:spacing w:after="0" w:line="231" w:lineRule="exact"/>
        <w:rPr>
          <w:sz w:val="20"/>
          <w:szCs w:val="20"/>
          <w:color w:val="auto"/>
        </w:rPr>
      </w:pPr>
    </w:p>
    <w:p>
      <w:pPr>
        <w:ind w:right="40" w:firstLine="603"/>
        <w:spacing w:after="0" w:line="250" w:lineRule="auto"/>
        <w:rPr>
          <w:sz w:val="20"/>
          <w:szCs w:val="20"/>
          <w:color w:val="auto"/>
        </w:rPr>
      </w:pPr>
      <w:r>
        <w:rPr>
          <w:rFonts w:ascii="Arial" w:cs="Arial" w:eastAsia="Arial" w:hAnsi="Arial"/>
          <w:sz w:val="17"/>
          <w:szCs w:val="17"/>
          <w:color w:val="auto"/>
        </w:rPr>
        <w:t>We are not currently subject to any admonitions, penalties, investigations or inquiries imposed by the environmental regulators, nor are we subject to any claims or legal proceedings to which we are named as a defendant for violation of any environmental law or regulation. We do not have any reasonable basis to believe that there is any threatened claim, action or legal proceedings against us relating to any environmental law or regulation that would have a material adverse effect on our business, financial condition or results of operations. See “</w:t>
      </w:r>
      <w:r>
        <w:rPr>
          <w:rFonts w:ascii="Arial" w:cs="Arial" w:eastAsia="Arial" w:hAnsi="Arial"/>
          <w:sz w:val="17"/>
          <w:szCs w:val="17"/>
          <w:i w:val="1"/>
          <w:iCs w:val="1"/>
          <w:color w:val="auto"/>
        </w:rPr>
        <w:t>Risk Factors — Risks Related to our Business and Industry — Compliance with environmental</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regulations can be expensive, and failure to comply with these regulations may result in monetary damages and fines, adverse publicity and have a material adverse effect on our business..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Workers’ Health and Production Safety Compliance</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are subject to numerous laws and regulations related to the health of our employees and production safety of our facilities in each jurisdiction in which we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operate.</w:t>
      </w:r>
    </w:p>
    <w:p>
      <w:pPr>
        <w:spacing w:after="0" w:line="219" w:lineRule="exact"/>
        <w:rPr>
          <w:sz w:val="20"/>
          <w:szCs w:val="20"/>
          <w:color w:val="auto"/>
        </w:rPr>
      </w:pPr>
    </w:p>
    <w:p>
      <w:pPr>
        <w:ind w:right="140" w:firstLine="603"/>
        <w:spacing w:after="0" w:line="335" w:lineRule="auto"/>
        <w:rPr>
          <w:sz w:val="20"/>
          <w:szCs w:val="20"/>
          <w:color w:val="auto"/>
        </w:rPr>
      </w:pPr>
      <w:r>
        <w:rPr>
          <w:rFonts w:ascii="Arial" w:cs="Arial" w:eastAsia="Arial" w:hAnsi="Arial"/>
          <w:sz w:val="15"/>
          <w:szCs w:val="15"/>
          <w:color w:val="auto"/>
        </w:rPr>
        <w:t>These laws and regulations include in some jurisdictions a requirement to engage a qualified institution to make a safety evaluation report on its work safety conditions and to file such a safety evaluation report with the local work safety authority for the use of hazardous chemicals in our manufacturing process.</w:t>
      </w:r>
    </w:p>
    <w:p>
      <w:pPr>
        <w:spacing w:after="0" w:line="146" w:lineRule="exact"/>
        <w:rPr>
          <w:sz w:val="20"/>
          <w:szCs w:val="20"/>
          <w:color w:val="auto"/>
        </w:rPr>
      </w:pPr>
    </w:p>
    <w:p>
      <w:pPr>
        <w:ind w:right="40" w:firstLine="603"/>
        <w:spacing w:after="0" w:line="293" w:lineRule="auto"/>
        <w:rPr>
          <w:sz w:val="20"/>
          <w:szCs w:val="20"/>
          <w:color w:val="auto"/>
        </w:rPr>
      </w:pPr>
      <w:r>
        <w:rPr>
          <w:rFonts w:ascii="Arial" w:cs="Arial" w:eastAsia="Arial" w:hAnsi="Arial"/>
          <w:sz w:val="15"/>
          <w:szCs w:val="15"/>
          <w:color w:val="auto"/>
        </w:rPr>
        <w:t>We are not currently subject to any admonitions, penalties, investigations or inquiries relating to workers’ health and production safety law or regulations, nor are we subject to any claims or legal proceedings to which we are named as a defendant for violation of any workers’ health and production safety law or regulation. We do not have any reasonable basis to believe that there are any threatened claims, actions or legal proceedings against us relating to any workers’ health and production safety law or regulation that would have a material adverse effect on our business, financial condition or results of operations. See “</w:t>
      </w:r>
      <w:r>
        <w:rPr>
          <w:rFonts w:ascii="Arial" w:cs="Arial" w:eastAsia="Arial" w:hAnsi="Arial"/>
          <w:sz w:val="15"/>
          <w:szCs w:val="15"/>
          <w:i w:val="1"/>
          <w:iCs w:val="1"/>
          <w:color w:val="auto"/>
        </w:rPr>
        <w:t>Risk Factors — Risks</w:t>
      </w:r>
      <w:r>
        <w:rPr>
          <w:rFonts w:ascii="Arial" w:cs="Arial" w:eastAsia="Arial" w:hAnsi="Arial"/>
          <w:sz w:val="15"/>
          <w:szCs w:val="15"/>
          <w:color w:val="auto"/>
        </w:rPr>
        <w:t xml:space="preserve"> </w:t>
      </w:r>
      <w:r>
        <w:rPr>
          <w:rFonts w:ascii="Arial" w:cs="Arial" w:eastAsia="Arial" w:hAnsi="Arial"/>
          <w:sz w:val="15"/>
          <w:szCs w:val="15"/>
          <w:i w:val="1"/>
          <w:iCs w:val="1"/>
          <w:color w:val="auto"/>
        </w:rPr>
        <w:t>Related to our Business and Industry — We may fail to comply with certain health and production safety laws and regulations governing hazardous materials.</w:t>
      </w:r>
      <w:r>
        <w:rPr>
          <w:rFonts w:ascii="Arial" w:cs="Arial" w:eastAsia="Arial" w:hAnsi="Arial"/>
          <w:sz w:val="15"/>
          <w:szCs w:val="15"/>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35" w:lineRule="exact"/>
        <w:rPr>
          <w:sz w:val="20"/>
          <w:szCs w:val="20"/>
          <w:color w:val="auto"/>
        </w:rPr>
      </w:pPr>
    </w:p>
    <w:p>
      <w:pPr>
        <w:ind w:right="320" w:firstLine="603"/>
        <w:spacing w:after="0" w:line="268" w:lineRule="auto"/>
        <w:rPr>
          <w:sz w:val="20"/>
          <w:szCs w:val="20"/>
          <w:color w:val="auto"/>
        </w:rPr>
      </w:pPr>
      <w:r>
        <w:rPr>
          <w:rFonts w:ascii="Arial" w:cs="Arial" w:eastAsia="Arial" w:hAnsi="Arial"/>
          <w:sz w:val="17"/>
          <w:szCs w:val="17"/>
          <w:color w:val="auto"/>
        </w:rPr>
        <w:t>We have historically experienced higher sales during our third and fourth fiscal quarters as compared to our first and second fiscal quarters. However, our limited operating history makes it difficult for us to judge the exact nature or extent of the seasonality of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235" w:lineRule="exact"/>
        <w:rPr>
          <w:sz w:val="20"/>
          <w:szCs w:val="20"/>
          <w:color w:val="auto"/>
        </w:rPr>
      </w:pPr>
    </w:p>
    <w:p>
      <w:pPr>
        <w:ind w:right="60" w:firstLine="603"/>
        <w:spacing w:after="0" w:line="268" w:lineRule="auto"/>
        <w:rPr>
          <w:sz w:val="20"/>
          <w:szCs w:val="20"/>
          <w:color w:val="auto"/>
        </w:rPr>
      </w:pPr>
      <w:r>
        <w:rPr>
          <w:rFonts w:ascii="Arial" w:cs="Arial" w:eastAsia="Arial" w:hAnsi="Arial"/>
          <w:sz w:val="16"/>
          <w:szCs w:val="16"/>
          <w:color w:val="auto"/>
        </w:rPr>
        <w:t xml:space="preserve">Microvast, Inc. was originally incorporated in Texas in 2006 and later converted to a Delaware corporation in December 2015. On July 23, 2021, Tuscan Holdings Corp. ("Tuscan") a Delaware corporation established in April 2016 for the purpose of effecting a merger, capital stock exchange, asset acquisition, stock purchase, reorganization, or similar business combination with one or more businesses) consummated the acquisition of Microvast, Inc. pursuant to an Agreement and Plan of Merger dated February 1, 2021, between Tuscan, Microvast, Inc. and TSCN Merger Sub Inc. (the “Business Combination”). In connection with the consummation of the Business Combination, we changed our name from Tuscan to “Microvast Holdings, Inc.” Our principal executive offices are located at 12603 Southwest Freeway, Suite 300, Stafford, Texas 77477, and our telephone number is (281) 491-9505. Our website is </w:t>
      </w:r>
      <w:r>
        <w:rPr>
          <w:rFonts w:ascii="Arial" w:cs="Arial" w:eastAsia="Arial" w:hAnsi="Arial"/>
          <w:sz w:val="16"/>
          <w:szCs w:val="16"/>
          <w:i w:val="1"/>
          <w:iCs w:val="1"/>
          <w:color w:val="auto"/>
        </w:rPr>
        <w:t>https://microvast.com.</w:t>
      </w:r>
      <w:r>
        <w:rPr>
          <w:rFonts w:ascii="Arial" w:cs="Arial" w:eastAsia="Arial" w:hAnsi="Arial"/>
          <w:sz w:val="16"/>
          <w:szCs w:val="16"/>
          <w:color w:val="auto"/>
        </w:rPr>
        <w:t xml:space="preserve"> The information posted on our website is not incorporated by reference into this Annual Report.</w:t>
      </w:r>
    </w:p>
    <w:p>
      <w:pPr>
        <w:spacing w:after="0" w:line="194" w:lineRule="exact"/>
        <w:rPr>
          <w:sz w:val="20"/>
          <w:szCs w:val="20"/>
          <w:color w:val="auto"/>
        </w:rPr>
      </w:pPr>
    </w:p>
    <w:p>
      <w:pPr>
        <w:jc w:val="both"/>
        <w:ind w:firstLine="603"/>
        <w:spacing w:after="0" w:line="285" w:lineRule="auto"/>
        <w:rPr>
          <w:sz w:val="20"/>
          <w:szCs w:val="20"/>
          <w:color w:val="auto"/>
        </w:rPr>
      </w:pPr>
      <w:r>
        <w:rPr>
          <w:rFonts w:ascii="Arial" w:cs="Arial" w:eastAsia="Arial" w:hAnsi="Arial"/>
          <w:sz w:val="15"/>
          <w:szCs w:val="15"/>
          <w:color w:val="auto"/>
        </w:rPr>
        <w:t>We make available on or through our website certain reports and amendments to those reports that we file with or furnish to the U.S. Securities and Exchange Commission (“SEC”) in accordance with the Securities Exchange Act of 1934, as amended (the “Exchange Act”). These include our annual reports on Form 10-K, our quarterly reports on Form 10-Q, and our current reports on Form 8-K, amendments to those reports and our Proxy Statement for our annual meeting of stockholders.</w:t>
      </w:r>
    </w:p>
    <w:p>
      <w:pPr>
        <w:ind w:right="80"/>
        <w:spacing w:after="0" w:line="283" w:lineRule="auto"/>
        <w:rPr>
          <w:sz w:val="20"/>
          <w:szCs w:val="20"/>
          <w:color w:val="auto"/>
        </w:rPr>
      </w:pPr>
      <w:r>
        <w:rPr>
          <w:rFonts w:ascii="Arial" w:cs="Arial" w:eastAsia="Arial" w:hAnsi="Arial"/>
          <w:sz w:val="16"/>
          <w:szCs w:val="16"/>
          <w:color w:val="auto"/>
        </w:rPr>
        <w:t xml:space="preserve">These filings are available for download free of charge on our investor relations website located at </w:t>
      </w:r>
      <w:r>
        <w:rPr>
          <w:rFonts w:ascii="Arial" w:cs="Arial" w:eastAsia="Arial" w:hAnsi="Arial"/>
          <w:sz w:val="16"/>
          <w:szCs w:val="16"/>
          <w:i w:val="1"/>
          <w:iCs w:val="1"/>
          <w:color w:val="auto"/>
        </w:rPr>
        <w:t>https://ir.microvast.com/financials-filings/sec-filings</w:t>
      </w:r>
      <w:r>
        <w:rPr>
          <w:rFonts w:ascii="Arial" w:cs="Arial" w:eastAsia="Arial" w:hAnsi="Arial"/>
          <w:sz w:val="16"/>
          <w:szCs w:val="16"/>
          <w:color w:val="auto"/>
        </w:rPr>
        <w:t xml:space="preserve">. The SEC also maintains a website that contains reports, proxy statements, and other information about issuers that file electronically at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0" w:lineRule="exact"/>
        <w:rPr>
          <w:sz w:val="20"/>
          <w:szCs w:val="20"/>
          <w:color w:val="auto"/>
        </w:rPr>
      </w:pPr>
    </w:p>
    <w:p>
      <w:pPr>
        <w:ind w:right="100" w:firstLine="603"/>
        <w:spacing w:after="0" w:line="293" w:lineRule="auto"/>
        <w:rPr>
          <w:sz w:val="20"/>
          <w:szCs w:val="20"/>
          <w:color w:val="auto"/>
        </w:rPr>
      </w:pPr>
      <w:r>
        <w:rPr>
          <w:rFonts w:ascii="Arial" w:cs="Arial" w:eastAsia="Arial" w:hAnsi="Arial"/>
          <w:sz w:val="15"/>
          <w:szCs w:val="15"/>
          <w:i w:val="1"/>
          <w:iCs w:val="1"/>
          <w:color w:val="auto"/>
        </w:rPr>
        <w:t>You should carefully consider the risk factors discussed below, as well as all other information, as an investment in the Company involves a high degree of risk. We operate in a changing environment that involves numerous known and unknown risks and uncertainties that could materially adversely affect our operations. Any of the following risks could materially and adversely affect our business, financial condition, results of operations or prospects. However, the selected risks described below are not the only risks facing us. Additional risks and uncertainties not currently known to us or those we currently view to be immaterial may also materially and adversely affect our business, financial condition, results of operations or prospects. In such a case, the trading price of our securities could decline.</w:t>
      </w: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Below is a summary of material factors that make an investment in our common stock speculative or risky: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47" w:lineRule="exact"/>
        <w:rPr>
          <w:sz w:val="20"/>
          <w:szCs w:val="20"/>
          <w:color w:val="auto"/>
        </w:rPr>
      </w:pPr>
    </w:p>
    <w:p>
      <w:pPr>
        <w:ind w:left="600" w:right="400" w:hanging="298"/>
        <w:spacing w:after="0" w:line="233" w:lineRule="auto"/>
        <w:tabs>
          <w:tab w:leader="none" w:pos="595" w:val="left"/>
        </w:tabs>
        <w:numPr>
          <w:ilvl w:val="0"/>
          <w:numId w:val="18"/>
        </w:numPr>
        <w:rPr>
          <w:rFonts w:ascii="Arial" w:cs="Arial" w:eastAsia="Arial" w:hAnsi="Arial"/>
          <w:sz w:val="20"/>
          <w:szCs w:val="20"/>
          <w:color w:val="auto"/>
        </w:rPr>
      </w:pPr>
      <w:r>
        <w:rPr>
          <w:rFonts w:ascii="Arial" w:cs="Arial" w:eastAsia="Arial" w:hAnsi="Arial"/>
          <w:sz w:val="17"/>
          <w:szCs w:val="17"/>
          <w:color w:val="auto"/>
        </w:rPr>
        <w:t>Our future growth depends upon the willingness of commercial vehicle and specialty vehicle operators and consumers to adopt electric vehicles, and the availability of alternative technology.</w:t>
      </w:r>
    </w:p>
    <w:p>
      <w:pPr>
        <w:spacing w:after="0" w:line="26" w:lineRule="exact"/>
        <w:rPr>
          <w:rFonts w:ascii="Arial" w:cs="Arial" w:eastAsia="Arial" w:hAnsi="Arial"/>
          <w:sz w:val="20"/>
          <w:szCs w:val="20"/>
          <w:color w:val="auto"/>
        </w:rPr>
      </w:pPr>
    </w:p>
    <w:p>
      <w:pPr>
        <w:ind w:left="600" w:right="480" w:hanging="298"/>
        <w:spacing w:after="0" w:line="233" w:lineRule="auto"/>
        <w:tabs>
          <w:tab w:leader="none" w:pos="595" w:val="left"/>
        </w:tabs>
        <w:numPr>
          <w:ilvl w:val="0"/>
          <w:numId w:val="18"/>
        </w:numPr>
        <w:rPr>
          <w:rFonts w:ascii="Arial" w:cs="Arial" w:eastAsia="Arial" w:hAnsi="Arial"/>
          <w:sz w:val="20"/>
          <w:szCs w:val="20"/>
          <w:color w:val="auto"/>
        </w:rPr>
      </w:pPr>
      <w:r>
        <w:rPr>
          <w:rFonts w:ascii="Arial" w:cs="Arial" w:eastAsia="Arial" w:hAnsi="Arial"/>
          <w:sz w:val="17"/>
          <w:szCs w:val="17"/>
          <w:color w:val="auto"/>
        </w:rPr>
        <w:t>Certain components of our batteries pose safety risks that may cause accidents, which could lead to liability to us, cause delays in manufacturing of our product and/or adversely affect market acceptance.</w:t>
      </w:r>
    </w:p>
    <w:p>
      <w:pPr>
        <w:spacing w:after="0" w:line="26" w:lineRule="exact"/>
        <w:rPr>
          <w:rFonts w:ascii="Arial" w:cs="Arial" w:eastAsia="Arial" w:hAnsi="Arial"/>
          <w:sz w:val="20"/>
          <w:szCs w:val="20"/>
          <w:color w:val="auto"/>
        </w:rPr>
      </w:pPr>
    </w:p>
    <w:p>
      <w:pPr>
        <w:ind w:left="600" w:right="60" w:hanging="298"/>
        <w:spacing w:after="0" w:line="241" w:lineRule="auto"/>
        <w:tabs>
          <w:tab w:leader="none" w:pos="595" w:val="left"/>
        </w:tabs>
        <w:numPr>
          <w:ilvl w:val="0"/>
          <w:numId w:val="18"/>
        </w:numPr>
        <w:rPr>
          <w:rFonts w:ascii="Arial" w:cs="Arial" w:eastAsia="Arial" w:hAnsi="Arial"/>
          <w:sz w:val="20"/>
          <w:szCs w:val="20"/>
          <w:color w:val="auto"/>
        </w:rPr>
      </w:pPr>
      <w:r>
        <w:rPr>
          <w:rFonts w:ascii="Arial" w:cs="Arial" w:eastAsia="Arial" w:hAnsi="Arial"/>
          <w:sz w:val="17"/>
          <w:szCs w:val="17"/>
          <w:color w:val="auto"/>
        </w:rPr>
        <w:t>We have a limited customer base and depend on a small number of customers for a significant portion of our revenues to date and this dependence is likely to continue.</w:t>
      </w:r>
    </w:p>
    <w:p>
      <w:pPr>
        <w:spacing w:after="0" w:line="24" w:lineRule="exact"/>
        <w:rPr>
          <w:rFonts w:ascii="Arial" w:cs="Arial" w:eastAsia="Arial" w:hAnsi="Arial"/>
          <w:sz w:val="20"/>
          <w:szCs w:val="20"/>
          <w:color w:val="auto"/>
        </w:rPr>
      </w:pPr>
    </w:p>
    <w:p>
      <w:pPr>
        <w:ind w:left="600" w:right="60" w:hanging="298"/>
        <w:spacing w:after="0" w:line="233" w:lineRule="auto"/>
        <w:tabs>
          <w:tab w:leader="none" w:pos="595" w:val="left"/>
        </w:tabs>
        <w:numPr>
          <w:ilvl w:val="0"/>
          <w:numId w:val="18"/>
        </w:numPr>
        <w:rPr>
          <w:rFonts w:ascii="Arial" w:cs="Arial" w:eastAsia="Arial" w:hAnsi="Arial"/>
          <w:sz w:val="20"/>
          <w:szCs w:val="20"/>
          <w:color w:val="auto"/>
        </w:rPr>
      </w:pPr>
      <w:r>
        <w:rPr>
          <w:rFonts w:ascii="Arial" w:cs="Arial" w:eastAsia="Arial" w:hAnsi="Arial"/>
          <w:sz w:val="17"/>
          <w:szCs w:val="17"/>
          <w:color w:val="auto"/>
        </w:rPr>
        <w:t>We have a limited operating history and have incurred losses in the operation of our business and anticipate that we will continue to incur losses in the future. We may never achieve or sustain profitability.</w:t>
      </w:r>
    </w:p>
    <w:p>
      <w:pPr>
        <w:spacing w:after="0" w:line="26" w:lineRule="exact"/>
        <w:rPr>
          <w:rFonts w:ascii="Arial" w:cs="Arial" w:eastAsia="Arial" w:hAnsi="Arial"/>
          <w:sz w:val="20"/>
          <w:szCs w:val="20"/>
          <w:color w:val="auto"/>
        </w:rPr>
      </w:pPr>
    </w:p>
    <w:p>
      <w:pPr>
        <w:ind w:left="600" w:right="160" w:hanging="298"/>
        <w:spacing w:after="0" w:line="233" w:lineRule="auto"/>
        <w:tabs>
          <w:tab w:leader="none" w:pos="595" w:val="left"/>
        </w:tabs>
        <w:numPr>
          <w:ilvl w:val="0"/>
          <w:numId w:val="18"/>
        </w:numPr>
        <w:rPr>
          <w:rFonts w:ascii="Arial" w:cs="Arial" w:eastAsia="Arial" w:hAnsi="Arial"/>
          <w:sz w:val="20"/>
          <w:szCs w:val="20"/>
          <w:color w:val="auto"/>
        </w:rPr>
      </w:pPr>
      <w:r>
        <w:rPr>
          <w:rFonts w:ascii="Arial" w:cs="Arial" w:eastAsia="Arial" w:hAnsi="Arial"/>
          <w:sz w:val="17"/>
          <w:szCs w:val="17"/>
          <w:color w:val="auto"/>
        </w:rPr>
        <w:t>We may be unable to meet our future capital requirements, which could limit our ability to grow and have a material adverse effect on our financial position and results of operations.</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18"/>
        </w:numPr>
        <w:rPr>
          <w:rFonts w:ascii="Arial" w:cs="Arial" w:eastAsia="Arial" w:hAnsi="Arial"/>
          <w:sz w:val="20"/>
          <w:szCs w:val="20"/>
          <w:color w:val="auto"/>
        </w:rPr>
      </w:pPr>
      <w:r>
        <w:rPr>
          <w:rFonts w:ascii="Arial" w:cs="Arial" w:eastAsia="Arial" w:hAnsi="Arial"/>
          <w:sz w:val="17"/>
          <w:szCs w:val="17"/>
          <w:color w:val="auto"/>
        </w:rPr>
        <w:t>We may incur significant costs as a result of the warranties we supply with our products and services.</w:t>
      </w:r>
    </w:p>
    <w:p>
      <w:pPr>
        <w:spacing w:after="0" w:line="25" w:lineRule="exact"/>
        <w:rPr>
          <w:rFonts w:ascii="Arial" w:cs="Arial" w:eastAsia="Arial" w:hAnsi="Arial"/>
          <w:sz w:val="20"/>
          <w:szCs w:val="20"/>
          <w:color w:val="auto"/>
        </w:rPr>
      </w:pPr>
    </w:p>
    <w:p>
      <w:pPr>
        <w:ind w:left="600" w:hanging="298"/>
        <w:spacing w:after="0" w:line="237" w:lineRule="auto"/>
        <w:tabs>
          <w:tab w:leader="none" w:pos="595" w:val="left"/>
        </w:tabs>
        <w:numPr>
          <w:ilvl w:val="0"/>
          <w:numId w:val="18"/>
        </w:numPr>
        <w:rPr>
          <w:rFonts w:ascii="Arial" w:cs="Arial" w:eastAsia="Arial" w:hAnsi="Arial"/>
          <w:sz w:val="20"/>
          <w:szCs w:val="20"/>
          <w:color w:val="auto"/>
        </w:rPr>
      </w:pPr>
      <w:r>
        <w:rPr>
          <w:rFonts w:ascii="Arial" w:cs="Arial" w:eastAsia="Arial" w:hAnsi="Arial"/>
          <w:sz w:val="17"/>
          <w:szCs w:val="17"/>
          <w:color w:val="auto"/>
        </w:rPr>
        <w:t>Our failure to increase our manufacturing output and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27" w:lineRule="exact"/>
        <w:rPr>
          <w:rFonts w:ascii="Arial" w:cs="Arial" w:eastAsia="Arial" w:hAnsi="Arial"/>
          <w:sz w:val="20"/>
          <w:szCs w:val="20"/>
          <w:color w:val="auto"/>
        </w:rPr>
      </w:pPr>
    </w:p>
    <w:p>
      <w:pPr>
        <w:ind w:left="600" w:right="360" w:hanging="298"/>
        <w:spacing w:after="0" w:line="241" w:lineRule="auto"/>
        <w:tabs>
          <w:tab w:leader="none" w:pos="595" w:val="left"/>
        </w:tabs>
        <w:numPr>
          <w:ilvl w:val="0"/>
          <w:numId w:val="18"/>
        </w:numPr>
        <w:rPr>
          <w:rFonts w:ascii="Arial" w:cs="Arial" w:eastAsia="Arial" w:hAnsi="Arial"/>
          <w:sz w:val="20"/>
          <w:szCs w:val="20"/>
          <w:color w:val="auto"/>
        </w:rPr>
      </w:pPr>
      <w:r>
        <w:rPr>
          <w:rFonts w:ascii="Arial" w:cs="Arial" w:eastAsia="Arial" w:hAnsi="Arial"/>
          <w:sz w:val="17"/>
          <w:szCs w:val="17"/>
          <w:color w:val="auto"/>
        </w:rPr>
        <w:t>Our planned expansion into new applications and new markets as we continue to expand our global presence pose additional risks which could adversely affect our business, financial condition and results of operations.</w:t>
      </w:r>
    </w:p>
    <w:p>
      <w:pPr>
        <w:spacing w:after="0" w:line="24" w:lineRule="exact"/>
        <w:rPr>
          <w:rFonts w:ascii="Arial" w:cs="Arial" w:eastAsia="Arial" w:hAnsi="Arial"/>
          <w:sz w:val="20"/>
          <w:szCs w:val="20"/>
          <w:color w:val="auto"/>
        </w:rPr>
      </w:pPr>
    </w:p>
    <w:p>
      <w:pPr>
        <w:ind w:left="600" w:right="60" w:hanging="298"/>
        <w:spacing w:after="0" w:line="253" w:lineRule="auto"/>
        <w:tabs>
          <w:tab w:leader="none" w:pos="595" w:val="left"/>
        </w:tabs>
        <w:numPr>
          <w:ilvl w:val="0"/>
          <w:numId w:val="18"/>
        </w:numPr>
        <w:rPr>
          <w:rFonts w:ascii="Arial" w:cs="Arial" w:eastAsia="Arial" w:hAnsi="Arial"/>
          <w:sz w:val="19"/>
          <w:szCs w:val="19"/>
          <w:color w:val="auto"/>
        </w:rPr>
      </w:pPr>
      <w:r>
        <w:rPr>
          <w:rFonts w:ascii="Arial" w:cs="Arial" w:eastAsia="Arial" w:hAnsi="Arial"/>
          <w:sz w:val="16"/>
          <w:szCs w:val="16"/>
          <w:color w:val="auto"/>
        </w:rPr>
        <w:t>We rely on third parties to manufacture chargers and charging poles and to build charging stations that are necessary for using our products, and our ability to market our products depends on the establishment of charging station networks that meet the needs of our products</w:t>
      </w:r>
      <w:r>
        <w:rPr>
          <w:rFonts w:ascii="Arial" w:cs="Arial" w:eastAsia="Arial" w:hAnsi="Arial"/>
          <w:sz w:val="19"/>
          <w:szCs w:val="19"/>
          <w:b w:val="1"/>
          <w:bCs w:val="1"/>
          <w:i w:val="1"/>
          <w:iCs w:val="1"/>
          <w:color w:val="auto"/>
        </w:rPr>
        <w:t>.</w:t>
      </w:r>
    </w:p>
    <w:p>
      <w:pPr>
        <w:spacing w:after="0" w:line="16" w:lineRule="exact"/>
        <w:rPr>
          <w:rFonts w:ascii="Arial" w:cs="Arial" w:eastAsia="Arial" w:hAnsi="Arial"/>
          <w:sz w:val="19"/>
          <w:szCs w:val="19"/>
          <w:color w:val="auto"/>
        </w:rPr>
      </w:pPr>
    </w:p>
    <w:p>
      <w:pPr>
        <w:ind w:left="600" w:right="500" w:hanging="298"/>
        <w:spacing w:after="0" w:line="233" w:lineRule="auto"/>
        <w:tabs>
          <w:tab w:leader="none" w:pos="595" w:val="left"/>
        </w:tabs>
        <w:numPr>
          <w:ilvl w:val="0"/>
          <w:numId w:val="18"/>
        </w:numPr>
        <w:rPr>
          <w:rFonts w:ascii="Arial" w:cs="Arial" w:eastAsia="Arial" w:hAnsi="Arial"/>
          <w:sz w:val="20"/>
          <w:szCs w:val="20"/>
          <w:color w:val="auto"/>
        </w:rPr>
      </w:pPr>
      <w:r>
        <w:rPr>
          <w:rFonts w:ascii="Arial" w:cs="Arial" w:eastAsia="Arial" w:hAnsi="Arial"/>
          <w:sz w:val="17"/>
          <w:szCs w:val="17"/>
          <w:color w:val="auto"/>
        </w:rPr>
        <w:t>We currently purchase certain key raw materials and components from third parties, some of which we only source from one supplier or from a limited number of suppliers.</w:t>
      </w:r>
    </w:p>
    <w:p>
      <w:pPr>
        <w:spacing w:after="0" w:line="26" w:lineRule="exact"/>
        <w:rPr>
          <w:rFonts w:ascii="Arial" w:cs="Arial" w:eastAsia="Arial" w:hAnsi="Arial"/>
          <w:sz w:val="20"/>
          <w:szCs w:val="20"/>
          <w:color w:val="auto"/>
        </w:rPr>
      </w:pPr>
    </w:p>
    <w:p>
      <w:pPr>
        <w:ind w:left="600" w:right="140" w:hanging="298"/>
        <w:spacing w:after="0" w:line="233" w:lineRule="auto"/>
        <w:tabs>
          <w:tab w:leader="none" w:pos="595" w:val="left"/>
        </w:tabs>
        <w:numPr>
          <w:ilvl w:val="0"/>
          <w:numId w:val="18"/>
        </w:numPr>
        <w:rPr>
          <w:rFonts w:ascii="Arial" w:cs="Arial" w:eastAsia="Arial" w:hAnsi="Arial"/>
          <w:sz w:val="20"/>
          <w:szCs w:val="20"/>
          <w:color w:val="auto"/>
        </w:rPr>
      </w:pPr>
      <w:r>
        <w:rPr>
          <w:rFonts w:ascii="Arial" w:cs="Arial" w:eastAsia="Arial" w:hAnsi="Arial"/>
          <w:sz w:val="17"/>
          <w:szCs w:val="17"/>
          <w:color w:val="auto"/>
        </w:rPr>
        <w:t>Our business depends substantially on the continuing efforts of our senior executives and other key personnel, and our business may be severely disrupted if we lost their services.</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18"/>
        </w:numPr>
        <w:rPr>
          <w:rFonts w:ascii="Arial" w:cs="Arial" w:eastAsia="Arial" w:hAnsi="Arial"/>
          <w:sz w:val="20"/>
          <w:szCs w:val="20"/>
          <w:color w:val="auto"/>
        </w:rPr>
      </w:pPr>
      <w:r>
        <w:rPr>
          <w:rFonts w:ascii="Arial" w:cs="Arial" w:eastAsia="Arial" w:hAnsi="Arial"/>
          <w:sz w:val="17"/>
          <w:szCs w:val="17"/>
          <w:color w:val="auto"/>
        </w:rPr>
        <w:t>Our management has limited experience in operating a public company.</w:t>
      </w:r>
    </w:p>
    <w:p>
      <w:pPr>
        <w:spacing w:after="0" w:line="25" w:lineRule="exact"/>
        <w:rPr>
          <w:rFonts w:ascii="Arial" w:cs="Arial" w:eastAsia="Arial" w:hAnsi="Arial"/>
          <w:sz w:val="20"/>
          <w:szCs w:val="20"/>
          <w:color w:val="auto"/>
        </w:rPr>
      </w:pPr>
    </w:p>
    <w:p>
      <w:pPr>
        <w:ind w:left="600" w:right="140" w:hanging="298"/>
        <w:spacing w:after="0" w:line="241" w:lineRule="auto"/>
        <w:tabs>
          <w:tab w:leader="none" w:pos="595" w:val="left"/>
        </w:tabs>
        <w:numPr>
          <w:ilvl w:val="0"/>
          <w:numId w:val="18"/>
        </w:numPr>
        <w:rPr>
          <w:rFonts w:ascii="Arial" w:cs="Arial" w:eastAsia="Arial" w:hAnsi="Arial"/>
          <w:sz w:val="20"/>
          <w:szCs w:val="20"/>
          <w:color w:val="auto"/>
        </w:rPr>
      </w:pPr>
      <w:r>
        <w:rPr>
          <w:rFonts w:ascii="Arial" w:cs="Arial" w:eastAsia="Arial" w:hAnsi="Arial"/>
          <w:sz w:val="17"/>
          <w:szCs w:val="17"/>
          <w:color w:val="auto"/>
        </w:rPr>
        <w:t>Our batteries and our website, systems, and data we maintain may be subject to intentional disruption, other security incidents, or alleged violations of laws, regulations, or other obligations.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Doing Business in China</w:t>
      </w:r>
    </w:p>
    <w:p>
      <w:pPr>
        <w:spacing w:after="0" w:line="47" w:lineRule="exact"/>
        <w:rPr>
          <w:sz w:val="20"/>
          <w:szCs w:val="20"/>
          <w:color w:val="auto"/>
        </w:rPr>
      </w:pPr>
    </w:p>
    <w:p>
      <w:pPr>
        <w:ind w:left="600" w:right="220" w:hanging="298"/>
        <w:spacing w:after="0" w:line="266"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5"/>
          <w:szCs w:val="15"/>
          <w:color w:val="auto"/>
        </w:rPr>
        <w:t>Adverse changes in political, economic, and other policies of the government of the People’s Republic of China (the “PRC”) could have a material adverse effect on the overall economic growth of China, which could materially and adversely affect the growth of our business and our competitive position.</w:t>
      </w:r>
    </w:p>
    <w:p>
      <w:pPr>
        <w:spacing w:after="0" w:line="18" w:lineRule="exact"/>
        <w:rPr>
          <w:rFonts w:ascii="Arial" w:cs="Arial" w:eastAsia="Arial" w:hAnsi="Arial"/>
          <w:sz w:val="18"/>
          <w:szCs w:val="18"/>
          <w:color w:val="auto"/>
        </w:rPr>
      </w:pPr>
    </w:p>
    <w:p>
      <w:pPr>
        <w:ind w:left="600" w:right="20" w:hanging="298"/>
        <w:spacing w:after="0" w:line="237" w:lineRule="auto"/>
        <w:tabs>
          <w:tab w:leader="none" w:pos="595" w:val="left"/>
        </w:tabs>
        <w:numPr>
          <w:ilvl w:val="0"/>
          <w:numId w:val="19"/>
        </w:numPr>
        <w:rPr>
          <w:rFonts w:ascii="Arial" w:cs="Arial" w:eastAsia="Arial" w:hAnsi="Arial"/>
          <w:sz w:val="20"/>
          <w:szCs w:val="20"/>
          <w:color w:val="auto"/>
        </w:rPr>
      </w:pPr>
      <w:r>
        <w:rPr>
          <w:rFonts w:ascii="Arial" w:cs="Arial" w:eastAsia="Arial" w:hAnsi="Arial"/>
          <w:sz w:val="17"/>
          <w:szCs w:val="17"/>
          <w:color w:val="auto"/>
        </w:rPr>
        <w:t>Our operations in China are subject to extensive PRC government regulation, and changes to such regulations could increase our costs or limit our ability to conduct activities in China. We could become subject to regulations issued by the Cyberspace Administration of China (“CAC”) and requirements of the PRC government’s cyber or data security laws.</w:t>
      </w:r>
    </w:p>
    <w:p>
      <w:pPr>
        <w:spacing w:after="0" w:line="27" w:lineRule="exact"/>
        <w:rPr>
          <w:rFonts w:ascii="Arial" w:cs="Arial" w:eastAsia="Arial" w:hAnsi="Arial"/>
          <w:sz w:val="20"/>
          <w:szCs w:val="20"/>
          <w:color w:val="auto"/>
        </w:rPr>
      </w:pPr>
    </w:p>
    <w:p>
      <w:pPr>
        <w:ind w:left="600" w:right="140" w:hanging="298"/>
        <w:spacing w:after="0" w:line="250" w:lineRule="auto"/>
        <w:tabs>
          <w:tab w:leader="none" w:pos="595" w:val="left"/>
        </w:tabs>
        <w:numPr>
          <w:ilvl w:val="0"/>
          <w:numId w:val="19"/>
        </w:numPr>
        <w:rPr>
          <w:rFonts w:ascii="Arial" w:cs="Arial" w:eastAsia="Arial" w:hAnsi="Arial"/>
          <w:sz w:val="19"/>
          <w:szCs w:val="19"/>
          <w:color w:val="auto"/>
        </w:rPr>
      </w:pPr>
      <w:r>
        <w:rPr>
          <w:rFonts w:ascii="Arial" w:cs="Arial" w:eastAsia="Arial" w:hAnsi="Arial"/>
          <w:sz w:val="16"/>
          <w:szCs w:val="16"/>
          <w:color w:val="auto"/>
        </w:rPr>
        <w:t>Any future revocation of approvals or any future failure to obtain approvals applicable to our business or any adverse changes in foreign investment policies of the PRC government may have a material adverse impact on our business, financial condition and results of operations.</w:t>
      </w:r>
    </w:p>
    <w:p>
      <w:pPr>
        <w:spacing w:after="0" w:line="3" w:lineRule="exact"/>
        <w:rPr>
          <w:rFonts w:ascii="Arial" w:cs="Arial" w:eastAsia="Arial" w:hAnsi="Arial"/>
          <w:sz w:val="19"/>
          <w:szCs w:val="19"/>
          <w:color w:val="auto"/>
        </w:rPr>
      </w:pPr>
    </w:p>
    <w:p>
      <w:pPr>
        <w:ind w:left="600" w:hanging="298"/>
        <w:spacing w:after="0"/>
        <w:tabs>
          <w:tab w:leader="none" w:pos="600" w:val="left"/>
        </w:tabs>
        <w:numPr>
          <w:ilvl w:val="0"/>
          <w:numId w:val="19"/>
        </w:numPr>
        <w:rPr>
          <w:rFonts w:ascii="Arial" w:cs="Arial" w:eastAsia="Arial" w:hAnsi="Arial"/>
          <w:sz w:val="20"/>
          <w:szCs w:val="20"/>
          <w:color w:val="auto"/>
        </w:rPr>
      </w:pPr>
      <w:r>
        <w:rPr>
          <w:rFonts w:ascii="Arial" w:cs="Arial" w:eastAsia="Arial" w:hAnsi="Arial"/>
          <w:sz w:val="17"/>
          <w:szCs w:val="17"/>
          <w:color w:val="auto"/>
        </w:rPr>
        <w:t>The PRC government may exert substantial influence over the manner in which we conduct our business operations in China.</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19"/>
        </w:numPr>
        <w:rPr>
          <w:rFonts w:ascii="Arial" w:cs="Arial" w:eastAsia="Arial" w:hAnsi="Arial"/>
          <w:sz w:val="20"/>
          <w:szCs w:val="20"/>
          <w:color w:val="auto"/>
        </w:rPr>
      </w:pPr>
      <w:r>
        <w:rPr>
          <w:rFonts w:ascii="Arial" w:cs="Arial" w:eastAsia="Arial" w:hAnsi="Arial"/>
          <w:sz w:val="17"/>
          <w:szCs w:val="17"/>
          <w:color w:val="auto"/>
        </w:rPr>
        <w:t>China’s legal and judicial system may not adequately protect our business and operations and the rights of our investors.</w:t>
      </w:r>
    </w:p>
    <w:p>
      <w:pPr>
        <w:spacing w:after="0" w:line="10" w:lineRule="exact"/>
        <w:rPr>
          <w:rFonts w:ascii="Arial" w:cs="Arial" w:eastAsia="Arial" w:hAnsi="Arial"/>
          <w:sz w:val="20"/>
          <w:szCs w:val="20"/>
          <w:color w:val="auto"/>
        </w:rPr>
      </w:pPr>
    </w:p>
    <w:p>
      <w:pPr>
        <w:ind w:left="600" w:right="20" w:hanging="298"/>
        <w:spacing w:after="0" w:line="256" w:lineRule="auto"/>
        <w:tabs>
          <w:tab w:leader="none" w:pos="59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securities may be prohibited from trading in the United States under the Holding Foreign Companies Accountable Act (the "HFCAA") in the future if the Public Company Accounting Oversight Board (the</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600" w:right="220"/>
        <w:spacing w:after="0" w:line="258" w:lineRule="auto"/>
        <w:rPr>
          <w:sz w:val="20"/>
          <w:szCs w:val="20"/>
          <w:color w:val="auto"/>
        </w:rPr>
      </w:pPr>
      <w:r>
        <w:rPr>
          <w:rFonts w:ascii="Arial" w:cs="Arial" w:eastAsia="Arial" w:hAnsi="Arial"/>
          <w:sz w:val="17"/>
          <w:szCs w:val="17"/>
          <w:color w:val="auto"/>
        </w:rPr>
        <w:t>"PCAOB") is unable to inspect or investigate completely auditors located in China. The delisting of the securities, or the threat of their being delisted, may materially and adversely affect the value of your investment.</w:t>
      </w:r>
    </w:p>
    <w:p>
      <w:pPr>
        <w:spacing w:after="0" w:line="19" w:lineRule="exact"/>
        <w:rPr>
          <w:sz w:val="20"/>
          <w:szCs w:val="20"/>
          <w:color w:val="auto"/>
        </w:rPr>
      </w:pPr>
    </w:p>
    <w:p>
      <w:pPr>
        <w:jc w:val="both"/>
        <w:ind w:left="600" w:hanging="298"/>
        <w:spacing w:after="0" w:line="237" w:lineRule="auto"/>
        <w:tabs>
          <w:tab w:leader="none" w:pos="595" w:val="left"/>
        </w:tabs>
        <w:numPr>
          <w:ilvl w:val="0"/>
          <w:numId w:val="20"/>
        </w:numPr>
        <w:rPr>
          <w:rFonts w:ascii="Arial" w:cs="Arial" w:eastAsia="Arial" w:hAnsi="Arial"/>
          <w:sz w:val="20"/>
          <w:szCs w:val="20"/>
          <w:color w:val="auto"/>
        </w:rPr>
      </w:pPr>
      <w:r>
        <w:rPr>
          <w:rFonts w:ascii="Arial" w:cs="Arial" w:eastAsia="Arial" w:hAnsi="Arial"/>
          <w:sz w:val="17"/>
          <w:szCs w:val="17"/>
          <w:color w:val="auto"/>
        </w:rPr>
        <w:t>Changes in the policies of the PRC government, including more oversight and control over offerings that are conducted overseas and/or foreign investment in China-based issuers, could have a significant impact on the business we may be able to conduct in China, the profitability of our business and the value of our common stock.</w:t>
      </w:r>
    </w:p>
    <w:p>
      <w:pPr>
        <w:spacing w:after="0" w:line="27" w:lineRule="exact"/>
        <w:rPr>
          <w:rFonts w:ascii="Arial" w:cs="Arial" w:eastAsia="Arial" w:hAnsi="Arial"/>
          <w:sz w:val="20"/>
          <w:szCs w:val="20"/>
          <w:color w:val="auto"/>
        </w:rPr>
      </w:pPr>
    </w:p>
    <w:p>
      <w:pPr>
        <w:ind w:left="600" w:right="280" w:hanging="298"/>
        <w:spacing w:after="0" w:line="266" w:lineRule="auto"/>
        <w:tabs>
          <w:tab w:leader="none" w:pos="595" w:val="left"/>
        </w:tabs>
        <w:numPr>
          <w:ilvl w:val="0"/>
          <w:numId w:val="20"/>
        </w:numPr>
        <w:rPr>
          <w:rFonts w:ascii="Arial" w:cs="Arial" w:eastAsia="Arial" w:hAnsi="Arial"/>
          <w:sz w:val="18"/>
          <w:szCs w:val="18"/>
          <w:color w:val="auto"/>
        </w:rPr>
      </w:pPr>
      <w:r>
        <w:rPr>
          <w:rFonts w:ascii="Arial" w:cs="Arial" w:eastAsia="Arial" w:hAnsi="Arial"/>
          <w:sz w:val="15"/>
          <w:szCs w:val="15"/>
          <w:color w:val="auto"/>
        </w:rPr>
        <w:t>Restrictions under PRC law on our PRC subsidiaries’ ability to make dividends and other distributions could materially and adversely affect our ability to grow, make investments or acquisitions that could benefit our business, pay dividends to you, and otherwise fund and conduct our business.</w:t>
      </w:r>
    </w:p>
    <w:p>
      <w:pPr>
        <w:spacing w:after="0" w:line="18" w:lineRule="exact"/>
        <w:rPr>
          <w:rFonts w:ascii="Arial" w:cs="Arial" w:eastAsia="Arial" w:hAnsi="Arial"/>
          <w:sz w:val="18"/>
          <w:szCs w:val="18"/>
          <w:color w:val="auto"/>
        </w:rPr>
      </w:pPr>
    </w:p>
    <w:p>
      <w:pPr>
        <w:ind w:left="600" w:right="80" w:hanging="298"/>
        <w:spacing w:after="0" w:line="243" w:lineRule="auto"/>
        <w:tabs>
          <w:tab w:leader="none" w:pos="595" w:val="left"/>
        </w:tabs>
        <w:numPr>
          <w:ilvl w:val="0"/>
          <w:numId w:val="20"/>
        </w:numPr>
        <w:rPr>
          <w:rFonts w:ascii="Arial" w:cs="Arial" w:eastAsia="Arial" w:hAnsi="Arial"/>
          <w:sz w:val="20"/>
          <w:szCs w:val="20"/>
          <w:color w:val="auto"/>
        </w:rPr>
      </w:pPr>
      <w:r>
        <w:rPr>
          <w:rFonts w:ascii="Arial" w:cs="Arial" w:eastAsia="Arial" w:hAnsi="Arial"/>
          <w:sz w:val="17"/>
          <w:szCs w:val="17"/>
          <w:color w:val="auto"/>
        </w:rPr>
        <w:t>We have become subject to the recent scrutiny, criticism and negative publicity involving U.S.-listed companies with substantial operations in China, and we have and we may continue to expend significant resources to investigate and resolve the matter which could harm our business operations, stock price and reputation, especially if such matter cannot be addressed and resolved favorably.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47" w:lineRule="exact"/>
        <w:rPr>
          <w:sz w:val="20"/>
          <w:szCs w:val="20"/>
          <w:color w:val="auto"/>
        </w:rPr>
      </w:pPr>
    </w:p>
    <w:p>
      <w:pPr>
        <w:ind w:left="600" w:right="40" w:hanging="298"/>
        <w:spacing w:after="0" w:line="233" w:lineRule="auto"/>
        <w:tabs>
          <w:tab w:leader="none" w:pos="595" w:val="left"/>
        </w:tabs>
        <w:numPr>
          <w:ilvl w:val="0"/>
          <w:numId w:val="21"/>
        </w:numPr>
        <w:rPr>
          <w:rFonts w:ascii="Arial" w:cs="Arial" w:eastAsia="Arial" w:hAnsi="Arial"/>
          <w:sz w:val="20"/>
          <w:szCs w:val="20"/>
          <w:color w:val="auto"/>
        </w:rPr>
      </w:pPr>
      <w:r>
        <w:rPr>
          <w:rFonts w:ascii="Arial" w:cs="Arial" w:eastAsia="Arial" w:hAnsi="Arial"/>
          <w:sz w:val="17"/>
          <w:szCs w:val="17"/>
          <w:color w:val="auto"/>
        </w:rPr>
        <w:t>We may not be able to protect our intellectual property rights in the major markets in which we operate, including China, and we could incur substantial costs as a result of any claim of infringement of another party’s intellectual property rights.</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21"/>
        </w:numPr>
        <w:rPr>
          <w:rFonts w:ascii="Arial" w:cs="Arial" w:eastAsia="Arial" w:hAnsi="Arial"/>
          <w:sz w:val="20"/>
          <w:szCs w:val="20"/>
          <w:color w:val="auto"/>
        </w:rPr>
      </w:pPr>
      <w:r>
        <w:rPr>
          <w:rFonts w:ascii="Arial" w:cs="Arial" w:eastAsia="Arial" w:hAnsi="Arial"/>
          <w:sz w:val="17"/>
          <w:szCs w:val="17"/>
          <w:color w:val="auto"/>
        </w:rPr>
        <w:t>We rely substantially on unpatented proprietary technologies.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17"/>
          <w:szCs w:val="17"/>
          <w:color w:val="auto"/>
        </w:rPr>
        <w:t>Our success depends on our ability to obtain, maintain and protect our intellectual property rights.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1"/>
        </w:numPr>
        <w:rPr>
          <w:rFonts w:ascii="Arial" w:cs="Arial" w:eastAsia="Arial" w:hAnsi="Arial"/>
          <w:sz w:val="20"/>
          <w:szCs w:val="20"/>
          <w:color w:val="auto"/>
        </w:rPr>
      </w:pPr>
      <w:r>
        <w:rPr>
          <w:rFonts w:ascii="Arial" w:cs="Arial" w:eastAsia="Arial" w:hAnsi="Arial"/>
          <w:sz w:val="17"/>
          <w:szCs w:val="17"/>
          <w:color w:val="auto"/>
        </w:rPr>
        <w:t>We could incur substantial costs as a result of any claim of infringement of another party’s intellectual property rights.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Common Stock</w:t>
      </w:r>
    </w:p>
    <w:p>
      <w:pPr>
        <w:spacing w:after="0" w:line="30" w:lineRule="exact"/>
        <w:rPr>
          <w:sz w:val="20"/>
          <w:szCs w:val="20"/>
          <w:color w:val="auto"/>
        </w:rPr>
      </w:pPr>
    </w:p>
    <w:p>
      <w:pPr>
        <w:ind w:left="600" w:hanging="298"/>
        <w:spacing w:after="0"/>
        <w:tabs>
          <w:tab w:leader="none" w:pos="600" w:val="left"/>
        </w:tabs>
        <w:numPr>
          <w:ilvl w:val="0"/>
          <w:numId w:val="22"/>
        </w:numPr>
        <w:rPr>
          <w:rFonts w:ascii="Arial" w:cs="Arial" w:eastAsia="Arial" w:hAnsi="Arial"/>
          <w:sz w:val="20"/>
          <w:szCs w:val="20"/>
          <w:color w:val="auto"/>
        </w:rPr>
      </w:pPr>
      <w:r>
        <w:rPr>
          <w:rFonts w:ascii="Arial" w:cs="Arial" w:eastAsia="Arial" w:hAnsi="Arial"/>
          <w:sz w:val="17"/>
          <w:szCs w:val="17"/>
          <w:color w:val="auto"/>
        </w:rPr>
        <w:t>We may issue additional shares of common stock or other equity securities, which may depress the market price of common stock.</w:t>
      </w:r>
    </w:p>
    <w:p>
      <w:pPr>
        <w:spacing w:after="0" w:line="21" w:lineRule="exact"/>
        <w:rPr>
          <w:rFonts w:ascii="Arial" w:cs="Arial" w:eastAsia="Arial" w:hAnsi="Arial"/>
          <w:sz w:val="20"/>
          <w:szCs w:val="20"/>
          <w:color w:val="auto"/>
        </w:rPr>
      </w:pPr>
    </w:p>
    <w:p>
      <w:pPr>
        <w:ind w:left="600" w:hanging="298"/>
        <w:spacing w:after="0"/>
        <w:tabs>
          <w:tab w:leader="none" w:pos="600" w:val="left"/>
        </w:tabs>
        <w:numPr>
          <w:ilvl w:val="0"/>
          <w:numId w:val="22"/>
        </w:numPr>
        <w:rPr>
          <w:rFonts w:ascii="Arial" w:cs="Arial" w:eastAsia="Arial" w:hAnsi="Arial"/>
          <w:sz w:val="20"/>
          <w:szCs w:val="20"/>
          <w:color w:val="auto"/>
        </w:rPr>
      </w:pPr>
      <w:r>
        <w:rPr>
          <w:rFonts w:ascii="Arial" w:cs="Arial" w:eastAsia="Arial" w:hAnsi="Arial"/>
          <w:sz w:val="17"/>
          <w:szCs w:val="17"/>
          <w:color w:val="auto"/>
        </w:rPr>
        <w:t>Resales of our common stock may cause the market price of our securities to drop significantly, even if our business is doing well.</w:t>
      </w:r>
    </w:p>
    <w:p>
      <w:pPr>
        <w:spacing w:after="0" w:line="25" w:lineRule="exact"/>
        <w:rPr>
          <w:rFonts w:ascii="Arial" w:cs="Arial" w:eastAsia="Arial" w:hAnsi="Arial"/>
          <w:sz w:val="20"/>
          <w:szCs w:val="20"/>
          <w:color w:val="auto"/>
        </w:rPr>
      </w:pPr>
    </w:p>
    <w:p>
      <w:pPr>
        <w:ind w:left="600" w:right="60" w:hanging="298"/>
        <w:spacing w:after="0" w:line="233" w:lineRule="auto"/>
        <w:tabs>
          <w:tab w:leader="none" w:pos="595" w:val="left"/>
        </w:tabs>
        <w:numPr>
          <w:ilvl w:val="0"/>
          <w:numId w:val="22"/>
        </w:numPr>
        <w:rPr>
          <w:rFonts w:ascii="Arial" w:cs="Arial" w:eastAsia="Arial" w:hAnsi="Arial"/>
          <w:sz w:val="20"/>
          <w:szCs w:val="20"/>
          <w:color w:val="auto"/>
        </w:rPr>
      </w:pPr>
      <w:r>
        <w:rPr>
          <w:rFonts w:ascii="Arial" w:cs="Arial" w:eastAsia="Arial" w:hAnsi="Arial"/>
          <w:sz w:val="17"/>
          <w:szCs w:val="17"/>
          <w:color w:val="auto"/>
        </w:rPr>
        <w:t>Even though the warrants have become exercisable, there is no guarantee that the warrants will be in the money prior to their expiration, and they may expire worthless.</w:t>
      </w:r>
    </w:p>
    <w:p>
      <w:pPr>
        <w:spacing w:after="0" w:line="26" w:lineRule="exact"/>
        <w:rPr>
          <w:rFonts w:ascii="Arial" w:cs="Arial" w:eastAsia="Arial" w:hAnsi="Arial"/>
          <w:sz w:val="20"/>
          <w:szCs w:val="20"/>
          <w:color w:val="auto"/>
        </w:rPr>
      </w:pPr>
    </w:p>
    <w:p>
      <w:pPr>
        <w:ind w:left="600" w:right="480" w:hanging="298"/>
        <w:spacing w:after="0" w:line="233" w:lineRule="auto"/>
        <w:tabs>
          <w:tab w:leader="none" w:pos="595" w:val="left"/>
        </w:tabs>
        <w:numPr>
          <w:ilvl w:val="0"/>
          <w:numId w:val="22"/>
        </w:numPr>
        <w:rPr>
          <w:rFonts w:ascii="Arial" w:cs="Arial" w:eastAsia="Arial" w:hAnsi="Arial"/>
          <w:sz w:val="20"/>
          <w:szCs w:val="20"/>
          <w:color w:val="auto"/>
        </w:rPr>
      </w:pPr>
      <w:r>
        <w:rPr>
          <w:rFonts w:ascii="Arial" w:cs="Arial" w:eastAsia="Arial" w:hAnsi="Arial"/>
          <w:sz w:val="17"/>
          <w:szCs w:val="17"/>
          <w:color w:val="auto"/>
        </w:rPr>
        <w:t>The Tuscan Group (as defined below) is likely to make a substantial profit even if the trading price of our common stock materially declines due to the nominal purchase price Tuscan paid for the Founder Shares (as defined below).</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30" w:lineRule="exact"/>
        <w:rPr>
          <w:sz w:val="20"/>
          <w:szCs w:val="20"/>
          <w:color w:val="auto"/>
        </w:rPr>
      </w:pPr>
    </w:p>
    <w:p>
      <w:pPr>
        <w:ind w:left="600" w:hanging="298"/>
        <w:spacing w:after="0"/>
        <w:tabs>
          <w:tab w:leader="none" w:pos="600" w:val="left"/>
        </w:tabs>
        <w:numPr>
          <w:ilvl w:val="0"/>
          <w:numId w:val="23"/>
        </w:numPr>
        <w:rPr>
          <w:rFonts w:ascii="Arial" w:cs="Arial" w:eastAsia="Arial" w:hAnsi="Arial"/>
          <w:sz w:val="20"/>
          <w:szCs w:val="20"/>
          <w:color w:val="auto"/>
        </w:rPr>
      </w:pPr>
      <w:r>
        <w:rPr>
          <w:rFonts w:ascii="Arial" w:cs="Arial" w:eastAsia="Arial" w:hAnsi="Arial"/>
          <w:sz w:val="17"/>
          <w:szCs w:val="17"/>
          <w:color w:val="auto"/>
        </w:rPr>
        <w:t>Our lengthy and variable sales cycle makes it difficult for us to forecast our revenue and operating results.</w:t>
      </w:r>
    </w:p>
    <w:p>
      <w:pPr>
        <w:spacing w:after="0" w:line="25" w:lineRule="exact"/>
        <w:rPr>
          <w:rFonts w:ascii="Arial" w:cs="Arial" w:eastAsia="Arial" w:hAnsi="Arial"/>
          <w:sz w:val="20"/>
          <w:szCs w:val="20"/>
          <w:color w:val="auto"/>
        </w:rPr>
      </w:pPr>
    </w:p>
    <w:p>
      <w:pPr>
        <w:ind w:left="600" w:right="260" w:hanging="298"/>
        <w:spacing w:after="0" w:line="233" w:lineRule="auto"/>
        <w:tabs>
          <w:tab w:leader="none" w:pos="595" w:val="left"/>
        </w:tabs>
        <w:numPr>
          <w:ilvl w:val="0"/>
          <w:numId w:val="23"/>
        </w:numPr>
        <w:rPr>
          <w:rFonts w:ascii="Arial" w:cs="Arial" w:eastAsia="Arial" w:hAnsi="Arial"/>
          <w:sz w:val="20"/>
          <w:szCs w:val="20"/>
          <w:color w:val="auto"/>
        </w:rPr>
      </w:pPr>
      <w:r>
        <w:rPr>
          <w:rFonts w:ascii="Arial" w:cs="Arial" w:eastAsia="Arial" w:hAnsi="Arial"/>
          <w:sz w:val="17"/>
          <w:szCs w:val="17"/>
          <w:color w:val="auto"/>
        </w:rPr>
        <w:t>We face risks related to health epidemics, including the COVID-19 pandemic, and geopolitical risks such as the Ukraine/Russia crisis, which could have a material adverse effect on our business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growth depends upon the willingness of commercial-vehicle and specialty-vehicle operators and consumers to adopt electric vehicles.</w:t>
      </w:r>
    </w:p>
    <w:p>
      <w:pPr>
        <w:spacing w:after="0" w:line="243" w:lineRule="exact"/>
        <w:rPr>
          <w:sz w:val="20"/>
          <w:szCs w:val="20"/>
          <w:color w:val="auto"/>
        </w:rPr>
      </w:pPr>
    </w:p>
    <w:p>
      <w:pPr>
        <w:ind w:firstLine="603"/>
        <w:spacing w:after="0" w:line="293" w:lineRule="auto"/>
        <w:rPr>
          <w:sz w:val="20"/>
          <w:szCs w:val="20"/>
          <w:color w:val="auto"/>
        </w:rPr>
      </w:pPr>
      <w:r>
        <w:rPr>
          <w:rFonts w:ascii="Arial" w:cs="Arial" w:eastAsia="Arial" w:hAnsi="Arial"/>
          <w:sz w:val="15"/>
          <w:szCs w:val="15"/>
          <w:color w:val="auto"/>
        </w:rPr>
        <w:t>Our growth is highly dependent upon the adoption of electric vehicles by commercial-vehicle and specialty-vehicle operators and consumers. If the markets for electric vehicles in China, Europe or the U.S. do not develop as we expect or develop more slowly than we expect, our business, prospects, financial condition and operating results will be harmed, because demand for our products and services will not increase as expected or may even be reduced. The market for alternative fuel vehicles is relatively new, rapidly evolving, characterized by rapidly changing technologies, price competition, numerous competitors, evolving government regulation and industry standards, frequent new vehicle announcements and changing consumer demands and behaviors.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Other factors may influence the adoption of electric vehicles, including, but not limited to:</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00" w:right="120" w:hanging="298"/>
        <w:spacing w:after="0" w:line="233" w:lineRule="auto"/>
        <w:tabs>
          <w:tab w:leader="none" w:pos="595" w:val="left"/>
        </w:tabs>
        <w:numPr>
          <w:ilvl w:val="0"/>
          <w:numId w:val="24"/>
        </w:numPr>
        <w:rPr>
          <w:rFonts w:ascii="Arial" w:cs="Arial" w:eastAsia="Arial" w:hAnsi="Arial"/>
          <w:sz w:val="20"/>
          <w:szCs w:val="20"/>
          <w:color w:val="auto"/>
        </w:rPr>
      </w:pPr>
      <w:r>
        <w:rPr>
          <w:rFonts w:ascii="Arial" w:cs="Arial" w:eastAsia="Arial" w:hAnsi="Arial"/>
          <w:sz w:val="17"/>
          <w:szCs w:val="17"/>
          <w:color w:val="auto"/>
        </w:rPr>
        <w:t>perceptions about electric vehicle quality, design, performance and cost, especially if adverse events or accidents occur that are linked to the quality or safety of electric vehicles;</w:t>
      </w:r>
    </w:p>
    <w:p>
      <w:pPr>
        <w:spacing w:after="0" w:line="26" w:lineRule="exact"/>
        <w:rPr>
          <w:rFonts w:ascii="Arial" w:cs="Arial" w:eastAsia="Arial" w:hAnsi="Arial"/>
          <w:sz w:val="20"/>
          <w:szCs w:val="20"/>
          <w:color w:val="auto"/>
        </w:rPr>
      </w:pPr>
    </w:p>
    <w:p>
      <w:pPr>
        <w:ind w:left="600" w:right="180" w:hanging="298"/>
        <w:spacing w:after="0" w:line="233" w:lineRule="auto"/>
        <w:tabs>
          <w:tab w:leader="none" w:pos="595" w:val="left"/>
        </w:tabs>
        <w:numPr>
          <w:ilvl w:val="0"/>
          <w:numId w:val="24"/>
        </w:numPr>
        <w:rPr>
          <w:rFonts w:ascii="Arial" w:cs="Arial" w:eastAsia="Arial" w:hAnsi="Arial"/>
          <w:sz w:val="20"/>
          <w:szCs w:val="20"/>
          <w:color w:val="auto"/>
        </w:rPr>
      </w:pPr>
      <w:r>
        <w:rPr>
          <w:rFonts w:ascii="Arial" w:cs="Arial" w:eastAsia="Arial" w:hAnsi="Arial"/>
          <w:sz w:val="17"/>
          <w:szCs w:val="17"/>
          <w:color w:val="auto"/>
        </w:rPr>
        <w:t>perceptions about electric vehicle quality, safety (in particular with respect to lithium-ion battery packs), design, performance and cost, especially if adverse events or accidents occur that are linked to the quality or safety of electric vehicles;</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volatility in sales of electric vehicles;</w:t>
      </w:r>
    </w:p>
    <w:p>
      <w:pPr>
        <w:spacing w:after="0" w:line="37" w:lineRule="exact"/>
        <w:rPr>
          <w:rFonts w:ascii="Arial" w:cs="Arial" w:eastAsia="Arial" w:hAnsi="Arial"/>
          <w:sz w:val="20"/>
          <w:szCs w:val="20"/>
          <w:color w:val="auto"/>
        </w:rPr>
      </w:pPr>
    </w:p>
    <w:p>
      <w:pPr>
        <w:ind w:left="600" w:right="160" w:hanging="298"/>
        <w:spacing w:after="0" w:line="233" w:lineRule="auto"/>
        <w:tabs>
          <w:tab w:leader="none" w:pos="595" w:val="left"/>
        </w:tabs>
        <w:numPr>
          <w:ilvl w:val="0"/>
          <w:numId w:val="24"/>
        </w:numPr>
        <w:rPr>
          <w:rFonts w:ascii="Arial" w:cs="Arial" w:eastAsia="Arial" w:hAnsi="Arial"/>
          <w:sz w:val="20"/>
          <w:szCs w:val="20"/>
          <w:color w:val="auto"/>
        </w:rPr>
      </w:pPr>
      <w:r>
        <w:rPr>
          <w:rFonts w:ascii="Arial" w:cs="Arial" w:eastAsia="Arial" w:hAnsi="Arial"/>
          <w:sz w:val="17"/>
          <w:szCs w:val="17"/>
          <w:color w:val="auto"/>
        </w:rPr>
        <w:t>perceptions about vehicle safety in general, in particular safety issues that may be attributed to the use of advanced technology, including vehicle electronics and regenerative braking systems;</w:t>
      </w:r>
    </w:p>
    <w:p>
      <w:pPr>
        <w:spacing w:after="0" w:line="26" w:lineRule="exact"/>
        <w:rPr>
          <w:rFonts w:ascii="Arial" w:cs="Arial" w:eastAsia="Arial" w:hAnsi="Arial"/>
          <w:sz w:val="20"/>
          <w:szCs w:val="20"/>
          <w:color w:val="auto"/>
        </w:rPr>
      </w:pPr>
    </w:p>
    <w:p>
      <w:pPr>
        <w:ind w:left="600" w:right="20" w:hanging="298"/>
        <w:spacing w:after="0" w:line="233" w:lineRule="auto"/>
        <w:tabs>
          <w:tab w:leader="none" w:pos="595" w:val="left"/>
        </w:tabs>
        <w:numPr>
          <w:ilvl w:val="0"/>
          <w:numId w:val="24"/>
        </w:numPr>
        <w:rPr>
          <w:rFonts w:ascii="Arial" w:cs="Arial" w:eastAsia="Arial" w:hAnsi="Arial"/>
          <w:sz w:val="20"/>
          <w:szCs w:val="20"/>
          <w:color w:val="auto"/>
        </w:rPr>
      </w:pPr>
      <w:r>
        <w:rPr>
          <w:rFonts w:ascii="Arial" w:cs="Arial" w:eastAsia="Arial" w:hAnsi="Arial"/>
          <w:sz w:val="17"/>
          <w:szCs w:val="17"/>
          <w:color w:val="auto"/>
        </w:rPr>
        <w:t>negative perceptions of electric vehicles, such as that they are more expensive than non-electric vehicles and are only affordable with government subsidies or that they have failed to meet customer expectations;</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the limited range over which electric vehicles may be driven on a single battery charge and the effects of weather on this range;</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the decline of an electric vehicle’s range resulting from deterioration over time in the battery’s ability to hold a charge;</w:t>
      </w:r>
    </w:p>
    <w:p>
      <w:pPr>
        <w:spacing w:after="0" w:line="25" w:lineRule="exact"/>
        <w:rPr>
          <w:rFonts w:ascii="Arial" w:cs="Arial" w:eastAsia="Arial" w:hAnsi="Arial"/>
          <w:sz w:val="20"/>
          <w:szCs w:val="20"/>
          <w:color w:val="auto"/>
        </w:rPr>
      </w:pPr>
    </w:p>
    <w:p>
      <w:pPr>
        <w:ind w:left="600" w:right="20" w:hanging="298"/>
        <w:spacing w:after="0" w:line="241" w:lineRule="auto"/>
        <w:tabs>
          <w:tab w:leader="none" w:pos="595" w:val="left"/>
        </w:tabs>
        <w:numPr>
          <w:ilvl w:val="0"/>
          <w:numId w:val="24"/>
        </w:numPr>
        <w:rPr>
          <w:rFonts w:ascii="Arial" w:cs="Arial" w:eastAsia="Arial" w:hAnsi="Arial"/>
          <w:sz w:val="20"/>
          <w:szCs w:val="20"/>
          <w:color w:val="auto"/>
        </w:rPr>
      </w:pPr>
      <w:r>
        <w:rPr>
          <w:rFonts w:ascii="Arial" w:cs="Arial" w:eastAsia="Arial" w:hAnsi="Arial"/>
          <w:sz w:val="17"/>
          <w:szCs w:val="17"/>
          <w:color w:val="auto"/>
        </w:rPr>
        <w:t>concerns about electric charging infrastructure availability and reliability, which could derail past and present efforts to promote electric vehicles as a practical solution to vehicles which require gasoline;</w:t>
      </w:r>
    </w:p>
    <w:p>
      <w:pPr>
        <w:spacing w:after="0" w:line="24" w:lineRule="exact"/>
        <w:rPr>
          <w:rFonts w:ascii="Arial" w:cs="Arial" w:eastAsia="Arial" w:hAnsi="Arial"/>
          <w:sz w:val="20"/>
          <w:szCs w:val="20"/>
          <w:color w:val="auto"/>
        </w:rPr>
      </w:pPr>
    </w:p>
    <w:p>
      <w:pPr>
        <w:ind w:left="600" w:right="380" w:hanging="298"/>
        <w:spacing w:after="0" w:line="233" w:lineRule="auto"/>
        <w:tabs>
          <w:tab w:leader="none" w:pos="595" w:val="left"/>
        </w:tabs>
        <w:numPr>
          <w:ilvl w:val="0"/>
          <w:numId w:val="24"/>
        </w:numPr>
        <w:rPr>
          <w:rFonts w:ascii="Arial" w:cs="Arial" w:eastAsia="Arial" w:hAnsi="Arial"/>
          <w:sz w:val="20"/>
          <w:szCs w:val="20"/>
          <w:color w:val="auto"/>
        </w:rPr>
      </w:pPr>
      <w:r>
        <w:rPr>
          <w:rFonts w:ascii="Arial" w:cs="Arial" w:eastAsia="Arial" w:hAnsi="Arial"/>
          <w:sz w:val="17"/>
          <w:szCs w:val="17"/>
          <w:color w:val="auto"/>
        </w:rPr>
        <w:t>concerns about charging station standardizations, convenience and cost influencing consumers’ perceptions regarding the convenience of electric vehicle charging stations;</w:t>
      </w:r>
    </w:p>
    <w:p>
      <w:pPr>
        <w:spacing w:after="0" w:line="26" w:lineRule="exact"/>
        <w:rPr>
          <w:rFonts w:ascii="Arial" w:cs="Arial" w:eastAsia="Arial" w:hAnsi="Arial"/>
          <w:sz w:val="20"/>
          <w:szCs w:val="20"/>
          <w:color w:val="auto"/>
        </w:rPr>
      </w:pPr>
    </w:p>
    <w:p>
      <w:pPr>
        <w:ind w:left="600" w:right="220" w:hanging="298"/>
        <w:spacing w:after="0" w:line="233" w:lineRule="auto"/>
        <w:tabs>
          <w:tab w:leader="none" w:pos="595" w:val="left"/>
        </w:tabs>
        <w:numPr>
          <w:ilvl w:val="0"/>
          <w:numId w:val="24"/>
        </w:numPr>
        <w:rPr>
          <w:rFonts w:ascii="Arial" w:cs="Arial" w:eastAsia="Arial" w:hAnsi="Arial"/>
          <w:sz w:val="20"/>
          <w:szCs w:val="20"/>
          <w:color w:val="auto"/>
        </w:rPr>
      </w:pPr>
      <w:r>
        <w:rPr>
          <w:rFonts w:ascii="Arial" w:cs="Arial" w:eastAsia="Arial" w:hAnsi="Arial"/>
          <w:sz w:val="17"/>
          <w:szCs w:val="17"/>
          <w:color w:val="auto"/>
        </w:rPr>
        <w:t>concerns of potential customers about the susceptibility of battery packs to damage from improper charging, as well as the lifespan of battery packs and the cost of their replacement;</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concerns regarding comprehensive insurance coverage related to electric vehicles;</w:t>
      </w:r>
    </w:p>
    <w:p>
      <w:pPr>
        <w:spacing w:after="0" w:line="25" w:lineRule="exact"/>
        <w:rPr>
          <w:rFonts w:ascii="Arial" w:cs="Arial" w:eastAsia="Arial" w:hAnsi="Arial"/>
          <w:sz w:val="20"/>
          <w:szCs w:val="20"/>
          <w:color w:val="auto"/>
        </w:rPr>
      </w:pPr>
    </w:p>
    <w:p>
      <w:pPr>
        <w:ind w:left="600" w:right="140" w:hanging="298"/>
        <w:spacing w:after="0" w:line="233" w:lineRule="auto"/>
        <w:tabs>
          <w:tab w:leader="none" w:pos="595" w:val="left"/>
        </w:tabs>
        <w:numPr>
          <w:ilvl w:val="0"/>
          <w:numId w:val="24"/>
        </w:numPr>
        <w:rPr>
          <w:rFonts w:ascii="Arial" w:cs="Arial" w:eastAsia="Arial" w:hAnsi="Arial"/>
          <w:sz w:val="20"/>
          <w:szCs w:val="20"/>
          <w:color w:val="auto"/>
        </w:rPr>
      </w:pPr>
      <w:r>
        <w:rPr>
          <w:rFonts w:ascii="Arial" w:cs="Arial" w:eastAsia="Arial" w:hAnsi="Arial"/>
          <w:sz w:val="17"/>
          <w:szCs w:val="17"/>
          <w:color w:val="auto"/>
        </w:rPr>
        <w:t>developments in alternative technologies, such as advanced diesel, ethanol, fuel cells or compressed natural gas, or improvements in the fuel economy of the internal combustion engine, which could adversely affect sales of electric vehicles;</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the environmental consciousness of consumers;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the availability and volatility in the cost of natural gas, diesel, coal, oil, gasoline and other fuels relative to electricity;</w:t>
      </w:r>
    </w:p>
    <w:p>
      <w:pPr>
        <w:spacing w:after="0" w:line="38" w:lineRule="exact"/>
        <w:rPr>
          <w:rFonts w:ascii="Arial" w:cs="Arial" w:eastAsia="Arial" w:hAnsi="Arial"/>
          <w:sz w:val="20"/>
          <w:szCs w:val="20"/>
          <w:color w:val="auto"/>
        </w:rPr>
      </w:pPr>
    </w:p>
    <w:p>
      <w:pPr>
        <w:ind w:left="600" w:right="200" w:hanging="298"/>
        <w:spacing w:after="0" w:line="233" w:lineRule="auto"/>
        <w:tabs>
          <w:tab w:leader="none" w:pos="595" w:val="left"/>
        </w:tabs>
        <w:numPr>
          <w:ilvl w:val="0"/>
          <w:numId w:val="24"/>
        </w:numPr>
        <w:rPr>
          <w:rFonts w:ascii="Arial" w:cs="Arial" w:eastAsia="Arial" w:hAnsi="Arial"/>
          <w:sz w:val="20"/>
          <w:szCs w:val="20"/>
          <w:color w:val="auto"/>
        </w:rPr>
      </w:pPr>
      <w:r>
        <w:rPr>
          <w:rFonts w:ascii="Arial" w:cs="Arial" w:eastAsia="Arial" w:hAnsi="Arial"/>
          <w:sz w:val="17"/>
          <w:szCs w:val="17"/>
          <w:color w:val="auto"/>
        </w:rPr>
        <w:t>the availability of tax and other government incentives to purchase and operate electric vehicles or future regulation requiring increased use of nonpolluting vehicles;</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concerns regarding the value and costs for upkeep of electric vehicles in the used car market;</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the availability of enough skilled labor in after-sale services; and</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4"/>
        </w:numPr>
        <w:rPr>
          <w:rFonts w:ascii="Arial" w:cs="Arial" w:eastAsia="Arial" w:hAnsi="Arial"/>
          <w:sz w:val="20"/>
          <w:szCs w:val="20"/>
          <w:color w:val="auto"/>
        </w:rPr>
      </w:pPr>
      <w:r>
        <w:rPr>
          <w:rFonts w:ascii="Arial" w:cs="Arial" w:eastAsia="Arial" w:hAnsi="Arial"/>
          <w:sz w:val="17"/>
          <w:szCs w:val="17"/>
          <w:color w:val="auto"/>
        </w:rPr>
        <w:t>macroeconomic factors.</w:t>
      </w:r>
    </w:p>
    <w:p>
      <w:pPr>
        <w:spacing w:after="0" w:line="214" w:lineRule="exact"/>
        <w:rPr>
          <w:sz w:val="20"/>
          <w:szCs w:val="20"/>
          <w:color w:val="auto"/>
        </w:rPr>
      </w:pPr>
    </w:p>
    <w:p>
      <w:pPr>
        <w:ind w:right="60" w:firstLine="603"/>
        <w:spacing w:after="0" w:line="251" w:lineRule="auto"/>
        <w:rPr>
          <w:sz w:val="20"/>
          <w:szCs w:val="20"/>
          <w:color w:val="auto"/>
        </w:rPr>
      </w:pPr>
      <w:r>
        <w:rPr>
          <w:rFonts w:ascii="Arial" w:cs="Arial" w:eastAsia="Arial" w:hAnsi="Arial"/>
          <w:sz w:val="17"/>
          <w:szCs w:val="17"/>
          <w:color w:val="auto"/>
        </w:rPr>
        <w:t>In anticipation of an expected increase in the demand for electric vehicles in the next few years, we have commercialized five types of ultra-fast charging lithium battery technologies (LpTO, LpCO, MpCO, HpCO and HnCO). We also intend to continue to invest in R&amp;D of more ultra-fast charging lithium battery products and to expand the range of applications for such batteries. However, the markets we have targeted, primarily those in China, Europe and the U.S. may not achieve the level of growth we expect. If any market fails to achieve our expected level of growth, we may have excess manufacturing capacity and may not be able to generate enough revenue to achieve or sustain our profitability.</w:t>
      </w:r>
    </w:p>
    <w:p>
      <w:pPr>
        <w:spacing w:after="0" w:line="208"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b w:val="1"/>
          <w:bCs w:val="1"/>
          <w:i w:val="1"/>
          <w:iCs w:val="1"/>
          <w:color w:val="auto"/>
        </w:rPr>
        <w:t>Certain components of our batteries pose safety risks that may cause accidents, which could lead to liability to us, cause delays in manufacturing of our product and/or adversely affect market acceptance.</w:t>
      </w:r>
    </w:p>
    <w:p>
      <w:pPr>
        <w:spacing w:after="0" w:line="191" w:lineRule="exact"/>
        <w:rPr>
          <w:sz w:val="20"/>
          <w:szCs w:val="20"/>
          <w:color w:val="auto"/>
        </w:rPr>
      </w:pPr>
    </w:p>
    <w:p>
      <w:pPr>
        <w:ind w:firstLine="603"/>
        <w:spacing w:after="0" w:line="290" w:lineRule="auto"/>
        <w:rPr>
          <w:sz w:val="20"/>
          <w:szCs w:val="20"/>
          <w:color w:val="auto"/>
        </w:rPr>
      </w:pPr>
      <w:r>
        <w:rPr>
          <w:rFonts w:ascii="Arial" w:cs="Arial" w:eastAsia="Arial" w:hAnsi="Arial"/>
          <w:sz w:val="15"/>
          <w:szCs w:val="15"/>
          <w:color w:val="auto"/>
        </w:rPr>
        <w:t>Our battery systems contain lithium-ion cells, which have been used for years in laptops and cell phones. On rare occasions, lithium-ion cells can rapidly release the energy they contain by venting smoke and flames in a manner that can ignite nearby materials. Highly publicized incidents of laptop computers and cell phones bursting into flames have focused consumer attention on the safety of these cells. Moreover, there have been numerous widely publicized reports of electric buses bursting into flames, particularly in China. These events have also raised questions about the suitability of these lithium-ion cells for automotive applications. We are aware of at least two incidents occurring in our customers’ vehicles. One incident resulting in a fire arose when an electric bus powered by our battery was left on a disqualified charger overnight. The other incident resulting in a fire involved a bus that was driven through deep water in a flood for over an</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hour. We have subjected our battery systems to various tests and damaging treatments such as baking, overcharging, crushing or puncturing to assess the response of our battery systems to deliberate and sometimes destructive abuse. However, there can be no assurance that a field failure of our battery systems will not occur, which could damage the vehicle in which it is fitted or lead to personal injury or death and may subject us to lawsuits. Moreover, any failure of a competitor’s battery system, especially those that use a high volume of cells similar to ours, may cause indirect adverse publicity for us. Such adverse publicity would negatively affect our brand and harm our business, prospects, financial condition and operating results.</w:t>
      </w:r>
    </w:p>
    <w:p>
      <w:pPr>
        <w:spacing w:after="0" w:line="191" w:lineRule="exact"/>
        <w:rPr>
          <w:sz w:val="20"/>
          <w:szCs w:val="20"/>
          <w:color w:val="auto"/>
        </w:rPr>
      </w:pPr>
    </w:p>
    <w:p>
      <w:pPr>
        <w:ind w:right="20" w:firstLine="603"/>
        <w:spacing w:after="0" w:line="268" w:lineRule="auto"/>
        <w:rPr>
          <w:sz w:val="20"/>
          <w:szCs w:val="20"/>
          <w:color w:val="auto"/>
        </w:rPr>
      </w:pPr>
      <w:r>
        <w:rPr>
          <w:rFonts w:ascii="Arial" w:cs="Arial" w:eastAsia="Arial" w:hAnsi="Arial"/>
          <w:sz w:val="16"/>
          <w:szCs w:val="16"/>
          <w:color w:val="auto"/>
        </w:rPr>
        <w:t>As with any battery, our lithium-based batteries can short circuit when not handled properly. Due to the high energy and power density of lithium-based batteries, a short circuit can cause rapid heat buildup. Under extreme circumstances, this could cause a fire. This is most likely to occur during the formation or testing phase of our process. While we incorporate safety procedures and specific safety testing in our battery testing facilities to minimize safety risks, we cannot assure you that an accident in any part of our facilities where charged batteries are handled will not occur. Any such accident could result in injury to our employees or damage to our facility and would require an internal investigation by our technical staff. Our general liability insurance may not be sufficient to cover potential liability that would result from such accidents. Any such injuries, damages or investigations could lead to liability to us, cause delays in the manufacturing of our product and/or adversely affect market acceptance which could adversely affect our operations and financial condition.</w:t>
      </w:r>
    </w:p>
    <w:p>
      <w:pPr>
        <w:spacing w:after="0" w:line="194" w:lineRule="exact"/>
        <w:rPr>
          <w:sz w:val="20"/>
          <w:szCs w:val="20"/>
          <w:color w:val="auto"/>
        </w:rPr>
      </w:pPr>
    </w:p>
    <w:p>
      <w:pPr>
        <w:ind w:firstLine="603"/>
        <w:spacing w:after="0" w:line="253" w:lineRule="auto"/>
        <w:rPr>
          <w:sz w:val="20"/>
          <w:szCs w:val="20"/>
          <w:color w:val="auto"/>
        </w:rPr>
      </w:pPr>
      <w:r>
        <w:rPr>
          <w:rFonts w:ascii="Arial" w:cs="Arial" w:eastAsia="Arial" w:hAnsi="Arial"/>
          <w:sz w:val="17"/>
          <w:szCs w:val="17"/>
          <w:color w:val="auto"/>
        </w:rPr>
        <w:t>Our manufacturing process incorporates pulverized solids, which can be toxic to employees when allowed to become airborne in high concentrations. We have incorporated safety controls and procedures into our manufacturing processes designed to maximize the safety of our employees and neighbors. Any related incident, including fire or personnel exposure to toxic substances, could result in significant manufacturing delays or claims for damages resulting from injuries, which could adversely affect our operations and financial condition.</w:t>
      </w:r>
    </w:p>
    <w:p>
      <w:pPr>
        <w:spacing w:after="0" w:line="205"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b w:val="1"/>
          <w:bCs w:val="1"/>
          <w:i w:val="1"/>
          <w:iCs w:val="1"/>
          <w:color w:val="auto"/>
        </w:rPr>
        <w:t>We have a limited customer base and depend on a small number of customers for a significant portion of our revenues to date and this dependence is likely to continue.</w:t>
      </w:r>
    </w:p>
    <w:p>
      <w:pPr>
        <w:spacing w:after="0" w:line="191" w:lineRule="exact"/>
        <w:rPr>
          <w:sz w:val="20"/>
          <w:szCs w:val="20"/>
          <w:color w:val="auto"/>
        </w:rPr>
      </w:pPr>
    </w:p>
    <w:p>
      <w:pPr>
        <w:ind w:right="20" w:firstLine="603"/>
        <w:spacing w:after="0" w:line="266" w:lineRule="auto"/>
        <w:rPr>
          <w:sz w:val="20"/>
          <w:szCs w:val="20"/>
          <w:color w:val="auto"/>
        </w:rPr>
      </w:pPr>
      <w:r>
        <w:rPr>
          <w:rFonts w:ascii="Arial" w:cs="Arial" w:eastAsia="Arial" w:hAnsi="Arial"/>
          <w:sz w:val="16"/>
          <w:szCs w:val="16"/>
          <w:color w:val="auto"/>
        </w:rPr>
        <w:t>Due to the nature of our industry and our limited operating history, we have a limited customer base and have depended on a small number of customers for a significant portion of our revenue. In the years ended December 31, 2020, 2021 and 2022, we sold our electric battery products to 231, 332 and 364 customers, respectively. Our top five customers accounted for approximately 31.4%, 37.3% and 36.1% of our revenues in the years ended December 31, 2020, 2021 and 2022, respectively. Our limited customer base and customer concentration could make it difficult to negotiate attractive prices for our products and could expose us to the risk of substantial losses if a single dominant customer stops purchasing, or significantly reduces orders for, our products. We expect that a limited number of customers will continue to contribute a significant portion of our sales in the near future. Our ability to maintain close relationships with these top customers is essential to the growth and profitability of our business. If we fail to sell our products to one or more of these top customers in any particular period, or if a large customer purchases fewer of our products, defers orders or fails to place additional orders with us, or if we fail to develop additional major customers, our revenue could decline, and our results of operations could be adversely affected.</w:t>
      </w:r>
    </w:p>
    <w:p>
      <w:pPr>
        <w:spacing w:after="0" w:line="198" w:lineRule="exact"/>
        <w:rPr>
          <w:sz w:val="20"/>
          <w:szCs w:val="20"/>
          <w:color w:val="auto"/>
        </w:rPr>
      </w:pPr>
    </w:p>
    <w:p>
      <w:pPr>
        <w:ind w:right="240"/>
        <w:spacing w:after="0" w:line="377" w:lineRule="auto"/>
        <w:rPr>
          <w:sz w:val="20"/>
          <w:szCs w:val="20"/>
          <w:color w:val="auto"/>
        </w:rPr>
      </w:pPr>
      <w:r>
        <w:rPr>
          <w:rFonts w:ascii="Arial" w:cs="Arial" w:eastAsia="Arial" w:hAnsi="Arial"/>
          <w:sz w:val="14"/>
          <w:szCs w:val="14"/>
          <w:b w:val="1"/>
          <w:bCs w:val="1"/>
          <w:i w:val="1"/>
          <w:iCs w:val="1"/>
          <w:color w:val="auto"/>
        </w:rPr>
        <w:t>The unavailability, reduction or elimination of, or uncertainty regarding, government and economic incentives or subsidies available to end-users and OEMs in the U.S., China, Europe and other jurisdictions could have a material adverse effect on our business, financial condition, operating results and prospects.</w:t>
      </w:r>
    </w:p>
    <w:p>
      <w:pPr>
        <w:spacing w:after="0" w:line="122" w:lineRule="exact"/>
        <w:rPr>
          <w:sz w:val="20"/>
          <w:szCs w:val="20"/>
          <w:color w:val="auto"/>
        </w:rPr>
      </w:pPr>
    </w:p>
    <w:p>
      <w:pPr>
        <w:ind w:right="180" w:firstLine="603"/>
        <w:spacing w:after="0" w:line="298" w:lineRule="auto"/>
        <w:rPr>
          <w:sz w:val="20"/>
          <w:szCs w:val="20"/>
          <w:color w:val="auto"/>
        </w:rPr>
      </w:pPr>
      <w:r>
        <w:rPr>
          <w:rFonts w:ascii="Arial" w:cs="Arial" w:eastAsia="Arial" w:hAnsi="Arial"/>
          <w:sz w:val="15"/>
          <w:szCs w:val="15"/>
          <w:color w:val="auto"/>
        </w:rPr>
        <w:t>We believe that, currently, the availability of government subsidies and incentives available to end-users and OEMs is an important factor considered by our customers when purchasing our batteries for electric vehicles and ESS, and that our growth depends in part on the availability and amounts of these subsidies and incentives. Any further reduction or elimination of government and economic incentives or subsidies may result in the diminished competitiveness of the alternative fuel vehicle or energy storage industry generally or electric vehicles or energy storage projects that use our batteries in particular.</w:t>
      </w:r>
    </w:p>
    <w:p>
      <w:pPr>
        <w:spacing w:after="0" w:line="173" w:lineRule="exact"/>
        <w:rPr>
          <w:sz w:val="20"/>
          <w:szCs w:val="20"/>
          <w:color w:val="auto"/>
        </w:rPr>
      </w:pPr>
    </w:p>
    <w:p>
      <w:pPr>
        <w:jc w:val="both"/>
        <w:ind w:right="140" w:firstLine="603"/>
        <w:spacing w:after="0" w:line="307" w:lineRule="auto"/>
        <w:rPr>
          <w:sz w:val="20"/>
          <w:szCs w:val="20"/>
          <w:color w:val="auto"/>
        </w:rPr>
      </w:pPr>
      <w:r>
        <w:rPr>
          <w:rFonts w:ascii="Arial" w:cs="Arial" w:eastAsia="Arial" w:hAnsi="Arial"/>
          <w:sz w:val="15"/>
          <w:szCs w:val="15"/>
          <w:color w:val="auto"/>
        </w:rPr>
        <w:t>Currently, government programs in the U.S., China and in Europe favor the purchase of electric vehicles, including through disincentives that discourage the use of gasoline-powered vehicles. If such government programs are reduced or eliminated, or the available benefits thereunder are exhausted earlier than anticipated, demand for electric vehicles may decrease and our sales of electric battery products could be adversely affected. In addition, customers may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delay taking delivery of our battery products if they believe that certain electric vehicle incentives will be available at a later date, which may adversely affect our business, financial condition, operating results and prospects.</w:t>
      </w:r>
    </w:p>
    <w:p>
      <w:pPr>
        <w:spacing w:after="0" w:line="191" w:lineRule="exact"/>
        <w:rPr>
          <w:sz w:val="20"/>
          <w:szCs w:val="20"/>
          <w:color w:val="auto"/>
        </w:rPr>
      </w:pPr>
    </w:p>
    <w:p>
      <w:pPr>
        <w:ind w:right="540"/>
        <w:spacing w:after="0" w:line="268" w:lineRule="auto"/>
        <w:rPr>
          <w:sz w:val="20"/>
          <w:szCs w:val="20"/>
          <w:color w:val="auto"/>
        </w:rPr>
      </w:pPr>
      <w:r>
        <w:rPr>
          <w:rFonts w:ascii="Arial" w:cs="Arial" w:eastAsia="Arial" w:hAnsi="Arial"/>
          <w:sz w:val="17"/>
          <w:szCs w:val="17"/>
          <w:b w:val="1"/>
          <w:bCs w:val="1"/>
          <w:i w:val="1"/>
          <w:iCs w:val="1"/>
          <w:color w:val="auto"/>
        </w:rPr>
        <w:t>We have incurred losses in the operation of our business and anticipate that we will continue to incur losses in the future. We may never achieve or sustain profitability.</w:t>
      </w:r>
    </w:p>
    <w:p>
      <w:pPr>
        <w:spacing w:after="0" w:line="166" w:lineRule="exact"/>
        <w:rPr>
          <w:sz w:val="20"/>
          <w:szCs w:val="20"/>
          <w:color w:val="auto"/>
        </w:rPr>
      </w:pPr>
    </w:p>
    <w:p>
      <w:pPr>
        <w:ind w:firstLine="603"/>
        <w:spacing w:after="0" w:line="280" w:lineRule="auto"/>
        <w:rPr>
          <w:sz w:val="20"/>
          <w:szCs w:val="20"/>
          <w:color w:val="auto"/>
        </w:rPr>
      </w:pPr>
      <w:r>
        <w:rPr>
          <w:rFonts w:ascii="Arial" w:cs="Arial" w:eastAsia="Arial" w:hAnsi="Arial"/>
          <w:sz w:val="16"/>
          <w:szCs w:val="16"/>
          <w:color w:val="auto"/>
        </w:rPr>
        <w:t>We incurred a net loss of approximately $158.2 million for the year ended December 31, 2022, and an accumulated deficit of approximately $791.2 million since our inception in 2006 through the year ended December 31, 2022. We believe that we will continue to incur operating and net losses each quarter until at least the time we begin significant production of our higher energy cell products, which is not expected to occur until 2024 and may occur later.</w:t>
      </w:r>
    </w:p>
    <w:p>
      <w:pPr>
        <w:spacing w:after="0" w:line="185"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color w:val="auto"/>
        </w:rPr>
        <w:t>We expect the rate at which we will incur losses to be significantly higher in future periods as we, among other things, continue to incur significant expenses in connection with the design, development and manufacturing of our batteries, as we expand our R&amp;D activities, invest in manufacturing capabilities, build up inventories of components for our batteries, increase our sales and marketing activities, develop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spacing w:after="0" w:line="208"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b w:val="1"/>
          <w:bCs w:val="1"/>
          <w:i w:val="1"/>
          <w:iCs w:val="1"/>
          <w:color w:val="auto"/>
        </w:rPr>
        <w:t>The demand for batteries in transportation and other markets depends on the attractiveness of fossil fuel alternatives. Extended periods of low oil prices could adversely affect demand for electric and hybrid electric vehicles.</w:t>
      </w:r>
    </w:p>
    <w:p>
      <w:pPr>
        <w:spacing w:after="0" w:line="191" w:lineRule="exact"/>
        <w:rPr>
          <w:sz w:val="20"/>
          <w:szCs w:val="20"/>
          <w:color w:val="auto"/>
        </w:rPr>
      </w:pPr>
    </w:p>
    <w:p>
      <w:pPr>
        <w:ind w:right="140" w:firstLine="603"/>
        <w:spacing w:after="0" w:line="274" w:lineRule="auto"/>
        <w:rPr>
          <w:sz w:val="20"/>
          <w:szCs w:val="20"/>
          <w:color w:val="auto"/>
        </w:rPr>
      </w:pPr>
      <w:r>
        <w:rPr>
          <w:rFonts w:ascii="Arial" w:cs="Arial" w:eastAsia="Arial" w:hAnsi="Arial"/>
          <w:sz w:val="16"/>
          <w:szCs w:val="16"/>
          <w:color w:val="auto"/>
        </w:rPr>
        <w:t>Lower oil prices over extended periods of time may lower the perception in government and the private sector that cheaper, more readily available energy alternatives should be developed and produced and governments may eliminate or modify regulations or economic incentives related to fuel efficiency and alternate forms of energy. If oil prices remain at deflated levels for extended periods of time, the demand for hybrid and electric vehicles may decrease and the demand for our batteries could be reduced, which would have a material adverse effect on our business.</w:t>
      </w:r>
    </w:p>
    <w:p>
      <w:pPr>
        <w:spacing w:after="0" w:line="189" w:lineRule="exact"/>
        <w:rPr>
          <w:sz w:val="20"/>
          <w:szCs w:val="20"/>
          <w:color w:val="auto"/>
        </w:rPr>
      </w:pPr>
    </w:p>
    <w:p>
      <w:pPr>
        <w:jc w:val="both"/>
        <w:ind w:right="20" w:firstLine="603"/>
        <w:spacing w:after="0" w:line="280" w:lineRule="auto"/>
        <w:rPr>
          <w:sz w:val="20"/>
          <w:szCs w:val="20"/>
          <w:color w:val="auto"/>
        </w:rPr>
      </w:pPr>
      <w:r>
        <w:rPr>
          <w:rFonts w:ascii="Arial" w:cs="Arial" w:eastAsia="Arial" w:hAnsi="Arial"/>
          <w:sz w:val="16"/>
          <w:szCs w:val="16"/>
          <w:color w:val="auto"/>
        </w:rPr>
        <w:t>In addition, alternatives to gasoline, such as compressed natural gas and biofuels, could impact the demand for electric vehicles if the distribution and costs of these alternative fuels become more attractive through innovation. Biodiesel for trucks and specialty vehicles could become more commonplace, which would directly compete with our bus and specialty vehicle batteries, and which may result in decreased demand for our product.</w:t>
      </w:r>
    </w:p>
    <w:p>
      <w:pPr>
        <w:spacing w:after="0" w:line="185"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b w:val="1"/>
          <w:bCs w:val="1"/>
          <w:i w:val="1"/>
          <w:iCs w:val="1"/>
          <w:color w:val="auto"/>
        </w:rPr>
        <w:t>We mainly manufacture and market lithium-based battery systems. If a viable substitute product or chemistry to lithium-based battery systems emerges and gains market acceptance, our business, financial condition and results of operations will be materially and adversely affected. Furthermore, our failure to keep up with rapid technological changes and evolving industry standards within the lithium-based battery market may cause our products to become obsolete and less marketable, resulting in loss of market share to our competitors.</w:t>
      </w:r>
    </w:p>
    <w:p>
      <w:pPr>
        <w:spacing w:after="0" w:line="189" w:lineRule="exact"/>
        <w:rPr>
          <w:sz w:val="20"/>
          <w:szCs w:val="20"/>
          <w:color w:val="auto"/>
        </w:rPr>
      </w:pPr>
    </w:p>
    <w:p>
      <w:pPr>
        <w:ind w:firstLine="603"/>
        <w:spacing w:after="0" w:line="250" w:lineRule="auto"/>
        <w:rPr>
          <w:sz w:val="20"/>
          <w:szCs w:val="20"/>
          <w:color w:val="auto"/>
        </w:rPr>
      </w:pPr>
      <w:r>
        <w:rPr>
          <w:rFonts w:ascii="Arial" w:cs="Arial" w:eastAsia="Arial" w:hAnsi="Arial"/>
          <w:sz w:val="17"/>
          <w:szCs w:val="17"/>
          <w:color w:val="auto"/>
        </w:rPr>
        <w:t>We mainly manufacture and market lithium-based battery systems. As we believe that the market for lithium-based batteries has good growth potential, we have focused our R&amp;D activities on exploring new lithium chemistries and formulas to enhance our product quality and features while reducing cost. Some of our competitors are conducting R&amp;D on alternative battery technologies, such as fuel cells and supercapacitors, and academic studies are ongoing as to the viability of sulfur and aluminum-based battery technologies. If any viable substitute products emerge and gain market acceptance because they have more enhanced features, more power, more attractive pricing or better reliability, the market demand for our products may decrease, and accordingly our business, financial condition and results of operations would be materially and adversely affected.</w:t>
      </w:r>
    </w:p>
    <w:p>
      <w:pPr>
        <w:spacing w:after="0" w:line="209" w:lineRule="exact"/>
        <w:rPr>
          <w:sz w:val="20"/>
          <w:szCs w:val="20"/>
          <w:color w:val="auto"/>
        </w:rPr>
      </w:pPr>
    </w:p>
    <w:p>
      <w:pPr>
        <w:ind w:firstLine="603"/>
        <w:spacing w:after="0" w:line="267" w:lineRule="auto"/>
        <w:rPr>
          <w:sz w:val="20"/>
          <w:szCs w:val="20"/>
          <w:color w:val="auto"/>
        </w:rPr>
      </w:pPr>
      <w:r>
        <w:rPr>
          <w:rFonts w:ascii="Arial" w:cs="Arial" w:eastAsia="Arial" w:hAnsi="Arial"/>
          <w:sz w:val="16"/>
          <w:szCs w:val="16"/>
          <w:color w:val="auto"/>
        </w:rPr>
        <w:t>Significant developments in alternative technologies, such as fuel cell technology, advanced diesel, ethanol, hydrogen or natural gas, or breathing batteries, may materially and adversely affect our business, prospects, financial condition and operating results in ways that we may not currently anticipate. Existing and other battery technologies, fuels or sources of energy may emerge as customers’ preferred alternatives to our battery products. Any failure by us to develop new or enhanced technologies or processes, or to react to changes in existing technologies, could materially delay our development and introduction of new and enhanced alternative products, which could result in decreased revenue and a loss of market share to our competitors. .For example, research on the electrochemical applications of carbon nanotechnology and other storage technologies is developing at a rapid pace, and many private and public companies and research institutions are actively engaged in the development of new battery technologies based on carbon nanotubes, nanostructured carbon materials and other non-carbon materials. If we fail to adopt these new technologies, or develop new</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technologies of our own, such technologies may, if successfully developed by our competitors, offer significant performance or price advantages compared with our technologies and our technology leadership and competitive strengths may be adversely affected.</w:t>
      </w:r>
    </w:p>
    <w:p>
      <w:pPr>
        <w:spacing w:after="0" w:line="191" w:lineRule="exact"/>
        <w:rPr>
          <w:sz w:val="20"/>
          <w:szCs w:val="20"/>
          <w:color w:val="auto"/>
        </w:rPr>
      </w:pPr>
    </w:p>
    <w:p>
      <w:pPr>
        <w:ind w:right="20" w:firstLine="603"/>
        <w:spacing w:after="0" w:line="269" w:lineRule="auto"/>
        <w:rPr>
          <w:sz w:val="20"/>
          <w:szCs w:val="20"/>
          <w:color w:val="auto"/>
        </w:rPr>
      </w:pPr>
      <w:r>
        <w:rPr>
          <w:rFonts w:ascii="Arial" w:cs="Arial" w:eastAsia="Arial" w:hAnsi="Arial"/>
          <w:sz w:val="16"/>
          <w:szCs w:val="16"/>
          <w:color w:val="auto"/>
        </w:rPr>
        <w:t>Our R&amp;D efforts may not be sufficient to adapt to changes in alternative fuel and electric vehicle technology. As technologies evolve, we plan to upgrade or adapt our energy solutions with the latest technology, in particular lighter weight modules and packs, advanced cooling methods and advanced battery chemistry, which may also negatively impact the adoption of our other products. However, we may not compete effectively with alternative systems if we are not able to source and integrate the latest technology into our battery products. To achieve this goal, we have invested and plan to continue investing significant financial resources in our R&amp;D infrastructure. R&amp;D activities, however, are inherently uncertain, and we might encounter practical difficulties in commercializing our research results. Accordingly, our significant investment in our R&amp;D infrastructure may not lead to marketable products.</w:t>
      </w:r>
    </w:p>
    <w:p>
      <w:pPr>
        <w:spacing w:after="0" w:line="194" w:lineRule="exact"/>
        <w:rPr>
          <w:sz w:val="20"/>
          <w:szCs w:val="20"/>
          <w:color w:val="auto"/>
        </w:rPr>
      </w:pPr>
    </w:p>
    <w:p>
      <w:pPr>
        <w:ind w:right="40" w:firstLine="603"/>
        <w:spacing w:after="0" w:line="253" w:lineRule="auto"/>
        <w:rPr>
          <w:sz w:val="20"/>
          <w:szCs w:val="20"/>
          <w:color w:val="auto"/>
        </w:rPr>
      </w:pPr>
      <w:r>
        <w:rPr>
          <w:rFonts w:ascii="Arial" w:cs="Arial" w:eastAsia="Arial" w:hAnsi="Arial"/>
          <w:sz w:val="17"/>
          <w:szCs w:val="17"/>
          <w:color w:val="auto"/>
        </w:rPr>
        <w:t>On the other hand, our competitors may improve their technologies or even achieve technological breakthroughs either as alternatives to lithium-based battery systems or improvements on existing lithium-based battery systems that would render our products obsolete or less marketable. Therefore, our failure to effectively keep up with rapid technological changes and evolving industry standards by introducing new and enhanced products may cause us to lose our market share and to suffer a decrease in our revenue.</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We may not be able to maintain our competitive position if we face intense competition from other battery manufacturers, many of which have significantly greater resources.</w:t>
      </w:r>
    </w:p>
    <w:p>
      <w:pPr>
        <w:spacing w:after="0" w:line="191" w:lineRule="exact"/>
        <w:rPr>
          <w:sz w:val="20"/>
          <w:szCs w:val="20"/>
          <w:color w:val="auto"/>
        </w:rPr>
      </w:pPr>
    </w:p>
    <w:p>
      <w:pPr>
        <w:ind w:firstLine="603"/>
        <w:spacing w:after="0" w:line="265" w:lineRule="auto"/>
        <w:rPr>
          <w:sz w:val="20"/>
          <w:szCs w:val="20"/>
          <w:color w:val="auto"/>
        </w:rPr>
      </w:pPr>
      <w:r>
        <w:rPr>
          <w:rFonts w:ascii="Arial" w:cs="Arial" w:eastAsia="Arial" w:hAnsi="Arial"/>
          <w:sz w:val="16"/>
          <w:szCs w:val="16"/>
          <w:color w:val="auto"/>
        </w:rPr>
        <w:t>The market for batteries used in electric vehicles, light electric vehicles and ESS is intensely competitive and is characterized by frequent technological changes and evolving industry standards. We expect competition to become more intense. Increased competition may result in a decline in average selling prices, causing a decrease in gross profit margins. We have faced and will continue to face competition from other manufacturers of lithium-ion batteries, as well as from companies engaged in the development of batteries incorporating new technologies. There are other competitors capable of manufacturing and delivering fast-charging battery systems that can charge as quickly as our LpTO and LpCO power battery solutions and we cannot assure you that they will not also enter the markets that we are currently in or intend to enter. For example, certain battery manufacturers offer lithium-based battery solutions that can be fully charged within a similar amount of time as our battery solutions, but with much shorter life cycles compared to our solutions. Other major manufacturers of high-power lithium batteries currently include Panasonic, Samsung SDI, BYD, CATL, Tianjin Lishen, Boston-Power, Wanxiang Group, Amperex Technology and LG Chem. In addition, vehicle manufacturers, such as GM, Ford, Rivian and Tesla, have entered the markets for our products and may become our competitors, either directly or through joint venture arrangements with major lithium-based battery manufacturers. Potential customers may choose to do business with these or other established vehicle manufacturers who enter the markets for our products because of their perception that vehicle manufacturers are more stable, have greater manufacturing capacity and have the capability to adapt battery products to their vehicles.</w:t>
      </w:r>
    </w:p>
    <w:p>
      <w:pPr>
        <w:spacing w:after="0" w:line="198" w:lineRule="exact"/>
        <w:rPr>
          <w:sz w:val="20"/>
          <w:szCs w:val="20"/>
          <w:color w:val="auto"/>
        </w:rPr>
      </w:pPr>
    </w:p>
    <w:p>
      <w:pPr>
        <w:ind w:firstLine="603"/>
        <w:spacing w:after="0" w:line="250" w:lineRule="auto"/>
        <w:rPr>
          <w:sz w:val="20"/>
          <w:szCs w:val="20"/>
          <w:color w:val="auto"/>
        </w:rPr>
      </w:pPr>
      <w:r>
        <w:rPr>
          <w:rFonts w:ascii="Arial" w:cs="Arial" w:eastAsia="Arial" w:hAnsi="Arial"/>
          <w:sz w:val="17"/>
          <w:szCs w:val="17"/>
          <w:color w:val="auto"/>
        </w:rPr>
        <w:t>Many of these competitors have greater financial, personnel, technical, manufacturing, marketing, sales and other resources than we do. As a result, these competitors may be in a stronger position to respond quickly to market opportunities, new or emerging technologies and evolving industry standards. Many of our competitors are developing a variety of battery technologies, such as lithium polymer, silicon anode and solid-state batteries, which are expected to compete with our existing product lines. Other companies undertaking R&amp;D activities of solid-polymer lithium-ion batteries have developed prototypes and are constructing commercial-scale manufacturing facilities. It is possible that our competitors will be able to introduce new products with more desirable features than ours and their new products will gain market acceptance. If our competitors successfully do so, we may not be able to maintain our competitive position and our future success would be materially and adversely affected.</w:t>
      </w:r>
    </w:p>
    <w:p>
      <w:pPr>
        <w:spacing w:after="0" w:line="207"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b w:val="1"/>
          <w:bCs w:val="1"/>
          <w:i w:val="1"/>
          <w:iCs w:val="1"/>
          <w:color w:val="auto"/>
        </w:rPr>
        <w:t>If we are unable to anticipate customer preferences and successfully develop attractive products, we might not be able to maintain or increase our revenue and profitability.</w:t>
      </w:r>
    </w:p>
    <w:p>
      <w:pPr>
        <w:spacing w:after="0" w:line="191" w:lineRule="exact"/>
        <w:rPr>
          <w:sz w:val="20"/>
          <w:szCs w:val="20"/>
          <w:color w:val="auto"/>
        </w:rPr>
      </w:pPr>
    </w:p>
    <w:p>
      <w:pPr>
        <w:ind w:right="160" w:firstLine="603"/>
        <w:spacing w:after="0" w:line="274" w:lineRule="auto"/>
        <w:rPr>
          <w:sz w:val="20"/>
          <w:szCs w:val="20"/>
          <w:color w:val="auto"/>
        </w:rPr>
      </w:pPr>
      <w:r>
        <w:rPr>
          <w:rFonts w:ascii="Arial" w:cs="Arial" w:eastAsia="Arial" w:hAnsi="Arial"/>
          <w:sz w:val="16"/>
          <w:szCs w:val="16"/>
          <w:color w:val="auto"/>
        </w:rPr>
        <w:t>Our success depends on our ability to identify and originate product trends as well as to anticipate and react to changing customer demands in a timely manner. If we are unable to introduce new products or novel technologies in a timely manner or our new products or technologies are not accepted by customers, our competitors may introduce more attractive products, which could hurt our competitive position. Our new products might not receive customer acceptance if customer preferences shift to other products, and our future success depends in part on our ability to anticipate and respond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to these changes. Failure to anticipate and respond in a timely manner to changing customer preferences could lead to, among other things, lower revenue and excess inventory levels.</w:t>
      </w:r>
    </w:p>
    <w:p>
      <w:pPr>
        <w:spacing w:after="0" w:line="166" w:lineRule="exact"/>
        <w:rPr>
          <w:sz w:val="20"/>
          <w:szCs w:val="20"/>
          <w:color w:val="auto"/>
        </w:rPr>
      </w:pPr>
    </w:p>
    <w:p>
      <w:pPr>
        <w:ind w:right="20" w:firstLine="158"/>
        <w:spacing w:after="0" w:line="268" w:lineRule="auto"/>
        <w:rPr>
          <w:sz w:val="20"/>
          <w:szCs w:val="20"/>
          <w:color w:val="auto"/>
        </w:rPr>
      </w:pPr>
      <w:r>
        <w:rPr>
          <w:rFonts w:ascii="Arial" w:cs="Arial" w:eastAsia="Arial" w:hAnsi="Arial"/>
          <w:sz w:val="17"/>
          <w:szCs w:val="17"/>
          <w:color w:val="auto"/>
        </w:rPr>
        <w:t>As we continually seek to enhance our products, we may incur additional costs to incorporate new or revised features. We might not be able to, or determine that it is not in our interests to, raise prices to compensate for these additional costs.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depends on the needs and success of our customers, as well as the demand for our customers’ products or services.</w:t>
      </w:r>
    </w:p>
    <w:p>
      <w:pPr>
        <w:spacing w:after="0" w:line="231" w:lineRule="exact"/>
        <w:rPr>
          <w:sz w:val="20"/>
          <w:szCs w:val="20"/>
          <w:color w:val="auto"/>
        </w:rPr>
      </w:pPr>
    </w:p>
    <w:p>
      <w:pPr>
        <w:ind w:right="20" w:firstLine="603"/>
        <w:spacing w:after="0" w:line="268" w:lineRule="auto"/>
        <w:rPr>
          <w:sz w:val="20"/>
          <w:szCs w:val="20"/>
          <w:color w:val="auto"/>
        </w:rPr>
      </w:pPr>
      <w:r>
        <w:rPr>
          <w:rFonts w:ascii="Arial" w:cs="Arial" w:eastAsia="Arial" w:hAnsi="Arial"/>
          <w:sz w:val="16"/>
          <w:szCs w:val="16"/>
          <w:color w:val="auto"/>
        </w:rPr>
        <w:t>The demand for our battery products will ultimately depend on our end-market users. Decisions to purchase our battery packs and modules may depend on the performance of the industries of our customers and if demand for output in those industries decreases, then the demand for our products may decrease as well. Demand in these industries is impacted by numerous factors, including, but not limited to, commodity prices, infrastructure spending, consumer spending, customer fleet replacement schedules, travel restrictions, fuel costs, energy demands, municipal spending and government mandates and incentives. Increases or decreases in these variables may significantly impact the demand for our products. If we are unable to predict demand accurately, we may be unable to meet our customers’ needs, resulting in the loss of potential sales, or we may produce excess products, resulting in increased inventories and overcapacity in our production facilities, increasing our unit production cost and decreasing our operating margins.</w:t>
      </w:r>
    </w:p>
    <w:p>
      <w:pPr>
        <w:spacing w:after="0" w:line="194" w:lineRule="exact"/>
        <w:rPr>
          <w:sz w:val="20"/>
          <w:szCs w:val="20"/>
          <w:color w:val="auto"/>
        </w:rPr>
      </w:pPr>
    </w:p>
    <w:p>
      <w:pPr>
        <w:ind w:right="40" w:firstLine="603"/>
        <w:spacing w:after="0" w:line="298" w:lineRule="auto"/>
        <w:rPr>
          <w:sz w:val="20"/>
          <w:szCs w:val="20"/>
          <w:color w:val="auto"/>
        </w:rPr>
      </w:pPr>
      <w:r>
        <w:rPr>
          <w:rFonts w:ascii="Arial" w:cs="Arial" w:eastAsia="Arial" w:hAnsi="Arial"/>
          <w:sz w:val="15"/>
          <w:szCs w:val="15"/>
          <w:color w:val="auto"/>
        </w:rPr>
        <w:t>Further, our customers’ inability to market and sell their products or services successfully, whether from lack of market acceptance or otherwise, could materially and adversely affect our business and prospects because such customers may not order new or additional products from us. If we cannot achieve the expected level of sales, we will not be able to make sufficient profits to offset the expenditures we have incurred to expand our production capacity, nor will we be able to grow our business. Accordingly, our business, financial condition, results of operations and future success would be materially and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declining average selling prices, which may harm our revenue and gross profits.</w:t>
      </w:r>
    </w:p>
    <w:p>
      <w:pPr>
        <w:spacing w:after="0" w:line="206"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color w:val="auto"/>
        </w:rPr>
        <w:t>As production of electric power battery systems scales up and technology continues to improve, we expect the average selling prices of our power battery systems to decline over time. As a result, manufacturers of these electric products expect us to cut our costs and lower the price of our products. We may have to reduce the price of our products in order to meet market demand due to market-driven downward pricing pressures in the future. Our revenue and profitability will suffer if we are unable to offset any declines in our average selling prices by developing new or enhanced products with higher selling prices or gross profit margins, increasing our sales volumes or reducing our manufacturing costs on a timely basis.</w:t>
      </w:r>
    </w:p>
    <w:p>
      <w:pPr>
        <w:spacing w:after="0" w:line="208"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b w:val="1"/>
          <w:bCs w:val="1"/>
          <w:i w:val="1"/>
          <w:iCs w:val="1"/>
          <w:color w:val="auto"/>
        </w:rPr>
        <w:t>The battery efficiency of electric vehicles declines over time, which may negatively influence potential customers’ decisions on whether to purchase an electric vehicle.</w:t>
      </w:r>
    </w:p>
    <w:p>
      <w:pPr>
        <w:spacing w:after="0" w:line="191" w:lineRule="exact"/>
        <w:rPr>
          <w:sz w:val="20"/>
          <w:szCs w:val="20"/>
          <w:color w:val="auto"/>
        </w:rPr>
      </w:pPr>
    </w:p>
    <w:p>
      <w:pPr>
        <w:ind w:right="120" w:firstLine="603"/>
        <w:spacing w:after="0" w:line="268" w:lineRule="auto"/>
        <w:rPr>
          <w:sz w:val="20"/>
          <w:szCs w:val="20"/>
          <w:color w:val="auto"/>
        </w:rPr>
      </w:pPr>
      <w:r>
        <w:rPr>
          <w:rFonts w:ascii="Arial" w:cs="Arial" w:eastAsia="Arial" w:hAnsi="Arial"/>
          <w:sz w:val="17"/>
          <w:szCs w:val="17"/>
          <w:color w:val="auto"/>
        </w:rPr>
        <w:t>Over time, vehicles using our battery systems will see performance decline as their batteries decay, particularly in the driving range. If this turns off potential customers of electric vehicles built using our battery system, it could negatively impact our sales.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products might fail to qualify as “domestic origin” for purposes of “Buy America” requirements imposed on the recipients of U.S. government grants.</w:t>
      </w:r>
    </w:p>
    <w:p>
      <w:pPr>
        <w:spacing w:after="0" w:line="254" w:lineRule="exact"/>
        <w:rPr>
          <w:sz w:val="20"/>
          <w:szCs w:val="20"/>
          <w:color w:val="auto"/>
        </w:rPr>
      </w:pPr>
    </w:p>
    <w:p>
      <w:pPr>
        <w:ind w:right="20" w:firstLine="603"/>
        <w:spacing w:after="0" w:line="267" w:lineRule="auto"/>
        <w:rPr>
          <w:sz w:val="20"/>
          <w:szCs w:val="20"/>
          <w:color w:val="auto"/>
        </w:rPr>
      </w:pPr>
      <w:r>
        <w:rPr>
          <w:rFonts w:ascii="Arial" w:cs="Arial" w:eastAsia="Arial" w:hAnsi="Arial"/>
          <w:sz w:val="16"/>
          <w:szCs w:val="16"/>
          <w:color w:val="auto"/>
        </w:rPr>
        <w:t>Some of our customers may be recipients of grants subject to regulations implemented by the U.S. Federal Transit Authority for purchases of rolling stock, including “Buy America” requirements codified at 49 C.F.R. Part 661. In some cases, our customers must ensure that our products, when incorporated into rolling stock subject to “Buy America” requirements, qualify as “domestic origin” components or subcomponents. Our manufacturing facilities are currently located in China and in Germany, and our current products are manufactured using parts or components procured outside of the United States. We are in the process of establishing a manufacturing facility in Clarksville, Tennessee; however, not all of the raw materials we require to manufacture our products are currently available from U.S. suppliers. If our products manufactured from imported parts or components fail to meet the regulatory thresholds to qualify as “domestic origin” under the applicable regulations, we might be disqualified or otherwise precluded from supplying those products to customers that are subject to applicable “Buy America” requirements, or we might be liable to those customers for having</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failed to comply with certifications or representations that our products are “domestic origin,” each of which would likely adversely affect our business, prospects, financial condition and operating results.</w:t>
      </w:r>
    </w:p>
    <w:p>
      <w:pPr>
        <w:spacing w:after="0" w:line="191"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b w:val="1"/>
          <w:bCs w:val="1"/>
          <w:i w:val="1"/>
          <w:iCs w:val="1"/>
          <w:color w:val="auto"/>
        </w:rPr>
        <w:t>We may experience significant delays in the design, production and launch of our new products, which could harm our business, prospects, financial condition and operating results.</w:t>
      </w:r>
    </w:p>
    <w:p>
      <w:pPr>
        <w:spacing w:after="0" w:line="191" w:lineRule="exact"/>
        <w:rPr>
          <w:sz w:val="20"/>
          <w:szCs w:val="20"/>
          <w:color w:val="auto"/>
        </w:rPr>
      </w:pPr>
    </w:p>
    <w:p>
      <w:pPr>
        <w:ind w:right="60" w:firstLine="603"/>
        <w:spacing w:after="0" w:line="253" w:lineRule="auto"/>
        <w:rPr>
          <w:sz w:val="20"/>
          <w:szCs w:val="20"/>
          <w:color w:val="auto"/>
        </w:rPr>
      </w:pPr>
      <w:r>
        <w:rPr>
          <w:rFonts w:ascii="Arial" w:cs="Arial" w:eastAsia="Arial" w:hAnsi="Arial"/>
          <w:sz w:val="17"/>
          <w:szCs w:val="17"/>
          <w:color w:val="auto"/>
        </w:rPr>
        <w:t>Our R&amp;D team is continually looking to improve our battery systems. Any delay in the financing, design, production and launch of our new products could materially damage our brand, business, prospects, financial condition and operating results. There are often delays in the design, production and commercial release of new products, and to the extent, we delay the launch of the items identified above, our growth prospects could be adversely affected as we may fail to grow our market share, to keep up with competing products or to satisfy customers’ demands or needs.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substantially increase our manufacturing output in order to fulfill orders from our customers.</w:t>
      </w:r>
    </w:p>
    <w:p>
      <w:pPr>
        <w:spacing w:after="0" w:line="231" w:lineRule="exact"/>
        <w:rPr>
          <w:sz w:val="20"/>
          <w:szCs w:val="20"/>
          <w:color w:val="auto"/>
        </w:rPr>
      </w:pPr>
    </w:p>
    <w:p>
      <w:pPr>
        <w:ind w:firstLine="603"/>
        <w:spacing w:after="0" w:line="268" w:lineRule="auto"/>
        <w:rPr>
          <w:sz w:val="20"/>
          <w:szCs w:val="20"/>
          <w:color w:val="auto"/>
        </w:rPr>
      </w:pPr>
      <w:r>
        <w:rPr>
          <w:rFonts w:ascii="Arial" w:cs="Arial" w:eastAsia="Arial" w:hAnsi="Arial"/>
          <w:sz w:val="16"/>
          <w:szCs w:val="16"/>
          <w:color w:val="auto"/>
        </w:rPr>
        <w:t>We have expanded and expect to continue to expand our battery manufacturing capacity to meet the expected demand for our products. This expansion will impose significant added responsibilities on our senior management and our resources, including financial resources and the need to identify, recruit, maintain and integrate additional employees. Our expansion will also expose us to greater overhead and support costs and other risks associated with the manufacture and commercialization of new products. Difficulties in effectively managing the budgeting, forecasting and other process control issues presented by such expansion could harm our business, prospects, results of operations and financial condition. Even if we succeed in expanding our manufacturing capacity, we may not have enough demand for our products to justify the increased capacity. If there is a persistent mismatch in the demand for our products and our manufacturing capacity, our business, financial condition and results of operations could be adversely affected.</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ability to substantially increase our manufacturing output is subject to significant constraints and uncertainties, including:</w:t>
      </w:r>
    </w:p>
    <w:p>
      <w:pPr>
        <w:spacing w:after="0" w:line="269" w:lineRule="exact"/>
        <w:rPr>
          <w:sz w:val="20"/>
          <w:szCs w:val="20"/>
          <w:color w:val="auto"/>
        </w:rPr>
      </w:pPr>
    </w:p>
    <w:p>
      <w:pPr>
        <w:ind w:left="600" w:right="520" w:hanging="298"/>
        <w:spacing w:after="0" w:line="233" w:lineRule="auto"/>
        <w:tabs>
          <w:tab w:leader="none" w:pos="595" w:val="left"/>
        </w:tabs>
        <w:numPr>
          <w:ilvl w:val="0"/>
          <w:numId w:val="25"/>
        </w:numPr>
        <w:rPr>
          <w:rFonts w:ascii="Arial" w:cs="Arial" w:eastAsia="Arial" w:hAnsi="Arial"/>
          <w:sz w:val="20"/>
          <w:szCs w:val="20"/>
          <w:color w:val="auto"/>
        </w:rPr>
      </w:pPr>
      <w:r>
        <w:rPr>
          <w:rFonts w:ascii="Arial" w:cs="Arial" w:eastAsia="Arial" w:hAnsi="Arial"/>
          <w:sz w:val="17"/>
          <w:szCs w:val="17"/>
          <w:color w:val="auto"/>
        </w:rPr>
        <w:t>delays by our suppliers and equipment vendors and cost overruns as a result of a number of factors, many of which may be beyond our control, such as increases in raw material prices and problems with equipment vendors;</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17"/>
          <w:szCs w:val="17"/>
          <w:color w:val="auto"/>
        </w:rPr>
        <w:t>delays in the government approval process or denial of required approvals by relevant government authorities;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5"/>
        </w:numPr>
        <w:rPr>
          <w:rFonts w:ascii="Arial" w:cs="Arial" w:eastAsia="Arial" w:hAnsi="Arial"/>
          <w:sz w:val="20"/>
          <w:szCs w:val="20"/>
          <w:color w:val="auto"/>
        </w:rPr>
      </w:pPr>
      <w:r>
        <w:rPr>
          <w:rFonts w:ascii="Arial" w:cs="Arial" w:eastAsia="Arial" w:hAnsi="Arial"/>
          <w:sz w:val="17"/>
          <w:szCs w:val="17"/>
          <w:color w:val="auto"/>
        </w:rPr>
        <w:t>diversion of significant management attention and other resources; and</w:t>
      </w:r>
    </w:p>
    <w:p>
      <w:pPr>
        <w:spacing w:after="0" w:line="21" w:lineRule="exact"/>
        <w:rPr>
          <w:rFonts w:ascii="Arial" w:cs="Arial" w:eastAsia="Arial" w:hAnsi="Arial"/>
          <w:sz w:val="20"/>
          <w:szCs w:val="20"/>
          <w:color w:val="auto"/>
        </w:rPr>
      </w:pPr>
    </w:p>
    <w:p>
      <w:pPr>
        <w:ind w:left="600" w:hanging="298"/>
        <w:spacing w:after="0"/>
        <w:tabs>
          <w:tab w:leader="none" w:pos="600" w:val="left"/>
        </w:tabs>
        <w:numPr>
          <w:ilvl w:val="0"/>
          <w:numId w:val="25"/>
        </w:numPr>
        <w:rPr>
          <w:rFonts w:ascii="Arial" w:cs="Arial" w:eastAsia="Arial" w:hAnsi="Arial"/>
          <w:sz w:val="20"/>
          <w:szCs w:val="20"/>
          <w:color w:val="auto"/>
        </w:rPr>
      </w:pPr>
      <w:r>
        <w:rPr>
          <w:rFonts w:ascii="Arial" w:cs="Arial" w:eastAsia="Arial" w:hAnsi="Arial"/>
          <w:sz w:val="17"/>
          <w:szCs w:val="17"/>
          <w:color w:val="auto"/>
        </w:rPr>
        <w:t>failure to execute our expansion plan effectively.</w:t>
      </w:r>
    </w:p>
    <w:p>
      <w:pPr>
        <w:spacing w:after="0" w:line="214" w:lineRule="exact"/>
        <w:rPr>
          <w:sz w:val="20"/>
          <w:szCs w:val="20"/>
          <w:color w:val="auto"/>
        </w:rPr>
      </w:pPr>
    </w:p>
    <w:p>
      <w:pPr>
        <w:ind w:firstLine="603"/>
        <w:spacing w:after="0" w:line="269" w:lineRule="auto"/>
        <w:rPr>
          <w:sz w:val="20"/>
          <w:szCs w:val="20"/>
          <w:color w:val="auto"/>
        </w:rPr>
      </w:pPr>
      <w:r>
        <w:rPr>
          <w:rFonts w:ascii="Arial" w:cs="Arial" w:eastAsia="Arial" w:hAnsi="Arial"/>
          <w:sz w:val="16"/>
          <w:szCs w:val="16"/>
          <w:color w:val="auto"/>
        </w:rPr>
        <w:t>If we are unable to increase our manufacturing output because of any of the risks described above, we may be unable to fulfill customer orders or achieve the growth we expect. Under our supply agreements with our customers, we would typically be liable to pay a charge of between 0.001% and 0.5% of the total contract price per day for our delay in delivering products, as well as any resulting costs and expenses incurred by the customers. In addition, if we are unable to fulfill customer orders, our reputation could be affected, and our customers could source battery systems from other companies. With a global supply chain, some raw material lead times are above average and can be challenging when responding to significant increases in customer demand. The combination of the foregoing could adversely affect our business, financial condition and results of operations.</w:t>
      </w:r>
    </w:p>
    <w:p>
      <w:pPr>
        <w:spacing w:after="0" w:line="194" w:lineRule="exact"/>
        <w:rPr>
          <w:sz w:val="20"/>
          <w:szCs w:val="20"/>
          <w:color w:val="auto"/>
        </w:rPr>
      </w:pPr>
    </w:p>
    <w:p>
      <w:pPr>
        <w:ind w:right="200"/>
        <w:spacing w:after="0" w:line="335" w:lineRule="auto"/>
        <w:rPr>
          <w:sz w:val="20"/>
          <w:szCs w:val="20"/>
          <w:color w:val="auto"/>
        </w:rPr>
      </w:pPr>
      <w:r>
        <w:rPr>
          <w:rFonts w:ascii="Arial" w:cs="Arial" w:eastAsia="Arial" w:hAnsi="Arial"/>
          <w:sz w:val="15"/>
          <w:szCs w:val="15"/>
          <w:b w:val="1"/>
          <w:bCs w:val="1"/>
          <w:i w:val="1"/>
          <w:iCs w:val="1"/>
          <w:color w:val="auto"/>
        </w:rPr>
        <w:t>Our failure to cost-effectively manufacture our batteries in quantities which satisfy our customers’ demand and product specifications and their expectations for product quality and reliable delivery could damage our customer relationships and result in significant lost business opportunities for us.</w:t>
      </w:r>
    </w:p>
    <w:p>
      <w:pPr>
        <w:spacing w:after="0" w:line="146" w:lineRule="exact"/>
        <w:rPr>
          <w:sz w:val="20"/>
          <w:szCs w:val="20"/>
          <w:color w:val="auto"/>
        </w:rPr>
      </w:pPr>
    </w:p>
    <w:p>
      <w:pPr>
        <w:ind w:right="80" w:firstLine="603"/>
        <w:spacing w:after="0" w:line="274" w:lineRule="auto"/>
        <w:rPr>
          <w:sz w:val="20"/>
          <w:szCs w:val="20"/>
          <w:color w:val="auto"/>
        </w:rPr>
      </w:pPr>
      <w:r>
        <w:rPr>
          <w:rFonts w:ascii="Arial" w:cs="Arial" w:eastAsia="Arial" w:hAnsi="Arial"/>
          <w:sz w:val="16"/>
          <w:szCs w:val="16"/>
          <w:color w:val="auto"/>
        </w:rPr>
        <w:t>We manufacture our products rather than relying upon third-party outsourcing. To be successful, we must cost-effectively manufacture commercial quantities of our complex batteries that meet our customer specifications for quality and timely delivery. To facilitate the commercialization of our products, we will need to further reduce our manufacturing costs, which we intend to do by improving our manufacturing and development operations. If we are unable to manufacture products in commercial quantities on a timely and cost-effective basis, we could lose our customers and be unable to attract future customers.</w:t>
      </w:r>
    </w:p>
    <w:p>
      <w:pPr>
        <w:spacing w:after="0" w:line="189" w:lineRule="exact"/>
        <w:rPr>
          <w:sz w:val="20"/>
          <w:szCs w:val="20"/>
          <w:color w:val="auto"/>
        </w:rPr>
      </w:pPr>
    </w:p>
    <w:p>
      <w:pPr>
        <w:ind w:right="640"/>
        <w:spacing w:after="0" w:line="268" w:lineRule="auto"/>
        <w:rPr>
          <w:sz w:val="20"/>
          <w:szCs w:val="20"/>
          <w:color w:val="auto"/>
        </w:rPr>
      </w:pPr>
      <w:r>
        <w:rPr>
          <w:rFonts w:ascii="Arial" w:cs="Arial" w:eastAsia="Arial" w:hAnsi="Arial"/>
          <w:sz w:val="17"/>
          <w:szCs w:val="17"/>
          <w:b w:val="1"/>
          <w:bCs w:val="1"/>
          <w:i w:val="1"/>
          <w:iCs w:val="1"/>
          <w:color w:val="auto"/>
        </w:rPr>
        <w:t>We may be unable to meet our future capital requirements and we may require additional capital to support business growth, and this capital might not be available on acceptable terms, or at all.</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20" w:firstLine="603"/>
        <w:spacing w:after="0" w:line="257" w:lineRule="auto"/>
        <w:rPr>
          <w:sz w:val="20"/>
          <w:szCs w:val="20"/>
          <w:color w:val="auto"/>
        </w:rPr>
      </w:pPr>
      <w:r>
        <w:rPr>
          <w:rFonts w:ascii="Arial" w:cs="Arial" w:eastAsia="Arial" w:hAnsi="Arial"/>
          <w:sz w:val="17"/>
          <w:szCs w:val="17"/>
          <w:color w:val="auto"/>
        </w:rPr>
        <w:t>The development, design, manufacture and sale of batteries is a capital-intensive business, which we currently finance through various types of financings. As a result of the capital-intensive nature of our business, we expect to sustain substantial operating expenses without generating sufficient revenues to cover expenditures for a number of years.</w:t>
      </w:r>
    </w:p>
    <w:p>
      <w:pPr>
        <w:spacing w:after="0" w:line="201" w:lineRule="exact"/>
        <w:rPr>
          <w:sz w:val="20"/>
          <w:szCs w:val="20"/>
          <w:color w:val="auto"/>
        </w:rPr>
      </w:pPr>
    </w:p>
    <w:p>
      <w:pPr>
        <w:ind w:right="100" w:firstLine="603"/>
        <w:spacing w:after="0" w:line="268" w:lineRule="auto"/>
        <w:rPr>
          <w:sz w:val="20"/>
          <w:szCs w:val="20"/>
          <w:color w:val="auto"/>
        </w:rPr>
      </w:pPr>
      <w:r>
        <w:rPr>
          <w:rFonts w:ascii="Arial" w:cs="Arial" w:eastAsia="Arial" w:hAnsi="Arial"/>
          <w:sz w:val="16"/>
          <w:szCs w:val="16"/>
          <w:color w:val="auto"/>
        </w:rPr>
        <w:t>In addition, we intend to continue to make investments to support our business growth and may require additional funds to respond to business challenges, including the need to develop new features or enhance our products, improve our operating infrastructure or acquire complementary businesses and technologies. Our capital requirements will depend on many factors, including, but not limited to: technological advancements; market acceptance of our products and product enhancements, and the overall level of sales of our products; R&amp;D expenses; our relationships with our customers and suppliers; our ability to control costs; sales and marketing expenses; enhancements to our infrastructure and systems and any capital improvements to our facilities; our ability to maintain existing manufacturing equipment; potential acquisitions of businesses and product lines; and general economic conditions, including the effects of international conflicts and their impact on the automotive industry in particular.</w:t>
      </w:r>
    </w:p>
    <w:p>
      <w:pPr>
        <w:spacing w:after="0" w:line="194" w:lineRule="exact"/>
        <w:rPr>
          <w:sz w:val="20"/>
          <w:szCs w:val="20"/>
          <w:color w:val="auto"/>
        </w:rPr>
      </w:pPr>
    </w:p>
    <w:p>
      <w:pPr>
        <w:ind w:right="20" w:firstLine="603"/>
        <w:spacing w:after="0" w:line="267" w:lineRule="auto"/>
        <w:rPr>
          <w:sz w:val="20"/>
          <w:szCs w:val="20"/>
          <w:color w:val="auto"/>
        </w:rPr>
      </w:pPr>
      <w:r>
        <w:rPr>
          <w:rFonts w:ascii="Arial" w:cs="Arial" w:eastAsia="Arial" w:hAnsi="Arial"/>
          <w:sz w:val="16"/>
          <w:szCs w:val="16"/>
          <w:color w:val="auto"/>
        </w:rPr>
        <w:t>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Moreover, rising interest rates may further increase the costs of obtaining additional capital to meet our requirements.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195"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b w:val="1"/>
          <w:bCs w:val="1"/>
          <w:i w:val="1"/>
          <w:iCs w:val="1"/>
          <w:color w:val="auto"/>
        </w:rPr>
        <w:t>Our working capital requirements involve estimates based on the demand expectations and may decrease or increase beyond those currently anticipated, which could adversely impact our operating results and financial condition.</w:t>
      </w:r>
    </w:p>
    <w:p>
      <w:pPr>
        <w:spacing w:after="0" w:line="191" w:lineRule="exact"/>
        <w:rPr>
          <w:sz w:val="20"/>
          <w:szCs w:val="20"/>
          <w:color w:val="auto"/>
        </w:rPr>
      </w:pPr>
    </w:p>
    <w:p>
      <w:pPr>
        <w:ind w:firstLine="603"/>
        <w:spacing w:after="0" w:line="293" w:lineRule="auto"/>
        <w:rPr>
          <w:sz w:val="20"/>
          <w:szCs w:val="20"/>
          <w:color w:val="auto"/>
        </w:rPr>
      </w:pPr>
      <w:r>
        <w:rPr>
          <w:rFonts w:ascii="Arial" w:cs="Arial" w:eastAsia="Arial" w:hAnsi="Arial"/>
          <w:sz w:val="15"/>
          <w:szCs w:val="15"/>
          <w:color w:val="auto"/>
        </w:rPr>
        <w:t>In order to fulfill the product delivery requirements of our customers, we plan for working capital needs in advance of customer orders. As a result, we base our funding and inventory decisions on estimates of future demand. If demand for our products does not increase as quickly as we have estimated or drops off sharply, our inventory and expenses could rise, and our business and operating results could suffer. Alternatively, if we experience sales in excess of our estimates, our working capital needs may be higher than those currently anticipated. Our ability to meet this excess customer demand depends on our ability to arrange for additional financing for any ongoing working capital shortages since it is likely that cash flow from sales will lag behind these investment requirements.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accurately plan our manufacturing based on our sales contracts, which may result in excess product inventory or product shortages.</w:t>
      </w:r>
    </w:p>
    <w:p>
      <w:pPr>
        <w:spacing w:after="0" w:line="254" w:lineRule="exact"/>
        <w:rPr>
          <w:sz w:val="20"/>
          <w:szCs w:val="20"/>
          <w:color w:val="auto"/>
        </w:rPr>
      </w:pPr>
    </w:p>
    <w:p>
      <w:pPr>
        <w:ind w:right="160" w:firstLine="603"/>
        <w:spacing w:after="0" w:line="268" w:lineRule="auto"/>
        <w:rPr>
          <w:sz w:val="20"/>
          <w:szCs w:val="20"/>
          <w:color w:val="auto"/>
        </w:rPr>
      </w:pPr>
      <w:r>
        <w:rPr>
          <w:rFonts w:ascii="Arial" w:cs="Arial" w:eastAsia="Arial" w:hAnsi="Arial"/>
          <w:sz w:val="16"/>
          <w:szCs w:val="16"/>
          <w:color w:val="auto"/>
        </w:rPr>
        <w:t>We typically have a short delivery window to deliver goods to our customers once an order has been placed. To meet short delivery deadlines, we generally decide on our manufacturing level and timing, procurement, facility requirements, personnel needs and other resource requirements based on an estimate taking into account forecasted demand, our past dealings with such customers, market conditions and other relevant factors. Our customers’ final purchase orders may not be consistent with our estimates. If the final purchase orders substantially differ from our estimates, we may have excess product inventory or product shortages. Excess product inventory could result in unprofitable sales or write-offs as our products are susceptible to obsolescence and price declines. Producing additional products to make up for any product shortages within a short time frame may be difficult, making us unable to fulfill the purchase orders. In either case, our results of operation may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complex machinery for our operations and our production involves a degree of risk and uncertainty in terms of operational performance and costs.</w:t>
      </w:r>
    </w:p>
    <w:p>
      <w:pPr>
        <w:spacing w:after="0" w:line="266" w:lineRule="exact"/>
        <w:rPr>
          <w:sz w:val="20"/>
          <w:szCs w:val="20"/>
          <w:color w:val="auto"/>
        </w:rPr>
      </w:pPr>
    </w:p>
    <w:p>
      <w:pPr>
        <w:ind w:right="220" w:firstLine="603"/>
        <w:spacing w:after="0" w:line="257" w:lineRule="auto"/>
        <w:rPr>
          <w:sz w:val="20"/>
          <w:szCs w:val="20"/>
          <w:color w:val="auto"/>
        </w:rPr>
      </w:pPr>
      <w:r>
        <w:rPr>
          <w:rFonts w:ascii="Arial" w:cs="Arial" w:eastAsia="Arial" w:hAnsi="Arial"/>
          <w:sz w:val="17"/>
          <w:szCs w:val="17"/>
          <w:color w:val="auto"/>
        </w:rPr>
        <w:t>Our manufacturing facilities require large-scale machinery. Such machinery suffers unexpected malfunctions from time to time and will require repairs and spare parts to resume operations, which may not be available when needed. Unexpected malfunctions of our production equipment may significantly affect the intended operational efficiency. While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200"/>
        <w:spacing w:after="0" w:line="257" w:lineRule="auto"/>
        <w:rPr>
          <w:sz w:val="20"/>
          <w:szCs w:val="20"/>
          <w:color w:val="auto"/>
        </w:rPr>
      </w:pPr>
      <w:r>
        <w:rPr>
          <w:rFonts w:ascii="Arial" w:cs="Arial" w:eastAsia="Arial" w:hAnsi="Arial"/>
          <w:sz w:val="17"/>
          <w:szCs w:val="17"/>
          <w:color w:val="auto"/>
        </w:rPr>
        <w:t>the manufacturing equipment field is maturing, there are still significant changes and improvements occurring with respect to manufacturing devices. Such changes pose a risk that our manufacturing line will become outdated faster than anticipated. Expenses to upgrade equipment to more cutting-edge designs may be necessary, raising costs.</w:t>
      </w:r>
    </w:p>
    <w:p>
      <w:pPr>
        <w:spacing w:after="0" w:line="201" w:lineRule="exact"/>
        <w:rPr>
          <w:sz w:val="20"/>
          <w:szCs w:val="20"/>
          <w:color w:val="auto"/>
        </w:rPr>
      </w:pPr>
    </w:p>
    <w:p>
      <w:pPr>
        <w:ind w:right="200" w:firstLine="603"/>
        <w:spacing w:after="0" w:line="253" w:lineRule="auto"/>
        <w:rPr>
          <w:sz w:val="20"/>
          <w:szCs w:val="20"/>
          <w:color w:val="auto"/>
        </w:rPr>
      </w:pPr>
      <w:r>
        <w:rPr>
          <w:rFonts w:ascii="Arial" w:cs="Arial" w:eastAsia="Arial" w:hAnsi="Arial"/>
          <w:sz w:val="17"/>
          <w:szCs w:val="17"/>
          <w:color w:val="auto"/>
        </w:rPr>
        <w:t>New component materials developed through our vertically integrated manufacturing process may require new, advanced equipment to produce. During the scale-up of new components, it may be difficult to predict a number of cost and risk factors including material yields, operation times, environmental hazards, utility needs, optimal equipment design, and necessary maintenance cycles which could add time and cost risks. Once scaled, the process may be found economically unfeasible.</w:t>
      </w:r>
    </w:p>
    <w:p>
      <w:pPr>
        <w:spacing w:after="0" w:line="205" w:lineRule="exact"/>
        <w:rPr>
          <w:sz w:val="20"/>
          <w:szCs w:val="20"/>
          <w:color w:val="auto"/>
        </w:rPr>
      </w:pPr>
    </w:p>
    <w:p>
      <w:pPr>
        <w:ind w:right="100" w:firstLine="603"/>
        <w:spacing w:after="0" w:line="253" w:lineRule="auto"/>
        <w:rPr>
          <w:sz w:val="20"/>
          <w:szCs w:val="20"/>
          <w:color w:val="auto"/>
        </w:rPr>
      </w:pPr>
      <w:r>
        <w:rPr>
          <w:rFonts w:ascii="Arial" w:cs="Arial" w:eastAsia="Arial" w:hAnsi="Arial"/>
          <w:sz w:val="17"/>
          <w:szCs w:val="17"/>
          <w:color w:val="auto"/>
        </w:rPr>
        <w:t>Operational problems with our manufacturing equipment could result in the personal injury to or death of workers, the loss of production equipment, damage to manufacturing facilities, monetary losses, delays and unanticipated fluctuations in production. In addition, operational problems may result in environmental damage, administrative fines, increased insurance costs and potential legal liabilities. All of these operational problems could have a material adverse effect on our business, results of operations, cash flows, financial condition or prospects.</w:t>
      </w:r>
    </w:p>
    <w:p>
      <w:pPr>
        <w:spacing w:after="0" w:line="205"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auto"/>
        </w:rPr>
        <w:t>We rely on third parties to manufacture chargers and charging poles and to build charging stations that are necessary for using our products. Our ability to market our products depends on the establishment of charging station networks that meet the needs of our products. If any of the charging station networks are not compatible with our products and technologies, our sales could be adversely affected. The lack of a network or a compatible network could affect the implementation of our strategy and adversely affect our business and our operating results.</w:t>
      </w:r>
    </w:p>
    <w:p>
      <w:pPr>
        <w:spacing w:after="0" w:line="189" w:lineRule="exact"/>
        <w:rPr>
          <w:sz w:val="20"/>
          <w:szCs w:val="20"/>
          <w:color w:val="auto"/>
        </w:rPr>
      </w:pPr>
    </w:p>
    <w:p>
      <w:pPr>
        <w:ind w:right="20" w:firstLine="603"/>
        <w:spacing w:after="0" w:line="268" w:lineRule="auto"/>
        <w:rPr>
          <w:sz w:val="20"/>
          <w:szCs w:val="20"/>
          <w:color w:val="auto"/>
        </w:rPr>
      </w:pPr>
      <w:r>
        <w:rPr>
          <w:rFonts w:ascii="Arial" w:cs="Arial" w:eastAsia="Arial" w:hAnsi="Arial"/>
          <w:sz w:val="16"/>
          <w:szCs w:val="16"/>
          <w:color w:val="auto"/>
        </w:rPr>
        <w:t>We design, develop and manufacture electric power battery systems for electric vehicles. However, we do not manufacture chargers or charging poles that are necessary for using our products. In addition, we rely on third parties, such as city governments, utility providers and private investors, to build charging stations. A key part of our Clean City Transit plan (the “CCT Plan”) that aims to introduce our battery systems to electric buses, then to taxis and finally to passenger cars is premised on establishing compatible charging station networks in urban areas that accommodate our technologies and products. If no charging station network is built, in markets in which we target our products, there would be little demand for electric battery products in that area. Even if such a network were built, it might not be compatible with our products, in which case the demand for our technologies and products in those markets would be limited, which could affect the implementation of our strategy and our business, and our operating results may be adversely affected.</w:t>
      </w:r>
    </w:p>
    <w:p>
      <w:pPr>
        <w:spacing w:after="0" w:line="194" w:lineRule="exact"/>
        <w:rPr>
          <w:sz w:val="20"/>
          <w:szCs w:val="20"/>
          <w:color w:val="auto"/>
        </w:rPr>
      </w:pPr>
    </w:p>
    <w:p>
      <w:pPr>
        <w:ind w:firstLine="603"/>
        <w:spacing w:after="0" w:line="267" w:lineRule="auto"/>
        <w:rPr>
          <w:sz w:val="20"/>
          <w:szCs w:val="20"/>
          <w:color w:val="auto"/>
        </w:rPr>
      </w:pPr>
      <w:r>
        <w:rPr>
          <w:rFonts w:ascii="Arial" w:cs="Arial" w:eastAsia="Arial" w:hAnsi="Arial"/>
          <w:sz w:val="16"/>
          <w:szCs w:val="16"/>
          <w:color w:val="auto"/>
        </w:rPr>
        <w:t>Further, existing charging station networks have not been established under a uniform standard and could diminish our sales if any of the networks are not compatible with our products and technologies. In particular, our products and technologies require charging stations that can provide high voltages compared to existing charging stations for ultra-fast charging to function. In order for our fast-charging battery systems to become widely adopted in electric buses, electric taxis and electric passenger cars, a critical mass of compatible fast-charging stations must be installed and in operation in any given urban area that we plan to enter. Establishing a network of fast-charging stations requires significant capital investment and government approvals. It also requires government regulators to believe that the merits of fast-charging stations support the costs of such construction. If a sufficient number of charging stations that accommodate our products and technologies cannot be built up and be functional in a timely manner, it will be difficult for us to retain our existing customers and to attract new customers. As a result, our business, results of operations, financial condition and prospects may be materially and adversely affected.</w:t>
      </w:r>
    </w:p>
    <w:p>
      <w:pPr>
        <w:spacing w:after="0" w:line="195" w:lineRule="exact"/>
        <w:rPr>
          <w:sz w:val="20"/>
          <w:szCs w:val="20"/>
          <w:color w:val="auto"/>
        </w:rPr>
      </w:pPr>
    </w:p>
    <w:p>
      <w:pPr>
        <w:ind w:right="60" w:firstLine="603"/>
        <w:spacing w:after="0" w:line="251" w:lineRule="auto"/>
        <w:rPr>
          <w:sz w:val="20"/>
          <w:szCs w:val="20"/>
          <w:color w:val="auto"/>
        </w:rPr>
      </w:pPr>
      <w:r>
        <w:rPr>
          <w:rFonts w:ascii="Arial" w:cs="Arial" w:eastAsia="Arial" w:hAnsi="Arial"/>
          <w:sz w:val="17"/>
          <w:szCs w:val="17"/>
          <w:color w:val="auto"/>
        </w:rPr>
        <w:t>The ultra-fast charging infrastructure created for electric city buses is presumed to be compatible with electric taxis and electric passenger vehicles installed with our battery systems, which ensures that the voltage system, connector and control communications are compatible with the taxi or passenger vehicle battery system. As we do not produce or own the charging stations, there can be no assurance that they would be made available to or continue to be compatible with taxis and passenger vehicles that are installed with our batteries. If the charging stations are not made available or are no longer compatible, the implementation of our strategy and our business and our operating results may be adversely affected.</w:t>
      </w:r>
    </w:p>
    <w:p>
      <w:pPr>
        <w:spacing w:after="0" w:line="208" w:lineRule="exact"/>
        <w:rPr>
          <w:sz w:val="20"/>
          <w:szCs w:val="20"/>
          <w:color w:val="auto"/>
        </w:rPr>
      </w:pPr>
    </w:p>
    <w:p>
      <w:pPr>
        <w:ind w:right="80" w:firstLine="603"/>
        <w:spacing w:after="0" w:line="274" w:lineRule="auto"/>
        <w:rPr>
          <w:sz w:val="20"/>
          <w:szCs w:val="20"/>
          <w:color w:val="auto"/>
        </w:rPr>
      </w:pPr>
      <w:r>
        <w:rPr>
          <w:rFonts w:ascii="Arial" w:cs="Arial" w:eastAsia="Arial" w:hAnsi="Arial"/>
          <w:sz w:val="16"/>
          <w:szCs w:val="16"/>
          <w:color w:val="auto"/>
        </w:rPr>
        <w:t>If emerging standards in charging station networks are not compatible with our current products or in-development products and technologies, we may miss market opportunities and our financial performance will suffer. If other companies’ products and services, including industry-standard technologies or other new standards, emerge or become dominant in any of these areas, or differing standards emerge in global markets, demand for our technology and products could diminish. As standards emerge, such as those in China which include specifications for hardware,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connecting equipment and service networks and standards for communication and inspection, compatibility of prior fast-charging stations envisioned in our CCT Plan could be made obsolete.</w:t>
      </w:r>
    </w:p>
    <w:p>
      <w:pPr>
        <w:spacing w:after="0" w:line="191" w:lineRule="exact"/>
        <w:rPr>
          <w:sz w:val="20"/>
          <w:szCs w:val="20"/>
          <w:color w:val="auto"/>
        </w:rPr>
      </w:pPr>
    </w:p>
    <w:p>
      <w:pPr>
        <w:ind w:firstLine="603"/>
        <w:spacing w:after="0" w:line="298" w:lineRule="auto"/>
        <w:rPr>
          <w:sz w:val="20"/>
          <w:szCs w:val="20"/>
          <w:color w:val="auto"/>
        </w:rPr>
      </w:pPr>
      <w:r>
        <w:rPr>
          <w:rFonts w:ascii="Arial" w:cs="Arial" w:eastAsia="Arial" w:hAnsi="Arial"/>
          <w:sz w:val="15"/>
          <w:szCs w:val="15"/>
          <w:color w:val="auto"/>
        </w:rPr>
        <w:t>We also incorporate materials manufactured by third parties into our products. If there are quality issues with respect to these third-party components included in our battery systems, we may not discover the issue until after our products have been shipped and installed. In addition, we may have little or no recourse against these third-party suppliers arising out of warranty claims made by our customers. We have determined that a tab component manufactured by a third-party and included in one of our legacy products was defective and has caused us to accrue additional warranty cost of approximately $46.5 million as of December 31, 2021.</w:t>
      </w:r>
    </w:p>
    <w:p>
      <w:pPr>
        <w:spacing w:after="0" w:line="17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We currently purchase certain key raw materials and components from third parties, some of which we only source from one supplier or from a limited number of suppliers primarily located in Asia.</w:t>
      </w:r>
    </w:p>
    <w:p>
      <w:pPr>
        <w:spacing w:after="0" w:line="191" w:lineRule="exact"/>
        <w:rPr>
          <w:sz w:val="20"/>
          <w:szCs w:val="20"/>
          <w:color w:val="auto"/>
        </w:rPr>
      </w:pPr>
    </w:p>
    <w:p>
      <w:pPr>
        <w:ind w:firstLine="603"/>
        <w:spacing w:after="0" w:line="265" w:lineRule="auto"/>
        <w:rPr>
          <w:sz w:val="20"/>
          <w:szCs w:val="20"/>
          <w:color w:val="auto"/>
        </w:rPr>
      </w:pPr>
      <w:r>
        <w:rPr>
          <w:rFonts w:ascii="Arial" w:cs="Arial" w:eastAsia="Arial" w:hAnsi="Arial"/>
          <w:sz w:val="16"/>
          <w:szCs w:val="16"/>
          <w:color w:val="auto"/>
        </w:rPr>
        <w:t>We currently purchase certain key raw materials for our electrodes and a variety of other components from third parties, some of which we only source from one supplier or from a limited number of suppliers. For the years ended December 31, 2020, 2021 and 2022, we purchased 12%, 12% and 18% of our raw materials from one supplier. We execute long-term contracts with suppliers for our key raw materials and components. Due to customer forecast variability, suppliers may be unable to satisfy our future requirements on a timely basis. Moreover, the price of purchased raw materials, components and assembled batteries could fluctuate significantly due to circumstances beyond our control. If our current suppliers are unable to satisfy our long-term requirements on a timely basis, we may be required to seek alternative sources for necessary materials and components, produce the raw materials or components in-house or redesign our proposed products to accommodate available substitutes or at a reasonable cost. However, given our current state of business, we may not be able to enter into the required manufacturing supply agreements with the battery manufacturers and component suppliers. If we fail to secure a sufficient supply of key raw materials and components and we are unable to produce them in-house in a timely fashion, it would result in a significant delay in our manufacturing and shipments, which may cause us to breach our sales contracts with our customers. Furthermore, failure to obtain a sufficient supply of these raw materials and components or produce them in-house at a reasonable cost could also harm our revenue and gross profit margins.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rising prices or availability of raw materials continues to persist, our business and results of operations may be adversely affected.</w:t>
      </w:r>
    </w:p>
    <w:p>
      <w:pPr>
        <w:spacing w:after="0" w:line="231" w:lineRule="exact"/>
        <w:rPr>
          <w:sz w:val="20"/>
          <w:szCs w:val="20"/>
          <w:color w:val="auto"/>
        </w:rPr>
      </w:pPr>
    </w:p>
    <w:p>
      <w:pPr>
        <w:ind w:right="20" w:firstLine="603"/>
        <w:spacing w:after="0" w:line="253" w:lineRule="auto"/>
        <w:rPr>
          <w:sz w:val="20"/>
          <w:szCs w:val="20"/>
          <w:color w:val="auto"/>
        </w:rPr>
      </w:pPr>
      <w:r>
        <w:rPr>
          <w:rFonts w:ascii="Arial" w:cs="Arial" w:eastAsia="Arial" w:hAnsi="Arial"/>
          <w:sz w:val="17"/>
          <w:szCs w:val="17"/>
          <w:color w:val="auto"/>
        </w:rPr>
        <w:t>Pricing and availability of raw materials for use in our business can be volatile due to numerous factors beyond our control, including general, domestic, and international economic conditions, labor costs, production levels, competition, consumer demand, import duties, and tariffs, inflation and currency exchange rates. This volatility can significantly affect the availability and cost of raw materials, and may therefore have a material adverse effect on our business, results of operations, and financial condition.</w:t>
      </w:r>
    </w:p>
    <w:p>
      <w:pPr>
        <w:spacing w:after="0" w:line="205" w:lineRule="exact"/>
        <w:rPr>
          <w:sz w:val="20"/>
          <w:szCs w:val="20"/>
          <w:color w:val="auto"/>
        </w:rPr>
      </w:pPr>
    </w:p>
    <w:p>
      <w:pPr>
        <w:ind w:right="80" w:firstLine="603"/>
        <w:spacing w:after="0" w:line="293" w:lineRule="auto"/>
        <w:rPr>
          <w:sz w:val="20"/>
          <w:szCs w:val="20"/>
          <w:color w:val="auto"/>
        </w:rPr>
      </w:pPr>
      <w:r>
        <w:rPr>
          <w:rFonts w:ascii="Arial" w:cs="Arial" w:eastAsia="Arial" w:hAnsi="Arial"/>
          <w:sz w:val="15"/>
          <w:szCs w:val="15"/>
          <w:color w:val="auto"/>
        </w:rPr>
        <w:t>Recently, cost inflation stemming from the COVID-19 pandemic, the Ukraine/Russia crisis and other macroeconomic factors has caused prices to increase across various sectors of the economy and we have been impacted by increases in the prices of our raw materials and other associated manufacturing costs. In particular, we have experienced rising costs for raw materials such as polyvinylidene difluoride, lithium salts and carbonates. At this time, there can be no assurance that we will be able to pass any portion of such increases on to customers. Further, we currently do not hedge against our exposure to changing raw material prices. As a result, fluctuations in raw material prices could have a material adverse effect on our business, results of operations, and financial condition.</w:t>
      </w:r>
    </w:p>
    <w:p>
      <w:pPr>
        <w:spacing w:after="0" w:line="177" w:lineRule="exact"/>
        <w:rPr>
          <w:sz w:val="20"/>
          <w:szCs w:val="20"/>
          <w:color w:val="auto"/>
        </w:rPr>
      </w:pPr>
    </w:p>
    <w:p>
      <w:pPr>
        <w:ind w:right="280" w:firstLine="603"/>
        <w:spacing w:after="0" w:line="335" w:lineRule="auto"/>
        <w:rPr>
          <w:sz w:val="20"/>
          <w:szCs w:val="20"/>
          <w:color w:val="auto"/>
        </w:rPr>
      </w:pPr>
      <w:r>
        <w:rPr>
          <w:rFonts w:ascii="Arial" w:cs="Arial" w:eastAsia="Arial" w:hAnsi="Arial"/>
          <w:sz w:val="15"/>
          <w:szCs w:val="15"/>
          <w:color w:val="auto"/>
        </w:rPr>
        <w:t>Supply shortages or changes in availability for any particular type of raw material can delay production or cause increases in the cost of manufacturing our products. We may be negatively affected by changes in availability and pricing of raw materials, which could negatively impact our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integrate our products into vehicles manufactured by our OEM customers, our results of operations could be impaired.</w:t>
      </w:r>
    </w:p>
    <w:p>
      <w:pPr>
        <w:spacing w:after="0" w:line="231" w:lineRule="exact"/>
        <w:rPr>
          <w:sz w:val="20"/>
          <w:szCs w:val="20"/>
          <w:color w:val="auto"/>
        </w:rPr>
      </w:pPr>
    </w:p>
    <w:p>
      <w:pPr>
        <w:ind w:right="300" w:firstLine="603"/>
        <w:spacing w:after="0" w:line="257" w:lineRule="auto"/>
        <w:rPr>
          <w:sz w:val="20"/>
          <w:szCs w:val="20"/>
          <w:color w:val="auto"/>
        </w:rPr>
      </w:pPr>
      <w:r>
        <w:rPr>
          <w:rFonts w:ascii="Arial" w:cs="Arial" w:eastAsia="Arial" w:hAnsi="Arial"/>
          <w:sz w:val="17"/>
          <w:szCs w:val="17"/>
          <w:color w:val="auto"/>
        </w:rPr>
        <w:t>We cooperate with our OEM customers to integrate the design of our LpTO, LpCO, MpCO, HpCO and HnCO products, and any future products, into commercial and specialty electric vehicles, such as electric buses, electric cars and electric taxis. Our battery systems are composed of modules assembled from the battery cells that we manufacture. OEMs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often require unique configurations or custom designs for battery systems. We tailor the design of our battery systems to the electric vehicles manufactured by our OEM customers. This development process requires not only substantial lead time between the commencement of design efforts for customized battery systems and the commencement of volume shipments of the battery products to the customer, but also the cooperation and assistance of the OEMs in order to determine the requirements for each specific application. Technical problems may arise that affect the acceptance of our product by the OEMs. If we are unable to design and develop products that meet the OEMs’ requirements, we may lose opportunities to obtain purchase orders, and our reputation may be damaged. In addition, we may not receive adequate assistance from OEMs to successfully commercialize our products, which could impair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 certain circumstances, our customers can cancel or terminate their contracts.</w:t>
      </w:r>
    </w:p>
    <w:p>
      <w:pPr>
        <w:spacing w:after="0" w:line="231" w:lineRule="exact"/>
        <w:rPr>
          <w:sz w:val="20"/>
          <w:szCs w:val="20"/>
          <w:color w:val="auto"/>
        </w:rPr>
      </w:pPr>
    </w:p>
    <w:p>
      <w:pPr>
        <w:ind w:right="20" w:firstLine="603"/>
        <w:spacing w:after="0" w:line="293" w:lineRule="auto"/>
        <w:rPr>
          <w:sz w:val="20"/>
          <w:szCs w:val="20"/>
          <w:color w:val="auto"/>
        </w:rPr>
      </w:pPr>
      <w:r>
        <w:rPr>
          <w:rFonts w:ascii="Arial" w:cs="Arial" w:eastAsia="Arial" w:hAnsi="Arial"/>
          <w:sz w:val="15"/>
          <w:szCs w:val="15"/>
          <w:color w:val="auto"/>
        </w:rPr>
        <w:t>We have ongoing arrangements with our customers and target customers. Some of these arrangements are evidenced by non-binding letters of intent and memoranda of understanding, early-stage agreements that are used for design and development purposes but will require renegotiation at later stages of development or production or master agreements that have yet to be implemented under separately negotiated statements of work, each of which could be terminated or may not materialize into next-stage contracts or long-term contract partnership arrangements. If these arrangements are terminated or if we are unable to enter into next-stage contracts or long-term operational contracts, our business, prospects, financial condition and operating results may be materially adversely affected.</w:t>
      </w:r>
    </w:p>
    <w:p>
      <w:pPr>
        <w:spacing w:after="0" w:line="177"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i w:val="1"/>
          <w:iCs w:val="1"/>
          <w:color w:val="auto"/>
        </w:rPr>
        <w:t>Our business depends substantially on the continuing efforts of our senior executives and other key personnel, and our business may be severely disrupted if we lose their services.</w:t>
      </w:r>
    </w:p>
    <w:p>
      <w:pPr>
        <w:spacing w:after="0" w:line="191" w:lineRule="exact"/>
        <w:rPr>
          <w:sz w:val="20"/>
          <w:szCs w:val="20"/>
          <w:color w:val="auto"/>
        </w:rPr>
      </w:pPr>
    </w:p>
    <w:p>
      <w:pPr>
        <w:ind w:right="80" w:firstLine="603"/>
        <w:spacing w:after="0" w:line="268" w:lineRule="auto"/>
        <w:rPr>
          <w:sz w:val="20"/>
          <w:szCs w:val="20"/>
          <w:color w:val="auto"/>
        </w:rPr>
      </w:pPr>
      <w:r>
        <w:rPr>
          <w:rFonts w:ascii="Arial" w:cs="Arial" w:eastAsia="Arial" w:hAnsi="Arial"/>
          <w:sz w:val="16"/>
          <w:szCs w:val="16"/>
          <w:color w:val="auto"/>
        </w:rPr>
        <w:t>Our future success heavily depends on the continued service of our senior executives and other key employees. In particular, we rely on the expertise and experience of our Chairman, Chief Executive Officer and President, Mr. Yang Wu, our Chief Financial Officer, Mr. Craig Webster and our Chief Technology Officer, Dr. Wenjuan Mattis. If one or more of our other senior executives are unable or unwilling to continue to work for us in their present positions, we may encounter similar problems, but on a compounded basis. Moreover, if any of our current or former senior executives joins a competitor or forms a competing company, we may lose customers, suppliers, know-how and key personnel. Each of our executive officers has entered into an employment agreement with us, which contains non-competition and confidentiality clauses. However, if any dispute arises between our current or former executive officers and us, it is hard to predict the extent to which any of these agreements could be enforced in different countries.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of our business depends on our ability to attract, train and retain highly-skilled employees and key personnel.</w:t>
      </w:r>
    </w:p>
    <w:p>
      <w:pPr>
        <w:spacing w:after="0" w:line="231" w:lineRule="exact"/>
        <w:rPr>
          <w:sz w:val="20"/>
          <w:szCs w:val="20"/>
          <w:color w:val="auto"/>
        </w:rPr>
      </w:pPr>
    </w:p>
    <w:p>
      <w:pPr>
        <w:ind w:right="20" w:firstLine="603"/>
        <w:spacing w:after="0" w:line="268" w:lineRule="auto"/>
        <w:rPr>
          <w:sz w:val="20"/>
          <w:szCs w:val="20"/>
          <w:color w:val="auto"/>
        </w:rPr>
      </w:pPr>
      <w:r>
        <w:rPr>
          <w:rFonts w:ascii="Arial" w:cs="Arial" w:eastAsia="Arial" w:hAnsi="Arial"/>
          <w:sz w:val="16"/>
          <w:szCs w:val="16"/>
          <w:color w:val="auto"/>
        </w:rPr>
        <w:t>As a result of the highly specialized, technical nature of our business, we must attract, train and retain a sizable workforce comprising highly-skilled employees and other key personnel. Since our industry is characterized by high demand and intense competition for talent, we may have to pay higher salaries and wages and provide greater benefits in order to attract and retain highly-skilled employees or other key personnel that we will need to achieve our strategic objectives. As we are still a relatively young company and our business has grown rapidly, our ability to train and integrate new employees into our operations may not meet the requirements of our growing business. Our failure to attract, train or retain highly-skilled employees and other key personnel in numbers that are sufficient to satisfy our needs would materially and adversely affect our business. Staff that we are unable to retain also pose a risk since they can inform competitors of our know-how and may lessen the technological advantages over our competitors that we have developed.</w:t>
      </w:r>
    </w:p>
    <w:p>
      <w:pPr>
        <w:spacing w:after="0" w:line="194" w:lineRule="exact"/>
        <w:rPr>
          <w:sz w:val="20"/>
          <w:szCs w:val="20"/>
          <w:color w:val="auto"/>
        </w:rPr>
      </w:pPr>
    </w:p>
    <w:p>
      <w:pPr>
        <w:ind w:right="120" w:firstLine="603"/>
        <w:spacing w:after="0" w:line="250" w:lineRule="auto"/>
        <w:rPr>
          <w:sz w:val="20"/>
          <w:szCs w:val="20"/>
          <w:color w:val="auto"/>
        </w:rPr>
      </w:pPr>
      <w:r>
        <w:rPr>
          <w:rFonts w:ascii="Arial" w:cs="Arial" w:eastAsia="Arial" w:hAnsi="Arial"/>
          <w:sz w:val="17"/>
          <w:szCs w:val="17"/>
          <w:color w:val="auto"/>
        </w:rPr>
        <w:t>Further, competition for highly-skilled employees is intense. We have experienced, and we expect to continue to experience difficulty in hiring and retaining employees with appropriate qualifications. We may face high turnover, requiring us to expend time and resources to source, train and integrate new employees. The challenging markets in which we compete for talent may also require us to invest significant amounts of cash and equity to attract and retain employees. In addition, many of the companies with which we compete for highly-skilled employees have greater financial resources than we have. If we hire employees from competitors or other companies, their former employers may attempt to assert that these employees or the Company has breached certain legal obligations, resulting in a diversion of our time and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management has limited experience in operating a public company.</w:t>
      </w:r>
    </w:p>
    <w:p>
      <w:pPr>
        <w:spacing w:after="0" w:line="231" w:lineRule="exact"/>
        <w:rPr>
          <w:sz w:val="20"/>
          <w:szCs w:val="20"/>
          <w:color w:val="auto"/>
        </w:rPr>
      </w:pPr>
    </w:p>
    <w:p>
      <w:pPr>
        <w:ind w:right="300" w:firstLine="603"/>
        <w:spacing w:after="0" w:line="257" w:lineRule="auto"/>
        <w:rPr>
          <w:sz w:val="20"/>
          <w:szCs w:val="20"/>
          <w:color w:val="auto"/>
        </w:rPr>
      </w:pPr>
      <w:r>
        <w:rPr>
          <w:rFonts w:ascii="Arial" w:cs="Arial" w:eastAsia="Arial" w:hAnsi="Arial"/>
          <w:sz w:val="17"/>
          <w:szCs w:val="17"/>
          <w:color w:val="auto"/>
        </w:rPr>
        <w:t>Our executive officers have limited experience in the management of a publicly-traded company. Their limited experience in dealing with the increasingly complex laws pertaining to public companies could significantly increase the amount of time they devote to these activities, which would result in less time being devoted to our strategy and growth.</w:t>
      </w:r>
    </w:p>
    <w:p>
      <w:pPr>
        <w:spacing w:after="0" w:line="201" w:lineRule="exact"/>
        <w:rPr>
          <w:sz w:val="20"/>
          <w:szCs w:val="20"/>
          <w:color w:val="auto"/>
        </w:rPr>
      </w:pPr>
    </w:p>
    <w:p>
      <w:pPr>
        <w:ind w:firstLine="603"/>
        <w:spacing w:after="0" w:line="269" w:lineRule="auto"/>
        <w:rPr>
          <w:sz w:val="20"/>
          <w:szCs w:val="20"/>
          <w:color w:val="auto"/>
        </w:rPr>
      </w:pPr>
      <w:r>
        <w:rPr>
          <w:rFonts w:ascii="Arial" w:cs="Arial" w:eastAsia="Arial" w:hAnsi="Arial"/>
          <w:sz w:val="16"/>
          <w:szCs w:val="16"/>
          <w:color w:val="auto"/>
        </w:rPr>
        <w:t>We may not have adequate personnel with the appropriate level of knowledge, experience and training in the accounting policies, practices or internal controls over financial reporting required of public companies in the U.S. For example, on August 16, 2021, we filed a Form 12b-25 stating that we and our independent registered public accounting firm required additional time to complete and review our quarterly report on Form 10-Q for the quarter ended June 30, 2021. Further, we filed a Form 8-K on December 10, 2021 regarding non-reliance on previously issued financial statements due to our incorrect classification of shares issued in Tuscan’s initial public offering as permanent equity but not temporary equity. As the shares classification error related solely to Tuscan’s financial statements in periods preceding the Business Combination, we have not and do not intend to amend or restate such financial information.</w:t>
      </w:r>
    </w:p>
    <w:p>
      <w:pPr>
        <w:spacing w:after="0" w:line="194" w:lineRule="exact"/>
        <w:rPr>
          <w:sz w:val="20"/>
          <w:szCs w:val="20"/>
          <w:color w:val="auto"/>
        </w:rPr>
      </w:pPr>
    </w:p>
    <w:p>
      <w:pPr>
        <w:ind w:right="40" w:firstLine="603"/>
        <w:spacing w:after="0" w:line="257" w:lineRule="auto"/>
        <w:rPr>
          <w:sz w:val="20"/>
          <w:szCs w:val="20"/>
          <w:color w:val="auto"/>
        </w:rPr>
      </w:pPr>
      <w:r>
        <w:rPr>
          <w:rFonts w:ascii="Arial" w:cs="Arial" w:eastAsia="Arial" w:hAnsi="Arial"/>
          <w:sz w:val="17"/>
          <w:szCs w:val="17"/>
          <w:color w:val="auto"/>
        </w:rPr>
        <w:t>The development and implementation of the standards and controls necessary for us to achieve the level of accounting standards required of a public company in the U.S. may require costs greater than expected. It is possible that we will be required to expand our employee base and hire additional employees to support our operations as a public company which will increase our operating costs in future periods.</w:t>
      </w:r>
    </w:p>
    <w:p>
      <w:pPr>
        <w:spacing w:after="0" w:line="20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i w:val="1"/>
          <w:iCs w:val="1"/>
          <w:color w:val="auto"/>
        </w:rPr>
        <w:t>We may acquire or invest in other companies or technologies, which could divert our management’s attention, result in dilution to our stockholders and otherwise disrupt our operations and adversely affect our business.</w:t>
      </w:r>
    </w:p>
    <w:p>
      <w:pPr>
        <w:spacing w:after="0" w:line="191" w:lineRule="exact"/>
        <w:rPr>
          <w:sz w:val="20"/>
          <w:szCs w:val="20"/>
          <w:color w:val="auto"/>
        </w:rPr>
      </w:pPr>
    </w:p>
    <w:p>
      <w:pPr>
        <w:ind w:right="40" w:firstLine="603"/>
        <w:spacing w:after="0" w:line="269" w:lineRule="auto"/>
        <w:rPr>
          <w:sz w:val="20"/>
          <w:szCs w:val="20"/>
          <w:color w:val="auto"/>
        </w:rPr>
      </w:pPr>
      <w:r>
        <w:rPr>
          <w:rFonts w:ascii="Arial" w:cs="Arial" w:eastAsia="Arial" w:hAnsi="Arial"/>
          <w:sz w:val="16"/>
          <w:szCs w:val="16"/>
          <w:color w:val="auto"/>
        </w:rPr>
        <w:t>We may selectively acquire or invest in other companies or technologies that we believe could complement or expand our platform, enhance our technical capabilities or otherwise offer growth opportunities. However, acquisitions are complex, costly and time-consuming processes and involve numerous risks. The pursuit of potential acquisitions may divert the attention of management and cause us to incur various expenses in identifying, investigating and pursuing suitable acquisitions, whether or not they are consummated. Acquisitions also could result in dilutive issuances of equity securities or the incurrence of debt, which could adversely affect our operating results and financial condition. If we acquire additional businesses, we may not be able to integrate the acquired personnel, operations and technologies successfully or effectively manage the combined business following the acquisition.</w:t>
      </w:r>
    </w:p>
    <w:p>
      <w:pPr>
        <w:spacing w:after="0" w:line="194" w:lineRule="exact"/>
        <w:rPr>
          <w:sz w:val="20"/>
          <w:szCs w:val="20"/>
          <w:color w:val="auto"/>
        </w:rPr>
      </w:pPr>
    </w:p>
    <w:p>
      <w:pPr>
        <w:ind w:right="40" w:firstLine="603"/>
        <w:spacing w:after="0" w:line="266" w:lineRule="auto"/>
        <w:rPr>
          <w:sz w:val="20"/>
          <w:szCs w:val="20"/>
          <w:color w:val="auto"/>
        </w:rPr>
      </w:pPr>
      <w:r>
        <w:rPr>
          <w:rFonts w:ascii="Arial" w:cs="Arial" w:eastAsia="Arial" w:hAnsi="Arial"/>
          <w:sz w:val="16"/>
          <w:szCs w:val="16"/>
          <w:color w:val="auto"/>
        </w:rPr>
        <w:t>We also may not achieve the anticipated benefits from the acquired business due to a number of factors, including: inability or difficulty integrating and benefiting from acquired technologies, services or clients in a profitable manner; unanticipated costs or liabilities associated with the acquisition; difficulty integrating the accounting systems, operations and personnel of the acquired business; adverse effects to our existing business relationships with business partners and clients as a result of the acquisition; assuming potential liabilities of an acquired company; possibility of overpaying for acquisitions, particularly those with significant intangibles and those assets that derive value using novel tools or are involved in niche markets; difficulty in acquiring suitable businesses, including challenges in predicting the value an acquisition will ultimately contribute to our business; the potential loss of key employees of the acquired business; and use of substantial portions of our available cash to consummate the acquisition. Any of these difficulties could adversely affect our ability to maintain relationships with clients, partners, suppliers and associates or our ability to achieve the anticipated benefits of the acquisition, or could reduce our earnings or otherwise adversely affect our business and financial results.</w:t>
      </w:r>
    </w:p>
    <w:p>
      <w:pPr>
        <w:spacing w:after="0" w:line="198" w:lineRule="exact"/>
        <w:rPr>
          <w:sz w:val="20"/>
          <w:szCs w:val="20"/>
          <w:color w:val="auto"/>
        </w:rPr>
      </w:pPr>
    </w:p>
    <w:p>
      <w:pPr>
        <w:jc w:val="both"/>
        <w:ind w:right="60" w:firstLine="603"/>
        <w:spacing w:after="0" w:line="257"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 of our operating results based on this impairment assessment process, which could adversely affect our results of operations.</w:t>
      </w:r>
    </w:p>
    <w:p>
      <w:pPr>
        <w:spacing w:after="0" w:line="201"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i w:val="1"/>
          <w:iCs w:val="1"/>
          <w:color w:val="auto"/>
        </w:rPr>
        <w:t>Our planned expansion into new applications and new markets as we continue to expand our global presence pose additional risks which could adversely affect our business, financial condition and results of operations.</w:t>
      </w:r>
    </w:p>
    <w:p>
      <w:pPr>
        <w:spacing w:after="0" w:line="191" w:lineRule="exact"/>
        <w:rPr>
          <w:sz w:val="20"/>
          <w:szCs w:val="20"/>
          <w:color w:val="auto"/>
        </w:rPr>
      </w:pPr>
    </w:p>
    <w:p>
      <w:pPr>
        <w:ind w:right="100" w:firstLine="603"/>
        <w:spacing w:after="0" w:line="257" w:lineRule="auto"/>
        <w:rPr>
          <w:sz w:val="20"/>
          <w:szCs w:val="20"/>
          <w:color w:val="auto"/>
        </w:rPr>
      </w:pPr>
      <w:r>
        <w:rPr>
          <w:rFonts w:ascii="Arial" w:cs="Arial" w:eastAsia="Arial" w:hAnsi="Arial"/>
          <w:sz w:val="17"/>
          <w:szCs w:val="17"/>
          <w:color w:val="auto"/>
        </w:rPr>
        <w:t>To date, we have focused our business on the sale of our LpTO, LpCO, MpCO, HpCO, and HnCO battery systems, primarily for use in commercial electric vehicles. However, we have and intend to expand into new applications, including the recent development of our ESS container, and also have and continue to expand our customer demographic in</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order to further grow our business. The lithium-based battery market is highly competitive and there can be no assurance that use of our products for new applications will gain market acceptance.</w:t>
      </w:r>
    </w:p>
    <w:p>
      <w:pPr>
        <w:spacing w:after="0" w:line="191" w:lineRule="exact"/>
        <w:rPr>
          <w:sz w:val="20"/>
          <w:szCs w:val="20"/>
          <w:color w:val="auto"/>
        </w:rPr>
      </w:pPr>
    </w:p>
    <w:p>
      <w:pPr>
        <w:ind w:firstLine="603"/>
        <w:spacing w:after="0" w:line="269" w:lineRule="auto"/>
        <w:rPr>
          <w:sz w:val="20"/>
          <w:szCs w:val="20"/>
          <w:color w:val="auto"/>
        </w:rPr>
      </w:pPr>
      <w:r>
        <w:rPr>
          <w:rFonts w:ascii="Arial" w:cs="Arial" w:eastAsia="Arial" w:hAnsi="Arial"/>
          <w:sz w:val="16"/>
          <w:szCs w:val="16"/>
          <w:color w:val="auto"/>
        </w:rPr>
        <w:t>We recently began marketing and sales of our new ESS container and were recently awarded a contract to supply a utility-scale 1.2 GWh battery energy storage project to a customer in the United States. Nevertheless, we may never achieve commercial success with our ESS container. We have limited historical financial data upon which we may base our projected revenue and operating expenses. Accordingly, we continue to be subject to many of the risks inherent in business development, financing, unexpected expenditures, and complications and delays that often occur in a new business. Investors should evaluate an investment in the Company in light of the uncertainties encountered by companies pursuing new product lines in a competitive environment. There can be no assurance that our efforts will be successful or that we will ultimately be able to attain profitability with our ESS container.</w:t>
      </w:r>
    </w:p>
    <w:p>
      <w:pPr>
        <w:spacing w:after="0" w:line="194" w:lineRule="exact"/>
        <w:rPr>
          <w:sz w:val="20"/>
          <w:szCs w:val="20"/>
          <w:color w:val="auto"/>
        </w:rPr>
      </w:pPr>
    </w:p>
    <w:p>
      <w:pPr>
        <w:ind w:right="100" w:firstLine="603"/>
        <w:spacing w:after="0" w:line="271" w:lineRule="auto"/>
        <w:rPr>
          <w:sz w:val="20"/>
          <w:szCs w:val="20"/>
          <w:color w:val="auto"/>
        </w:rPr>
      </w:pPr>
      <w:r>
        <w:rPr>
          <w:rFonts w:ascii="Arial" w:cs="Arial" w:eastAsia="Arial" w:hAnsi="Arial"/>
          <w:sz w:val="16"/>
          <w:szCs w:val="16"/>
          <w:color w:val="auto"/>
        </w:rPr>
        <w:t>After initially focusing on the Asia &amp; Pacific regions, we have expanded and continue to expand our presence and product promotion to Europe and the U.S. and elsewhere. For instance, for the years ended December 31, 2020, 2021 and 2022, we derived 38.5%, 38.6% and 35.2%, respectively, of our sales from outside of China, including sales in the U.S., France, Germany, India, Singapore, the U.K., among others. As a result, we are subject to differences in these markets in regulatory requirements for product testing, intellectual property protection (including patents and trademarks), tax incentive policy, legal systems and rules, marketing costs, fluctuations in currency exchange rates and changes in political and economic conditions.</w:t>
      </w:r>
    </w:p>
    <w:p>
      <w:pPr>
        <w:spacing w:after="0" w:line="191" w:lineRule="exact"/>
        <w:rPr>
          <w:sz w:val="20"/>
          <w:szCs w:val="20"/>
          <w:color w:val="auto"/>
        </w:rPr>
      </w:pPr>
    </w:p>
    <w:p>
      <w:pPr>
        <w:ind w:right="20" w:firstLine="603"/>
        <w:spacing w:after="0" w:line="298" w:lineRule="auto"/>
        <w:rPr>
          <w:sz w:val="20"/>
          <w:szCs w:val="20"/>
          <w:color w:val="auto"/>
        </w:rPr>
      </w:pPr>
      <w:r>
        <w:rPr>
          <w:rFonts w:ascii="Arial" w:cs="Arial" w:eastAsia="Arial" w:hAnsi="Arial"/>
          <w:sz w:val="15"/>
          <w:szCs w:val="15"/>
          <w:color w:val="auto"/>
        </w:rPr>
        <w:t>Expansion into new markets may increase costs and require us to make significant expenditures, including increased manufacturing costs, the establishment of local operating entities, hiring of local employees and establishing facilities in advance of generating any revenue. For example, production costs will be higher in some markets than others. However, higher production costs are partially offset by lower logistics costs and tariffs. In addition, average sales prices for customers in some markets will be higher than the average sales prices in others, resulting in different gross margins depending on the location of the production and the customer.</w:t>
      </w:r>
    </w:p>
    <w:p>
      <w:pPr>
        <w:spacing w:after="0" w:line="173" w:lineRule="exact"/>
        <w:rPr>
          <w:sz w:val="20"/>
          <w:szCs w:val="20"/>
          <w:color w:val="auto"/>
        </w:rPr>
      </w:pPr>
    </w:p>
    <w:p>
      <w:pPr>
        <w:ind w:right="80" w:firstLine="603"/>
        <w:spacing w:after="0" w:line="280" w:lineRule="auto"/>
        <w:rPr>
          <w:sz w:val="20"/>
          <w:szCs w:val="20"/>
          <w:color w:val="auto"/>
        </w:rPr>
      </w:pPr>
      <w:r>
        <w:rPr>
          <w:rFonts w:ascii="Arial" w:cs="Arial" w:eastAsia="Arial" w:hAnsi="Arial"/>
          <w:sz w:val="16"/>
          <w:szCs w:val="16"/>
          <w:color w:val="auto"/>
        </w:rPr>
        <w:t>Further, any efforts to continue expanding into new markets might not be successful in creating demand for our products outside of our existing geographic markets or in effectively selling our products in the markets we enter. In addition, conducting operations in new markets, including the marketing, distribution and sale of our products, subjects us to new or unfavorable regulatory, economic and political risks. These risks include:</w:t>
      </w:r>
    </w:p>
    <w:p>
      <w:pPr>
        <w:spacing w:after="0" w:line="205" w:lineRule="exact"/>
        <w:rPr>
          <w:sz w:val="20"/>
          <w:szCs w:val="20"/>
          <w:color w:val="auto"/>
        </w:rPr>
      </w:pPr>
    </w:p>
    <w:p>
      <w:pPr>
        <w:ind w:left="600" w:hanging="298"/>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localization of the marketing and deployment of our products;</w:t>
      </w:r>
    </w:p>
    <w:p>
      <w:pPr>
        <w:spacing w:after="0" w:line="25" w:lineRule="exact"/>
        <w:rPr>
          <w:rFonts w:ascii="Arial" w:cs="Arial" w:eastAsia="Arial" w:hAnsi="Arial"/>
          <w:sz w:val="20"/>
          <w:szCs w:val="20"/>
          <w:color w:val="auto"/>
        </w:rPr>
      </w:pPr>
    </w:p>
    <w:p>
      <w:pPr>
        <w:ind w:left="600" w:right="220" w:hanging="298"/>
        <w:spacing w:after="0" w:line="233" w:lineRule="auto"/>
        <w:tabs>
          <w:tab w:leader="none" w:pos="595" w:val="left"/>
        </w:tabs>
        <w:numPr>
          <w:ilvl w:val="0"/>
          <w:numId w:val="26"/>
        </w:numPr>
        <w:rPr>
          <w:rFonts w:ascii="Arial" w:cs="Arial" w:eastAsia="Arial" w:hAnsi="Arial"/>
          <w:sz w:val="20"/>
          <w:szCs w:val="20"/>
          <w:color w:val="auto"/>
        </w:rPr>
      </w:pPr>
      <w:r>
        <w:rPr>
          <w:rFonts w:ascii="Arial" w:cs="Arial" w:eastAsia="Arial" w:hAnsi="Arial"/>
          <w:sz w:val="17"/>
          <w:szCs w:val="17"/>
          <w:color w:val="auto"/>
        </w:rPr>
        <w:t>lack of familiarity with, and burdens of, complying with foreign laws, legal and commercial standards, regulatory requirements, export requirements, tariffs and other barriers, including laws related to employment or labor;</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conforming our products to various international regulatory and safety requirements where our products are sold, or homologation;</w:t>
      </w:r>
    </w:p>
    <w:p>
      <w:pPr>
        <w:spacing w:after="0" w:line="21" w:lineRule="exact"/>
        <w:rPr>
          <w:rFonts w:ascii="Arial" w:cs="Arial" w:eastAsia="Arial" w:hAnsi="Arial"/>
          <w:sz w:val="20"/>
          <w:szCs w:val="20"/>
          <w:color w:val="auto"/>
        </w:rPr>
      </w:pPr>
    </w:p>
    <w:p>
      <w:pPr>
        <w:ind w:left="600" w:hanging="298"/>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difficulty in establishing, staffing and managing foreign operations;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difficulties attracting customers in new jurisdictions;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difficulty in engaging and retaining distributors that are knowledgeable about, and can function effectively, in overseas markets;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management, communication and integration problems resulting from cultural or language differences and geographic dispersion;</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different pricing environments, longer sales cycles and longer accounts receivable payment cycles and collections issues;</w:t>
      </w:r>
    </w:p>
    <w:p>
      <w:pPr>
        <w:spacing w:after="0" w:line="21" w:lineRule="exact"/>
        <w:rPr>
          <w:rFonts w:ascii="Arial" w:cs="Arial" w:eastAsia="Arial" w:hAnsi="Arial"/>
          <w:sz w:val="20"/>
          <w:szCs w:val="20"/>
          <w:color w:val="auto"/>
        </w:rPr>
      </w:pPr>
    </w:p>
    <w:p>
      <w:pPr>
        <w:ind w:left="600" w:hanging="298"/>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increased costs associated with maintaining marketing efforts in various countries;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new and different sources of competition;</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increased financial accounting and reporting burdens and complexities;</w:t>
      </w:r>
    </w:p>
    <w:p>
      <w:pPr>
        <w:spacing w:after="0" w:line="25" w:lineRule="exact"/>
        <w:rPr>
          <w:rFonts w:ascii="Arial" w:cs="Arial" w:eastAsia="Arial" w:hAnsi="Arial"/>
          <w:sz w:val="20"/>
          <w:szCs w:val="20"/>
          <w:color w:val="auto"/>
        </w:rPr>
      </w:pPr>
    </w:p>
    <w:p>
      <w:pPr>
        <w:ind w:left="600" w:right="280" w:hanging="298"/>
        <w:spacing w:after="0" w:line="233" w:lineRule="auto"/>
        <w:tabs>
          <w:tab w:leader="none" w:pos="595" w:val="left"/>
        </w:tabs>
        <w:numPr>
          <w:ilvl w:val="0"/>
          <w:numId w:val="26"/>
        </w:numPr>
        <w:rPr>
          <w:rFonts w:ascii="Arial" w:cs="Arial" w:eastAsia="Arial" w:hAnsi="Arial"/>
          <w:sz w:val="20"/>
          <w:szCs w:val="20"/>
          <w:color w:val="auto"/>
        </w:rPr>
      </w:pPr>
      <w:r>
        <w:rPr>
          <w:rFonts w:ascii="Arial" w:cs="Arial" w:eastAsia="Arial" w:hAnsi="Arial"/>
          <w:sz w:val="17"/>
          <w:szCs w:val="17"/>
          <w:color w:val="auto"/>
        </w:rPr>
        <w:t>diversion of our management’s attention and resources to explore, negotiate, or close acquisitions and to integrate, staff and manage geographically remote operations and employees;</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26"/>
        </w:numPr>
        <w:rPr>
          <w:rFonts w:ascii="Arial" w:cs="Arial" w:eastAsia="Arial" w:hAnsi="Arial"/>
          <w:sz w:val="20"/>
          <w:szCs w:val="20"/>
          <w:color w:val="auto"/>
        </w:rPr>
      </w:pPr>
      <w:r>
        <w:rPr>
          <w:rFonts w:ascii="Arial" w:cs="Arial" w:eastAsia="Arial" w:hAnsi="Arial"/>
          <w:sz w:val="17"/>
          <w:szCs w:val="17"/>
          <w:color w:val="auto"/>
        </w:rPr>
        <w:t>sufficiency of qualified labor pools in various international markets;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00" w:right="420" w:hanging="298"/>
        <w:spacing w:after="0" w:line="233" w:lineRule="auto"/>
        <w:tabs>
          <w:tab w:leader="none" w:pos="595" w:val="left"/>
        </w:tabs>
        <w:numPr>
          <w:ilvl w:val="0"/>
          <w:numId w:val="27"/>
        </w:numPr>
        <w:rPr>
          <w:rFonts w:ascii="Arial" w:cs="Arial" w:eastAsia="Arial" w:hAnsi="Arial"/>
          <w:sz w:val="20"/>
          <w:szCs w:val="20"/>
          <w:color w:val="auto"/>
        </w:rPr>
      </w:pPr>
      <w:r>
        <w:rPr>
          <w:rFonts w:ascii="Arial" w:cs="Arial" w:eastAsia="Arial" w:hAnsi="Arial"/>
          <w:sz w:val="17"/>
          <w:szCs w:val="17"/>
          <w:color w:val="auto"/>
        </w:rPr>
        <w:t>foreign government taxes, currency controls, regulations and permit requirements, including foreign taxes that we may not be able to offset against taxes imposed upon us in the U.S., and foreign tax and other laws limiting our ability to repatriate funds to the U.S.;</w:t>
      </w:r>
    </w:p>
    <w:p>
      <w:pPr>
        <w:spacing w:after="0" w:line="20" w:lineRule="exact"/>
        <w:rPr>
          <w:rFonts w:ascii="Arial" w:cs="Arial" w:eastAsia="Arial" w:hAnsi="Arial"/>
          <w:sz w:val="20"/>
          <w:szCs w:val="20"/>
          <w:color w:val="auto"/>
        </w:rPr>
      </w:pPr>
    </w:p>
    <w:p>
      <w:pPr>
        <w:ind w:left="600" w:hanging="298"/>
        <w:spacing w:after="0"/>
        <w:tabs>
          <w:tab w:leader="none" w:pos="600" w:val="left"/>
        </w:tabs>
        <w:numPr>
          <w:ilvl w:val="0"/>
          <w:numId w:val="27"/>
        </w:numPr>
        <w:rPr>
          <w:rFonts w:ascii="Arial" w:cs="Arial" w:eastAsia="Arial" w:hAnsi="Arial"/>
          <w:sz w:val="19"/>
          <w:szCs w:val="19"/>
          <w:color w:val="auto"/>
        </w:rPr>
      </w:pPr>
      <w:r>
        <w:rPr>
          <w:rFonts w:ascii="Arial" w:cs="Arial" w:eastAsia="Arial" w:hAnsi="Arial"/>
          <w:sz w:val="16"/>
          <w:szCs w:val="16"/>
          <w:color w:val="auto"/>
        </w:rPr>
        <w:t>changes in global currency systems or fluctuations in exchange rates that may increase the volatility of or adversely affect our foreign-based revenue;</w:t>
      </w:r>
    </w:p>
    <w:p>
      <w:pPr>
        <w:spacing w:after="0" w:line="10" w:lineRule="exact"/>
        <w:rPr>
          <w:rFonts w:ascii="Arial" w:cs="Arial" w:eastAsia="Arial" w:hAnsi="Arial"/>
          <w:sz w:val="19"/>
          <w:szCs w:val="19"/>
          <w:color w:val="auto"/>
        </w:rPr>
      </w:pPr>
    </w:p>
    <w:p>
      <w:pPr>
        <w:ind w:left="600" w:hanging="298"/>
        <w:spacing w:after="0" w:line="238" w:lineRule="auto"/>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our ability to enforce our contractual rights;</w:t>
      </w:r>
    </w:p>
    <w:p>
      <w:pPr>
        <w:spacing w:after="0" w:line="38" w:lineRule="exact"/>
        <w:rPr>
          <w:rFonts w:ascii="Arial" w:cs="Arial" w:eastAsia="Arial" w:hAnsi="Arial"/>
          <w:sz w:val="20"/>
          <w:szCs w:val="20"/>
          <w:color w:val="auto"/>
        </w:rPr>
      </w:pPr>
    </w:p>
    <w:p>
      <w:pPr>
        <w:ind w:left="600" w:right="580" w:hanging="298"/>
        <w:spacing w:after="0" w:line="233" w:lineRule="auto"/>
        <w:tabs>
          <w:tab w:leader="none" w:pos="595" w:val="left"/>
        </w:tabs>
        <w:numPr>
          <w:ilvl w:val="0"/>
          <w:numId w:val="27"/>
        </w:numPr>
        <w:rPr>
          <w:rFonts w:ascii="Arial" w:cs="Arial" w:eastAsia="Arial" w:hAnsi="Arial"/>
          <w:sz w:val="20"/>
          <w:szCs w:val="20"/>
          <w:color w:val="auto"/>
        </w:rPr>
      </w:pPr>
      <w:r>
        <w:rPr>
          <w:rFonts w:ascii="Arial" w:cs="Arial" w:eastAsia="Arial" w:hAnsi="Arial"/>
          <w:sz w:val="17"/>
          <w:szCs w:val="17"/>
          <w:color w:val="auto"/>
        </w:rPr>
        <w:t>compliance with anti-corruption laws, economic sanction laws and regulations, anti-tax laws, export controls and other laws and regulations regarding international business operations;</w:t>
      </w:r>
    </w:p>
    <w:p>
      <w:pPr>
        <w:spacing w:after="0" w:line="9" w:lineRule="exact"/>
        <w:rPr>
          <w:rFonts w:ascii="Arial" w:cs="Arial" w:eastAsia="Arial" w:hAnsi="Arial"/>
          <w:sz w:val="20"/>
          <w:szCs w:val="20"/>
          <w:color w:val="auto"/>
        </w:rPr>
      </w:pPr>
    </w:p>
    <w:p>
      <w:pPr>
        <w:ind w:left="600" w:hanging="298"/>
        <w:spacing w:after="0"/>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foreign government trade restrictions, customs regulations, tariffs and price or exchange controls;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preferences of foreign nations for domestically produced products;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uncertain political and economic climates; and</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7"/>
        </w:numPr>
        <w:rPr>
          <w:rFonts w:ascii="Arial" w:cs="Arial" w:eastAsia="Arial" w:hAnsi="Arial"/>
          <w:sz w:val="20"/>
          <w:szCs w:val="20"/>
          <w:color w:val="auto"/>
        </w:rPr>
      </w:pPr>
      <w:r>
        <w:rPr>
          <w:rFonts w:ascii="Arial" w:cs="Arial" w:eastAsia="Arial" w:hAnsi="Arial"/>
          <w:sz w:val="17"/>
          <w:szCs w:val="17"/>
          <w:color w:val="auto"/>
        </w:rPr>
        <w:t>inability to obtain, maintain or enforce intellectual property rights in some countries.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These factors may cause our costs of doing business in certain markets to exceed our comparable costs incurred in other markets in which we do business.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Any negative impact from our business efforts in new markets could adversely affect our business, operating results and financial condition as a whole.</w:t>
      </w:r>
    </w:p>
    <w:p>
      <w:pPr>
        <w:spacing w:after="0" w:line="231" w:lineRule="exact"/>
        <w:rPr>
          <w:sz w:val="20"/>
          <w:szCs w:val="20"/>
          <w:color w:val="auto"/>
        </w:rPr>
      </w:pPr>
    </w:p>
    <w:p>
      <w:pPr>
        <w:ind w:right="260" w:firstLine="603"/>
        <w:spacing w:after="0" w:line="251" w:lineRule="auto"/>
        <w:rPr>
          <w:sz w:val="20"/>
          <w:szCs w:val="20"/>
          <w:color w:val="auto"/>
        </w:rPr>
      </w:pPr>
      <w:r>
        <w:rPr>
          <w:rFonts w:ascii="Arial" w:cs="Arial" w:eastAsia="Arial" w:hAnsi="Arial"/>
          <w:sz w:val="17"/>
          <w:szCs w:val="17"/>
          <w:color w:val="auto"/>
        </w:rPr>
        <w:t>Additionally, as we have expanded and continue to expand into new markets, we have faced challenges with ensuring that our charging equipment works successfully with the charging infrastructure in such markets. If customers experience problems with the way our charging equipment works with the local charging infrastructure, or if we are unable to adapt our equipment to resolve such problems, then the viability and acceptance of our vehicles in such markets could be materially and adversely affected. If we fail to successfully address these risks, our business, prospects, operating results and financial condition could be materially harmed.</w:t>
      </w:r>
    </w:p>
    <w:p>
      <w:pPr>
        <w:spacing w:after="0" w:line="20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Our battery packs rely on software and hardware that are highly technical, and if these systems contain errors, bugs or vulnerabilities, or if we are unsuccessful in addressing or mitigating technical limitations in our systems, our business could be adversely affected.</w:t>
      </w:r>
    </w:p>
    <w:p>
      <w:pPr>
        <w:spacing w:after="0" w:line="191" w:lineRule="exact"/>
        <w:rPr>
          <w:sz w:val="20"/>
          <w:szCs w:val="20"/>
          <w:color w:val="auto"/>
        </w:rPr>
      </w:pPr>
    </w:p>
    <w:p>
      <w:pPr>
        <w:ind w:right="40" w:firstLine="603"/>
        <w:spacing w:after="0" w:line="266" w:lineRule="auto"/>
        <w:rPr>
          <w:sz w:val="20"/>
          <w:szCs w:val="20"/>
          <w:color w:val="auto"/>
        </w:rPr>
      </w:pPr>
      <w:r>
        <w:rPr>
          <w:rFonts w:ascii="Arial" w:cs="Arial" w:eastAsia="Arial" w:hAnsi="Arial"/>
          <w:sz w:val="16"/>
          <w:szCs w:val="16"/>
          <w:color w:val="auto"/>
        </w:rPr>
        <w:t>Our products rely on software and hardware, including software and hardware developed or maintained internally or by third parties, that are highly technical and complex and will require modification and updates over the life of a battery pack. In addition, certain of our products depend on the ability of such software and hardware to store, retrieve, process and manage immense amounts of data. Our software and hardware may contain errors, bugs or vulnerabilities, and our systems are subject to certain technical limitations that may compromise our ability to meet the objectives. Some errors, bugs or vulnerabilities inherently may be difficult to detect and may only be discovered after the code has been released for external or internal use. Errors, bugs, vulnerabilities, design defects or technical limitations may be found within our software and hardware.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our software and hardware, we may suffer damage to our brand, loss of customers, loss of revenue or liability for damages, any of which could adversely affect our business and financial results.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i w:val="1"/>
          <w:iCs w:val="1"/>
          <w:color w:val="auto"/>
        </w:rPr>
        <w:t>We may be subject to financial and reputational risks due to product recalls and product liability claims, and we could face substantial liabilities which exceed our resources.</w:t>
      </w:r>
    </w:p>
    <w:p>
      <w:pPr>
        <w:spacing w:after="0" w:line="191" w:lineRule="exact"/>
        <w:rPr>
          <w:sz w:val="20"/>
          <w:szCs w:val="20"/>
          <w:color w:val="auto"/>
        </w:rPr>
      </w:pPr>
    </w:p>
    <w:p>
      <w:pPr>
        <w:ind w:firstLine="603"/>
        <w:spacing w:after="0" w:line="298" w:lineRule="auto"/>
        <w:rPr>
          <w:sz w:val="20"/>
          <w:szCs w:val="20"/>
          <w:color w:val="auto"/>
        </w:rPr>
      </w:pPr>
      <w:r>
        <w:rPr>
          <w:rFonts w:ascii="Arial" w:cs="Arial" w:eastAsia="Arial" w:hAnsi="Arial"/>
          <w:sz w:val="15"/>
          <w:szCs w:val="15"/>
          <w:color w:val="auto"/>
        </w:rPr>
        <w:t>Lithium-based battery systems for use in electric vehicles and ESS are inherently complex and subject to failure, accidents or other malfunctions. Accordingly, we may be exposed to product recalls and product liability claims. The risk of product recalls and product liability claims, and associated adverse publicity, is inherent in the development, manufacturing and sale of our products. Our products and the products of third parties in which our products are a component are becoming increasingly sophisticated and complicated as advancements in technologies occur, and as demand increases for lighter and more powerful rechargeable batteries.</w:t>
      </w:r>
    </w:p>
    <w:p>
      <w:pPr>
        <w:spacing w:after="0" w:line="173" w:lineRule="exact"/>
        <w:rPr>
          <w:sz w:val="20"/>
          <w:szCs w:val="20"/>
          <w:color w:val="auto"/>
        </w:rPr>
      </w:pPr>
    </w:p>
    <w:p>
      <w:pPr>
        <w:ind w:right="260" w:firstLine="603"/>
        <w:spacing w:after="0" w:line="257" w:lineRule="auto"/>
        <w:rPr>
          <w:sz w:val="20"/>
          <w:szCs w:val="20"/>
          <w:color w:val="auto"/>
        </w:rPr>
      </w:pPr>
      <w:r>
        <w:rPr>
          <w:rFonts w:ascii="Arial" w:cs="Arial" w:eastAsia="Arial" w:hAnsi="Arial"/>
          <w:sz w:val="17"/>
          <w:szCs w:val="17"/>
          <w:color w:val="auto"/>
        </w:rPr>
        <w:t>We typically offer warranties for our battery products against any defects due to product malfunction or workmanship for a period ranges from one to eight years (or up to 3 years in the case of ESS) from the date of purchase. We provide a reserve for these potential warranty expenses, which is based on an analysis of historical warranty issues. In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2021, as a result of increases in the repairing cost and frequency of claims with respect to a certain legacy product sold in 2017 and 2018, we conducted an analysis and concluded that a particular component purchased from a supplier was not meeting our performance standards. As a result, we expect that this legacy product we sold will need to be replaced before the expiration of warranty term. This reassessment has resulted in a change in our estimated costs associated with this legacy product, giving an additional accrual of $46.5 million for such legacy product sold.</w:t>
      </w:r>
    </w:p>
    <w:p>
      <w:pPr>
        <w:spacing w:after="0" w:line="205" w:lineRule="exact"/>
        <w:rPr>
          <w:sz w:val="20"/>
          <w:szCs w:val="20"/>
          <w:color w:val="auto"/>
        </w:rPr>
      </w:pPr>
    </w:p>
    <w:p>
      <w:pPr>
        <w:ind w:firstLine="603"/>
        <w:spacing w:after="0" w:line="290" w:lineRule="auto"/>
        <w:rPr>
          <w:sz w:val="20"/>
          <w:szCs w:val="20"/>
          <w:color w:val="auto"/>
        </w:rPr>
      </w:pPr>
      <w:r>
        <w:rPr>
          <w:rFonts w:ascii="Arial" w:cs="Arial" w:eastAsia="Arial" w:hAnsi="Arial"/>
          <w:sz w:val="15"/>
          <w:szCs w:val="15"/>
          <w:color w:val="auto"/>
        </w:rPr>
        <w:t>Product quality and liability issues may affect not only our products but also the third-party products in which our battery products are a component. Our efforts and the efforts of our development partners to maintain product quality may not be successful, which may result in us incurring expenses in connection with, for example, product recalls and product liability claims, and adversely impact our brand image and reputation as a producer of high-quality products. Any product recall or product liability claims seeking significant monetary damages could have a material adverse effect on our business and financial condition. A product recall or product liability claim could generate substantial negative publicity about our products and business, interfere with our manufacturing plans and product delivery obligations as we seek to replace, or repair affected products, and inhibit or prevent commercialization of other future product candidates.</w:t>
      </w:r>
    </w:p>
    <w:p>
      <w:pPr>
        <w:spacing w:after="0" w:line="180" w:lineRule="exact"/>
        <w:rPr>
          <w:sz w:val="20"/>
          <w:szCs w:val="20"/>
          <w:color w:val="auto"/>
        </w:rPr>
      </w:pPr>
    </w:p>
    <w:p>
      <w:pPr>
        <w:jc w:val="both"/>
        <w:ind w:right="20" w:firstLine="603"/>
        <w:spacing w:after="0" w:line="335" w:lineRule="auto"/>
        <w:rPr>
          <w:sz w:val="20"/>
          <w:szCs w:val="20"/>
          <w:color w:val="auto"/>
        </w:rPr>
      </w:pPr>
      <w:r>
        <w:rPr>
          <w:rFonts w:ascii="Arial" w:cs="Arial" w:eastAsia="Arial" w:hAnsi="Arial"/>
          <w:sz w:val="15"/>
          <w:szCs w:val="15"/>
          <w:color w:val="auto"/>
        </w:rPr>
        <w:t>Further, there is no assurance that future warranty claims will be consistent with past history, and in the event we experience a significant increase in warranty claims, there is no assurance that our reserves will be sufficient. This could have a material adverse effect on our business, financial condition and results of operations.</w:t>
      </w:r>
    </w:p>
    <w:p>
      <w:pPr>
        <w:spacing w:after="0" w:line="146"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b w:val="1"/>
          <w:bCs w:val="1"/>
          <w:i w:val="1"/>
          <w:iCs w:val="1"/>
          <w:color w:val="auto"/>
        </w:rPr>
        <w:t>If we have quality issues with our BMS and ESS container, our sales, profit, and cash flows could decrease and our relationships with our customers and our reputation may be harmed.</w:t>
      </w:r>
    </w:p>
    <w:p>
      <w:pPr>
        <w:spacing w:after="0" w:line="191" w:lineRule="exact"/>
        <w:rPr>
          <w:sz w:val="20"/>
          <w:szCs w:val="20"/>
          <w:color w:val="auto"/>
        </w:rPr>
      </w:pPr>
    </w:p>
    <w:p>
      <w:pPr>
        <w:ind w:firstLine="603"/>
        <w:spacing w:after="0" w:line="250" w:lineRule="auto"/>
        <w:rPr>
          <w:sz w:val="20"/>
          <w:szCs w:val="20"/>
          <w:color w:val="auto"/>
        </w:rPr>
      </w:pPr>
      <w:r>
        <w:rPr>
          <w:rFonts w:ascii="Arial" w:cs="Arial" w:eastAsia="Arial" w:hAnsi="Arial"/>
          <w:sz w:val="17"/>
          <w:szCs w:val="17"/>
          <w:color w:val="auto"/>
        </w:rPr>
        <w:t>Products as complex as ours may contain undetected errors or defects, especially when first introduced. Our BMS and ESS container may contain defects that are not detected until after they are shipped or are installed because we and our suppliers cannot test for all possible scenarios. These defects could cause us to incur significant warranty, non-warranty, and re-engineering costs, which may not be covered by manufacturer warranties, and could significantly affect our customer relations and business reputation. If we deliver products with errors or defects, or if there is a perception that such products contain errors or defects, our credibility and the market acceptance and sales of our products could be harmed. In addition, some of our contractual arrangements with customers include provisions for liquidated damages. In certain cases, we could incur high liquidated damages if it is established that our products do not meet the performance guarantees we have given to our customers.</w:t>
      </w:r>
    </w:p>
    <w:p>
      <w:pPr>
        <w:spacing w:after="0" w:line="207"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The reduction, elimination, or expiration of government incentives for, or regulations mandating the use of, renewable energy could reduce demand for our ESS container and harm our business.</w:t>
      </w:r>
    </w:p>
    <w:p>
      <w:pPr>
        <w:spacing w:after="0" w:line="191" w:lineRule="exact"/>
        <w:rPr>
          <w:sz w:val="20"/>
          <w:szCs w:val="20"/>
          <w:color w:val="auto"/>
        </w:rPr>
      </w:pPr>
    </w:p>
    <w:p>
      <w:pPr>
        <w:ind w:firstLine="603"/>
        <w:spacing w:after="0" w:line="268" w:lineRule="auto"/>
        <w:rPr>
          <w:sz w:val="20"/>
          <w:szCs w:val="20"/>
          <w:color w:val="auto"/>
        </w:rPr>
      </w:pPr>
      <w:r>
        <w:rPr>
          <w:rFonts w:ascii="Arial" w:cs="Arial" w:eastAsia="Arial" w:hAnsi="Arial"/>
          <w:sz w:val="16"/>
          <w:szCs w:val="16"/>
          <w:color w:val="auto"/>
        </w:rPr>
        <w:t>Federal, state, local, and foreign government bodies provide incentives to owners, end users, distributors, system integrators and manufacturers of renewable energy products, including our ESS container, to promote renewable electricity in the form of rebates, tax credits and other financial incentives. The range and duration of these incentives varies widely by jurisdiction. The reduction, elimination, or expiration of government incentives for grid-connected electricity may negatively affect the competitiveness of our ESS container and could harm or halt the growth of our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may occur without warning. The reduction, elimination or expiration of such incentives could harm our business and cash flows.</w:t>
      </w:r>
    </w:p>
    <w:p>
      <w:pPr>
        <w:spacing w:after="0" w:line="194" w:lineRule="exact"/>
        <w:rPr>
          <w:sz w:val="20"/>
          <w:szCs w:val="20"/>
          <w:color w:val="auto"/>
        </w:rPr>
      </w:pPr>
    </w:p>
    <w:p>
      <w:pPr>
        <w:ind w:right="260" w:firstLine="603"/>
        <w:spacing w:after="0" w:line="253" w:lineRule="auto"/>
        <w:rPr>
          <w:sz w:val="20"/>
          <w:szCs w:val="20"/>
          <w:color w:val="auto"/>
        </w:rPr>
      </w:pPr>
      <w:r>
        <w:rPr>
          <w:rFonts w:ascii="Arial" w:cs="Arial" w:eastAsia="Arial" w:hAnsi="Arial"/>
          <w:sz w:val="17"/>
          <w:szCs w:val="17"/>
          <w:color w:val="auto"/>
        </w:rPr>
        <w:t>In August 2022, the United States passed the IRA, which includes a number of government incentives that support the adoption of energy storage products and services and could potentially benefit the Company and its operations. However, forthcoming guidance to implement the IRA from the U.S. Department of Treasury and other federal administrative agencies could be drafted in such a manner that could be adverse to our interests and could therefore harm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b w:val="1"/>
          <w:bCs w:val="1"/>
          <w:i w:val="1"/>
          <w:iCs w:val="1"/>
          <w:color w:val="auto"/>
        </w:rPr>
        <w:t>Existing electric utility industry policies and regulations, and any subsequent changes, may present technical, regulatory, and economic barriers to the purchase and use of our ESS container that may significantly reduce demand for our products or harm our ability to compete.</w:t>
      </w:r>
    </w:p>
    <w:p>
      <w:pPr>
        <w:spacing w:after="0" w:line="169" w:lineRule="exact"/>
        <w:rPr>
          <w:sz w:val="20"/>
          <w:szCs w:val="20"/>
          <w:color w:val="auto"/>
        </w:rPr>
      </w:pPr>
    </w:p>
    <w:p>
      <w:pPr>
        <w:ind w:right="120" w:firstLine="603"/>
        <w:spacing w:after="0" w:line="268" w:lineRule="auto"/>
        <w:rPr>
          <w:sz w:val="20"/>
          <w:szCs w:val="20"/>
          <w:color w:val="auto"/>
        </w:rPr>
      </w:pPr>
      <w:r>
        <w:rPr>
          <w:rFonts w:ascii="Arial" w:cs="Arial" w:eastAsia="Arial" w:hAnsi="Arial"/>
          <w:sz w:val="16"/>
          <w:szCs w:val="16"/>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can influence the market for energy storage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 renewable energy products by reducing anticipated revenues or increasing costs or regulatory burdens for would-be system purchasers. The resulting reductions in demand for energy storage products could harm our business, prospects, financial condition, and results of operations.</w:t>
      </w:r>
    </w:p>
    <w:p>
      <w:pPr>
        <w:spacing w:after="0" w:line="194" w:lineRule="exact"/>
        <w:rPr>
          <w:sz w:val="20"/>
          <w:szCs w:val="20"/>
          <w:color w:val="auto"/>
        </w:rPr>
      </w:pPr>
    </w:p>
    <w:p>
      <w:pPr>
        <w:ind w:right="20" w:firstLine="603"/>
        <w:spacing w:after="0" w:line="266" w:lineRule="auto"/>
        <w:rPr>
          <w:sz w:val="20"/>
          <w:szCs w:val="20"/>
          <w:color w:val="auto"/>
        </w:rPr>
      </w:pPr>
      <w:r>
        <w:rPr>
          <w:rFonts w:ascii="Arial" w:cs="Arial" w:eastAsia="Arial" w:hAnsi="Arial"/>
          <w:sz w:val="16"/>
          <w:szCs w:val="16"/>
          <w:color w:val="auto"/>
        </w:rPr>
        <w:t>A significant recent development in renewable-energy pricing policies in the U.S. occurred on July 16, 2020, when the Federal Energy Regulatory Commission (“FERC”) issued a final rule amending regulations that implement the Public Utility Regulatory Policies Act (“PURPA”). Among other requirements, PURPA mandates that electric utilities buy the output of certain renewable generators below established capacity thresholds. PURPA also requires that such sales occur at a utility’s “avoided cost” rate. FERC’s PURPA reforms include modifications (1) to how regulators and electric utilities may establish avoided cost rates for new contracts; (2) that reduce from 20 MW to 5 MW the capacity threshold above which a renewable-energy qualifying facility is rebuttably presumed to have nondiscriminatory market access, thereby removing the requirement for utilities to purchase its output; (3) that require regulators to establish criteria for determining when an electric utility incurs a legally enforceable obligation to purchase from a PURPA facility; and (4) that reduce barriers for third parties to challenge PURPA eligibility. In general, FERC’s PURPA reforms have the potential to reduce prices for the output from certain new renewable generation projects while also narrowing the scope of PURPA eligibility for new projects. These effects could reduce demand for PURPA-eligible battery energy storage products and could harm our business, prospects, financial condition, and results of operations.</w:t>
      </w:r>
    </w:p>
    <w:p>
      <w:pPr>
        <w:spacing w:after="0" w:line="195" w:lineRule="exact"/>
        <w:rPr>
          <w:sz w:val="20"/>
          <w:szCs w:val="20"/>
          <w:color w:val="auto"/>
        </w:rPr>
      </w:pPr>
    </w:p>
    <w:p>
      <w:pPr>
        <w:ind w:right="80" w:firstLine="603"/>
        <w:spacing w:after="0" w:line="253" w:lineRule="auto"/>
        <w:rPr>
          <w:sz w:val="20"/>
          <w:szCs w:val="20"/>
          <w:color w:val="auto"/>
        </w:rPr>
      </w:pPr>
      <w:r>
        <w:rPr>
          <w:rFonts w:ascii="Arial" w:cs="Arial" w:eastAsia="Arial" w:hAnsi="Arial"/>
          <w:sz w:val="17"/>
          <w:szCs w:val="17"/>
          <w:color w:val="auto"/>
        </w:rPr>
        <w:t>Changes in other current laws or regulations applicable to us or the imposition of new laws, regulations, or policies in the U.S., could have a material adverse effect on our business, financial condition, and results of operations. Any changes to government, utility, or electric market regulations or policies that favor electric utilities or other market participants could reduce the competitiveness of battery energy storage products and cause a significant reduction in demand for our products and services and adversely impact our growth.</w:t>
      </w:r>
    </w:p>
    <w:p>
      <w:pPr>
        <w:spacing w:after="0" w:line="205" w:lineRule="exact"/>
        <w:rPr>
          <w:sz w:val="20"/>
          <w:szCs w:val="20"/>
          <w:color w:val="auto"/>
        </w:rPr>
      </w:pPr>
    </w:p>
    <w:p>
      <w:pPr>
        <w:ind w:firstLine="603"/>
        <w:spacing w:after="0" w:line="290" w:lineRule="auto"/>
        <w:rPr>
          <w:sz w:val="20"/>
          <w:szCs w:val="20"/>
          <w:color w:val="auto"/>
        </w:rPr>
      </w:pPr>
      <w:r>
        <w:rPr>
          <w:rFonts w:ascii="Arial" w:cs="Arial" w:eastAsia="Arial" w:hAnsi="Arial"/>
          <w:sz w:val="15"/>
          <w:szCs w:val="15"/>
          <w:color w:val="auto"/>
        </w:rPr>
        <w:t>The economic benefit of our energy storage products to our customers includes, among other things, the benefit of reducing such customer’s payments to the local electric utility company. The rates at which electricity is available from a customer’s local electric utility company are subject to change and any changes in such rates may affect the relative benefits of our energy storage products. Further, the local electric utility may impose “departing load,” “standby” or other charges on our customers in connection with their acquisition of our energy storage products, the amounts of which are outside of our control and which may have a material impact on the economic benefit of our energy storage products to our customers. Changes in the rates offered by local electric utilities and/or in the applicability or amounts of charges and other fees imposed by such utilities on customers acquiring our energy storage products could adversely affect the demand for our energy storage products.</w:t>
      </w:r>
    </w:p>
    <w:p>
      <w:pPr>
        <w:spacing w:after="0" w:line="180" w:lineRule="exact"/>
        <w:rPr>
          <w:sz w:val="20"/>
          <w:szCs w:val="20"/>
          <w:color w:val="auto"/>
        </w:rPr>
      </w:pPr>
    </w:p>
    <w:p>
      <w:pPr>
        <w:ind w:right="60"/>
        <w:spacing w:after="0" w:line="377" w:lineRule="auto"/>
        <w:rPr>
          <w:sz w:val="20"/>
          <w:szCs w:val="20"/>
          <w:color w:val="auto"/>
        </w:rPr>
      </w:pPr>
      <w:r>
        <w:rPr>
          <w:rFonts w:ascii="Arial" w:cs="Arial" w:eastAsia="Arial" w:hAnsi="Arial"/>
          <w:sz w:val="14"/>
          <w:szCs w:val="14"/>
          <w:b w:val="1"/>
          <w:bCs w:val="1"/>
          <w:i w:val="1"/>
          <w:iCs w:val="1"/>
          <w:color w:val="auto"/>
        </w:rPr>
        <w:t>As components of electric vehicles, our products as installed in the products of our customers are subject to motor vehicle standards and the failure of the vehicles to satisfy such mandated safety standards could have a material adverse effect on the demand for our products, our business and our operating results.</w:t>
      </w:r>
    </w:p>
    <w:p>
      <w:pPr>
        <w:spacing w:after="0" w:line="122" w:lineRule="exact"/>
        <w:rPr>
          <w:sz w:val="20"/>
          <w:szCs w:val="20"/>
          <w:color w:val="auto"/>
        </w:rPr>
      </w:pPr>
    </w:p>
    <w:p>
      <w:pPr>
        <w:ind w:right="120" w:firstLine="603"/>
        <w:spacing w:after="0" w:line="298" w:lineRule="auto"/>
        <w:rPr>
          <w:sz w:val="20"/>
          <w:szCs w:val="20"/>
          <w:color w:val="auto"/>
        </w:rPr>
      </w:pPr>
      <w:r>
        <w:rPr>
          <w:rFonts w:ascii="Arial" w:cs="Arial" w:eastAsia="Arial" w:hAnsi="Arial"/>
          <w:sz w:val="15"/>
          <w:szCs w:val="15"/>
          <w:color w:val="auto"/>
        </w:rPr>
        <w:t>Our products are used as components in electric vehicles. All vehicles sold must comply with applicable international, federal, and state motor vehicle safety standards, which vary by national and other jurisdictions. In the U.S., vehicles that meet or exceed all federally mandated safety standards are certified under federal regulations. Rigorous testing and the use of approved materials and equipment are among the requirements for achieving federal certification. Failure by our vehicle manufacturing customers to satisfy motor vehicle standards could have a material adverse effect on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340" w:firstLine="603"/>
        <w:spacing w:after="0" w:line="268" w:lineRule="auto"/>
        <w:rPr>
          <w:sz w:val="20"/>
          <w:szCs w:val="20"/>
          <w:color w:val="auto"/>
        </w:rPr>
      </w:pPr>
      <w:r>
        <w:rPr>
          <w:rFonts w:ascii="Arial" w:cs="Arial" w:eastAsia="Arial" w:hAnsi="Arial"/>
          <w:sz w:val="17"/>
          <w:szCs w:val="17"/>
          <w:color w:val="auto"/>
        </w:rPr>
        <w:t>Moreover, we may incur our own significant costs in complying with these regulations. Regulations related to the electric vehicle industry and alternative energy are currently evolving and we face risks associated with changes to these regulations.</w:t>
      </w:r>
    </w:p>
    <w:p>
      <w:pPr>
        <w:spacing w:after="0" w:line="191" w:lineRule="exact"/>
        <w:rPr>
          <w:sz w:val="20"/>
          <w:szCs w:val="20"/>
          <w:color w:val="auto"/>
        </w:rPr>
      </w:pPr>
    </w:p>
    <w:p>
      <w:pPr>
        <w:ind w:right="60" w:firstLine="603"/>
        <w:spacing w:after="0" w:line="253" w:lineRule="auto"/>
        <w:rPr>
          <w:sz w:val="20"/>
          <w:szCs w:val="20"/>
          <w:color w:val="auto"/>
        </w:rPr>
      </w:pPr>
      <w:r>
        <w:rPr>
          <w:rFonts w:ascii="Arial" w:cs="Arial" w:eastAsia="Arial" w:hAnsi="Arial"/>
          <w:sz w:val="17"/>
          <w:szCs w:val="17"/>
          <w:color w:val="auto"/>
        </w:rPr>
        <w:t>To the extent the laws become more stringent or otherwise change, our components or the vehicles into which they are incorporated may not comply with applicable international, federal, state or local laws,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spacing w:after="0" w:line="205" w:lineRule="exact"/>
        <w:rPr>
          <w:sz w:val="20"/>
          <w:szCs w:val="20"/>
          <w:color w:val="auto"/>
        </w:rPr>
      </w:pPr>
    </w:p>
    <w:p>
      <w:pPr>
        <w:ind w:right="120" w:firstLine="603"/>
        <w:spacing w:after="0" w:line="253" w:lineRule="auto"/>
        <w:rPr>
          <w:sz w:val="20"/>
          <w:szCs w:val="20"/>
          <w:color w:val="auto"/>
        </w:rPr>
      </w:pPr>
      <w:r>
        <w:rPr>
          <w:rFonts w:ascii="Arial" w:cs="Arial" w:eastAsia="Arial" w:hAnsi="Arial"/>
          <w:sz w:val="17"/>
          <w:szCs w:val="17"/>
          <w:color w:val="auto"/>
        </w:rPr>
        <w:t>Internationally, there may be laws in jurisdictions we have not yet entered or laws of which we are unaware in jurisdictions we have entered that may restrict our sales or other business practices. Even for those jurisdictions we have analyzed, the laws in this area can be complex, difficult to interpret and may change over time. Continued regulatory limitations and other obstacles interfering with our business or our customer’s ability to sell products could have a negative and material impact on our business, prospects,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comply with certain health and production safety laws and regulations governing hazardous materials.</w:t>
      </w:r>
    </w:p>
    <w:p>
      <w:pPr>
        <w:spacing w:after="0" w:line="231" w:lineRule="exact"/>
        <w:rPr>
          <w:sz w:val="20"/>
          <w:szCs w:val="20"/>
          <w:color w:val="auto"/>
        </w:rPr>
      </w:pPr>
    </w:p>
    <w:p>
      <w:pPr>
        <w:ind w:firstLine="603"/>
        <w:spacing w:after="0" w:line="285" w:lineRule="auto"/>
        <w:rPr>
          <w:sz w:val="20"/>
          <w:szCs w:val="20"/>
          <w:color w:val="auto"/>
        </w:rPr>
      </w:pPr>
      <w:r>
        <w:rPr>
          <w:rFonts w:ascii="Arial" w:cs="Arial" w:eastAsia="Arial" w:hAnsi="Arial"/>
          <w:sz w:val="15"/>
          <w:szCs w:val="15"/>
          <w:color w:val="auto"/>
        </w:rPr>
        <w:t>In the sourcing of our products throughout the world, we process, store, dispose of and otherwise use large amounts of hazardous materials. As a result, we are subject to extensive and evolving health and production safety laws and regulations governing, among other things: the health of our employees and safety production requirements regarding the generation, handling, storage, use and transportation of hazardous materials. Compliance with these laws and regulations results in ongoing costs. Failure to comply with these laws or regulations, or to obtain or comply with the relevant permits, could result in fines, criminal charges or other sanctions by regulators. Furthermore, we may be ordered to rectify a noncompliance within a stipulated deadline and, if we fail to do so, we may be ordered to cease operations. From time-to-time, we may have instances of alleged or actual noncompliance that could result in the imposition of fines, penalties and required corrective actions. For instance, we are required under PRC law to design and build occupational disease prevention facilities concurrently with the construction of our manufacturing facilities, where hazardous elements that adversely affect the health of our employees are generated or used. Our ongoing compliance with health and safety laws, regulations and permits could require us to incur significant expenses, limit our ability to modify or expand our facilities or continue manufacturing and making other capital improvements. In addition, private parties, including current or former employees, could bring personal injury or other claims against us due to the presence of, or exposure to, hazardous substances used, stored or disposed of by us or contained in our products.</w:t>
      </w:r>
    </w:p>
    <w:p>
      <w:pPr>
        <w:spacing w:after="0" w:line="182"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b w:val="1"/>
          <w:bCs w:val="1"/>
          <w:i w:val="1"/>
          <w:iCs w:val="1"/>
          <w:color w:val="auto"/>
        </w:rPr>
        <w:t>Compliance with environmental regulations can be expensive, and failure to comply with these regulations may result in monetary damages and fines, adverse publicity and have a material adverse effect on our business.</w:t>
      </w:r>
    </w:p>
    <w:p>
      <w:pPr>
        <w:spacing w:after="0" w:line="191" w:lineRule="exact"/>
        <w:rPr>
          <w:sz w:val="20"/>
          <w:szCs w:val="20"/>
          <w:color w:val="auto"/>
        </w:rPr>
      </w:pPr>
    </w:p>
    <w:p>
      <w:pPr>
        <w:ind w:right="60" w:firstLine="603"/>
        <w:spacing w:after="0" w:line="250" w:lineRule="auto"/>
        <w:rPr>
          <w:sz w:val="20"/>
          <w:szCs w:val="20"/>
          <w:color w:val="auto"/>
        </w:rPr>
      </w:pPr>
      <w:r>
        <w:rPr>
          <w:rFonts w:ascii="Arial" w:cs="Arial" w:eastAsia="Arial" w:hAnsi="Arial"/>
          <w:sz w:val="17"/>
          <w:szCs w:val="17"/>
          <w:color w:val="auto"/>
        </w:rPr>
        <w:t>As a manufacturer, we are subject to various environmental laws and regulations on air emission, wastewater discharge, solid waste, noise and the disposal of hazardous materials. Cobalt and lithium are toxic materials that are important raw materials in our batteries. We also use, generate and discharge other toxic, volatile and hazardous chemicals and wastes in our research, development and manufacturing activities. One of our manufacturing sites is in China, and under PRC environmental regulations we are required to maintain the pollutant emission levels at each of our facilities within the levels prescribed by the relevant governmental authorities and obtain a pollution discharge permit for our water and air emissions. We are also required to design and build environmental treatment facilities concurrently with the construction of our manufacturing facilities, where waste air, wastewater and waste solids we generate can be treated in accordance with the relevant requirements.</w:t>
      </w:r>
    </w:p>
    <w:p>
      <w:pPr>
        <w:spacing w:after="0" w:line="207" w:lineRule="exact"/>
        <w:rPr>
          <w:sz w:val="20"/>
          <w:szCs w:val="20"/>
          <w:color w:val="auto"/>
        </w:rPr>
      </w:pPr>
    </w:p>
    <w:p>
      <w:pPr>
        <w:ind w:firstLine="603"/>
        <w:spacing w:after="0" w:line="267" w:lineRule="auto"/>
        <w:rPr>
          <w:sz w:val="20"/>
          <w:szCs w:val="20"/>
          <w:color w:val="auto"/>
        </w:rPr>
      </w:pPr>
      <w:r>
        <w:rPr>
          <w:rFonts w:ascii="Arial" w:cs="Arial" w:eastAsia="Arial" w:hAnsi="Arial"/>
          <w:sz w:val="16"/>
          <w:szCs w:val="16"/>
          <w:color w:val="auto"/>
        </w:rPr>
        <w:t>In addition, certain laws and regulations require enterprises like us that generate hazardous waste to engage companies which are licensed and qualified to process the hazardous waste, and to collect, store, dispose of and transfer the hazardous waste. If we fail to comply with national and local environmental protection laws and regulations, the relevant governmental authorities may impose fines or deadlines to cure instances of noncompliance and may even order us to cease operations if we fail to comply with their requirements. In particular, any breach by us in connection with requirements relating to the handling of hazardous waste may subject us to monetary damages and fines. In addition, if any third party suffers any loss as a result of our pollutant emission practices, our improper handling of hazardous waste or our noncompliance with environmental regulations, such third parties may seek damages from us. We cannot assure you that we will be able to comply with all environmental laws and regulations at all times as the environmental legal regime is evolving and becoming more stringent in many jurisdictions. Therefore, if any government imposes more stringent</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regulations in the future, we will have to incur additional substantial costs and expenses in order to comply with new regulations, which may negatively affect our results of operations. If we fail to comply with any of the present or future environmental regulations in any material aspect or cause any loss to any third parties due to our pollutant emission practices, improper handling of hazardous waste or other environmental noncompliance, we may suffer from negative publicity and may be required to pay substantial fines, pay damages to such third parties, or suspend or even cease operations. Failure to comply with environmental laws and regulations may materially and adversely affect our business, financial condition and results of operations.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To the extent we ship our products overseas, or to the extent our products are used in products sold overseas, they may be affected by laws and regulations on</w:t>
      </w:r>
    </w:p>
    <w:p>
      <w:pPr>
        <w:spacing w:after="0" w:line="66"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the movement of goods. For example, the transportation of non-rechargeable and rechargeable lithium batteries is regulated by the International Civil Aviation Organization (the “ICAO”), and corresponding rules and regulations of the International Air Transport Association (the “IATA”), Pipeline &amp; Hazardous Materials Safety Administration (the “PHMSA”), Dangerous Goods Regulations and the International Maritime Dangerous Goods Code, and in China by the General Administration of Civil Aviation of China and the Maritime Safety Administration of the PRC. These regulations are based on the United Nations, or UN, Recommendations on the Transport of Dangerous Goods Model Regulations and the UN Manual of Tests and Criteria. We currently ship our products pursuant to ICAO, IATA and PHMSA hazardous goods regulations. The regulations require companies to meet certain testing, packaging, labeling and shipping specifications for safety reasons. We believe we are in compliance with all current PRC and international regulations for the shipment of our products and will seek to comply with any new regulations that are imposed. We believe we have obtained certificates for safe transport of goods for shipping our lithium battery products by air and water. If we are unable to comply with the new regulations, however, or if regulations are introduced that limit our ability to transport our products to customers in a cost-effective manner, this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operations expose us to litigation, environmental and other legal compliance risks, including increased climate change legislation restricting GHG emissions.</w:t>
      </w:r>
    </w:p>
    <w:p>
      <w:pPr>
        <w:spacing w:after="0" w:line="266" w:lineRule="exact"/>
        <w:rPr>
          <w:sz w:val="20"/>
          <w:szCs w:val="20"/>
          <w:color w:val="auto"/>
        </w:rPr>
      </w:pPr>
    </w:p>
    <w:p>
      <w:pPr>
        <w:ind w:right="20" w:firstLine="603"/>
        <w:spacing w:after="0" w:line="266" w:lineRule="auto"/>
        <w:rPr>
          <w:sz w:val="20"/>
          <w:szCs w:val="20"/>
          <w:color w:val="auto"/>
        </w:rPr>
      </w:pPr>
      <w:r>
        <w:rPr>
          <w:rFonts w:ascii="Arial" w:cs="Arial" w:eastAsia="Arial" w:hAnsi="Arial"/>
          <w:sz w:val="16"/>
          <w:szCs w:val="16"/>
          <w:color w:val="auto"/>
        </w:rPr>
        <w:t>We are subject to a variety of litigation, environmental, health and safety and other legal compliance risks. These risks include, among other things, possible liability relating to product liability matters, personal injuries, intellectual property rights, contract-related claims, government contracts, health and safety liabilities, environmental matters and compliance with U.S. and foreign laws, competition laws and laws governing improper business practices. We or one of our business units could be charged with wrongdoing as a result of such matters. If convicted or found liable, we could be subject to significant fines, penalties, repayments or other damages (in certain cases, treble damages). As a business with international reach, we are subject to complex laws and regulations in jurisdictions in which we operate, including the U.S., China, the E.U. and the U.K. Those laws and regulations may be interpreted in different ways. They may also change from time-to-time, as may related interpretations and other guidance. Changes in laws or regulations could result in higher expenses and payments, and uncertainty relating to laws or regulations may also affect how we conduct our operations and structures our investments and could limit our ability to enforce our rights. See the section titled “</w:t>
      </w:r>
      <w:r>
        <w:rPr>
          <w:rFonts w:ascii="Arial" w:cs="Arial" w:eastAsia="Arial" w:hAnsi="Arial"/>
          <w:sz w:val="16"/>
          <w:szCs w:val="16"/>
          <w:i w:val="1"/>
          <w:iCs w:val="1"/>
          <w:color w:val="auto"/>
        </w:rPr>
        <w:t>Business — Legal</w:t>
      </w:r>
      <w:r>
        <w:rPr>
          <w:rFonts w:ascii="Arial" w:cs="Arial" w:eastAsia="Arial" w:hAnsi="Arial"/>
          <w:sz w:val="16"/>
          <w:szCs w:val="16"/>
          <w:color w:val="auto"/>
        </w:rPr>
        <w:t xml:space="preserve"> </w:t>
      </w:r>
      <w:r>
        <w:rPr>
          <w:rFonts w:ascii="Arial" w:cs="Arial" w:eastAsia="Arial" w:hAnsi="Arial"/>
          <w:sz w:val="16"/>
          <w:szCs w:val="16"/>
          <w:i w:val="1"/>
          <w:iCs w:val="1"/>
          <w:color w:val="auto"/>
        </w:rPr>
        <w:t>Proceedings</w:t>
      </w:r>
      <w:r>
        <w:rPr>
          <w:rFonts w:ascii="Arial" w:cs="Arial" w:eastAsia="Arial" w:hAnsi="Arial"/>
          <w:sz w:val="16"/>
          <w:szCs w:val="16"/>
          <w:color w:val="auto"/>
        </w:rPr>
        <w:t>.”</w:t>
      </w:r>
    </w:p>
    <w:p>
      <w:pPr>
        <w:spacing w:after="0" w:line="198" w:lineRule="exact"/>
        <w:rPr>
          <w:sz w:val="20"/>
          <w:szCs w:val="20"/>
          <w:color w:val="auto"/>
        </w:rPr>
      </w:pPr>
    </w:p>
    <w:p>
      <w:pPr>
        <w:ind w:firstLine="603"/>
        <w:spacing w:after="0" w:line="257" w:lineRule="auto"/>
        <w:rPr>
          <w:sz w:val="20"/>
          <w:szCs w:val="20"/>
          <w:color w:val="auto"/>
        </w:rPr>
      </w:pPr>
      <w:r>
        <w:rPr>
          <w:rFonts w:ascii="Arial" w:cs="Arial" w:eastAsia="Arial" w:hAnsi="Arial"/>
          <w:sz w:val="17"/>
          <w:szCs w:val="17"/>
          <w:color w:val="auto"/>
        </w:rPr>
        <w:t>Changes in environmental and climate laws or regulations, including laws relating to GHG emissions, could lead to new or additional investment in manufacturing designs, subject us to additional costs and restrictions, including increased energy and raw materials costs, and could increase environmental compliance expenditures.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general liability insurance may not be sufficient to cover potential liability from product liability claims.</w:t>
      </w:r>
    </w:p>
    <w:p>
      <w:pPr>
        <w:spacing w:after="0" w:line="231" w:lineRule="exact"/>
        <w:rPr>
          <w:sz w:val="20"/>
          <w:szCs w:val="20"/>
          <w:color w:val="auto"/>
        </w:rPr>
      </w:pPr>
    </w:p>
    <w:p>
      <w:pPr>
        <w:ind w:right="20" w:firstLine="603"/>
        <w:spacing w:after="0" w:line="287" w:lineRule="auto"/>
        <w:rPr>
          <w:sz w:val="20"/>
          <w:szCs w:val="20"/>
          <w:color w:val="auto"/>
        </w:rPr>
      </w:pPr>
      <w:r>
        <w:rPr>
          <w:rFonts w:ascii="Arial" w:cs="Arial" w:eastAsia="Arial" w:hAnsi="Arial"/>
          <w:sz w:val="15"/>
          <w:szCs w:val="15"/>
          <w:color w:val="auto"/>
        </w:rPr>
        <w:t>We currently have general liability insurance with an annual limit of up to approximately $89.9 million to cover liabilities arising from product liability claims or product recalls worldwide (excluding the U.S. and Canada), which may not be sufficient to cover potential liability claims. Inability to obtain sufficient insurance coverage at an acceptable cost or otherwise to protect against potential product recalls and product liability claims could prevent or inhibit the commercialization of our product or could result in a loss of customers and decrease in revenue, unexpected expenses and a loss of market share, and if any of our products are found to have reliability, quality or compatibility problems, we will be required to accept returns, provide replacements, provide refunds, or pay damages. We cannot assure you that as we continue distribution of our products we will be able to obtain or maintain adequate coverage on acceptable terms, or that such insurance will provide adequate coverage against all potential claims.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and our ability to pay such liability. In any case, we may still be required to incur substantial amounts to cover costs associated with product recalls and/or to indemnify our customers in respect of their product quality claims against us, which would materially and adversely affect results operations and severely damage our reputation.</w:t>
      </w:r>
    </w:p>
    <w:p>
      <w:pPr>
        <w:spacing w:after="0" w:line="146"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b w:val="1"/>
          <w:bCs w:val="1"/>
          <w:i w:val="1"/>
          <w:iCs w:val="1"/>
          <w:color w:val="auto"/>
        </w:rPr>
        <w:t>If currency exchange rates fluctuate substantially in the future, our financial results, which are reported in U.S. dollars, and the value of our securities could be adversely affected.</w:t>
      </w:r>
    </w:p>
    <w:p>
      <w:pPr>
        <w:spacing w:after="0" w:line="191" w:lineRule="exact"/>
        <w:rPr>
          <w:sz w:val="20"/>
          <w:szCs w:val="20"/>
          <w:color w:val="auto"/>
        </w:rPr>
      </w:pPr>
    </w:p>
    <w:p>
      <w:pPr>
        <w:ind w:right="140" w:firstLine="603"/>
        <w:spacing w:after="0" w:line="271" w:lineRule="auto"/>
        <w:rPr>
          <w:sz w:val="20"/>
          <w:szCs w:val="20"/>
          <w:color w:val="auto"/>
        </w:rPr>
      </w:pPr>
      <w:r>
        <w:rPr>
          <w:rFonts w:ascii="Arial" w:cs="Arial" w:eastAsia="Arial" w:hAnsi="Arial"/>
          <w:sz w:val="16"/>
          <w:szCs w:val="16"/>
          <w:color w:val="auto"/>
        </w:rPr>
        <w:t>The value of our securities will be indirectly affected by the foreign exchange rate between the U.S. dollar and RMB and between those currencies and other currencies in which our sales may be denominated. Appreciation or depreciation in the value of the RMB relative to the U.S. dollar would affect our financial results reported in U.S. dollar terms without giving effect to any underlying change in our business or results of operations. Fluctuations in the exchange rate will also affect the relative value of any dividend we issue that will be exchanged into U.S. dollars, as well as earnings from, and the value of, any U.S. dollar-denominated investments we make in the future. It is difficult to predict how RMB exchange rates may change.</w:t>
      </w:r>
    </w:p>
    <w:p>
      <w:pPr>
        <w:spacing w:after="0" w:line="191" w:lineRule="exact"/>
        <w:rPr>
          <w:sz w:val="20"/>
          <w:szCs w:val="20"/>
          <w:color w:val="auto"/>
        </w:rPr>
      </w:pPr>
    </w:p>
    <w:p>
      <w:pPr>
        <w:jc w:val="both"/>
        <w:ind w:right="160" w:firstLine="603"/>
        <w:spacing w:after="0" w:line="298" w:lineRule="auto"/>
        <w:rPr>
          <w:sz w:val="20"/>
          <w:szCs w:val="20"/>
          <w:color w:val="auto"/>
        </w:rPr>
      </w:pPr>
      <w:r>
        <w:rPr>
          <w:rFonts w:ascii="Arial" w:cs="Arial" w:eastAsia="Arial" w:hAnsi="Arial"/>
          <w:sz w:val="15"/>
          <w:szCs w:val="15"/>
          <w:color w:val="auto"/>
        </w:rPr>
        <w:t>Additionally,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Our foreign currency exchange losses may also be magnified by PRC exchange control regulations that restrict our ability to convert RMB into foreign currencies. As a result, fluctuations in exchange rates may have a material adverse effect on our financial condition.</w:t>
      </w:r>
    </w:p>
    <w:p>
      <w:pPr>
        <w:spacing w:after="0" w:line="173"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i w:val="1"/>
          <w:iCs w:val="1"/>
          <w:color w:val="auto"/>
        </w:rPr>
        <w:t>The enactment of legislation implementing changes in the U.S. to taxation of international business activities or the adoption of other tax reform policies could materially impact our financial position and results of operations.</w:t>
      </w:r>
    </w:p>
    <w:p>
      <w:pPr>
        <w:spacing w:after="0" w:line="191" w:lineRule="exact"/>
        <w:rPr>
          <w:sz w:val="20"/>
          <w:szCs w:val="20"/>
          <w:color w:val="auto"/>
        </w:rPr>
      </w:pPr>
    </w:p>
    <w:p>
      <w:pPr>
        <w:ind w:right="120" w:firstLine="603"/>
        <w:spacing w:after="0" w:line="274" w:lineRule="auto"/>
        <w:rPr>
          <w:sz w:val="20"/>
          <w:szCs w:val="20"/>
          <w:color w:val="auto"/>
        </w:rPr>
      </w:pPr>
      <w:r>
        <w:rPr>
          <w:rFonts w:ascii="Arial" w:cs="Arial" w:eastAsia="Arial" w:hAnsi="Arial"/>
          <w:sz w:val="16"/>
          <w:szCs w:val="16"/>
          <w:color w:val="auto"/>
        </w:rPr>
        <w:t>Changes to U.S. tax laws, including limitations on the ability of taxpayers to claim and utilize foreign tax credits and the deferral of certain tax deductions until earnings outside of the U.S. are repatriated to the U.S., as well as changes to U.S. federal income tax laws that may be enacted in the future, could impact the tax treatment of our foreign earnings. Due to our international business activities, any changes in the U.S. federal income taxation of such activities may increase our worldwide effective tax rate and adversely affect our financial position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additional tax liabilities.</w:t>
      </w:r>
    </w:p>
    <w:p>
      <w:pPr>
        <w:spacing w:after="0" w:line="231" w:lineRule="exact"/>
        <w:rPr>
          <w:sz w:val="20"/>
          <w:szCs w:val="20"/>
          <w:color w:val="auto"/>
        </w:rPr>
      </w:pPr>
    </w:p>
    <w:p>
      <w:pPr>
        <w:ind w:firstLine="603"/>
        <w:spacing w:after="0" w:line="249" w:lineRule="auto"/>
        <w:rPr>
          <w:sz w:val="20"/>
          <w:szCs w:val="20"/>
          <w:color w:val="auto"/>
        </w:rPr>
      </w:pPr>
      <w:r>
        <w:rPr>
          <w:rFonts w:ascii="Arial" w:cs="Arial" w:eastAsia="Arial" w:hAnsi="Arial"/>
          <w:sz w:val="17"/>
          <w:szCs w:val="17"/>
          <w:color w:val="auto"/>
        </w:rPr>
        <w:t>We are subject to federal, state and local taxes in the U.S. and are also subject to taxes in certain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our earnings being lower than anticipated in jurisdictions where we have lower statutory rates and higher than anticipated in jurisdictions where we have higher statutory rates, by changes in foreign currency exchange rates, or by changes in the valuation of our deferred tax assets and liabilities. We may be audited in various jurisdictions, and such jurisdictions may assess additional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subject us to potentially adverse tax consequences.</w:t>
      </w:r>
    </w:p>
    <w:p>
      <w:pPr>
        <w:spacing w:after="0" w:line="231" w:lineRule="exact"/>
        <w:rPr>
          <w:sz w:val="20"/>
          <w:szCs w:val="20"/>
          <w:color w:val="auto"/>
        </w:rPr>
      </w:pPr>
    </w:p>
    <w:p>
      <w:pPr>
        <w:ind w:right="200" w:firstLine="603"/>
        <w:spacing w:after="0" w:line="290" w:lineRule="auto"/>
        <w:rPr>
          <w:sz w:val="20"/>
          <w:szCs w:val="20"/>
          <w:color w:val="auto"/>
        </w:rPr>
      </w:pPr>
      <w:r>
        <w:rPr>
          <w:rFonts w:ascii="Arial" w:cs="Arial" w:eastAsia="Arial" w:hAnsi="Arial"/>
          <w:sz w:val="15"/>
          <w:szCs w:val="15"/>
          <w:color w:val="auto"/>
        </w:rPr>
        <w:t>We generally conduct our international operations through wholly-owned subsidiaries, branches and representative offices and report our taxable income in various jurisdictions worldwide based upon our business operations in those jurisdictions. Our intercompany relationships are subject to complex transfer pricing regulations administered by taxing authorities in various jurisdictions.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 We believe that our financial statements reflect adequate reserves to cover such a contingency, but there can be no assurances in that regard.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color w:val="auto"/>
        </w:rPr>
        <w:t>In addition, under several of the tax regimes under which we operate, related party transactions must be conducted on an arm’s-length basis. Such transactions between related parties may be subject to audit or scrutiny by tax authorities, including, in the case of the PRC government, within ten years after the taxable year when the transactions are conducted. If the relevant tax authorities determine that related party transactions have not been conducted on an arm’s-length basis, they may adjust the taxable income of our specific subsidiaries through a transfer pricing adjustment and impose additional taxes (together with applicable interest) on those subsidiaries, as well as penalties for under-reporting of taxable income.</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uncertainty in global economic conditions, such as those associated with Russia’s invasion of Ukraine, could negatively affect our operating results.</w:t>
      </w:r>
    </w:p>
    <w:p>
      <w:pPr>
        <w:spacing w:after="0" w:line="254" w:lineRule="exact"/>
        <w:rPr>
          <w:sz w:val="20"/>
          <w:szCs w:val="20"/>
          <w:color w:val="auto"/>
        </w:rPr>
      </w:pPr>
    </w:p>
    <w:p>
      <w:pPr>
        <w:ind w:firstLine="603"/>
        <w:spacing w:after="0" w:line="290" w:lineRule="auto"/>
        <w:rPr>
          <w:sz w:val="20"/>
          <w:szCs w:val="20"/>
          <w:color w:val="auto"/>
        </w:rPr>
      </w:pPr>
      <w:r>
        <w:rPr>
          <w:rFonts w:ascii="Arial" w:cs="Arial" w:eastAsia="Arial" w:hAnsi="Arial"/>
          <w:sz w:val="15"/>
          <w:szCs w:val="15"/>
          <w:color w:val="auto"/>
        </w:rPr>
        <w:t>Our operating results are directly affected by the general global economic conditions of the industries in which our major customer groups operate. Our business segments are highly dependent on the economic and market conditions in each of the geographic areas in which we operate. The uncertainty in global economic conditions varies by geographic segment and can result in substantial volatility in global credit markets. Credit volatility could impact our working capital for manufacturing or result in cost changes or interruptions to suppliers whose components we rely upon if we are unable to access the needed credit for our operations. These conditions affect our business by reducing prices that our customers may be able or willing to pay for our products or by reducing the demand for our products, which could in turn negatively impact our sales and result in a material adverse effect on our business, cash flow, results of operations and financial condition.</w:t>
      </w:r>
    </w:p>
    <w:p>
      <w:pPr>
        <w:spacing w:after="0" w:line="180" w:lineRule="exact"/>
        <w:rPr>
          <w:sz w:val="20"/>
          <w:szCs w:val="20"/>
          <w:color w:val="auto"/>
        </w:rPr>
      </w:pPr>
    </w:p>
    <w:p>
      <w:pPr>
        <w:ind w:right="100" w:firstLine="603"/>
        <w:spacing w:after="0" w:line="293" w:lineRule="auto"/>
        <w:rPr>
          <w:sz w:val="20"/>
          <w:szCs w:val="20"/>
          <w:color w:val="auto"/>
        </w:rPr>
      </w:pPr>
      <w:r>
        <w:rPr>
          <w:rFonts w:ascii="Arial" w:cs="Arial" w:eastAsia="Arial" w:hAnsi="Arial"/>
          <w:sz w:val="15"/>
          <w:szCs w:val="15"/>
          <w:color w:val="auto"/>
        </w:rPr>
        <w:t>Further, in connection with Russia’s invasion of Ukraine, the U.S., the E.U. and certain other governments around the world have responded by imposing various economic sanctions which restrict or prohibit certain business opportunities in Russia and Ukraine. These sanctions are complex and are rapidly evolving. The uncertain nature, magnitude, and duration of hostilities stemming from Russia’s recent invasion of Ukraine, including the potential effects of sanctions limitations, possibility of counter-sanctions, retaliatory cyber-attacks on the world economy and markets, further disruptions to global supply chains and potential shipping delays, have contributed to increased market volatility and uncertainty, which could have an adverse impact on macroeconomic factors that affect our business.</w:t>
      </w:r>
    </w:p>
    <w:p>
      <w:pPr>
        <w:spacing w:after="0" w:line="177" w:lineRule="exact"/>
        <w:rPr>
          <w:sz w:val="20"/>
          <w:szCs w:val="20"/>
          <w:color w:val="auto"/>
        </w:rPr>
      </w:pPr>
    </w:p>
    <w:p>
      <w:pPr>
        <w:jc w:val="both"/>
        <w:ind w:right="400" w:firstLine="603"/>
        <w:spacing w:after="0" w:line="257" w:lineRule="auto"/>
        <w:rPr>
          <w:sz w:val="20"/>
          <w:szCs w:val="20"/>
          <w:color w:val="auto"/>
        </w:rPr>
      </w:pPr>
      <w:r>
        <w:rPr>
          <w:rFonts w:ascii="Arial" w:cs="Arial" w:eastAsia="Arial" w:hAnsi="Arial"/>
          <w:sz w:val="17"/>
          <w:szCs w:val="17"/>
          <w:color w:val="auto"/>
        </w:rPr>
        <w:t>Our sales in Russia represented less than 1% of our total revenue in 2022 and due to the ongoing military conflict in Ukraine we will not be active in the Russian market until there has been a peaceful resolution. This means we will forgo any sales opportunities in the Russian market which could result in a material adverse effect on our business, cash flow, results of operations and financial condition.</w:t>
      </w:r>
    </w:p>
    <w:p>
      <w:pPr>
        <w:spacing w:after="0" w:line="201" w:lineRule="exact"/>
        <w:rPr>
          <w:sz w:val="20"/>
          <w:szCs w:val="20"/>
          <w:color w:val="auto"/>
        </w:rPr>
      </w:pPr>
    </w:p>
    <w:p>
      <w:pPr>
        <w:ind w:right="80" w:firstLine="603"/>
        <w:spacing w:after="0" w:line="307" w:lineRule="auto"/>
        <w:rPr>
          <w:sz w:val="20"/>
          <w:szCs w:val="20"/>
          <w:color w:val="auto"/>
        </w:rPr>
      </w:pPr>
      <w:r>
        <w:rPr>
          <w:rFonts w:ascii="Arial" w:cs="Arial" w:eastAsia="Arial" w:hAnsi="Arial"/>
          <w:sz w:val="15"/>
          <w:szCs w:val="15"/>
          <w:color w:val="auto"/>
        </w:rPr>
        <w:t>In addition, we rely on our payment processors to understand the destination of our payments to sellers. If our payment processors fail to follow newly imposed sanctions limitations, we may be at risk of being deemed to have violated such sanctions limitations. Further escalation of geopolitical tensions could have a broader impact that expands into other markets where we do business, which could adversely affect our business, business partners or customers in the broader region.</w:t>
      </w:r>
    </w:p>
    <w:p>
      <w:pPr>
        <w:spacing w:after="0" w:line="167" w:lineRule="exact"/>
        <w:rPr>
          <w:sz w:val="20"/>
          <w:szCs w:val="20"/>
          <w:color w:val="auto"/>
        </w:rPr>
      </w:pPr>
    </w:p>
    <w:p>
      <w:pPr>
        <w:ind w:right="520"/>
        <w:spacing w:after="0" w:line="335" w:lineRule="auto"/>
        <w:rPr>
          <w:sz w:val="20"/>
          <w:szCs w:val="20"/>
          <w:color w:val="auto"/>
        </w:rPr>
      </w:pPr>
      <w:r>
        <w:rPr>
          <w:rFonts w:ascii="Arial" w:cs="Arial" w:eastAsia="Arial" w:hAnsi="Arial"/>
          <w:sz w:val="15"/>
          <w:szCs w:val="15"/>
          <w:b w:val="1"/>
          <w:bCs w:val="1"/>
          <w:i w:val="1"/>
          <w:iCs w:val="1"/>
          <w:color w:val="auto"/>
        </w:rPr>
        <w:t>Our batteries and our website, systems, and data we maintain may be subject to intentional disruption, other security incidents, or alleged violations of laws, regulations, or other obligations relating to data handling that could result in liability and adversely impact our reputation and future sales.</w:t>
      </w:r>
    </w:p>
    <w:p>
      <w:pPr>
        <w:spacing w:after="0" w:line="146" w:lineRule="exact"/>
        <w:rPr>
          <w:sz w:val="20"/>
          <w:szCs w:val="20"/>
          <w:color w:val="auto"/>
        </w:rPr>
      </w:pPr>
    </w:p>
    <w:p>
      <w:pPr>
        <w:ind w:right="80" w:firstLine="603"/>
        <w:spacing w:after="0" w:line="274" w:lineRule="auto"/>
        <w:rPr>
          <w:sz w:val="20"/>
          <w:szCs w:val="20"/>
          <w:color w:val="auto"/>
        </w:rPr>
      </w:pPr>
      <w:r>
        <w:rPr>
          <w:rFonts w:ascii="Arial" w:cs="Arial" w:eastAsia="Arial" w:hAnsi="Arial"/>
          <w:sz w:val="16"/>
          <w:szCs w:val="16"/>
          <w:color w:val="auto"/>
        </w:rPr>
        <w:t>We expect to face significant challenges with respect to information security and maintaining the security and integrity of our systems and other systems used in our business, as well as with respect to the data stored on or processed by these systems. Advances in technology, an increased level of sophistication, and an increased level of expertise of hackers, new discoveries in the field of cryptography or others can result in a compromise or breach of the systems used in our business or of security measures used in our business to protect confidential information, personal information, and other data.</w:t>
      </w:r>
    </w:p>
    <w:p>
      <w:pPr>
        <w:spacing w:after="0" w:line="189" w:lineRule="exact"/>
        <w:rPr>
          <w:sz w:val="20"/>
          <w:szCs w:val="20"/>
          <w:color w:val="auto"/>
        </w:rPr>
      </w:pPr>
    </w:p>
    <w:p>
      <w:pPr>
        <w:ind w:firstLine="603"/>
        <w:spacing w:after="0" w:line="250" w:lineRule="auto"/>
        <w:rPr>
          <w:sz w:val="20"/>
          <w:szCs w:val="20"/>
          <w:color w:val="auto"/>
        </w:rPr>
      </w:pPr>
      <w:r>
        <w:rPr>
          <w:rFonts w:ascii="Arial" w:cs="Arial" w:eastAsia="Arial" w:hAnsi="Arial"/>
          <w:sz w:val="17"/>
          <w:szCs w:val="17"/>
          <w:color w:val="auto"/>
        </w:rPr>
        <w:t>The availability and effectiveness of our batteries, and our ability to conduct our business and operations, depend on the continued operation of IT and communications systems, some of which we have yet to develop or otherwise obtain the ability to use. Systems used in our business, including data centers and other IT systems,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We anticipate using outsourced service providers to help provide certain services, and any such outsourced service providers face similar security and system disruption risks as we do. Some of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legally obligated to take back used batteries from clients and the cost of doing so may differ materially from our estimates.</w:t>
      </w:r>
    </w:p>
    <w:p>
      <w:pPr>
        <w:spacing w:after="0" w:line="231" w:lineRule="exact"/>
        <w:rPr>
          <w:sz w:val="20"/>
          <w:szCs w:val="20"/>
          <w:color w:val="auto"/>
        </w:rPr>
      </w:pPr>
    </w:p>
    <w:p>
      <w:pPr>
        <w:ind w:right="80" w:firstLine="603"/>
        <w:spacing w:after="0" w:line="268" w:lineRule="auto"/>
        <w:rPr>
          <w:sz w:val="20"/>
          <w:szCs w:val="20"/>
          <w:color w:val="auto"/>
        </w:rPr>
      </w:pPr>
      <w:r>
        <w:rPr>
          <w:rFonts w:ascii="Arial" w:cs="Arial" w:eastAsia="Arial" w:hAnsi="Arial"/>
          <w:sz w:val="16"/>
          <w:szCs w:val="16"/>
          <w:color w:val="auto"/>
        </w:rPr>
        <w:t>According to Directive 2013/56/EU, which amended Directive 2006/66/EC and which has been implemented in Germany with the German Battery Act (Batteriegesetz), we are obligated, in several countries, to take back and recycle or otherwise safely dispose of all batteries we directly sell as a producer free of charge for our clients. In 2021, we began selling batteries and battery systems as a direct producer in the European market. As our batteries have an expected lifespan of approximately 10 years, we expect the next tranche of end-of-life batteries to be returned to us in 2031 at the latest, a cycle which we expect to be ongoing. In order to address the financial and other risks associated with battery exchanges, we have decided to either exchange batteries ourselves or to sell them to partners such as Umicore following the end of their battery life with a customer or their end-user. We estimate that roughly half of the batteries we have sold will be refurbished and resold while the remaining batteries are expected to be recycled or reutilized for other purposes.</w:t>
      </w:r>
    </w:p>
    <w:p>
      <w:pPr>
        <w:spacing w:after="0" w:line="194" w:lineRule="exact"/>
        <w:rPr>
          <w:sz w:val="20"/>
          <w:szCs w:val="20"/>
          <w:color w:val="auto"/>
        </w:rPr>
      </w:pPr>
    </w:p>
    <w:p>
      <w:pPr>
        <w:ind w:right="60" w:firstLine="603"/>
        <w:spacing w:after="0" w:line="253" w:lineRule="auto"/>
        <w:rPr>
          <w:sz w:val="20"/>
          <w:szCs w:val="20"/>
          <w:color w:val="auto"/>
        </w:rPr>
      </w:pPr>
      <w:r>
        <w:rPr>
          <w:rFonts w:ascii="Arial" w:cs="Arial" w:eastAsia="Arial" w:hAnsi="Arial"/>
          <w:sz w:val="17"/>
          <w:szCs w:val="17"/>
          <w:color w:val="auto"/>
        </w:rPr>
        <w:t>Changes in regulatory policies and customer practices could have a material adverse effect on our business and operations. New European regulations that we expect to be in place by 2025 will push local (European) battery cell production and “green” energy usage for battery production. Battery passports may be introduced. In addition, we are beginning to see OEM customer requirements for locally produced battery cells. This may lead to increased competitiveness in the European market, as we expect major cell manufacturers to add localized European cell production.</w:t>
      </w:r>
    </w:p>
    <w:p>
      <w:pPr>
        <w:spacing w:after="0" w:line="205" w:lineRule="exact"/>
        <w:rPr>
          <w:sz w:val="20"/>
          <w:szCs w:val="20"/>
          <w:color w:val="auto"/>
        </w:rPr>
      </w:pPr>
    </w:p>
    <w:p>
      <w:pPr>
        <w:ind w:right="600"/>
        <w:spacing w:after="0" w:line="268" w:lineRule="auto"/>
        <w:rPr>
          <w:sz w:val="20"/>
          <w:szCs w:val="20"/>
          <w:color w:val="auto"/>
        </w:rPr>
      </w:pPr>
      <w:r>
        <w:rPr>
          <w:rFonts w:ascii="Arial" w:cs="Arial" w:eastAsia="Arial" w:hAnsi="Arial"/>
          <w:sz w:val="17"/>
          <w:szCs w:val="17"/>
          <w:b w:val="1"/>
          <w:bCs w:val="1"/>
          <w:i w:val="1"/>
          <w:iCs w:val="1"/>
          <w:color w:val="auto"/>
        </w:rPr>
        <w:t>We may have difficulties transferring and communicating technology globally, especially if communications and visa processes between the U.S. and other countries worsen.</w:t>
      </w:r>
    </w:p>
    <w:p>
      <w:pPr>
        <w:spacing w:after="0" w:line="191" w:lineRule="exact"/>
        <w:rPr>
          <w:sz w:val="20"/>
          <w:szCs w:val="20"/>
          <w:color w:val="auto"/>
        </w:rPr>
      </w:pPr>
    </w:p>
    <w:p>
      <w:pPr>
        <w:ind w:right="60" w:firstLine="603"/>
        <w:spacing w:after="0" w:line="268" w:lineRule="auto"/>
        <w:rPr>
          <w:sz w:val="20"/>
          <w:szCs w:val="20"/>
          <w:color w:val="auto"/>
        </w:rPr>
      </w:pPr>
      <w:r>
        <w:rPr>
          <w:rFonts w:ascii="Arial" w:cs="Arial" w:eastAsia="Arial" w:hAnsi="Arial"/>
          <w:sz w:val="16"/>
          <w:szCs w:val="16"/>
          <w:color w:val="auto"/>
        </w:rPr>
        <w:t>In different parts of the world, the technology platforms that are used to facilitate communication between staff are different, or in some cases banned. For example, the PRC government has banned a number of technology apps, and certain jurisdictions may attempt to restrict the operation and access of certain China-based companies, such as TikTok, WeChat and Alipay in the U.S. In response, government authorities in China, or elsewhere, may seek to restrict the access and operations of U.S. companies. As the options for communication become restricted, it may become difficult to efficiently coordinate complex manufacturing supply chains in a global setting, causing delays or missed income opportunities. Further, the software we use may be different in different countries, which makes it difficult to share certain engineering documents and resources between global subsidiaries. Delays due to inefficiencies in communication and file sharing may impact decision making, lead to errors, and affect our ability to maximize profit.</w:t>
      </w:r>
    </w:p>
    <w:p>
      <w:pPr>
        <w:spacing w:after="0" w:line="194" w:lineRule="exact"/>
        <w:rPr>
          <w:sz w:val="20"/>
          <w:szCs w:val="20"/>
          <w:color w:val="auto"/>
        </w:rPr>
      </w:pPr>
    </w:p>
    <w:p>
      <w:pPr>
        <w:ind w:firstLine="603"/>
        <w:spacing w:after="0" w:line="271" w:lineRule="auto"/>
        <w:rPr>
          <w:sz w:val="20"/>
          <w:szCs w:val="20"/>
          <w:color w:val="auto"/>
        </w:rPr>
      </w:pPr>
      <w:r>
        <w:rPr>
          <w:rFonts w:ascii="Arial" w:cs="Arial" w:eastAsia="Arial" w:hAnsi="Arial"/>
          <w:sz w:val="16"/>
          <w:szCs w:val="16"/>
          <w:color w:val="auto"/>
        </w:rPr>
        <w:t>We have also transferred and expect to continue to transfer personnel between the United States and other geographies, specifically China, for short, medium and long-term or permanent durations. Global immigration requirements routinely change and are complex to navigate. We cannot assure you that we will be able to acquire adequate visas for the movement of our personnel between the locations we and/or our customers operate going forward. As our business is spread across many geographies, our current business relies on the ability of obtaining personnel visas so that our employees can freely move between our international offices and operations, and any restrictions or denials could limit our ability to train and pass along proprietary information efficiently.</w:t>
      </w:r>
    </w:p>
    <w:p>
      <w:pPr>
        <w:spacing w:after="0" w:line="179" w:lineRule="exact"/>
        <w:rPr>
          <w:sz w:val="20"/>
          <w:szCs w:val="20"/>
          <w:color w:val="auto"/>
        </w:rPr>
      </w:pPr>
    </w:p>
    <w:p>
      <w:pPr>
        <w:ind w:right="320" w:firstLine="603"/>
        <w:spacing w:after="0" w:line="252" w:lineRule="auto"/>
        <w:rPr>
          <w:sz w:val="20"/>
          <w:szCs w:val="20"/>
          <w:color w:val="auto"/>
        </w:rPr>
      </w:pPr>
      <w:r>
        <w:rPr>
          <w:rFonts w:ascii="Arial" w:cs="Arial" w:eastAsia="Arial" w:hAnsi="Arial"/>
          <w:sz w:val="17"/>
          <w:szCs w:val="17"/>
          <w:color w:val="auto"/>
        </w:rPr>
        <w:t>Although challenges transferring and communicating technology globally, as well as obtaining personnel visas, have not currently, however, impacted our geographic diversification strategy, we cannot assure you that we will not experience these issues in the future.</w:t>
      </w:r>
    </w:p>
    <w:p>
      <w:pPr>
        <w:spacing w:after="0" w:line="192"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b w:val="1"/>
          <w:bCs w:val="1"/>
          <w:i w:val="1"/>
          <w:iCs w:val="1"/>
          <w:color w:val="auto"/>
        </w:rPr>
        <w:t>Our $200 million grant from the DOE remains subject to negotiation of specific terms, and completion of the project the grant supports will require us to obtain additional financing which may not be available at all or on acceptable terms; continued availability of grant funding is uncertain and contingent on our compliance with the requirements of the grants we have or may receive in the future.</w:t>
      </w:r>
    </w:p>
    <w:p>
      <w:pPr>
        <w:spacing w:after="0" w:line="202" w:lineRule="exact"/>
        <w:rPr>
          <w:sz w:val="20"/>
          <w:szCs w:val="20"/>
          <w:color w:val="auto"/>
        </w:rPr>
      </w:pPr>
    </w:p>
    <w:p>
      <w:pPr>
        <w:ind w:right="220" w:firstLine="603"/>
        <w:spacing w:after="0" w:line="252" w:lineRule="auto"/>
        <w:rPr>
          <w:sz w:val="20"/>
          <w:szCs w:val="20"/>
          <w:color w:val="auto"/>
        </w:rPr>
      </w:pPr>
      <w:r>
        <w:rPr>
          <w:rFonts w:ascii="Arial" w:cs="Arial" w:eastAsia="Arial" w:hAnsi="Arial"/>
          <w:sz w:val="16"/>
          <w:szCs w:val="16"/>
          <w:color w:val="auto"/>
        </w:rPr>
        <w:t>In October 2022, we were notified by the DOE that we had been selected, in collaboration with General Motors, to receive $200 million in grant funding as part of the DOE's Battery Materials Processing and Battery Manufacturing initiative pursuant to the recently enacted infrastructure law, subject to negotiation of specific terms. Once finalized, the grant funding will remain subject to certain conditions precedent and other terms and conditions to be agreed between us and the DOE. The grant funding is expected to support the construction of a new polyaramid separator manufacturing</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facility in the U.S. To complete this project, we will need to obtain additional financing, and we cannot assure you that such financing will be available at all or on acceptable terms. To the extent that we do not comply with the negotiated grant requirements, the expenses that we incur may not be reimbursed under our grant with the DOE. Furthermore, our existing grant or any new grants that we may obtain in the future from the DOE or another government agency may be terminated or modified. Our ability to obtain grants or incentives from government entities in the future is subject to the availability of funds under applicable government programs and approval of our applications to participate in such programs. The application process for these grants and other incentives is highly competitive. We may not be successful in obtaining any additional grants, loans or other incentives.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Doing Business in China</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Adverse changes in political, economic, and other policies of the PRC government could have a material adverse effect on China’s overall economic growth, which could materially and adversely affect the growth of our business and our competitive position.</w:t>
      </w:r>
    </w:p>
    <w:p>
      <w:pPr>
        <w:spacing w:after="0" w:line="191" w:lineRule="exact"/>
        <w:rPr>
          <w:sz w:val="20"/>
          <w:szCs w:val="20"/>
          <w:color w:val="auto"/>
        </w:rPr>
      </w:pPr>
    </w:p>
    <w:p>
      <w:pPr>
        <w:jc w:val="both"/>
        <w:ind w:right="180" w:firstLine="603"/>
        <w:spacing w:after="0" w:line="307" w:lineRule="auto"/>
        <w:rPr>
          <w:sz w:val="20"/>
          <w:szCs w:val="20"/>
          <w:color w:val="auto"/>
        </w:rPr>
      </w:pPr>
      <w:r>
        <w:rPr>
          <w:rFonts w:ascii="Arial" w:cs="Arial" w:eastAsia="Arial" w:hAnsi="Arial"/>
          <w:sz w:val="15"/>
          <w:szCs w:val="15"/>
          <w:color w:val="auto"/>
        </w:rPr>
        <w:t>Our business operations have a material dependency on the Chinese market for both revenues generated in that market and as a source of finished products and components for our global operations. Accordingly, our business, financial condition, results of operations, and prospects are affected significantly by economic, political, and legal developments in China. The Chinese economy differs from the economies of most developed countries in many respects, including:</w:t>
      </w:r>
    </w:p>
    <w:p>
      <w:pPr>
        <w:spacing w:after="0" w:line="167" w:lineRule="exact"/>
        <w:rPr>
          <w:sz w:val="20"/>
          <w:szCs w:val="20"/>
          <w:color w:val="auto"/>
        </w:rPr>
      </w:pPr>
    </w:p>
    <w:p>
      <w:pPr>
        <w:ind w:left="600" w:hanging="298"/>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degree of government involvement;</w:t>
      </w:r>
    </w:p>
    <w:p>
      <w:pPr>
        <w:spacing w:after="0" w:line="17" w:lineRule="exact"/>
        <w:rPr>
          <w:rFonts w:ascii="Arial" w:cs="Arial" w:eastAsia="Arial" w:hAnsi="Arial"/>
          <w:sz w:val="17"/>
          <w:szCs w:val="17"/>
          <w:color w:val="auto"/>
        </w:rPr>
      </w:pPr>
    </w:p>
    <w:p>
      <w:pPr>
        <w:ind w:left="600" w:hanging="298"/>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level of development;</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growth rate;</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control of foreign exchange;</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allocation of resources;</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evolving and rapidly changing regulatory system; and</w:t>
      </w:r>
    </w:p>
    <w:p>
      <w:pPr>
        <w:spacing w:after="0" w:line="5" w:lineRule="exact"/>
        <w:rPr>
          <w:rFonts w:ascii="Arial" w:cs="Arial" w:eastAsia="Arial" w:hAnsi="Arial"/>
          <w:sz w:val="17"/>
          <w:szCs w:val="17"/>
          <w:color w:val="auto"/>
        </w:rPr>
      </w:pPr>
    </w:p>
    <w:p>
      <w:pPr>
        <w:ind w:left="600" w:hanging="298"/>
        <w:spacing w:after="0"/>
        <w:tabs>
          <w:tab w:leader="none" w:pos="6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lack of sufficient transparency in the regulatory process.</w:t>
      </w:r>
    </w:p>
    <w:p>
      <w:pPr>
        <w:spacing w:after="0" w:line="219" w:lineRule="exact"/>
        <w:rPr>
          <w:sz w:val="20"/>
          <w:szCs w:val="20"/>
          <w:color w:val="auto"/>
        </w:rPr>
      </w:pPr>
    </w:p>
    <w:p>
      <w:pPr>
        <w:ind w:right="20" w:firstLine="603"/>
        <w:spacing w:after="0" w:line="253" w:lineRule="auto"/>
        <w:rPr>
          <w:sz w:val="20"/>
          <w:szCs w:val="20"/>
          <w:color w:val="auto"/>
        </w:rPr>
      </w:pPr>
      <w:r>
        <w:rPr>
          <w:rFonts w:ascii="Arial" w:cs="Arial" w:eastAsia="Arial" w:hAnsi="Arial"/>
          <w:sz w:val="17"/>
          <w:szCs w:val="17"/>
          <w:color w:val="auto"/>
        </w:rPr>
        <w:t>The continued control and influence of the Chinese economy by the PRC government could materially and adversely affect our business. While the PRC government has implemented various measures to encourage economic growth and guide the allocation of resources, some of these measures may also have a negative effect on us. For example, our financial condition and results of operations may be adversely affected by government control over capital investments, foreign currency exchange restrictions, or changes in tax regulations that are applicable to us.</w:t>
      </w:r>
    </w:p>
    <w:p>
      <w:pPr>
        <w:spacing w:after="0" w:line="205" w:lineRule="exact"/>
        <w:rPr>
          <w:sz w:val="20"/>
          <w:szCs w:val="20"/>
          <w:color w:val="auto"/>
        </w:rPr>
      </w:pPr>
    </w:p>
    <w:p>
      <w:pPr>
        <w:ind w:right="560" w:firstLine="603"/>
        <w:spacing w:after="0" w:line="299" w:lineRule="auto"/>
        <w:rPr>
          <w:sz w:val="20"/>
          <w:szCs w:val="20"/>
          <w:color w:val="auto"/>
        </w:rPr>
      </w:pPr>
      <w:r>
        <w:rPr>
          <w:rFonts w:ascii="Arial" w:cs="Arial" w:eastAsia="Arial" w:hAnsi="Arial"/>
          <w:sz w:val="16"/>
          <w:szCs w:val="16"/>
          <w:color w:val="auto"/>
        </w:rPr>
        <w:t>The PRC government exercises significant control over China’s economic growth through the allocation of resources, controlling payments of foreign currency-denominated obligations, setting monetary policy, and providing preferential treatment to particular industries or companies.</w:t>
      </w:r>
    </w:p>
    <w:p>
      <w:pPr>
        <w:spacing w:after="0" w:line="169" w:lineRule="exact"/>
        <w:rPr>
          <w:sz w:val="20"/>
          <w:szCs w:val="20"/>
          <w:color w:val="auto"/>
        </w:rPr>
      </w:pPr>
    </w:p>
    <w:p>
      <w:pPr>
        <w:ind w:right="180" w:firstLine="603"/>
        <w:spacing w:after="0" w:line="268" w:lineRule="auto"/>
        <w:rPr>
          <w:sz w:val="20"/>
          <w:szCs w:val="20"/>
          <w:color w:val="auto"/>
        </w:rPr>
      </w:pPr>
      <w:r>
        <w:rPr>
          <w:rFonts w:ascii="Arial" w:cs="Arial" w:eastAsia="Arial" w:hAnsi="Arial"/>
          <w:sz w:val="17"/>
          <w:szCs w:val="17"/>
          <w:color w:val="auto"/>
        </w:rPr>
        <w:t>Any adverse change in the economic conditions or government policies in China could have a material adverse effect on overall economic growth, which in turn could lead to a reduction in demand for our products and consequently have a material adverse effect on our businesses.</w:t>
      </w:r>
    </w:p>
    <w:p>
      <w:pPr>
        <w:spacing w:after="0" w:line="191" w:lineRule="exact"/>
        <w:rPr>
          <w:sz w:val="20"/>
          <w:szCs w:val="20"/>
          <w:color w:val="auto"/>
        </w:rPr>
      </w:pPr>
    </w:p>
    <w:p>
      <w:pPr>
        <w:jc w:val="both"/>
        <w:ind w:right="60"/>
        <w:spacing w:after="0" w:line="307" w:lineRule="auto"/>
        <w:rPr>
          <w:sz w:val="20"/>
          <w:szCs w:val="20"/>
          <w:color w:val="auto"/>
        </w:rPr>
      </w:pPr>
      <w:r>
        <w:rPr>
          <w:rFonts w:ascii="Arial" w:cs="Arial" w:eastAsia="Arial" w:hAnsi="Arial"/>
          <w:sz w:val="15"/>
          <w:szCs w:val="15"/>
          <w:b w:val="1"/>
          <w:bCs w:val="1"/>
          <w:i w:val="1"/>
          <w:iCs w:val="1"/>
          <w:color w:val="auto"/>
        </w:rPr>
        <w:t>Our operations in China are subject to extensive PRC government regulation, and changes to such regulations could increase our costs or limit our ability to sell products and conduct activities from China. Specifically, as a result of our operations in China, we could become subject to regulations issued by the CAC and the requirements of the PRC government’s cyber and data security laws, which could impact our activities in China.</w:t>
      </w:r>
    </w:p>
    <w:p>
      <w:pPr>
        <w:spacing w:after="0" w:line="167" w:lineRule="exact"/>
        <w:rPr>
          <w:sz w:val="20"/>
          <w:szCs w:val="20"/>
          <w:color w:val="auto"/>
        </w:rPr>
      </w:pPr>
    </w:p>
    <w:p>
      <w:pPr>
        <w:ind w:right="100" w:firstLine="603"/>
        <w:spacing w:after="0" w:line="290" w:lineRule="auto"/>
        <w:rPr>
          <w:sz w:val="20"/>
          <w:szCs w:val="20"/>
          <w:color w:val="auto"/>
        </w:rPr>
      </w:pPr>
      <w:r>
        <w:rPr>
          <w:rFonts w:ascii="Arial" w:cs="Arial" w:eastAsia="Arial" w:hAnsi="Arial"/>
          <w:sz w:val="15"/>
          <w:szCs w:val="15"/>
          <w:color w:val="auto"/>
        </w:rPr>
        <w:t>The PRC government has broad discretion and authority to regulate the technology industry in China. Additionally, the PRC government has implemented policies from time-to-time to regulate economic expansion in China. Personal privacy, cyber security, and data protection are becoming increasingly significant issues in China. To address these issues, the PRC government promulgated cyber security laws setting forth various requirements relating to the collection, use, storage, disclosure and security of data, among other things. In 2021, the PRC government also implemented a comprehensive data security law which aims to regulate a wide range of issues in relation to the collection, storage, processing, use, provision, transaction and publication of any kind of data, and a law on personal information which provides a comprehensive set of rules on personal information protection in China.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firstLine="603"/>
        <w:spacing w:after="0" w:line="249" w:lineRule="auto"/>
        <w:rPr>
          <w:sz w:val="20"/>
          <w:szCs w:val="20"/>
          <w:color w:val="auto"/>
        </w:rPr>
      </w:pPr>
      <w:r>
        <w:rPr>
          <w:rFonts w:ascii="Arial" w:cs="Arial" w:eastAsia="Arial" w:hAnsi="Arial"/>
          <w:sz w:val="17"/>
          <w:szCs w:val="17"/>
          <w:color w:val="auto"/>
        </w:rPr>
        <w:t>Regulations and measures enacted to implement such laws aim to ensure the security of supply chains for critical information infrastructure (“CII”) and guarantee national security by prescribing a security review by the PRC government’s Cybersecurity Review Office (the “CRO”, subordinated to the CAC) for certain network products and services purchased by CII operators and data processing activities conducted by online platform operators. Among those regulations, any online platform operator which holds the personal information of more than one million individuals is required to apply to the CRO for a cybersecurity review if it seeks to list on a non-PRC exchange. While we do not believe that such a regulation would impact our operations since neither we nor our subsidiaries in China collect any personal information, it is possible that other requirements may increase our costs of compliance or even materially affect our ability to operate our business. It is also possible that the CAC elects to impose rules or regulations with respect to the collection of personal information that apply more broadly and that would apply to us or our operations.</w:t>
      </w:r>
    </w:p>
    <w:p>
      <w:pPr>
        <w:spacing w:after="0" w:line="210"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color w:val="auto"/>
        </w:rPr>
        <w:t>Further, in 2022, the CAC published regulations related to cross-border data transfers, which specify that data handlers will be subject to security assessment if they match the following thresholds or conditions: (1) data handlers providing important data abroad; (2) CII operators and data handlers handling the personal information of over one million people providing personal information abroad; (3) data handlers providing abroad the personal information of more than 100,000 people or the sensitive personal information of more than 10,000 people since January 1 of the previous year; or (4) other situations provided for by the CAC that require a security assessment.</w:t>
      </w:r>
    </w:p>
    <w:p>
      <w:pPr>
        <w:spacing w:after="0" w:line="208" w:lineRule="exact"/>
        <w:rPr>
          <w:sz w:val="20"/>
          <w:szCs w:val="20"/>
          <w:color w:val="auto"/>
        </w:rPr>
      </w:pPr>
    </w:p>
    <w:p>
      <w:pPr>
        <w:ind w:firstLine="603"/>
        <w:spacing w:after="0" w:line="293" w:lineRule="auto"/>
        <w:rPr>
          <w:sz w:val="20"/>
          <w:szCs w:val="20"/>
          <w:color w:val="auto"/>
        </w:rPr>
      </w:pPr>
      <w:r>
        <w:rPr>
          <w:rFonts w:ascii="Arial" w:cs="Arial" w:eastAsia="Arial" w:hAnsi="Arial"/>
          <w:sz w:val="15"/>
          <w:szCs w:val="15"/>
          <w:color w:val="auto"/>
        </w:rPr>
        <w:t>While we believe we are compliant in all material respects with the regulations and policies that have been issued to date by the CAC, we cannot guarantee we will be able to comply with all of these regulatory requirements. Any failure to comply with the cyber security, data security and personal information protection laws and the related regulations, measures and policies could result in further cost and liability to us and could adversely affect our business and results of operations. Additionally, increased costs to comply with, and other burdens imposed by such laws, regulations, measures and policies that are applicable to the businesses of our suppliers, vendors and other service providers, as well as our customers, could adversely affect our business and results of operations.</w:t>
      </w:r>
    </w:p>
    <w:p>
      <w:pPr>
        <w:spacing w:after="0" w:line="177" w:lineRule="exact"/>
        <w:rPr>
          <w:sz w:val="20"/>
          <w:szCs w:val="20"/>
          <w:color w:val="auto"/>
        </w:rPr>
      </w:pPr>
    </w:p>
    <w:p>
      <w:pPr>
        <w:jc w:val="both"/>
        <w:ind w:right="80"/>
        <w:spacing w:after="0" w:line="257" w:lineRule="auto"/>
        <w:rPr>
          <w:sz w:val="20"/>
          <w:szCs w:val="20"/>
          <w:color w:val="auto"/>
        </w:rPr>
      </w:pPr>
      <w:r>
        <w:rPr>
          <w:rFonts w:ascii="Arial" w:cs="Arial" w:eastAsia="Arial" w:hAnsi="Arial"/>
          <w:sz w:val="17"/>
          <w:szCs w:val="17"/>
          <w:b w:val="1"/>
          <w:bCs w:val="1"/>
          <w:i w:val="1"/>
          <w:iCs w:val="1"/>
          <w:color w:val="auto"/>
        </w:rPr>
        <w:t>Any future revocation of approvals, future failure to obtain approvals applicable to our business or any adverse changes in foreign investment policies of the PRC government, including restrictions on the foreign ownership of companies, may have a material adverse impact on our business, financial condition and results of operations.</w:t>
      </w:r>
    </w:p>
    <w:p>
      <w:pPr>
        <w:spacing w:after="0" w:line="201" w:lineRule="exact"/>
        <w:rPr>
          <w:sz w:val="20"/>
          <w:szCs w:val="20"/>
          <w:color w:val="auto"/>
        </w:rPr>
      </w:pPr>
    </w:p>
    <w:p>
      <w:pPr>
        <w:ind w:right="40" w:firstLine="603"/>
        <w:spacing w:after="0" w:line="269" w:lineRule="auto"/>
        <w:rPr>
          <w:sz w:val="20"/>
          <w:szCs w:val="20"/>
          <w:color w:val="auto"/>
        </w:rPr>
      </w:pPr>
      <w:r>
        <w:rPr>
          <w:rFonts w:ascii="Arial" w:cs="Arial" w:eastAsia="Arial" w:hAnsi="Arial"/>
          <w:sz w:val="16"/>
          <w:szCs w:val="16"/>
          <w:color w:val="auto"/>
        </w:rPr>
        <w:t>Our subsidiaries in China operate as wholly foreign owned enterprises (“WFOE”) and, as a result, we are required to obtain governmental approvals, licenses, permits, and registrations from regulatory authorities such as CAC and the Ministry of Commerce of the PRC. We believe our Chinese subsidiaries possess the requisite governmental approvals, licenses, permits, and registration for our operations in China. However, the PRC regulatory authorities’ interpretation of the laws, rules, and regulations may change, which could materially and adversely affect the validity of the approvals, qualifications, licenses, permits, and registrations we have obtained or completed. Any failure to comply may result in fines, restrictions, and limits on our operations, as well as suspension or revocation of certain certificates, approvals, permits, licenses, or filings we have already obtained or made.</w:t>
      </w:r>
    </w:p>
    <w:p>
      <w:pPr>
        <w:spacing w:after="0" w:line="194" w:lineRule="exact"/>
        <w:rPr>
          <w:sz w:val="20"/>
          <w:szCs w:val="20"/>
          <w:color w:val="auto"/>
        </w:rPr>
      </w:pPr>
    </w:p>
    <w:p>
      <w:pPr>
        <w:ind w:right="240" w:firstLine="603"/>
        <w:spacing w:after="0" w:line="253" w:lineRule="auto"/>
        <w:rPr>
          <w:sz w:val="20"/>
          <w:szCs w:val="20"/>
          <w:color w:val="auto"/>
        </w:rPr>
      </w:pPr>
      <w:r>
        <w:rPr>
          <w:rFonts w:ascii="Arial" w:cs="Arial" w:eastAsia="Arial" w:hAnsi="Arial"/>
          <w:sz w:val="17"/>
          <w:szCs w:val="17"/>
          <w:color w:val="auto"/>
        </w:rPr>
        <w:t>In addition, the PRC government may amend existing laws or regulations or enact new laws and regulations that require additional licenses, permits, approvals, registrations and/or restrictions for the operation of any of our operations in China. PRC regulations relating to foreign ownership in the power battery manufacturing industry, including the manufacturing of our current main products, have been revised periodically over the past decade. Under the current regulatory regime, there are no foreign ownership restrictions over the manufacture of power batteries.</w:t>
      </w:r>
    </w:p>
    <w:p>
      <w:pPr>
        <w:spacing w:after="0" w:line="205" w:lineRule="exact"/>
        <w:rPr>
          <w:sz w:val="20"/>
          <w:szCs w:val="20"/>
          <w:color w:val="auto"/>
        </w:rPr>
      </w:pPr>
    </w:p>
    <w:p>
      <w:pPr>
        <w:ind w:right="100" w:firstLine="603"/>
        <w:spacing w:after="0" w:line="251" w:lineRule="auto"/>
        <w:rPr>
          <w:sz w:val="20"/>
          <w:szCs w:val="20"/>
          <w:color w:val="auto"/>
        </w:rPr>
      </w:pPr>
      <w:r>
        <w:rPr>
          <w:rFonts w:ascii="Arial" w:cs="Arial" w:eastAsia="Arial" w:hAnsi="Arial"/>
          <w:sz w:val="17"/>
          <w:szCs w:val="17"/>
          <w:color w:val="auto"/>
        </w:rPr>
        <w:t>However, we cannot assure you that we will have all the permits, licenses, registrations, approvals and/or business license items covering the sufficient scope of business required for our business in China in the future, or that we will be able to obtain, maintain or renew any permits, licenses, registrations, approvals and/or business license items covering the sufficient scope of our business in China in a timely manner or at all. Further, if there are changes to PRC regulations in the future that restrict foreign ownership of companies engaged in the manufacture of power batteries, such changes could materially and adversely affect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PRC government may exert substantial influence over the manner in which we conduct our business operations in China.</w:t>
      </w:r>
    </w:p>
    <w:p>
      <w:pPr>
        <w:spacing w:after="0" w:line="231" w:lineRule="exact"/>
        <w:rPr>
          <w:sz w:val="20"/>
          <w:szCs w:val="20"/>
          <w:color w:val="auto"/>
        </w:rPr>
      </w:pPr>
    </w:p>
    <w:p>
      <w:pPr>
        <w:ind w:right="120" w:firstLine="603"/>
        <w:spacing w:after="0" w:line="268" w:lineRule="auto"/>
        <w:rPr>
          <w:sz w:val="20"/>
          <w:szCs w:val="20"/>
          <w:color w:val="auto"/>
        </w:rPr>
      </w:pPr>
      <w:r>
        <w:rPr>
          <w:rFonts w:ascii="Arial" w:cs="Arial" w:eastAsia="Arial" w:hAnsi="Arial"/>
          <w:sz w:val="17"/>
          <w:szCs w:val="17"/>
          <w:color w:val="auto"/>
        </w:rPr>
        <w:t>The PRC government has exercised, and continues to exercise, substantial control over virtually every sector of the Chinese economy through regulation and state ownership. Our ability to conduct and expand our manufacturing</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operations in China may be harmed by changes in its laws and regulations, including those relating to taxation, import and export tariffs, environmental regulations, land use rights, property ownership and other matters. We believe that our operations in China are in material compliance with all applicable legal and regulatory requirements. However, the central or local governments of the jurisdictions in which we operate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PRC properties or entities, including our PRC operating subsidiary, Microvast Power Systems, Ltd.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PRC’s legal and judicial system may not adequately protect our business and operations and the rights of our investors.</w:t>
      </w:r>
    </w:p>
    <w:p>
      <w:pPr>
        <w:spacing w:after="0" w:line="231" w:lineRule="exact"/>
        <w:rPr>
          <w:sz w:val="20"/>
          <w:szCs w:val="20"/>
          <w:color w:val="auto"/>
        </w:rPr>
      </w:pPr>
    </w:p>
    <w:p>
      <w:pPr>
        <w:ind w:right="40" w:firstLine="603"/>
        <w:spacing w:after="0" w:line="250" w:lineRule="auto"/>
        <w:rPr>
          <w:sz w:val="20"/>
          <w:szCs w:val="20"/>
          <w:color w:val="auto"/>
        </w:rPr>
      </w:pPr>
      <w:r>
        <w:rPr>
          <w:rFonts w:ascii="Arial" w:cs="Arial" w:eastAsia="Arial" w:hAnsi="Arial"/>
          <w:sz w:val="17"/>
          <w:szCs w:val="17"/>
          <w:color w:val="auto"/>
        </w:rPr>
        <w:t>We conduct a significant amount of our operations in China through Microvast Power Systems, Ltd, which is a wholly owned foreign enterprise of Microvast Inc. The legal and judicial systems in China are still rudimentary, and enforcement of existing laws is uncertain. It may be impossible to obtain swift and equitable enforcement of laws that do exist, or to obtain enforcement of the judgment of one court by a court of another jurisdiction. China’s legal system is based on the civil law regime, that is, it is based on written statutes. A decision by one judge does not set a legal precedent that is required to be followed by judges in other cases. In addition, the interpretation of Chinese laws may be varied to reflect domestic political changes. As a result, our investors may have more difficulty in protecting their interests through actions against our management, directors or major stockholders than would investors of a corporation doing business entirely or predominantly within the U.S.</w:t>
      </w:r>
    </w:p>
    <w:p>
      <w:pPr>
        <w:spacing w:after="0" w:line="207"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b w:val="1"/>
          <w:bCs w:val="1"/>
          <w:i w:val="1"/>
          <w:iCs w:val="1"/>
          <w:color w:val="auto"/>
        </w:rPr>
        <w:t>Legal restrictions on our Chinese subsidiaries’ ability to make dividends and other distributions could materially and adversely affect our ability to grow, make investments or acquisitions that could benefit our business, pay dividends to you, and otherwise fund and conduct our business.</w:t>
      </w:r>
    </w:p>
    <w:p>
      <w:pPr>
        <w:spacing w:after="0" w:line="146" w:lineRule="exact"/>
        <w:rPr>
          <w:sz w:val="20"/>
          <w:szCs w:val="20"/>
          <w:color w:val="auto"/>
        </w:rPr>
      </w:pPr>
    </w:p>
    <w:p>
      <w:pPr>
        <w:ind w:firstLine="603"/>
        <w:spacing w:after="0" w:line="266" w:lineRule="auto"/>
        <w:rPr>
          <w:sz w:val="20"/>
          <w:szCs w:val="20"/>
          <w:color w:val="auto"/>
        </w:rPr>
      </w:pPr>
      <w:r>
        <w:rPr>
          <w:rFonts w:ascii="Arial" w:cs="Arial" w:eastAsia="Arial" w:hAnsi="Arial"/>
          <w:sz w:val="16"/>
          <w:szCs w:val="16"/>
          <w:color w:val="auto"/>
        </w:rPr>
        <w:t>We are a holding company, and we conduct all of our operations through our subsidiaries, including our subsidiaries in China. Most of our cash is held by our holding company in the U.S. We have been and intend to continue to use our cash on hand to fund our growth. However, because all of our operations are conducted through subsidiaries, all revenue generated from our operations and all capital expenditures we make in our business are generated by or made through subsidiaries, including our subsidiaries based in China. Currently, cash generated by our Chinese subsidiaries is reinvested in our Chinese operations. We currently do not rely on dividends and distributions on equity paid by our subsidiaries, including our subsidiaries based in China. However, our subsidiaries, including our subsidiaries based in China, are subject to statutory and regulatory limitations on the payment of dividends to the Company, which could in the future result in limitations on the availability of cash to fund dividends or distributions and could materially and adversely limit our ability to grow, make investments or acquisitions. Further, if our subsidiaries are unable to make dividend payments to us and sufficient cash or liquidity is not otherwise available, we may not be able to make principal and interest payments on our outstanding debt or repurchase shares of our common stock.</w:t>
      </w:r>
    </w:p>
    <w:p>
      <w:pPr>
        <w:spacing w:after="0" w:line="198" w:lineRule="exact"/>
        <w:rPr>
          <w:sz w:val="20"/>
          <w:szCs w:val="20"/>
          <w:color w:val="auto"/>
        </w:rPr>
      </w:pPr>
    </w:p>
    <w:p>
      <w:pPr>
        <w:ind w:right="120" w:firstLine="603"/>
        <w:spacing w:after="0" w:line="288" w:lineRule="auto"/>
        <w:rPr>
          <w:sz w:val="20"/>
          <w:szCs w:val="20"/>
          <w:color w:val="auto"/>
        </w:rPr>
      </w:pPr>
      <w:r>
        <w:rPr>
          <w:rFonts w:ascii="Arial" w:cs="Arial" w:eastAsia="Arial" w:hAnsi="Arial"/>
          <w:sz w:val="15"/>
          <w:szCs w:val="15"/>
          <w:color w:val="auto"/>
        </w:rPr>
        <w:t>Current regulations in China permit payment of dividends only out of accumulated profits as determined in accordance with PRC accounting standards and regulations. According to the PRC corporate law, our Chinese subsidiaries are required to set aside at least 10% of our after-tax profit based on the PRC accounting standards and regulations each year to our statutory surplus reserve, until the balance in the reserve reaches 50% of the registered capital of each of our Chinese subsidiaries. Funds in the reserve are not distributable to us in forms of cash dividends, loans or advances. In addition, if our PRC subsidiaries incur debt on our own behalf in the future, the instruments governing the debt may restrict their ability to pay dividends or make other distributions to us, which in turn will adversely affect our available cash. Any limitations on the ability of our Chinese subsidiaries to transfer funds to us could materially and adversely limit our ability to grow, make investments or acquisitions that could be beneficial to our business and otherwise fund and conduct our business.</w:t>
      </w:r>
    </w:p>
    <w:p>
      <w:pPr>
        <w:spacing w:after="0" w:line="183" w:lineRule="exact"/>
        <w:rPr>
          <w:sz w:val="20"/>
          <w:szCs w:val="20"/>
          <w:color w:val="auto"/>
        </w:rPr>
      </w:pPr>
    </w:p>
    <w:p>
      <w:pPr>
        <w:jc w:val="both"/>
        <w:ind w:right="200" w:firstLine="603"/>
        <w:spacing w:after="0" w:line="307" w:lineRule="auto"/>
        <w:rPr>
          <w:sz w:val="20"/>
          <w:szCs w:val="20"/>
          <w:color w:val="auto"/>
        </w:rPr>
      </w:pPr>
      <w:r>
        <w:rPr>
          <w:rFonts w:ascii="Arial" w:cs="Arial" w:eastAsia="Arial" w:hAnsi="Arial"/>
          <w:sz w:val="15"/>
          <w:szCs w:val="15"/>
          <w:color w:val="auto"/>
        </w:rPr>
        <w:t>In addition, under PRC law, dividends payable by a foreign investment enterprise to any of our foreign non-resident enterprise investors will be subject to a 10% withholding tax, unless such foreign non-resident enterprise investor’s jurisdiction of incorporation has signed a tax treaty or arrangement for the avoidance of double taxation and the prevention of fiscal evasion with respect to taxes on income in China that provides for a reduced rate of withholding tax on dividends.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340"/>
        <w:spacing w:after="0" w:line="358" w:lineRule="auto"/>
        <w:rPr>
          <w:sz w:val="20"/>
          <w:szCs w:val="20"/>
          <w:color w:val="auto"/>
        </w:rPr>
      </w:pPr>
      <w:r>
        <w:rPr>
          <w:rFonts w:ascii="Arial" w:cs="Arial" w:eastAsia="Arial" w:hAnsi="Arial"/>
          <w:sz w:val="14"/>
          <w:szCs w:val="14"/>
          <w:b w:val="1"/>
          <w:bCs w:val="1"/>
          <w:i w:val="1"/>
          <w:iCs w:val="1"/>
          <w:color w:val="auto"/>
        </w:rPr>
        <w:t>Our securities may be prohibited from trading in the United States under the HFCAA in the future if the PCAOB is unable to inspect or investigate completely auditors located in China. The delisting of the securities, or the threat of their being delisted, may materially and adversely affect the value of your investment.</w:t>
      </w:r>
    </w:p>
    <w:p>
      <w:pPr>
        <w:spacing w:after="0" w:line="348" w:lineRule="exact"/>
        <w:rPr>
          <w:sz w:val="20"/>
          <w:szCs w:val="20"/>
          <w:color w:val="auto"/>
        </w:rPr>
      </w:pPr>
    </w:p>
    <w:p>
      <w:pPr>
        <w:jc w:val="both"/>
        <w:ind w:right="440" w:firstLine="603"/>
        <w:spacing w:after="0" w:line="241" w:lineRule="auto"/>
        <w:rPr>
          <w:sz w:val="20"/>
          <w:szCs w:val="20"/>
          <w:color w:val="auto"/>
        </w:rPr>
      </w:pPr>
      <w:r>
        <w:rPr>
          <w:rFonts w:ascii="Arial" w:cs="Arial" w:eastAsia="Arial" w:hAnsi="Arial"/>
          <w:sz w:val="17"/>
          <w:szCs w:val="17"/>
          <w:color w:val="auto"/>
        </w:rPr>
        <w:t>Pursuant to the HFCAA, if the SEC determines that we have filed audit reports issued by a registered public accounting firm that has not been subject to inspections by the PCAOB for two consecutive years, the SEC will prohibit our securities from being traded on a national securities exchange or in the over-the-counter trading market in the United States.</w:t>
      </w:r>
    </w:p>
    <w:p>
      <w:pPr>
        <w:spacing w:after="0" w:line="215" w:lineRule="exact"/>
        <w:rPr>
          <w:sz w:val="20"/>
          <w:szCs w:val="20"/>
          <w:color w:val="auto"/>
        </w:rPr>
      </w:pPr>
    </w:p>
    <w:p>
      <w:pPr>
        <w:jc w:val="both"/>
        <w:ind w:right="260" w:firstLine="603"/>
        <w:spacing w:after="0" w:line="243" w:lineRule="auto"/>
        <w:rPr>
          <w:sz w:val="20"/>
          <w:szCs w:val="20"/>
          <w:color w:val="auto"/>
        </w:rPr>
      </w:pPr>
      <w:r>
        <w:rPr>
          <w:rFonts w:ascii="Arial" w:cs="Arial" w:eastAsia="Arial" w:hAnsi="Arial"/>
          <w:sz w:val="17"/>
          <w:szCs w:val="17"/>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w:t>
      </w:r>
    </w:p>
    <w:p>
      <w:pPr>
        <w:spacing w:after="0" w:line="200" w:lineRule="exact"/>
        <w:rPr>
          <w:sz w:val="20"/>
          <w:szCs w:val="20"/>
          <w:color w:val="auto"/>
        </w:rPr>
      </w:pPr>
    </w:p>
    <w:p>
      <w:pPr>
        <w:ind w:right="40" w:firstLine="603"/>
        <w:spacing w:after="0" w:line="266" w:lineRule="auto"/>
        <w:rPr>
          <w:sz w:val="20"/>
          <w:szCs w:val="20"/>
          <w:color w:val="auto"/>
        </w:rPr>
      </w:pPr>
      <w:r>
        <w:rPr>
          <w:rFonts w:ascii="Arial" w:cs="Arial" w:eastAsia="Arial" w:hAnsi="Arial"/>
          <w:sz w:val="16"/>
          <w:szCs w:val="16"/>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10-K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securities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securities when you wish to do so, and the risk and uncertainty associated with delisting would have a negative impact on the price of our securities. Also, such a prohibition would significantly affect our ability to raise capital on terms acceptable to us, or at all, which would have a material adverse impact on our business, financial condition, and prospects.</w:t>
      </w:r>
    </w:p>
    <w:p>
      <w:pPr>
        <w:spacing w:after="0" w:line="18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i w:val="1"/>
          <w:iCs w:val="1"/>
          <w:color w:val="auto"/>
        </w:rPr>
        <w:t>Changes in the policies of the PRC government, including more oversight and control over offerings that are conducted overseas and/or foreign investment in China-based issuers, could have a significant impact on the business we may be able to conduct in China, the profitability of our business and the value of our common stock.</w:t>
      </w:r>
    </w:p>
    <w:p>
      <w:pPr>
        <w:spacing w:after="0" w:line="215" w:lineRule="exact"/>
        <w:rPr>
          <w:sz w:val="20"/>
          <w:szCs w:val="20"/>
          <w:color w:val="auto"/>
        </w:rPr>
      </w:pPr>
    </w:p>
    <w:p>
      <w:pPr>
        <w:ind w:right="40" w:firstLine="603"/>
        <w:spacing w:after="0" w:line="274" w:lineRule="auto"/>
        <w:rPr>
          <w:sz w:val="20"/>
          <w:szCs w:val="20"/>
          <w:color w:val="auto"/>
        </w:rPr>
      </w:pPr>
      <w:r>
        <w:rPr>
          <w:rFonts w:ascii="Arial" w:cs="Arial" w:eastAsia="Arial" w:hAnsi="Arial"/>
          <w:sz w:val="15"/>
          <w:szCs w:val="15"/>
          <w:color w:val="auto"/>
        </w:rPr>
        <w:t>Recent regulatory developments in China, in particular with respect to restrictions on China-based companies raising capital offshore, may lead to additional regulatory review in China over our financing and capital raising activities in the U.S., even though our subsidiaries in China are controlled and managed by U.S. citizens and function as U.S. companies that access the China market through their WFOE status. If it is determined in the future that approval from the China Securities Regulatory Commission (the “CSRC”) or other regulatory authorities or other procedures, including the cybersecurity review under the enacted version of the Measures for Cybersecurity Review, are required in relation to our business activities in China, it is uncertain whether we can or how long it will take us to obtain such approval or complete such procedures and any such approval could be rescinded. Any failure to obtain or delay in obtaining such approval or completing such procedures, or a rescission of any such approval, if obtained by us, would subject our China operations to sanctions by the CSRC or other PRC regulatory authorities for failure to seek CSRC approval or other government authorization. These regulatory authorities may impose fines and penalties on our operations in China, limit our ability to pay dividends outside of China, limit our operating privileges in China, delay or restrict the funding of our China operations or take other actions that could materially and adversely affect our business, financial condition, results of operations, and prospects, as well as the trading price of our shares.</w:t>
      </w:r>
    </w:p>
    <w:p>
      <w:pPr>
        <w:spacing w:after="0" w:line="165" w:lineRule="exact"/>
        <w:rPr>
          <w:sz w:val="20"/>
          <w:szCs w:val="20"/>
          <w:color w:val="auto"/>
        </w:rPr>
      </w:pPr>
    </w:p>
    <w:p>
      <w:pPr>
        <w:ind w:right="160" w:firstLine="603"/>
        <w:spacing w:after="0" w:line="236" w:lineRule="auto"/>
        <w:rPr>
          <w:sz w:val="20"/>
          <w:szCs w:val="20"/>
          <w:color w:val="auto"/>
        </w:rPr>
      </w:pPr>
      <w:r>
        <w:rPr>
          <w:rFonts w:ascii="Arial" w:cs="Arial" w:eastAsia="Arial" w:hAnsi="Arial"/>
          <w:sz w:val="17"/>
          <w:szCs w:val="17"/>
          <w:color w:val="auto"/>
        </w:rPr>
        <w:t xml:space="preserve">On February 17, 2023, the CSRC released the </w:t>
      </w:r>
      <w:r>
        <w:rPr>
          <w:rFonts w:ascii="Arial" w:cs="Arial" w:eastAsia="Arial" w:hAnsi="Arial"/>
          <w:sz w:val="17"/>
          <w:szCs w:val="17"/>
          <w:i w:val="1"/>
          <w:iCs w:val="1"/>
          <w:color w:val="auto"/>
        </w:rPr>
        <w:t>Trial Measures for the Administration of Overseas Issuance and Listing of Securities by Domestic Enterprises</w:t>
      </w:r>
      <w:r>
        <w:rPr>
          <w:rFonts w:ascii="Arial" w:cs="Arial" w:eastAsia="Arial" w:hAnsi="Arial"/>
          <w:sz w:val="17"/>
          <w:szCs w:val="17"/>
          <w:color w:val="auto"/>
        </w:rPr>
        <w:t xml:space="preserve"> (“Circular 43”) and a series of associated regulatory guidelines which will come into effect from March 31, 2023. Under Circular 43, both direct listing and indirect listing activities of China based enterprises will become subject to a unified filing requirement with the CSRC. We do not believe this Circular is applicable to Microvast and we believe that jurisdiction for how we conduct our offerings in the U.S. solely rests with the SEC. However, there is always the risk that the CSRC could rely on Circular 43 to cause disruption to our China business which in turn could have a material adverse impact on our business, results of operation and our stock price.</w:t>
      </w:r>
    </w:p>
    <w:p>
      <w:pPr>
        <w:spacing w:after="0" w:line="215"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We have become subject to the recent scrutiny, criticism and negative publicity involving U.S.-listed companies with significant operations in China, and we have and we may continue to expend significant resources to investigate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resolve the matter which could harm our business operations, stock price and reputation, especially if such matter cannot be addressed and resolved favorably.</w:t>
      </w:r>
    </w:p>
    <w:p>
      <w:pPr>
        <w:spacing w:after="0" w:line="266" w:lineRule="exact"/>
        <w:rPr>
          <w:sz w:val="20"/>
          <w:szCs w:val="20"/>
          <w:color w:val="auto"/>
        </w:rPr>
      </w:pPr>
    </w:p>
    <w:p>
      <w:pPr>
        <w:ind w:right="80" w:firstLine="603"/>
        <w:spacing w:after="0" w:line="285" w:lineRule="auto"/>
        <w:rPr>
          <w:sz w:val="20"/>
          <w:szCs w:val="20"/>
          <w:color w:val="auto"/>
        </w:rPr>
      </w:pPr>
      <w:r>
        <w:rPr>
          <w:rFonts w:ascii="Arial" w:cs="Arial" w:eastAsia="Arial" w:hAnsi="Arial"/>
          <w:sz w:val="15"/>
          <w:szCs w:val="15"/>
          <w:color w:val="auto"/>
        </w:rPr>
        <w:t>At various times during recent years, the U.S. and the PRC have had significant disagreements over political and economic issues, which may affect our economic outlook both in the U.S. and in China. Recently, there have been cases where U.S. public companies that have operations in China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U.S.-listed companies with significant operations in China has sharply decreased in value and, in some cases, has become virtually worthless. Many of these companies are now subject to shareholder lawsuits and SEC enforcement actions and are conducting internal and external investigations into the allegations. This sector-wide scrutiny, criticism and negative publicity could have a negative influence on us, our business and our stock price. If we become the subject of any unfavorable allegations, whether such allegations are proven to be true or untrue, we will have to expend significant resources to investigate such allegations and/or defend ourselves. This situation will be costly and time consuming and distract our management from growing our business. If such allegations are not proven to be groundless, we and our business operations will be adversely affected.</w:t>
      </w:r>
    </w:p>
    <w:p>
      <w:pPr>
        <w:spacing w:after="0" w:line="170" w:lineRule="exact"/>
        <w:rPr>
          <w:sz w:val="20"/>
          <w:szCs w:val="20"/>
          <w:color w:val="auto"/>
        </w:rPr>
      </w:pPr>
    </w:p>
    <w:p>
      <w:pPr>
        <w:ind w:right="80" w:firstLine="603"/>
        <w:spacing w:after="0" w:line="238" w:lineRule="auto"/>
        <w:rPr>
          <w:sz w:val="20"/>
          <w:szCs w:val="20"/>
          <w:color w:val="auto"/>
        </w:rPr>
      </w:pPr>
      <w:r>
        <w:rPr>
          <w:rFonts w:ascii="Arial" w:cs="Arial" w:eastAsia="Arial" w:hAnsi="Arial"/>
          <w:sz w:val="17"/>
          <w:szCs w:val="17"/>
          <w:color w:val="auto"/>
        </w:rPr>
        <w:t>In addition, the U.S. government has recently been highly critical of U.S.-listed companies with significant operations in China, in some cases working to bar them from U.S. markets or stock exchanges. Any political or trade controversies between the U.S. and the PRC and any future allegations or regulations might negatively impact us, whether or not directly related to our business, could affect investors’ willingness to hold or buy our stock and reduce the price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substantially on unpatented proprietary technologies.</w:t>
      </w:r>
    </w:p>
    <w:p>
      <w:pPr>
        <w:spacing w:after="0" w:line="231" w:lineRule="exact"/>
        <w:rPr>
          <w:sz w:val="20"/>
          <w:szCs w:val="20"/>
          <w:color w:val="auto"/>
        </w:rPr>
      </w:pPr>
    </w:p>
    <w:p>
      <w:pPr>
        <w:ind w:right="40" w:firstLine="603"/>
        <w:spacing w:after="0" w:line="284" w:lineRule="auto"/>
        <w:rPr>
          <w:sz w:val="20"/>
          <w:szCs w:val="20"/>
          <w:color w:val="auto"/>
        </w:rPr>
      </w:pPr>
      <w:r>
        <w:rPr>
          <w:rFonts w:ascii="Arial" w:cs="Arial" w:eastAsia="Arial" w:hAnsi="Arial"/>
          <w:sz w:val="15"/>
          <w:szCs w:val="15"/>
          <w:color w:val="auto"/>
        </w:rPr>
        <w:t>Our success depends in part on our ability to protect our proprietary trade secrets, confidential information and know-how, technology, trademarks and other intellectual property and intellectual property rights. To do so, we rely generally on copyright, trademark and trade secret laws, confidentiality and invention assignment agreements with employees and third parties, and other agreements with consultants, vendors and clients. Specifically, we rely substantially on unpatented proprietary technology. A significant number of our material proprietary technologies are know-how or trade secrets. For example, our proprietary polyvinylidene fluoride separator that allows for faster charge rates is unpatented. To protect our trade secrets, know-how and other proprietary information, we require employees, consultants, advisors and collaborators to enter into confidentiality agreements. However, we cannot assure you that these agreements will provide meaningful protection for our trade secrets, know-how or other proprietary information in the event of any unauthorized use, misappropriation, or disclosure of such trade secrets, know-how or other proprietary information. There can be no assurance that employees, consultants, vendors and clients have executed such agreements or have not breached or will not breach their agreements with us, that we will have adequate remedies for any breach, or that our trade secrets will not otherwise become known or independently developed by competitors. Despite the protections we place on our intellectual property, a third party could, without authorization, copy or otherwise obtain and use our products or technology, or develop similar technology.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w:t>
      </w:r>
    </w:p>
    <w:p>
      <w:pPr>
        <w:spacing w:after="0" w:line="384" w:lineRule="exact"/>
        <w:rPr>
          <w:sz w:val="20"/>
          <w:szCs w:val="20"/>
          <w:color w:val="auto"/>
        </w:rPr>
      </w:pPr>
    </w:p>
    <w:p>
      <w:pPr>
        <w:ind w:firstLine="603"/>
        <w:spacing w:after="0" w:line="269" w:lineRule="auto"/>
        <w:rPr>
          <w:sz w:val="20"/>
          <w:szCs w:val="20"/>
          <w:color w:val="auto"/>
        </w:rPr>
      </w:pPr>
      <w:r>
        <w:rPr>
          <w:rFonts w:ascii="Arial" w:cs="Arial" w:eastAsia="Arial" w:hAnsi="Arial"/>
          <w:sz w:val="16"/>
          <w:szCs w:val="16"/>
          <w:color w:val="auto"/>
        </w:rPr>
        <w:t>Further, it is possible that others will independently develop the same or similar technology or otherwise obtain access to our unpatented technology, and in such cases, we may not be able to assert any trade secret rights against such parties.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 or competing technologies, our competitive business position could be materially and adversely affected. In addition, some courts inside and outside the U.S. may be less willing or unwilling to protect trade secrets and agreement terms that address non-competition are difficult to enforce in many jurisdictions and might not be enforceable in certain cases.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our ability to obtain, maintain and protect our intellectual property rights.</w:t>
      </w:r>
    </w:p>
    <w:p>
      <w:pPr>
        <w:spacing w:after="0" w:line="231" w:lineRule="exact"/>
        <w:rPr>
          <w:sz w:val="20"/>
          <w:szCs w:val="20"/>
          <w:color w:val="auto"/>
        </w:rPr>
      </w:pPr>
    </w:p>
    <w:p>
      <w:pPr>
        <w:ind w:right="20" w:firstLine="603"/>
        <w:spacing w:after="0" w:line="284" w:lineRule="auto"/>
        <w:rPr>
          <w:sz w:val="20"/>
          <w:szCs w:val="20"/>
          <w:color w:val="auto"/>
        </w:rPr>
      </w:pPr>
      <w:r>
        <w:rPr>
          <w:rFonts w:ascii="Arial" w:cs="Arial" w:eastAsia="Arial" w:hAnsi="Arial"/>
          <w:sz w:val="15"/>
          <w:szCs w:val="15"/>
          <w:color w:val="auto"/>
        </w:rPr>
        <w:t>We rely on our trademarks, service marks, trade names and brand names to distinguish our products from the products of our competitors and have registered or applied to register many of these trademarks. Our trademarks or trade names may be challenged, infringed, circumvented or declared generic or determined to be infringing on other marks, and we cannot assure you that our trademark applications will be approved. During trademark registration proceedings, we may receive rejections. Although we are given an opportunity to respond to those rejections, we may be unable to overcome such rejections.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towards advertising and marketing new brands. Further, we cannot assure you that competitors will not infringe our trademarks or that we will have adequate resources to enforce our trademarks and trade names, which we need to build name recognition among potential partners or customers in our markets of interest. At times, competitors may adopt trade names or trademarks similar to ours, thereby impeding our ability to build a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184" w:lineRule="exact"/>
        <w:rPr>
          <w:sz w:val="20"/>
          <w:szCs w:val="20"/>
          <w:color w:val="auto"/>
        </w:rPr>
      </w:pPr>
    </w:p>
    <w:p>
      <w:pPr>
        <w:ind w:firstLine="603"/>
        <w:spacing w:after="0" w:line="287" w:lineRule="auto"/>
        <w:rPr>
          <w:sz w:val="20"/>
          <w:szCs w:val="20"/>
          <w:color w:val="auto"/>
        </w:rPr>
      </w:pPr>
      <w:r>
        <w:rPr>
          <w:rFonts w:ascii="Arial" w:cs="Arial" w:eastAsia="Arial" w:hAnsi="Arial"/>
          <w:sz w:val="15"/>
          <w:szCs w:val="15"/>
          <w:color w:val="auto"/>
        </w:rPr>
        <w:t>We also rely, in part, on our ability to obtain and maintain patent protection for our proprietary products and processes. The process of applying for and obtaining a patent is expensive and time consuming, and we may not be able to file and prosecute all necessary or desirable patent applications at a reasonable cost, in a timely manner, or in all jurisdictions where protection may be commercially advantageous, or we financially may not be able to protect our proprietary rights at all. Despite our efforts to protect our proprietary rights, unauthorized parties may be able to obtain and use information that we regard as proprietary. In addition, the issuance of a patent does not ensure that it is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products and practicing our own technology. Alternatively, third parties may seek approval to market their products similar to or otherwise competitive with our products. In these circumstances, we may need to defend and/or assert our patents, including by filing lawsuits alleging patent infringement.</w:t>
      </w:r>
    </w:p>
    <w:p>
      <w:pPr>
        <w:spacing w:after="0" w:line="183" w:lineRule="exact"/>
        <w:rPr>
          <w:sz w:val="20"/>
          <w:szCs w:val="20"/>
          <w:color w:val="auto"/>
        </w:rPr>
      </w:pPr>
    </w:p>
    <w:p>
      <w:pPr>
        <w:ind w:right="180" w:firstLine="603"/>
        <w:spacing w:after="0" w:line="268" w:lineRule="auto"/>
        <w:rPr>
          <w:sz w:val="20"/>
          <w:szCs w:val="20"/>
          <w:color w:val="auto"/>
        </w:rPr>
      </w:pPr>
      <w:r>
        <w:rPr>
          <w:rFonts w:ascii="Arial" w:cs="Arial" w:eastAsia="Arial" w:hAnsi="Arial"/>
          <w:sz w:val="16"/>
          <w:szCs w:val="16"/>
          <w:color w:val="auto"/>
        </w:rPr>
        <w:t>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94" w:lineRule="exact"/>
        <w:rPr>
          <w:sz w:val="20"/>
          <w:szCs w:val="20"/>
          <w:color w:val="auto"/>
        </w:rPr>
      </w:pPr>
    </w:p>
    <w:p>
      <w:pPr>
        <w:ind w:firstLine="603"/>
        <w:spacing w:after="0" w:line="286" w:lineRule="auto"/>
        <w:rPr>
          <w:sz w:val="20"/>
          <w:szCs w:val="20"/>
          <w:color w:val="auto"/>
        </w:rPr>
      </w:pPr>
      <w:r>
        <w:rPr>
          <w:rFonts w:ascii="Arial" w:cs="Arial" w:eastAsia="Arial" w:hAnsi="Arial"/>
          <w:sz w:val="15"/>
          <w:szCs w:val="15"/>
          <w:color w:val="auto"/>
        </w:rPr>
        <w:t>Issued patents may be challenged, narrowed, invalidated or circumvented. The legal systems of certain countries do not favor the aggressive enforcement of patents, and the laws of non-U.S. countries may not allow us to protect our inventions with patents to the same extent as the laws of the U.S. and Europe. For example, the validity, enforceability and scope of protection available under the relevant intellectual property laws in China is uncertain and still evolving. Implementation and enforcement of PRC intellectual property-related laws has historically been deficient and ineffective. Accordingly, the protection of intellectual property rights in China may not be as effective as in the U.S. or other developed countries. There can be no assurance that our intellectual property rights will not be challenged by third parties or found by a governmental authority to be invalid or unenforceable. Furthermore, policing unauthorized use of proprietary technology is difficult and expensive, and we may need to resort to litigation to enforce or defend patents issued to us or our other intellectual property rights or to determine the enforceability, scope and validity of our proprietary rights or those of others. Such litigation and an adverse determination in any such litigation, if any, could result in substantial costs, loss of our proprietary rights, and diversion of resources and management’s attention.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firstLine="603"/>
        <w:spacing w:after="0" w:line="249" w:lineRule="auto"/>
        <w:rPr>
          <w:sz w:val="20"/>
          <w:szCs w:val="20"/>
          <w:color w:val="auto"/>
        </w:rPr>
      </w:pPr>
      <w:r>
        <w:rPr>
          <w:rFonts w:ascii="Arial" w:cs="Arial" w:eastAsia="Arial" w:hAnsi="Arial"/>
          <w:sz w:val="17"/>
          <w:szCs w:val="17"/>
          <w:color w:val="auto"/>
        </w:rPr>
        <w:t>Because patent applications in the U.S., Europe and many other non-U.S.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U.S., Europe, China and in other non-U.S. countries cannot be predicted with certainty and, as a result, any patents that we own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210" w:lineRule="exact"/>
        <w:rPr>
          <w:sz w:val="20"/>
          <w:szCs w:val="20"/>
          <w:color w:val="auto"/>
        </w:rPr>
      </w:pPr>
    </w:p>
    <w:p>
      <w:pPr>
        <w:ind w:right="380" w:firstLine="603"/>
        <w:spacing w:after="0" w:line="268" w:lineRule="auto"/>
        <w:rPr>
          <w:sz w:val="20"/>
          <w:szCs w:val="20"/>
          <w:color w:val="auto"/>
        </w:rPr>
      </w:pPr>
      <w:r>
        <w:rPr>
          <w:rFonts w:ascii="Arial" w:cs="Arial" w:eastAsia="Arial" w:hAnsi="Arial"/>
          <w:sz w:val="17"/>
          <w:szCs w:val="17"/>
          <w:color w:val="auto"/>
        </w:rPr>
        <w:t>In some instances, we may have legal grounds to enforce our rights related to our patented technology, but may elect not to do so as a result of the cost of litigation or the limited value in enforcing our patent rights.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incur substantial costs as a result of any claim of infringement of another party’s intellectual property rights.</w:t>
      </w:r>
    </w:p>
    <w:p>
      <w:pPr>
        <w:spacing w:after="0" w:line="231" w:lineRule="exact"/>
        <w:rPr>
          <w:sz w:val="20"/>
          <w:szCs w:val="20"/>
          <w:color w:val="auto"/>
        </w:rPr>
      </w:pPr>
    </w:p>
    <w:p>
      <w:pPr>
        <w:ind w:right="60" w:firstLine="603"/>
        <w:spacing w:after="0" w:line="283" w:lineRule="auto"/>
        <w:rPr>
          <w:sz w:val="20"/>
          <w:szCs w:val="20"/>
          <w:color w:val="auto"/>
        </w:rPr>
      </w:pPr>
      <w:r>
        <w:rPr>
          <w:rFonts w:ascii="Arial" w:cs="Arial" w:eastAsia="Arial" w:hAnsi="Arial"/>
          <w:sz w:val="15"/>
          <w:szCs w:val="15"/>
          <w:color w:val="auto"/>
        </w:rPr>
        <w:t>In recent years, there has been significant litigation in the U.S., Europe and China involving patents and other intellectual property rights. Companies in the battery industry are increasingly bringing and becoming subject to suits alleging infringement of proprietary rights, particularly patent rights, and our competitors and other third parties may hold patents or have pending patent applications which could be related to our business. For example, we are aware of third-party patents and patent applications (if issued) that may be construed to cover one or more of our products or technologies. If these patents or patent applications (if issued) are asserted against us and we are found to infringe any of these patents, and we are unsuccessful in demonstrating that such patents are invalid or unenforceable, then we could be required to pay substantial monetary damages or cease further development or commercialization of one or more of our products or technologies. Although we generally conduct a freedom to operate search and review with respect to our products and technologies, we cannot guarantee that our search and review is complete and thorough, nor can we be sure that we have identified each and every patent and pending application in the U.S. and abroad that is relevant or necessary to the commercialization of our products or use of our technology. Because patent applications can take many years to issue, there may be currently pending patent applications that may later result in issued patents that our products or technologies may infringe. In addition, third parties may obtain patents in the future and claim that use of our technologies infringes upon these patents. These risks have been amplified by the increase in third parties, which we refer to as non-practicing entities, whose primary business is to assert infringement claims or make royalty demands. It is difficult to proceed with certainty in a rapidly evolving technological environment in which there may be patent applications pending related to our technologies, many of which are confidential when filed. We rely substantially on unpatented proprietary technology, which may make it more difficult to protect and enforce our intellectual property rights. We cannot assure you that we will have meaningful protection for our trade secrets, know-how or other intellectual property and proprietary information in the event of any unauthorized use, misappropriation, or disclosure, which could have a material adverse impact on our business.</w:t>
      </w:r>
    </w:p>
    <w:p>
      <w:pPr>
        <w:spacing w:after="0" w:line="185" w:lineRule="exact"/>
        <w:rPr>
          <w:sz w:val="20"/>
          <w:szCs w:val="20"/>
          <w:color w:val="auto"/>
        </w:rPr>
      </w:pPr>
    </w:p>
    <w:p>
      <w:pPr>
        <w:ind w:right="160" w:firstLine="603"/>
        <w:spacing w:after="0" w:line="285" w:lineRule="auto"/>
        <w:rPr>
          <w:sz w:val="20"/>
          <w:szCs w:val="20"/>
          <w:color w:val="auto"/>
        </w:rPr>
      </w:pPr>
      <w:r>
        <w:rPr>
          <w:rFonts w:ascii="Arial" w:cs="Arial" w:eastAsia="Arial" w:hAnsi="Arial"/>
          <w:sz w:val="15"/>
          <w:szCs w:val="15"/>
          <w:color w:val="auto"/>
        </w:rPr>
        <w:t>Third parties may infringe, misappropriate or otherwise violate our intellectual property or proprietary rights or we may be required to defend against claims of infringement, misappropriation or other violations of the intellectual property or proprietary rights of a third party. To counter infringement or unauthorized use claims or to defend against such claims can be expensive and time consuming. If we are party to an intellectual property-related proceeding and even if such proceeding is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stock. Such litigation or proceedings could substantially increase our operating losses and reduce the resources available for development activities or any future sales, manufacturing, marketing or distribution activities. We may not have sufficient financial or other resources to adequately conduct such litigation or proceedings. Moreover, many of our current and potential competitors may dedicate substantially greater resources than we can to the protection and enforcement of intellectual property rights, especially patents. Incurring significant expenses and distracting our personnel for an intellectual property-related proceeding could have a material adverse effect on our business, financial condition, results of operations and prospects.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Common Stock</w:t>
      </w:r>
    </w:p>
    <w:p>
      <w:pPr>
        <w:spacing w:after="0" w:line="23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i w:val="1"/>
          <w:iCs w:val="1"/>
          <w:color w:val="auto"/>
        </w:rPr>
        <w:t>We may issue additional shares of common stock or other equity or convertible securities, which may depress the market price of common stock and could make it difficult for another company to acquire us.</w:t>
      </w:r>
    </w:p>
    <w:p>
      <w:pPr>
        <w:spacing w:after="0" w:line="191" w:lineRule="exact"/>
        <w:rPr>
          <w:sz w:val="20"/>
          <w:szCs w:val="20"/>
          <w:color w:val="auto"/>
        </w:rPr>
      </w:pPr>
    </w:p>
    <w:p>
      <w:pPr>
        <w:ind w:right="100" w:firstLine="603"/>
        <w:spacing w:after="0" w:line="257" w:lineRule="auto"/>
        <w:rPr>
          <w:sz w:val="20"/>
          <w:szCs w:val="20"/>
          <w:color w:val="auto"/>
        </w:rPr>
      </w:pPr>
      <w:r>
        <w:rPr>
          <w:rFonts w:ascii="Arial" w:cs="Arial" w:eastAsia="Arial" w:hAnsi="Arial"/>
          <w:sz w:val="17"/>
          <w:szCs w:val="17"/>
          <w:color w:val="auto"/>
        </w:rPr>
        <w:t>From time to time in the future, we issue additional shares of common stock or other equity or convertible securities for any reason or in connection with, among other things, future acquisitions, the redemption of outstanding warrants, or repayment of outstanding indebtedness, without stockholder approval, in a number of circumstances.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issuance of additional shares of common stock or other equity or convertible securities of equal or senior rank would have the following effects:</w:t>
      </w:r>
    </w:p>
    <w:p>
      <w:pPr>
        <w:spacing w:after="0" w:line="264" w:lineRule="exact"/>
        <w:rPr>
          <w:sz w:val="20"/>
          <w:szCs w:val="20"/>
          <w:color w:val="auto"/>
        </w:rPr>
      </w:pPr>
    </w:p>
    <w:p>
      <w:pPr>
        <w:ind w:left="600" w:hanging="298"/>
        <w:spacing w:after="0"/>
        <w:tabs>
          <w:tab w:leader="none" w:pos="6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our existing stockholders’ proportionate ownership interest in us will decrease;</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the amount of cash available per share, including for payment of dividends in the future, may decrease;</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the relative voting strength of each previously outstanding share of common stock may be diminished;</w:t>
      </w:r>
    </w:p>
    <w:p>
      <w:pPr>
        <w:spacing w:after="0" w:line="21" w:lineRule="exact"/>
        <w:rPr>
          <w:rFonts w:ascii="Arial" w:cs="Arial" w:eastAsia="Arial" w:hAnsi="Arial"/>
          <w:sz w:val="20"/>
          <w:szCs w:val="20"/>
          <w:color w:val="auto"/>
        </w:rPr>
      </w:pPr>
    </w:p>
    <w:p>
      <w:pPr>
        <w:ind w:left="600" w:hanging="298"/>
        <w:spacing w:after="0"/>
        <w:tabs>
          <w:tab w:leader="none" w:pos="6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the market price of common stock may decline; and</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29"/>
        </w:numPr>
        <w:rPr>
          <w:rFonts w:ascii="Arial" w:cs="Arial" w:eastAsia="Arial" w:hAnsi="Arial"/>
          <w:sz w:val="20"/>
          <w:szCs w:val="20"/>
          <w:color w:val="auto"/>
        </w:rPr>
      </w:pPr>
      <w:r>
        <w:rPr>
          <w:rFonts w:ascii="Arial" w:cs="Arial" w:eastAsia="Arial" w:hAnsi="Arial"/>
          <w:sz w:val="17"/>
          <w:szCs w:val="17"/>
          <w:color w:val="auto"/>
        </w:rPr>
        <w:t>it could make it difficult for another company to acquire us.</w:t>
      </w:r>
    </w:p>
    <w:p>
      <w:pPr>
        <w:spacing w:after="0" w:line="214" w:lineRule="exact"/>
        <w:rPr>
          <w:sz w:val="20"/>
          <w:szCs w:val="20"/>
          <w:color w:val="auto"/>
        </w:rPr>
      </w:pPr>
    </w:p>
    <w:p>
      <w:pPr>
        <w:ind w:firstLine="603"/>
        <w:spacing w:after="0" w:line="268" w:lineRule="auto"/>
        <w:rPr>
          <w:sz w:val="20"/>
          <w:szCs w:val="20"/>
          <w:color w:val="auto"/>
        </w:rPr>
      </w:pPr>
      <w:r>
        <w:rPr>
          <w:rFonts w:ascii="Arial" w:cs="Arial" w:eastAsia="Arial" w:hAnsi="Arial"/>
          <w:sz w:val="16"/>
          <w:szCs w:val="16"/>
          <w:color w:val="auto"/>
        </w:rPr>
        <w:t>In the future, we expect to obtain financing or to further increase our capital resources by issuing additional shares of our capital stock or offering debt or other equity securities, including senior or subordinated notes, debt securities convertible into equity, or shares of preferred stock.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common stock. Our decision to issue securities in any future offering will depend on market conditions and other factors beyond our control, which may adversely affect the amount, timing or nature of our future offerings. As a result, holders of common stock bear the risk that our future offerings may reduce the market price of common stock and dilute their percentage ownership.</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Resales of our common stock may cause the market price of our securities to drop significantly, even if our business is doing well.</w:t>
      </w:r>
    </w:p>
    <w:p>
      <w:pPr>
        <w:spacing w:after="0" w:line="231" w:lineRule="exact"/>
        <w:rPr>
          <w:sz w:val="20"/>
          <w:szCs w:val="20"/>
          <w:color w:val="auto"/>
        </w:rPr>
      </w:pPr>
    </w:p>
    <w:p>
      <w:pPr>
        <w:ind w:right="40" w:firstLine="603"/>
        <w:spacing w:after="0" w:line="265" w:lineRule="auto"/>
        <w:rPr>
          <w:sz w:val="20"/>
          <w:szCs w:val="20"/>
          <w:color w:val="auto"/>
        </w:rPr>
      </w:pPr>
      <w:r>
        <w:rPr>
          <w:rFonts w:ascii="Arial" w:cs="Arial" w:eastAsia="Arial" w:hAnsi="Arial"/>
          <w:sz w:val="16"/>
          <w:szCs w:val="16"/>
          <w:color w:val="auto"/>
        </w:rPr>
        <w:t>In connection with the Business Combination, stockholders of Microvast, Inc. prior to the Business Combination received their pro rata portion of an aggregate of 209,999,991 shares of common stock and we may be required to issue to them up to an additional 19,999,988 shares of common stock if certain earnout conditions based on the performance of our stock price are achieved. Also in connection with the Business Combination, Tuscan Holdings Acquisition LLC (a Delaware limited liability company), Stefan M. Selig, Richard O. Rieger and Amy Butte (together with Tuscan Holdings Acquisition LLC, the “Tuscan Group”) and stockholders of Microvast, Inc. prior to the Business Combination entered into the Registration Rights and Lock-Up Agreement providing for certain lock-up periods with respect to the shareholders party thereto, which lock-up periods have expired other than for shares held by Mr. Wu and the Tuscan Group. The Registration Rights and Lock-Up Agreement also provides that the stockholders party thereto are entitled to certain demand and piggyback registration rights with respect to the resale of the shares owned by them. Pursuant to those rights, as well as our obligations to other investors who acquired shares in connection with the Business Combination, we filed a registration statement that enables the Tuscan Group and other investors (including stockholders of Microvast, Inc. prior to the Business Combination) to sell large amounts of common stock in the open market or in privately negotiated transactions, which could have the effect of increasing the volatility in our stock price or putting significant downward pressure on the price of our stock.</w:t>
      </w:r>
    </w:p>
    <w:p>
      <w:pPr>
        <w:spacing w:after="0" w:line="201" w:lineRule="exact"/>
        <w:rPr>
          <w:sz w:val="20"/>
          <w:szCs w:val="20"/>
          <w:color w:val="auto"/>
        </w:rPr>
      </w:pPr>
    </w:p>
    <w:p>
      <w:pPr>
        <w:ind w:right="100" w:firstLine="603"/>
        <w:spacing w:after="0" w:line="293" w:lineRule="auto"/>
        <w:rPr>
          <w:sz w:val="20"/>
          <w:szCs w:val="20"/>
          <w:color w:val="auto"/>
        </w:rPr>
      </w:pPr>
      <w:r>
        <w:rPr>
          <w:rFonts w:ascii="Arial" w:cs="Arial" w:eastAsia="Arial" w:hAnsi="Arial"/>
          <w:sz w:val="15"/>
          <w:szCs w:val="15"/>
          <w:color w:val="auto"/>
        </w:rPr>
        <w:t>Additionally, outstanding warrants to purchase an aggregate of 28,437,000 shares of our common stock are exercisable in accordance with the terms of the Warrant Agreement governing those securities. The exercise price of these warrants is $11.50 per share. To the extent such warrants are exercised, additional shares of our common stock will be issued, which will result in dilution to the holders of our common stock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260" w:firstLine="603"/>
        <w:spacing w:after="0" w:line="274" w:lineRule="auto"/>
        <w:rPr>
          <w:sz w:val="20"/>
          <w:szCs w:val="20"/>
          <w:color w:val="auto"/>
        </w:rPr>
      </w:pPr>
      <w:r>
        <w:rPr>
          <w:rFonts w:ascii="Arial" w:cs="Arial" w:eastAsia="Arial" w:hAnsi="Arial"/>
          <w:sz w:val="16"/>
          <w:szCs w:val="16"/>
          <w:color w:val="auto"/>
        </w:rPr>
        <w:t>Further, on October 1, 2021, we filed a registration statement with the SEC on Form S-8 providing for the registration of shares of common stock issued or reserved for issuance under the Microvast Holdings, Inc. 2021 Equity Incentive Plan (the “2021 Plan”). Subject to the satisfaction of vesting conditions and the expiration of lockup agreements, shares registered under the registration statement on Form S-8 are available for resale immediately in the public market without restriction and such resales could adversely affect the trading price and volatility of our common stock.</w:t>
      </w:r>
    </w:p>
    <w:p>
      <w:pPr>
        <w:spacing w:after="0" w:line="189"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b w:val="1"/>
          <w:bCs w:val="1"/>
          <w:i w:val="1"/>
          <w:iCs w:val="1"/>
          <w:color w:val="auto"/>
        </w:rPr>
        <w:t>Even though the warrants have become exercisable, there is no guarantee that the warrants will be in the money prior to their expiration, and they may expire worthless.</w:t>
      </w:r>
    </w:p>
    <w:p>
      <w:pPr>
        <w:spacing w:after="0" w:line="191" w:lineRule="exact"/>
        <w:rPr>
          <w:sz w:val="20"/>
          <w:szCs w:val="20"/>
          <w:color w:val="auto"/>
        </w:rPr>
      </w:pPr>
    </w:p>
    <w:p>
      <w:pPr>
        <w:ind w:firstLine="603"/>
        <w:spacing w:after="0" w:line="253" w:lineRule="auto"/>
        <w:rPr>
          <w:sz w:val="20"/>
          <w:szCs w:val="20"/>
          <w:color w:val="auto"/>
        </w:rPr>
      </w:pPr>
      <w:r>
        <w:rPr>
          <w:rFonts w:ascii="Arial" w:cs="Arial" w:eastAsia="Arial" w:hAnsi="Arial"/>
          <w:sz w:val="17"/>
          <w:szCs w:val="17"/>
          <w:color w:val="auto"/>
        </w:rPr>
        <w:t>The exercise price for our warrants is $11.50 per share of common stock, and the trading price of our common stock was $1.20 as of March 10, 2023. There is no guarantee that the warrants will be exercised following the time they become exercisable and prior to their expiration, and as such, the warrants may expire worthless. Further, since the registration of the warrants was not completed within 90 days following the Business Combination, pursuant to the Registration Rights and Lock-Up Agreement, warrant holders may exercise the warrants on a net-share basis.</w:t>
      </w:r>
    </w:p>
    <w:p>
      <w:pPr>
        <w:spacing w:after="0" w:line="205"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b w:val="1"/>
          <w:bCs w:val="1"/>
          <w:i w:val="1"/>
          <w:iCs w:val="1"/>
          <w:color w:val="auto"/>
        </w:rPr>
        <w:t>The Tuscan Group is likely to make a substantial profit even if the trading price of our common stock materially declines due to the nominal purchase price the Tuscan Group paid for the Founder Shares (as defined below).</w:t>
      </w:r>
    </w:p>
    <w:p>
      <w:pPr>
        <w:spacing w:after="0" w:line="191" w:lineRule="exact"/>
        <w:rPr>
          <w:sz w:val="20"/>
          <w:szCs w:val="20"/>
          <w:color w:val="auto"/>
        </w:rPr>
      </w:pPr>
    </w:p>
    <w:p>
      <w:pPr>
        <w:ind w:firstLine="603"/>
        <w:spacing w:after="0" w:line="290" w:lineRule="auto"/>
        <w:rPr>
          <w:sz w:val="20"/>
          <w:szCs w:val="20"/>
          <w:color w:val="auto"/>
        </w:rPr>
      </w:pPr>
      <w:r>
        <w:rPr>
          <w:rFonts w:ascii="Arial" w:cs="Arial" w:eastAsia="Arial" w:hAnsi="Arial"/>
          <w:sz w:val="15"/>
          <w:szCs w:val="15"/>
          <w:color w:val="auto"/>
        </w:rPr>
        <w:t>The Tuscan Group paid only a nominal aggregate purchase price of $25,000 for the Founder Shares, or approximately $0.004 per share, while the initial public offering (“IPO”) price of our common stock was $10.00 per share and the trading price of our common stock $1.20 as of March 10, 2023. As a result, even if the trading price of our common stock significantly declines, the Tuscan Group will stand to make a significant profit on its investment in us. In addition, the Tuscan Group could potentially recoup its entire investment in us even if the trading price of our common stock is less than $1.00 per share. As a result, the Tuscan Group is likely to make a substantial profit on its investment in us even if the trading price of our common stock declines, while our public shareholders could lose significant value in their common stock and experience a negative rate of return on the shares they purchased in the IPO or in the public market.</w:t>
      </w:r>
    </w:p>
    <w:p>
      <w:pPr>
        <w:spacing w:after="0" w:line="155" w:lineRule="exact"/>
        <w:rPr>
          <w:sz w:val="20"/>
          <w:szCs w:val="20"/>
          <w:color w:val="auto"/>
        </w:rPr>
      </w:pPr>
    </w:p>
    <w:p>
      <w:pPr>
        <w:ind w:right="420" w:firstLine="603"/>
        <w:spacing w:after="0" w:line="335" w:lineRule="auto"/>
        <w:rPr>
          <w:sz w:val="20"/>
          <w:szCs w:val="20"/>
          <w:color w:val="auto"/>
        </w:rPr>
      </w:pPr>
      <w:r>
        <w:rPr>
          <w:rFonts w:ascii="Arial" w:cs="Arial" w:eastAsia="Arial" w:hAnsi="Arial"/>
          <w:sz w:val="15"/>
          <w:szCs w:val="15"/>
          <w:color w:val="auto"/>
        </w:rPr>
        <w:t>Similarly, the Tuscan Group purchased 837,000 private warrants in our IPO for $1.00 per warrant. Based on the $1.20 trading price of our warrants as of March 10, 2023, the Tuscan Group could earn a potential profit of $0.20 per warrant if the Tuscan Group sold all of its warrants at the current trading price.</w:t>
      </w:r>
    </w:p>
    <w:p>
      <w:pPr>
        <w:spacing w:after="0" w:line="12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91" w:lineRule="exact"/>
        <w:rPr>
          <w:sz w:val="20"/>
          <w:szCs w:val="20"/>
          <w:color w:val="auto"/>
        </w:rPr>
      </w:pPr>
    </w:p>
    <w:p>
      <w:pPr>
        <w:ind w:right="140" w:firstLine="603"/>
        <w:spacing w:after="0" w:line="287" w:lineRule="auto"/>
        <w:rPr>
          <w:sz w:val="20"/>
          <w:szCs w:val="20"/>
          <w:color w:val="auto"/>
        </w:rPr>
      </w:pPr>
      <w:r>
        <w:rPr>
          <w:rFonts w:ascii="Arial" w:cs="Arial" w:eastAsia="Arial" w:hAnsi="Arial"/>
          <w:sz w:val="15"/>
          <w:szCs w:val="15"/>
          <w:color w:val="auto"/>
        </w:rPr>
        <w:t>We are an “emerging growth company” as defined in the JOBS Act. As an emerging growth company, we are only required to provide two years of audited financial statements and management discussion and analysis of financial condition and results of operations disclosure. In addition, we are not required to obtain auditor attestation of our reporting on internal control over financial reporting, have reduced disclosure obligations regarding executive compensation and are not required to hold non-binding advisory votes on executive compensation.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take advantage of such extended transition period. We cannot predict whether investors will find our common stock to be less attractive as a result of our reliance on these exemptions. If some investors find our common stock to be less attractive as a result, there may be a less active trading market for our common stock and the price of our common stock may be more volatile.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will remain an emerging growth company until the earliest of: (1) the end of the fiscal year in which we have total annual gross revenue of $1.235 billion;</w:t>
      </w:r>
    </w:p>
    <w:p>
      <w:pPr>
        <w:spacing w:after="0" w:line="41" w:lineRule="exact"/>
        <w:rPr>
          <w:sz w:val="20"/>
          <w:szCs w:val="20"/>
          <w:color w:val="auto"/>
        </w:rPr>
      </w:pPr>
    </w:p>
    <w:p>
      <w:pPr>
        <w:spacing w:after="0" w:line="272" w:lineRule="auto"/>
        <w:tabs>
          <w:tab w:leader="none" w:pos="2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last day of our fiscal year following the fifth anniversary of the date on which we consummated our IPO (or December 31, 2024); (3) the date on which we issue more than $1.0 billion in non-convertible debt during the preceding three-year period; or (4) the end of the fiscal year in which the market value of the common stock held by non-affiliates exceeds $700 million as of the last business day of our most recently completed second fiscal quarter.</w:t>
      </w:r>
    </w:p>
    <w:p>
      <w:pPr>
        <w:spacing w:after="0" w:line="191" w:lineRule="exact"/>
        <w:rPr>
          <w:sz w:val="20"/>
          <w:szCs w:val="20"/>
          <w:color w:val="auto"/>
        </w:rPr>
      </w:pPr>
    </w:p>
    <w:p>
      <w:pPr>
        <w:ind w:right="80" w:firstLine="603"/>
        <w:spacing w:after="0" w:line="335" w:lineRule="auto"/>
        <w:rPr>
          <w:sz w:val="20"/>
          <w:szCs w:val="20"/>
          <w:color w:val="auto"/>
        </w:rPr>
      </w:pPr>
      <w:r>
        <w:rPr>
          <w:rFonts w:ascii="Arial" w:cs="Arial" w:eastAsia="Arial" w:hAnsi="Arial"/>
          <w:sz w:val="15"/>
          <w:szCs w:val="15"/>
          <w:color w:val="auto"/>
        </w:rPr>
        <w:t>Further, there is no guarantee that the exemptions available to us under the JOBS Act will result in significant savings. To the extent that we choose not to use exemptions from various reporting requirements under the JOBS Act, we will incur additional compliance costs, which may impact our financial condition.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b w:val="1"/>
          <w:bCs w:val="1"/>
          <w:i w:val="1"/>
          <w:iCs w:val="1"/>
          <w:color w:val="auto"/>
        </w:rPr>
        <w:t>Our Charter provides, subject to limited exceptions, that the Court of Chancery of the State of Delaware will be the sole and exclusive forum for certain stockholder litigation matters, which could limit stockholders’ ability to obtain a favorable judicial forum for disputes with us or our directors, officers, employees or stockholders.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Charter provides that unless we consent in writing to the selection of an alternative forum, (i) any derivative action or proceeding brought on behalf of us,</w:t>
      </w:r>
    </w:p>
    <w:p>
      <w:pPr>
        <w:spacing w:after="0" w:line="41" w:lineRule="exact"/>
        <w:rPr>
          <w:sz w:val="20"/>
          <w:szCs w:val="20"/>
          <w:color w:val="auto"/>
        </w:rPr>
      </w:pPr>
    </w:p>
    <w:p>
      <w:pPr>
        <w:ind w:right="20"/>
        <w:spacing w:after="0" w:line="264" w:lineRule="auto"/>
        <w:tabs>
          <w:tab w:leader="none" w:pos="246"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current or former director, officer, employee or stockholder to us or our stockholders, (iii) any action asserting a claim (A) arising pursuant to any provision of the Delaware General Corporation Law (“DGCL”), the Charter or the Bylaws or (B) as to which the DGCL confers jurisdiction on the Court of Chancery of the State of Delaware or (iv) any action asserting a claim governed by the internal affairs doctrine of the law of the State of Delaware will, to the fullest extent permitted by applicable law, be solely and exclusively brought in the Court of Chancery of the State of Delaware or, if such court does not have jurisdiction, any state or federal court located in the State of Delaware with jurisdiction. The forum provision further provides that the federal district courts of the United States of America will, to the fullest extent permitted by applicable law, be the sole and exclusive forum for the resolution of any action asserting claims arising under the Securities Act of 1933 (the "Securities Act"). This forum selection provision does not apply to any action asserting claims arising under the Exchange Act or the Securities Act. Any person or entity purchasing or otherwise acquiring any interest in shares of our capital stock will be deemed to have notice of and consented to the forum provisions in the Charter.</w:t>
      </w:r>
    </w:p>
    <w:p>
      <w:pPr>
        <w:spacing w:after="0" w:line="200" w:lineRule="exact"/>
        <w:rPr>
          <w:sz w:val="20"/>
          <w:szCs w:val="20"/>
          <w:color w:val="auto"/>
        </w:rPr>
      </w:pPr>
    </w:p>
    <w:p>
      <w:pPr>
        <w:ind w:right="80" w:firstLine="603"/>
        <w:spacing w:after="0" w:line="274"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we do not find favorable for disputes with us or any of our directors, officers, other employees or stockholders, which may discourage lawsuits with respect to such claims. Alternatively, if a court were to find the choice of forum provision contained in the Charter to be inapplicable or unenforceable in an action, we may incur additional costs associated with resolving such action in other jurisdictions, which could harm our business, operating results and financial condition.</w:t>
      </w:r>
    </w:p>
    <w:p>
      <w:pPr>
        <w:spacing w:after="0" w:line="189"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b w:val="1"/>
          <w:bCs w:val="1"/>
          <w:i w:val="1"/>
          <w:iCs w:val="1"/>
          <w:color w:val="auto"/>
        </w:rPr>
        <w:t>Our Charter and Bylaws contain certain provisions that limit the ability of stockholders to take certain actions and could delay, discourage or prevent takeover attempts that stockholders may consider favorable.</w:t>
      </w:r>
    </w:p>
    <w:p>
      <w:pPr>
        <w:spacing w:after="0" w:line="191" w:lineRule="exact"/>
        <w:rPr>
          <w:sz w:val="20"/>
          <w:szCs w:val="20"/>
          <w:color w:val="auto"/>
        </w:rPr>
      </w:pPr>
    </w:p>
    <w:p>
      <w:pPr>
        <w:ind w:firstLine="603"/>
        <w:spacing w:after="0" w:line="253" w:lineRule="auto"/>
        <w:rPr>
          <w:sz w:val="20"/>
          <w:szCs w:val="20"/>
          <w:color w:val="auto"/>
        </w:rPr>
      </w:pPr>
      <w:r>
        <w:rPr>
          <w:rFonts w:ascii="Arial" w:cs="Arial" w:eastAsia="Arial" w:hAnsi="Arial"/>
          <w:sz w:val="17"/>
          <w:szCs w:val="17"/>
          <w:color w:val="auto"/>
        </w:rPr>
        <w:t>Our Charter and Bylaws contain provisions that could have the effect of rendering more difficult, discouraging, delaying or preventing a takeover attempt that may be beneficial to our stockholders but that is deemed undesirable by Mr. Wu and therefore depresses the trading price of our common stock. These provisions could also make it difficult for our stockholders to take certain actions, including electing directors who are not nominated by Mr. Wu or the Tuscan Group or amending the Charter. Our Charter and Bylaws provide for, among other things:</w:t>
      </w:r>
    </w:p>
    <w:p>
      <w:pPr>
        <w:spacing w:after="0" w:line="243" w:lineRule="exact"/>
        <w:rPr>
          <w:sz w:val="20"/>
          <w:szCs w:val="20"/>
          <w:color w:val="auto"/>
        </w:rPr>
      </w:pPr>
    </w:p>
    <w:p>
      <w:pPr>
        <w:ind w:left="600" w:right="460" w:hanging="298"/>
        <w:spacing w:after="0" w:line="266" w:lineRule="auto"/>
        <w:tabs>
          <w:tab w:leader="none" w:pos="595" w:val="left"/>
        </w:tabs>
        <w:numPr>
          <w:ilvl w:val="0"/>
          <w:numId w:val="32"/>
        </w:numPr>
        <w:rPr>
          <w:rFonts w:ascii="Arial" w:cs="Arial" w:eastAsia="Arial" w:hAnsi="Arial"/>
          <w:sz w:val="18"/>
          <w:szCs w:val="18"/>
          <w:color w:val="auto"/>
        </w:rPr>
      </w:pPr>
      <w:r>
        <w:rPr>
          <w:rFonts w:ascii="Arial" w:cs="Arial" w:eastAsia="Arial" w:hAnsi="Arial"/>
          <w:sz w:val="15"/>
          <w:szCs w:val="15"/>
          <w:color w:val="auto"/>
        </w:rPr>
        <w:t>the ability of the board of directors (the “Board”)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 w:lineRule="exact"/>
        <w:rPr>
          <w:rFonts w:ascii="Arial" w:cs="Arial" w:eastAsia="Arial" w:hAnsi="Arial"/>
          <w:sz w:val="18"/>
          <w:szCs w:val="18"/>
          <w:color w:val="auto"/>
        </w:rPr>
      </w:pPr>
    </w:p>
    <w:p>
      <w:pPr>
        <w:ind w:left="600" w:hanging="298"/>
        <w:spacing w:after="0"/>
        <w:tabs>
          <w:tab w:leader="none" w:pos="600" w:val="left"/>
        </w:tabs>
        <w:numPr>
          <w:ilvl w:val="0"/>
          <w:numId w:val="32"/>
        </w:numPr>
        <w:rPr>
          <w:rFonts w:ascii="Arial" w:cs="Arial" w:eastAsia="Arial" w:hAnsi="Arial"/>
          <w:sz w:val="20"/>
          <w:szCs w:val="20"/>
          <w:color w:val="auto"/>
        </w:rPr>
      </w:pPr>
      <w:r>
        <w:rPr>
          <w:rFonts w:ascii="Arial" w:cs="Arial" w:eastAsia="Arial" w:hAnsi="Arial"/>
          <w:sz w:val="17"/>
          <w:szCs w:val="17"/>
          <w:color w:val="auto"/>
        </w:rPr>
        <w:t>the limitation of the liability of, and the indemnification of, our directors and officers;</w:t>
      </w:r>
    </w:p>
    <w:p>
      <w:pPr>
        <w:spacing w:after="0" w:line="25" w:lineRule="exact"/>
        <w:rPr>
          <w:rFonts w:ascii="Arial" w:cs="Arial" w:eastAsia="Arial" w:hAnsi="Arial"/>
          <w:sz w:val="20"/>
          <w:szCs w:val="20"/>
          <w:color w:val="auto"/>
        </w:rPr>
      </w:pPr>
    </w:p>
    <w:p>
      <w:pPr>
        <w:ind w:left="600" w:right="300" w:hanging="298"/>
        <w:spacing w:after="0"/>
        <w:tabs>
          <w:tab w:leader="none" w:pos="595" w:val="left"/>
        </w:tabs>
        <w:numPr>
          <w:ilvl w:val="0"/>
          <w:numId w:val="32"/>
        </w:numPr>
        <w:rPr>
          <w:rFonts w:ascii="Arial" w:cs="Arial" w:eastAsia="Arial" w:hAnsi="Arial"/>
          <w:sz w:val="20"/>
          <w:szCs w:val="20"/>
          <w:color w:val="auto"/>
        </w:rPr>
      </w:pPr>
      <w:r>
        <w:rPr>
          <w:rFonts w:ascii="Arial" w:cs="Arial" w:eastAsia="Arial" w:hAnsi="Arial"/>
          <w:sz w:val="17"/>
          <w:szCs w:val="17"/>
          <w:color w:val="auto"/>
        </w:rPr>
        <w:t>any increase or decrease in the number of directors will require the affirmative vote of the directors nominated by Mr. Wu as provided in the Stockholders Agreement (as defined below);</w:t>
      </w:r>
    </w:p>
    <w:p>
      <w:pPr>
        <w:spacing w:after="0" w:line="1" w:lineRule="exact"/>
        <w:rPr>
          <w:rFonts w:ascii="Arial" w:cs="Arial" w:eastAsia="Arial" w:hAnsi="Arial"/>
          <w:sz w:val="20"/>
          <w:szCs w:val="20"/>
          <w:color w:val="auto"/>
        </w:rPr>
      </w:pPr>
    </w:p>
    <w:p>
      <w:pPr>
        <w:ind w:left="600" w:right="80" w:hanging="298"/>
        <w:spacing w:after="0" w:line="250" w:lineRule="auto"/>
        <w:tabs>
          <w:tab w:leader="none" w:pos="5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requirement that any Board vacancies occurring by reason of the death, resignation or removal of any director nominated by Mr. Wu or the Tuscan Group must be filled by the stockholder who was entitled to nominate such director to the Board;</w:t>
      </w:r>
    </w:p>
    <w:p>
      <w:pPr>
        <w:spacing w:after="0" w:line="19" w:lineRule="exact"/>
        <w:rPr>
          <w:rFonts w:ascii="Arial" w:cs="Arial" w:eastAsia="Arial" w:hAnsi="Arial"/>
          <w:sz w:val="17"/>
          <w:szCs w:val="17"/>
          <w:color w:val="auto"/>
        </w:rPr>
      </w:pPr>
    </w:p>
    <w:p>
      <w:pPr>
        <w:ind w:left="600" w:right="80" w:hanging="298"/>
        <w:spacing w:after="0" w:line="233" w:lineRule="auto"/>
        <w:tabs>
          <w:tab w:leader="none" w:pos="595" w:val="left"/>
        </w:tabs>
        <w:numPr>
          <w:ilvl w:val="0"/>
          <w:numId w:val="32"/>
        </w:numPr>
        <w:rPr>
          <w:rFonts w:ascii="Arial" w:cs="Arial" w:eastAsia="Arial" w:hAnsi="Arial"/>
          <w:sz w:val="20"/>
          <w:szCs w:val="20"/>
          <w:color w:val="auto"/>
        </w:rPr>
      </w:pPr>
      <w:r>
        <w:rPr>
          <w:rFonts w:ascii="Arial" w:cs="Arial" w:eastAsia="Arial" w:hAnsi="Arial"/>
          <w:sz w:val="17"/>
          <w:szCs w:val="17"/>
          <w:color w:val="auto"/>
        </w:rPr>
        <w:t>the requirement that committees of the Board will consist of the number of directors nominated by Mr. Wu that is proportionate to the number of directors on the Board nominated by Mr. Wu;</w:t>
      </w:r>
    </w:p>
    <w:p>
      <w:pPr>
        <w:spacing w:after="0" w:line="26" w:lineRule="exact"/>
        <w:rPr>
          <w:rFonts w:ascii="Arial" w:cs="Arial" w:eastAsia="Arial" w:hAnsi="Arial"/>
          <w:sz w:val="20"/>
          <w:szCs w:val="20"/>
          <w:color w:val="auto"/>
        </w:rPr>
      </w:pPr>
    </w:p>
    <w:p>
      <w:pPr>
        <w:ind w:left="600" w:hanging="298"/>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5"/>
          <w:szCs w:val="15"/>
          <w:color w:val="auto"/>
        </w:rPr>
        <w:t>the prohibition of stockholder action by written consent for any action that is required or permitted to be taken at an annual or special stockholders meeting;</w:t>
      </w:r>
    </w:p>
    <w:p>
      <w:pPr>
        <w:spacing w:after="0" w:line="31" w:lineRule="exact"/>
        <w:rPr>
          <w:rFonts w:ascii="Arial" w:cs="Arial" w:eastAsia="Arial" w:hAnsi="Arial"/>
          <w:sz w:val="18"/>
          <w:szCs w:val="18"/>
          <w:color w:val="auto"/>
        </w:rPr>
      </w:pPr>
    </w:p>
    <w:p>
      <w:pPr>
        <w:ind w:left="600" w:right="160" w:hanging="298"/>
        <w:spacing w:after="0" w:line="270" w:lineRule="auto"/>
        <w:tabs>
          <w:tab w:leader="none" w:pos="595" w:val="left"/>
        </w:tabs>
        <w:numPr>
          <w:ilvl w:val="0"/>
          <w:numId w:val="32"/>
        </w:numPr>
        <w:rPr>
          <w:rFonts w:ascii="Arial" w:cs="Arial" w:eastAsia="Arial" w:hAnsi="Arial"/>
          <w:sz w:val="18"/>
          <w:szCs w:val="18"/>
          <w:color w:val="auto"/>
        </w:rPr>
      </w:pPr>
      <w:r>
        <w:rPr>
          <w:rFonts w:ascii="Arial" w:cs="Arial" w:eastAsia="Arial" w:hAnsi="Arial"/>
          <w:sz w:val="15"/>
          <w:szCs w:val="15"/>
          <w:color w:val="auto"/>
        </w:rPr>
        <w:t>the ability to call for a special meeting of stockholders will only be available to (i) the Board, (ii) the chairman of the Board and (iii) Mr. Wu, so long as Mr. Wu beneficially owns at least 10% of the total voting power of all the then outstanding shares of stock of the Company entitled to vote generally in the election of directors, which could delay the ability of stockholders to force consideration of a proposal or to take action, including the removal of directors;</w:t>
      </w:r>
    </w:p>
    <w:p>
      <w:pPr>
        <w:spacing w:after="0" w:line="19" w:lineRule="exact"/>
        <w:rPr>
          <w:rFonts w:ascii="Arial" w:cs="Arial" w:eastAsia="Arial" w:hAnsi="Arial"/>
          <w:sz w:val="18"/>
          <w:szCs w:val="18"/>
          <w:color w:val="auto"/>
        </w:rPr>
      </w:pPr>
    </w:p>
    <w:p>
      <w:pPr>
        <w:ind w:left="600" w:hanging="298"/>
        <w:spacing w:after="0" w:line="287" w:lineRule="auto"/>
        <w:tabs>
          <w:tab w:leader="none" w:pos="595" w:val="left"/>
        </w:tabs>
        <w:numPr>
          <w:ilvl w:val="0"/>
          <w:numId w:val="32"/>
        </w:numPr>
        <w:rPr>
          <w:rFonts w:ascii="Arial" w:cs="Arial" w:eastAsia="Arial" w:hAnsi="Arial"/>
          <w:sz w:val="18"/>
          <w:szCs w:val="18"/>
          <w:color w:val="auto"/>
        </w:rPr>
      </w:pPr>
      <w:r>
        <w:rPr>
          <w:rFonts w:ascii="Arial" w:cs="Arial" w:eastAsia="Arial" w:hAnsi="Arial"/>
          <w:sz w:val="15"/>
          <w:szCs w:val="15"/>
          <w:color w:val="auto"/>
        </w:rPr>
        <w:t>the limitation that directors on the Board may only be removed for a cause and only upon the affirmative vote of the holders of at least a majority of the total voting power of all the then outstanding shares of stock of the Company entitled to vote generally in the election of directors, voting together as a single class;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00" w:right="200" w:hanging="298"/>
        <w:spacing w:after="0" w:line="233" w:lineRule="auto"/>
        <w:tabs>
          <w:tab w:leader="none" w:pos="595" w:val="left"/>
        </w:tabs>
        <w:numPr>
          <w:ilvl w:val="0"/>
          <w:numId w:val="33"/>
        </w:numPr>
        <w:rPr>
          <w:rFonts w:ascii="Arial" w:cs="Arial" w:eastAsia="Arial" w:hAnsi="Arial"/>
          <w:sz w:val="20"/>
          <w:szCs w:val="20"/>
          <w:color w:val="auto"/>
        </w:rPr>
      </w:pPr>
      <w:r>
        <w:rPr>
          <w:rFonts w:ascii="Arial" w:cs="Arial" w:eastAsia="Arial" w:hAnsi="Arial"/>
          <w:sz w:val="17"/>
          <w:szCs w:val="17"/>
          <w:color w:val="auto"/>
        </w:rPr>
        <w:t>the election that the Company will not be governed by Section 203 of the DGCL, which will prohibit the Company from taking certain actions involving an “interested stockholder” for a certain period of time;</w:t>
      </w:r>
    </w:p>
    <w:p>
      <w:pPr>
        <w:spacing w:after="0" w:line="26" w:lineRule="exact"/>
        <w:rPr>
          <w:rFonts w:ascii="Arial" w:cs="Arial" w:eastAsia="Arial" w:hAnsi="Arial"/>
          <w:sz w:val="20"/>
          <w:szCs w:val="20"/>
          <w:color w:val="auto"/>
        </w:rPr>
      </w:pPr>
    </w:p>
    <w:p>
      <w:pPr>
        <w:ind w:left="600" w:right="40" w:hanging="298"/>
        <w:spacing w:after="0" w:line="273" w:lineRule="auto"/>
        <w:tabs>
          <w:tab w:leader="none" w:pos="595" w:val="left"/>
        </w:tabs>
        <w:numPr>
          <w:ilvl w:val="0"/>
          <w:numId w:val="33"/>
        </w:numPr>
        <w:rPr>
          <w:rFonts w:ascii="Arial" w:cs="Arial" w:eastAsia="Arial" w:hAnsi="Arial"/>
          <w:sz w:val="18"/>
          <w:szCs w:val="18"/>
          <w:color w:val="auto"/>
        </w:rPr>
      </w:pPr>
      <w:r>
        <w:rPr>
          <w:rFonts w:ascii="Arial" w:cs="Arial" w:eastAsia="Arial" w:hAnsi="Arial"/>
          <w:sz w:val="15"/>
          <w:szCs w:val="15"/>
          <w:color w:val="auto"/>
        </w:rPr>
        <w:t>the requirement that any amendment to the Charter will be approved by (i) the holders of 75% of the total voting power of all the then outstanding shares of stock of the Company entitled to vote generally in the election of directors, so long as Mr. Wu beneficially owns at least 10% of the total voting power of all the then outstanding shares of stock of the Company entitled to vote generally in the election of directors, or (ii) the holders of a majority of the total voting power of all the then outstanding shares of stock of the Company entitled to vote generally in the election of directors, if Mr. Wu ceases to beneficially own at least 10% of the total voting power of all the then outstanding shares of stock of the Company entitled to vote generally in the election of directors; and</w:t>
      </w:r>
    </w:p>
    <w:p>
      <w:pPr>
        <w:spacing w:after="0" w:line="21" w:lineRule="exact"/>
        <w:rPr>
          <w:rFonts w:ascii="Arial" w:cs="Arial" w:eastAsia="Arial" w:hAnsi="Arial"/>
          <w:sz w:val="18"/>
          <w:szCs w:val="18"/>
          <w:color w:val="auto"/>
        </w:rPr>
      </w:pPr>
    </w:p>
    <w:p>
      <w:pPr>
        <w:ind w:left="600" w:hanging="298"/>
        <w:spacing w:after="0" w:line="241" w:lineRule="auto"/>
        <w:tabs>
          <w:tab w:leader="none" w:pos="595" w:val="left"/>
        </w:tabs>
        <w:numPr>
          <w:ilvl w:val="0"/>
          <w:numId w:val="33"/>
        </w:numPr>
        <w:rPr>
          <w:rFonts w:ascii="Arial" w:cs="Arial" w:eastAsia="Arial" w:hAnsi="Arial"/>
          <w:sz w:val="20"/>
          <w:szCs w:val="20"/>
          <w:color w:val="auto"/>
        </w:rPr>
      </w:pPr>
      <w:r>
        <w:rPr>
          <w:rFonts w:ascii="Arial" w:cs="Arial" w:eastAsia="Arial" w:hAnsi="Arial"/>
          <w:sz w:val="17"/>
          <w:szCs w:val="17"/>
          <w:color w:val="auto"/>
        </w:rPr>
        <w:t>the ability of the Board to amend the Bylaws, which may allow the Board to take additional actions to prevent an unsolicited takeover and inhibit the ability of an acquirer to amend the Bylaws to facilitate an unsolicited takeover attempt.</w:t>
      </w:r>
    </w:p>
    <w:p>
      <w:pPr>
        <w:spacing w:after="0" w:line="212" w:lineRule="exact"/>
        <w:rPr>
          <w:rFonts w:ascii="Arial" w:cs="Arial" w:eastAsia="Arial" w:hAnsi="Arial"/>
          <w:sz w:val="20"/>
          <w:szCs w:val="20"/>
          <w:color w:val="auto"/>
        </w:rPr>
      </w:pPr>
    </w:p>
    <w:p>
      <w:pPr>
        <w:ind w:left="600"/>
        <w:spacing w:after="0"/>
        <w:rPr>
          <w:rFonts w:ascii="Arial" w:cs="Arial" w:eastAsia="Arial" w:hAnsi="Arial"/>
          <w:sz w:val="20"/>
          <w:szCs w:val="20"/>
          <w:color w:val="auto"/>
        </w:rPr>
      </w:pPr>
      <w:r>
        <w:rPr>
          <w:rFonts w:ascii="Arial" w:cs="Arial" w:eastAsia="Arial" w:hAnsi="Arial"/>
          <w:sz w:val="16"/>
          <w:szCs w:val="16"/>
          <w:color w:val="auto"/>
        </w:rPr>
        <w:t>These provisions, alone or together, could delay or prevent hostile takeovers and changes in control or changes in the Board or management.</w:t>
      </w:r>
    </w:p>
    <w:p>
      <w:pPr>
        <w:spacing w:after="0" w:line="243" w:lineRule="exact"/>
        <w:rPr>
          <w:sz w:val="20"/>
          <w:szCs w:val="20"/>
          <w:color w:val="auto"/>
        </w:rPr>
      </w:pPr>
    </w:p>
    <w:p>
      <w:pPr>
        <w:ind w:right="20" w:firstLine="603"/>
        <w:spacing w:after="0" w:line="335" w:lineRule="auto"/>
        <w:rPr>
          <w:sz w:val="20"/>
          <w:szCs w:val="20"/>
          <w:color w:val="auto"/>
        </w:rPr>
      </w:pPr>
      <w:r>
        <w:rPr>
          <w:rFonts w:ascii="Arial" w:cs="Arial" w:eastAsia="Arial" w:hAnsi="Arial"/>
          <w:sz w:val="15"/>
          <w:szCs w:val="15"/>
          <w:color w:val="auto"/>
        </w:rPr>
        <w:t>Any provision of the Charter or Bylaws that has the effect of delaying or preventing a change in control could limit the opportunity for stockholders to receive a premium for their shares of the Company’ capital stock and could also affect the price that some investors are willing to pay for the Company’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common stock price may be volatile or may decline regardless of our operating performance.</w:t>
      </w:r>
    </w:p>
    <w:p>
      <w:pPr>
        <w:spacing w:after="0" w:line="231" w:lineRule="exact"/>
        <w:rPr>
          <w:sz w:val="20"/>
          <w:szCs w:val="20"/>
          <w:color w:val="auto"/>
        </w:rPr>
      </w:pPr>
    </w:p>
    <w:p>
      <w:pPr>
        <w:ind w:right="20" w:firstLine="603"/>
        <w:spacing w:after="0" w:line="280" w:lineRule="auto"/>
        <w:rPr>
          <w:sz w:val="20"/>
          <w:szCs w:val="20"/>
          <w:color w:val="auto"/>
        </w:rPr>
      </w:pPr>
      <w:r>
        <w:rPr>
          <w:rFonts w:ascii="Arial" w:cs="Arial" w:eastAsia="Arial" w:hAnsi="Arial"/>
          <w:sz w:val="16"/>
          <w:szCs w:val="16"/>
          <w:color w:val="auto"/>
        </w:rPr>
        <w:t>The trading price of common stock is likely to be volatile. The stock market has recently experienced extreme volatility. This volatility often has been unrelated or disproportionate to the operating performance of particular companies. The trading volatility of our common stock may be due to a number of factors such as those listed in “</w:t>
      </w:r>
      <w:r>
        <w:rPr>
          <w:rFonts w:ascii="Arial" w:cs="Arial" w:eastAsia="Arial" w:hAnsi="Arial"/>
          <w:sz w:val="16"/>
          <w:szCs w:val="16"/>
          <w:i w:val="1"/>
          <w:iCs w:val="1"/>
          <w:color w:val="auto"/>
        </w:rPr>
        <w:t>—Risks Related to our Business and Industry</w:t>
      </w:r>
      <w:r>
        <w:rPr>
          <w:rFonts w:ascii="Arial" w:cs="Arial" w:eastAsia="Arial" w:hAnsi="Arial"/>
          <w:sz w:val="16"/>
          <w:szCs w:val="16"/>
          <w:color w:val="auto"/>
        </w:rPr>
        <w:t xml:space="preserve">” and </w:t>
      </w:r>
      <w:r>
        <w:rPr>
          <w:rFonts w:ascii="Arial" w:cs="Arial" w:eastAsia="Arial" w:hAnsi="Arial"/>
          <w:sz w:val="16"/>
          <w:szCs w:val="16"/>
          <w:i w:val="1"/>
          <w:iCs w:val="1"/>
          <w:color w:val="auto"/>
        </w:rPr>
        <w:t>“—Risks Related to doing Business in China”</w:t>
      </w:r>
      <w:r>
        <w:rPr>
          <w:rFonts w:ascii="Arial" w:cs="Arial" w:eastAsia="Arial" w:hAnsi="Arial"/>
          <w:sz w:val="16"/>
          <w:szCs w:val="16"/>
          <w:color w:val="auto"/>
        </w:rPr>
        <w:t xml:space="preserve"> and the following:</w:t>
      </w:r>
    </w:p>
    <w:p>
      <w:pPr>
        <w:spacing w:after="0" w:line="205" w:lineRule="exact"/>
        <w:rPr>
          <w:sz w:val="20"/>
          <w:szCs w:val="20"/>
          <w:color w:val="auto"/>
        </w:rPr>
      </w:pPr>
    </w:p>
    <w:p>
      <w:pPr>
        <w:ind w:left="600" w:hanging="298"/>
        <w:spacing w:after="0"/>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our operating and financial performance and prospects;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our quarterly or annual earnings or those of other companies in our industry compared to market expectations;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conditions that impact demand for our products;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future announcements concerning our business, our product users’ businesses or our competitors’ businesses;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the public’s reaction to our press releases, other public announcements and filings with the SEC;</w:t>
      </w:r>
    </w:p>
    <w:p>
      <w:pPr>
        <w:spacing w:after="0" w:line="33" w:lineRule="exact"/>
        <w:rPr>
          <w:rFonts w:ascii="Arial" w:cs="Arial" w:eastAsia="Arial" w:hAnsi="Arial"/>
          <w:sz w:val="20"/>
          <w:szCs w:val="20"/>
          <w:color w:val="auto"/>
        </w:rPr>
      </w:pPr>
    </w:p>
    <w:p>
      <w:pPr>
        <w:ind w:left="600" w:hanging="298"/>
        <w:spacing w:after="0"/>
        <w:tabs>
          <w:tab w:leader="none" w:pos="600" w:val="left"/>
        </w:tabs>
        <w:numPr>
          <w:ilvl w:val="0"/>
          <w:numId w:val="34"/>
        </w:numPr>
        <w:rPr>
          <w:rFonts w:ascii="Arial" w:cs="Arial" w:eastAsia="Arial" w:hAnsi="Arial"/>
          <w:sz w:val="19"/>
          <w:szCs w:val="19"/>
          <w:color w:val="auto"/>
        </w:rPr>
      </w:pPr>
      <w:r>
        <w:rPr>
          <w:rFonts w:ascii="Arial" w:cs="Arial" w:eastAsia="Arial" w:hAnsi="Arial"/>
          <w:sz w:val="16"/>
          <w:szCs w:val="16"/>
          <w:color w:val="auto"/>
        </w:rPr>
        <w:t>the market’s reaction to our reduced disclosure and other requirements as a result of being an “emerging growth company” under the JOBS Act;</w:t>
      </w:r>
    </w:p>
    <w:p>
      <w:pPr>
        <w:spacing w:after="0" w:line="10" w:lineRule="exact"/>
        <w:rPr>
          <w:rFonts w:ascii="Arial" w:cs="Arial" w:eastAsia="Arial" w:hAnsi="Arial"/>
          <w:sz w:val="19"/>
          <w:szCs w:val="19"/>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the size of our public float;</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coverage by or changes in financial estimates by securities analysts or failure to meet their expectations;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market and industry perception of our success, or lack thereof, in pursuing our growth strategy;</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strategic actions by us or our competitors, such as acquisitions or restructurings;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changes in laws or regulations which adversely affect our industry or us;</w:t>
      </w:r>
    </w:p>
    <w:p>
      <w:pPr>
        <w:spacing w:after="0" w:line="21" w:lineRule="exact"/>
        <w:rPr>
          <w:rFonts w:ascii="Arial" w:cs="Arial" w:eastAsia="Arial" w:hAnsi="Arial"/>
          <w:sz w:val="20"/>
          <w:szCs w:val="20"/>
          <w:color w:val="auto"/>
        </w:rPr>
      </w:pPr>
    </w:p>
    <w:p>
      <w:pPr>
        <w:ind w:left="600" w:hanging="298"/>
        <w:spacing w:after="0"/>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changes in accounting standards, policies, guidance, interpretations or principles;</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changes in senior management or key personnel;</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issuances, exchanges or sales, or expected issuances, exchanges or sales of our capital stock;</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changes in our dividend policy;</w:t>
      </w:r>
    </w:p>
    <w:p>
      <w:pPr>
        <w:spacing w:after="0" w:line="10" w:lineRule="exact"/>
        <w:rPr>
          <w:rFonts w:ascii="Arial" w:cs="Arial" w:eastAsia="Arial" w:hAnsi="Arial"/>
          <w:sz w:val="20"/>
          <w:szCs w:val="20"/>
          <w:color w:val="auto"/>
        </w:rPr>
      </w:pPr>
    </w:p>
    <w:p>
      <w:pPr>
        <w:ind w:left="600" w:hanging="298"/>
        <w:spacing w:after="0" w:line="238" w:lineRule="auto"/>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adverse resolution of new or pending litigation against us;</w:t>
      </w:r>
    </w:p>
    <w:p>
      <w:pPr>
        <w:spacing w:after="0" w:line="21" w:lineRule="exact"/>
        <w:rPr>
          <w:rFonts w:ascii="Arial" w:cs="Arial" w:eastAsia="Arial" w:hAnsi="Arial"/>
          <w:sz w:val="20"/>
          <w:szCs w:val="20"/>
          <w:color w:val="auto"/>
        </w:rPr>
      </w:pPr>
    </w:p>
    <w:p>
      <w:pPr>
        <w:ind w:left="600" w:hanging="298"/>
        <w:spacing w:after="0"/>
        <w:tabs>
          <w:tab w:leader="none" w:pos="600" w:val="left"/>
        </w:tabs>
        <w:numPr>
          <w:ilvl w:val="0"/>
          <w:numId w:val="34"/>
        </w:numPr>
        <w:rPr>
          <w:rFonts w:ascii="Arial" w:cs="Arial" w:eastAsia="Arial" w:hAnsi="Arial"/>
          <w:sz w:val="20"/>
          <w:szCs w:val="20"/>
          <w:color w:val="auto"/>
        </w:rPr>
      </w:pPr>
      <w:r>
        <w:rPr>
          <w:rFonts w:ascii="Arial" w:cs="Arial" w:eastAsia="Arial" w:hAnsi="Arial"/>
          <w:sz w:val="17"/>
          <w:szCs w:val="17"/>
          <w:color w:val="auto"/>
        </w:rPr>
        <w:t>the impact of the COVID-19 pandemic on our financial condition and the results of operations;</w:t>
      </w:r>
    </w:p>
    <w:p>
      <w:pPr>
        <w:spacing w:after="0" w:line="25" w:lineRule="exact"/>
        <w:rPr>
          <w:rFonts w:ascii="Arial" w:cs="Arial" w:eastAsia="Arial" w:hAnsi="Arial"/>
          <w:sz w:val="20"/>
          <w:szCs w:val="20"/>
          <w:color w:val="auto"/>
        </w:rPr>
      </w:pPr>
    </w:p>
    <w:p>
      <w:pPr>
        <w:ind w:left="600" w:hanging="298"/>
        <w:spacing w:after="0" w:line="233" w:lineRule="auto"/>
        <w:tabs>
          <w:tab w:leader="none" w:pos="595" w:val="left"/>
        </w:tabs>
        <w:numPr>
          <w:ilvl w:val="0"/>
          <w:numId w:val="34"/>
        </w:numPr>
        <w:rPr>
          <w:rFonts w:ascii="Arial" w:cs="Arial" w:eastAsia="Arial" w:hAnsi="Arial"/>
          <w:sz w:val="20"/>
          <w:szCs w:val="20"/>
          <w:color w:val="auto"/>
        </w:rPr>
      </w:pPr>
      <w:r>
        <w:rPr>
          <w:rFonts w:ascii="Arial" w:cs="Arial" w:eastAsia="Arial" w:hAnsi="Arial"/>
          <w:sz w:val="17"/>
          <w:szCs w:val="17"/>
          <w:color w:val="auto"/>
        </w:rPr>
        <w:t>the conflict between Russia and Ukraine and any restrictive actions that have been or may be taken by the U.S. and/or other countries in response thereto, such as sanctions or export controls;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600" w:right="280" w:hanging="298"/>
        <w:spacing w:after="0" w:line="233" w:lineRule="auto"/>
        <w:tabs>
          <w:tab w:leader="none" w:pos="595" w:val="left"/>
        </w:tabs>
        <w:numPr>
          <w:ilvl w:val="0"/>
          <w:numId w:val="35"/>
        </w:numPr>
        <w:rPr>
          <w:rFonts w:ascii="Arial" w:cs="Arial" w:eastAsia="Arial" w:hAnsi="Arial"/>
          <w:sz w:val="20"/>
          <w:szCs w:val="20"/>
          <w:color w:val="auto"/>
        </w:rPr>
      </w:pPr>
      <w:r>
        <w:rPr>
          <w:rFonts w:ascii="Arial" w:cs="Arial" w:eastAsia="Arial" w:hAnsi="Arial"/>
          <w:sz w:val="17"/>
          <w:szCs w:val="17"/>
          <w:color w:val="auto"/>
        </w:rPr>
        <w:t>changes in general market, economic and political conditions in the U.S. and global economies or financial markets, including those resulting from natural disasters, terrorist attacks, acts of war and responses to such events.</w:t>
      </w:r>
    </w:p>
    <w:p>
      <w:pPr>
        <w:spacing w:after="0" w:line="215" w:lineRule="exact"/>
        <w:rPr>
          <w:sz w:val="20"/>
          <w:szCs w:val="20"/>
          <w:color w:val="auto"/>
        </w:rPr>
      </w:pPr>
    </w:p>
    <w:p>
      <w:pPr>
        <w:ind w:right="40" w:firstLine="603"/>
        <w:spacing w:after="0" w:line="268" w:lineRule="auto"/>
        <w:rPr>
          <w:sz w:val="20"/>
          <w:szCs w:val="20"/>
          <w:color w:val="auto"/>
        </w:rPr>
      </w:pPr>
      <w:r>
        <w:rPr>
          <w:rFonts w:ascii="Arial" w:cs="Arial" w:eastAsia="Arial" w:hAnsi="Arial"/>
          <w:sz w:val="17"/>
          <w:szCs w:val="17"/>
          <w:color w:val="auto"/>
        </w:rPr>
        <w:t>These broad market and industry factors may materially reduce the market price of common stock, regardless of our operating performance. In addition, price volatility may be greater if the public float and trading volume of common stock is low.</w:t>
      </w:r>
    </w:p>
    <w:p>
      <w:pPr>
        <w:spacing w:after="0" w:line="191" w:lineRule="exact"/>
        <w:rPr>
          <w:sz w:val="20"/>
          <w:szCs w:val="20"/>
          <w:color w:val="auto"/>
        </w:rPr>
      </w:pPr>
    </w:p>
    <w:p>
      <w:pPr>
        <w:ind w:right="40" w:firstLine="603"/>
        <w:spacing w:after="0" w:line="335" w:lineRule="auto"/>
        <w:rPr>
          <w:sz w:val="20"/>
          <w:szCs w:val="20"/>
          <w:color w:val="auto"/>
        </w:rPr>
      </w:pPr>
      <w:r>
        <w:rPr>
          <w:rFonts w:ascii="Arial" w:cs="Arial" w:eastAsia="Arial" w:hAnsi="Arial"/>
          <w:sz w:val="15"/>
          <w:szCs w:val="15"/>
          <w:color w:val="auto"/>
        </w:rPr>
        <w:t>In the past, following periods of market volatility, stockholders have instituted securities class action litigation. If we were involved in securities litigation, we could have a substantial cost and divert resources and the attention of executive management from our business regardless of the outcome of such litigation.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common stock for the foreseeable future.</w:t>
      </w:r>
    </w:p>
    <w:p>
      <w:pPr>
        <w:spacing w:after="0" w:line="231" w:lineRule="exact"/>
        <w:rPr>
          <w:sz w:val="20"/>
          <w:szCs w:val="20"/>
          <w:color w:val="auto"/>
        </w:rPr>
      </w:pPr>
    </w:p>
    <w:p>
      <w:pPr>
        <w:ind w:right="60" w:firstLine="603"/>
        <w:spacing w:after="0" w:line="288" w:lineRule="auto"/>
        <w:rPr>
          <w:sz w:val="20"/>
          <w:szCs w:val="20"/>
          <w:color w:val="auto"/>
        </w:rPr>
      </w:pPr>
      <w:r>
        <w:rPr>
          <w:rFonts w:ascii="Arial" w:cs="Arial" w:eastAsia="Arial" w:hAnsi="Arial"/>
          <w:sz w:val="15"/>
          <w:szCs w:val="15"/>
          <w:color w:val="auto"/>
        </w:rPr>
        <w:t>We currently intend to retain all available funds and any future earnings to fund the development and growth of our business. As a result, we do not anticipate declaring or paying any cash dividends on the common stock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 In addition, we may incur additional indebtedness, the terms of which may further restrict or prevent us from paying dividends on the common stock. Our inability or decision not to pay dividends, particularly when others in our industry have elected to do so, could also adversely affect the market price of the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35"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b w:val="1"/>
          <w:bCs w:val="1"/>
          <w:i w:val="1"/>
          <w:iCs w:val="1"/>
          <w:color w:val="auto"/>
        </w:rPr>
        <w:t>We may be exposed to liabilities under the Foreign Corrupt Practices Act (the “FCPA”), U.K. Bribery Act, Chinese and other anti-corruption laws, and any determination that we violated these laws could have a material adverse effect on our business.</w:t>
      </w:r>
    </w:p>
    <w:p>
      <w:pPr>
        <w:spacing w:after="0" w:line="191" w:lineRule="exact"/>
        <w:rPr>
          <w:sz w:val="20"/>
          <w:szCs w:val="20"/>
          <w:color w:val="auto"/>
        </w:rPr>
      </w:pPr>
    </w:p>
    <w:p>
      <w:pPr>
        <w:ind w:firstLine="603"/>
        <w:spacing w:after="0" w:line="285" w:lineRule="auto"/>
        <w:rPr>
          <w:sz w:val="20"/>
          <w:szCs w:val="20"/>
          <w:color w:val="auto"/>
        </w:rPr>
      </w:pPr>
      <w:r>
        <w:rPr>
          <w:rFonts w:ascii="Arial" w:cs="Arial" w:eastAsia="Arial" w:hAnsi="Arial"/>
          <w:sz w:val="15"/>
          <w:szCs w:val="15"/>
          <w:color w:val="auto"/>
        </w:rPr>
        <w:t>We are subject to the FCPA, U.K. Bribery Act and other applicable anti-corruption laws that prohibit improper payments or offers of payments to foreign governments and their officials and political parties by U.S. persons and issuers as defined by the statutes, for the purpose of obtaining or retaining business. We have operations, agreements with third parties, and we currently have a sizeable portion of our sales in China. Since most of the end users and OEM bus manufacturers are state-owned companies in China, substantially most of our interactions with our end users and customers are with “government officials,” as such term is defined in the FCPA. The PRC also strictly prohibits bribery of government officials. Our activities in China create the risk of unauthorized payments or offers of payments by the employees, consultants, sales agents, or distributors of our subsidiaries, even though they may not always be subject to our control. We have implemented safeguards that seek to discourage and prevent these practices by our employees. However, our existing safeguards and any future improvements may prove to be less than effective, and the employees, consultants, sales agents, or distributors of our subsidiaries may engage in conduct for which we might be held responsible. Violations of the FCPA, U.K. Bribery Act, or Chinese or other anti-corruption laws may result in severe criminal or civil sanctions, and we may be subject to other liabilities in addition to adverse publicity, which could negatively affect our business, operating results and financial condition. In addition, the U.S. government may seek to hold our subsidiaries liable for FCPA violations committed by companies in which we invest or that we acquire.</w:t>
      </w:r>
    </w:p>
    <w:p>
      <w:pPr>
        <w:spacing w:after="0" w:line="182"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b w:val="1"/>
          <w:bCs w:val="1"/>
          <w:i w:val="1"/>
          <w:iCs w:val="1"/>
          <w:color w:val="auto"/>
        </w:rPr>
        <w:t>We face risks related to health epidemics, including the COVID-19 pandemic, which has disrupted our business and could have a material adverse effect on our business and results of operations.</w:t>
      </w:r>
    </w:p>
    <w:p>
      <w:pPr>
        <w:spacing w:after="0" w:line="191" w:lineRule="exact"/>
        <w:rPr>
          <w:sz w:val="20"/>
          <w:szCs w:val="20"/>
          <w:color w:val="auto"/>
        </w:rPr>
      </w:pPr>
    </w:p>
    <w:p>
      <w:pPr>
        <w:ind w:right="40" w:firstLine="603"/>
        <w:spacing w:after="0" w:line="251" w:lineRule="auto"/>
        <w:rPr>
          <w:sz w:val="20"/>
          <w:szCs w:val="20"/>
          <w:color w:val="auto"/>
        </w:rPr>
      </w:pPr>
      <w:r>
        <w:rPr>
          <w:rFonts w:ascii="Arial" w:cs="Arial" w:eastAsia="Arial" w:hAnsi="Arial"/>
          <w:sz w:val="17"/>
          <w:szCs w:val="17"/>
          <w:color w:val="auto"/>
        </w:rPr>
        <w:t>We face various risks related to public health issues such as epidemics, pandemics, and other outbreaks, including the pandemic of respiratory illness caused by a novel coronavirus known as COVID-19. The impact of COVID-19, including changes in consumer and business behavior, pandemic fears and market downturns, and restrictions on business and individual activities, has created significant volatility in the global economy and led to reduced economic activity. The spread of COVID-19 has also created a disruption in the manufacturing, delivery and overall supply chain of vehicle manufacturers and suppliers, and has led to a global decrease in vehicle sales in markets around the world.</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20" w:firstLine="603"/>
        <w:spacing w:after="0" w:line="286" w:lineRule="auto"/>
        <w:rPr>
          <w:sz w:val="20"/>
          <w:szCs w:val="20"/>
          <w:color w:val="auto"/>
        </w:rPr>
      </w:pPr>
      <w:r>
        <w:rPr>
          <w:rFonts w:ascii="Arial" w:cs="Arial" w:eastAsia="Arial" w:hAnsi="Arial"/>
          <w:sz w:val="15"/>
          <w:szCs w:val="15"/>
          <w:color w:val="auto"/>
        </w:rPr>
        <w:t>At this time, the full impact of COVID-19 on our business cannot be fully predicted due to numerous uncertainties and future developments, including the duration and severity of the outbreak in individual geographies we operate, the emergence of new variants of the virus, measures by government authorities, travel restrictions and business closures, the acceptance and effectiveness of vaccines and other actions taken to contain the disease, the timing of economic and operational recovery, and other unpredictable consequences. In particular, we may face specific risks related to high infection rates among our staff, which could require quarantine or extended periods away from work. Which could result in reduced productivity, delays in delivery and increased costs for hiring and training replacement staff. As a result, our operations in China may be particularly vulnerable to the effects of future outbreaks. These measures may adversely impact our employees and operations and the operations of our customers, suppliers, vendors and business partners, and may negatively impact our sales and marketing activities, the construction schedule</w:t>
      </w:r>
    </w:p>
    <w:p>
      <w:pPr>
        <w:spacing w:after="0" w:line="5"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of manufacturing plants, and the production schedule of our battery systems. In addition, various aspects of our business and manufacturing plant cannot be conducted remotely.</w:t>
      </w:r>
    </w:p>
    <w:p>
      <w:pPr>
        <w:spacing w:after="0" w:line="191" w:lineRule="exact"/>
        <w:rPr>
          <w:sz w:val="20"/>
          <w:szCs w:val="20"/>
          <w:color w:val="auto"/>
        </w:rPr>
      </w:pPr>
    </w:p>
    <w:p>
      <w:pPr>
        <w:ind w:right="160" w:firstLine="603"/>
        <w:spacing w:after="0" w:line="257" w:lineRule="auto"/>
        <w:rPr>
          <w:sz w:val="20"/>
          <w:szCs w:val="20"/>
          <w:color w:val="auto"/>
        </w:rPr>
      </w:pPr>
      <w:r>
        <w:rPr>
          <w:rFonts w:ascii="Arial" w:cs="Arial" w:eastAsia="Arial" w:hAnsi="Arial"/>
          <w:sz w:val="17"/>
          <w:szCs w:val="17"/>
          <w:color w:val="auto"/>
        </w:rPr>
        <w:t>Past or future measures by the federal government and the Federal Reserve to stimulate the U.S. economy, including actions taken in response to COVID-19 such as fiscal and monetary policy measures, and tax reform, could lead to higher inflation than we had anticipated, which generally leads to increased cost of raw materials and other operating expenses.</w:t>
      </w:r>
    </w:p>
    <w:p>
      <w:pPr>
        <w:spacing w:after="0" w:line="201" w:lineRule="exact"/>
        <w:rPr>
          <w:sz w:val="20"/>
          <w:szCs w:val="20"/>
          <w:color w:val="auto"/>
        </w:rPr>
      </w:pPr>
    </w:p>
    <w:p>
      <w:pPr>
        <w:ind w:right="180" w:firstLine="603"/>
        <w:spacing w:after="0" w:line="253" w:lineRule="auto"/>
        <w:rPr>
          <w:sz w:val="20"/>
          <w:szCs w:val="20"/>
          <w:color w:val="auto"/>
        </w:rPr>
      </w:pPr>
      <w:r>
        <w:rPr>
          <w:rFonts w:ascii="Arial" w:cs="Arial" w:eastAsia="Arial" w:hAnsi="Arial"/>
          <w:sz w:val="17"/>
          <w:szCs w:val="17"/>
          <w:color w:val="auto"/>
        </w:rPr>
        <w:t>The impact of COVID-19 on any of our suppliers, co-manufacturers, distributors or transportation or logistics providers may negatively affect the price and availability of our raw materials and impact our supply chain. If the disruptions caused by COVID-19, including interruptions to global shipping that may impact our and our suppliers’ ability to access equipment and other materials, continue for an extended period of time, our ability to meet the demands of our customers or to expand as planned may be materially impacted.</w:t>
      </w:r>
    </w:p>
    <w:p>
      <w:pPr>
        <w:spacing w:after="0" w:line="205" w:lineRule="exact"/>
        <w:rPr>
          <w:sz w:val="20"/>
          <w:szCs w:val="20"/>
          <w:color w:val="auto"/>
        </w:rPr>
      </w:pPr>
    </w:p>
    <w:p>
      <w:pPr>
        <w:ind w:firstLine="603"/>
        <w:spacing w:after="0" w:line="269" w:lineRule="auto"/>
        <w:rPr>
          <w:sz w:val="20"/>
          <w:szCs w:val="20"/>
          <w:color w:val="auto"/>
        </w:rPr>
      </w:pPr>
      <w:r>
        <w:rPr>
          <w:rFonts w:ascii="Arial" w:cs="Arial" w:eastAsia="Arial" w:hAnsi="Arial"/>
          <w:sz w:val="16"/>
          <w:szCs w:val="16"/>
          <w:color w:val="auto"/>
        </w:rPr>
        <w:t>Further, COVID-19 may impact customer and consumer demand. Specifically, difficult macroeconomic conditions, such as decreases in per capita income and level of disposable income, increased and prolonged unemployment or a decline in consumer confidence as a result of the COVID-19 pandemic, as well as reduced spending by businesses, could have a material adverse effect on the demand for our customers’ products. Under difficult economic conditions, potential customers may seek to reduce spending by forgoing electric vehicles for other traditional options. Decreased demand for our electric vehicles could negatively affect our business. Even after the COVID-19 pandemic has subsided, we may continue to experience an adverse impact to our business as a result of its global economic impact, including any recession that has occurred or may occur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facilities or operations could be damaged or adversely affected as a result of natural disasters and other catastrophic events.</w:t>
      </w:r>
    </w:p>
    <w:p>
      <w:pPr>
        <w:spacing w:after="0" w:line="231" w:lineRule="exact"/>
        <w:rPr>
          <w:sz w:val="20"/>
          <w:szCs w:val="20"/>
          <w:color w:val="auto"/>
        </w:rPr>
      </w:pPr>
    </w:p>
    <w:p>
      <w:pPr>
        <w:ind w:right="40" w:firstLine="603"/>
        <w:spacing w:after="0" w:line="251" w:lineRule="auto"/>
        <w:rPr>
          <w:sz w:val="20"/>
          <w:szCs w:val="20"/>
          <w:color w:val="auto"/>
        </w:rPr>
      </w:pPr>
      <w:r>
        <w:rPr>
          <w:rFonts w:ascii="Arial" w:cs="Arial" w:eastAsia="Arial" w:hAnsi="Arial"/>
          <w:sz w:val="17"/>
          <w:szCs w:val="17"/>
          <w:color w:val="auto"/>
        </w:rPr>
        <w:t>Our facilities or operations could be adversely affected by events outside of our control, such as natural disasters, wars, health epidemics such as the COVID-19 pandemic,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spacing w:after="0" w:line="20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Our lengthy and variable sales cycle makes it difficult for us to accurately forecast our revenue and other operating results. As a result, we expect our results of the operation to fluctuate on a quarterly and annual basis, which could cause our stock price to fluctuate or decline.</w:t>
      </w:r>
    </w:p>
    <w:p>
      <w:pPr>
        <w:spacing w:after="0" w:line="191" w:lineRule="exact"/>
        <w:rPr>
          <w:sz w:val="20"/>
          <w:szCs w:val="20"/>
          <w:color w:val="auto"/>
        </w:rPr>
      </w:pPr>
    </w:p>
    <w:p>
      <w:pPr>
        <w:ind w:firstLine="603"/>
        <w:spacing w:after="0" w:line="250" w:lineRule="auto"/>
        <w:rPr>
          <w:sz w:val="20"/>
          <w:szCs w:val="20"/>
          <w:color w:val="auto"/>
        </w:rPr>
      </w:pPr>
      <w:r>
        <w:rPr>
          <w:rFonts w:ascii="Arial" w:cs="Arial" w:eastAsia="Arial" w:hAnsi="Arial"/>
          <w:sz w:val="17"/>
          <w:szCs w:val="17"/>
          <w:color w:val="auto"/>
        </w:rPr>
        <w:t>The sales cycle for our products, especially those that are used in commercial vehicle applications, is lengthy, beginning from initial contact with a prospective customer to routine commercial utilization of our products, which makes it difficult for us to accurately forecast our revenue in a given period, and may cause our revenue and operating results to vary significantly from period to period. Some potential customers of our products typically need to commit significant time and resources in evaluating the technology used in our products and their decision to purchase our products may be further limited by budgetary constraints, lack of funding and numerous rounds of internal review and approval, which are beyond our control. We spend substantial time and effort assisting potential customers in evaluating our products,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including providing demonstrations and validation. Even after initial approval by appropriate decision-makers, the negotiation and documentation processes for the actual adoption of our products can be lengthy. As a result of these factors, based on our experience to date, our sales cycle has varied and can sometimes be four years or longer. In addition, the revenue generated from sales of our products may fluctuate from time to time due to market and general economic conditions.</w:t>
      </w:r>
    </w:p>
    <w:p>
      <w:pPr>
        <w:spacing w:after="0" w:line="167" w:lineRule="exact"/>
        <w:rPr>
          <w:sz w:val="20"/>
          <w:szCs w:val="20"/>
          <w:color w:val="auto"/>
        </w:rPr>
      </w:pPr>
    </w:p>
    <w:p>
      <w:pPr>
        <w:ind w:right="40" w:firstLine="603"/>
        <w:spacing w:after="0" w:line="250" w:lineRule="auto"/>
        <w:rPr>
          <w:sz w:val="20"/>
          <w:szCs w:val="20"/>
          <w:color w:val="auto"/>
        </w:rPr>
      </w:pPr>
      <w:r>
        <w:rPr>
          <w:rFonts w:ascii="Arial" w:cs="Arial" w:eastAsia="Arial" w:hAnsi="Arial"/>
          <w:sz w:val="17"/>
          <w:szCs w:val="17"/>
          <w:color w:val="auto"/>
        </w:rPr>
        <w:t>As a result, our quarterly and annual operating results have fluctuated in the past and likely will fluctuate in the future. The demand for our products is driven largely by the demand for the end-product applications that are powered by our products. Accordingly, the battery industry is affected by market conditions that are often outside our control. Our results of operations may fluctuate significantly from period to period due to a number of factors, including general economic, industry and market conditions, capacity ramp up by competitors, industry-wide technological changes, the loss of a key customer or the postponement, rescheduling or cancellation of large orders by a key customer. As a result of these factors and other risks discussed in this section, year-over-year comparisons should not be relied upon to predict our future performance.</w:t>
      </w:r>
    </w:p>
    <w:p>
      <w:pPr>
        <w:spacing w:after="0" w:line="209"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us, or if they issue unfavorable commentary about us or industry or downgrade the common stock, the price of the common stock could decline.</w:t>
      </w:r>
    </w:p>
    <w:p>
      <w:pPr>
        <w:spacing w:after="0" w:line="179" w:lineRule="exact"/>
        <w:rPr>
          <w:sz w:val="20"/>
          <w:szCs w:val="20"/>
          <w:color w:val="auto"/>
        </w:rPr>
      </w:pPr>
    </w:p>
    <w:p>
      <w:pPr>
        <w:ind w:firstLine="603"/>
        <w:spacing w:after="0" w:line="251" w:lineRule="auto"/>
        <w:rPr>
          <w:sz w:val="20"/>
          <w:szCs w:val="20"/>
          <w:color w:val="auto"/>
        </w:rPr>
      </w:pPr>
      <w:r>
        <w:rPr>
          <w:rFonts w:ascii="Arial" w:cs="Arial" w:eastAsia="Arial" w:hAnsi="Arial"/>
          <w:sz w:val="16"/>
          <w:szCs w:val="16"/>
          <w:color w:val="auto"/>
        </w:rPr>
        <w:t>The trading market for the common stock depends in part on the research and reports that third-party securities analysts publish about us and the industries in which we operate. We may be unable or slow to attract research coverage and if one or more analysts cease coverage on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it could cause us to lose visibility in the financial markets, which could cause the price or trading volume of the securities to decline. Moreover, if one or more of the analysts who cover us downgrades the common stock, or if our reporting results do not meet their expectations, the market price of the common stock could decline.</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Not applicable.</w:t>
      </w: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Facilities</w:t>
      </w:r>
    </w:p>
    <w:p>
      <w:pPr>
        <w:spacing w:after="0" w:line="210" w:lineRule="exact"/>
        <w:rPr>
          <w:sz w:val="20"/>
          <w:szCs w:val="20"/>
          <w:color w:val="auto"/>
        </w:rPr>
      </w:pPr>
    </w:p>
    <w:p>
      <w:pPr>
        <w:ind w:right="560" w:firstLine="603"/>
        <w:spacing w:after="0" w:line="268" w:lineRule="auto"/>
        <w:rPr>
          <w:sz w:val="20"/>
          <w:szCs w:val="20"/>
          <w:color w:val="auto"/>
        </w:rPr>
      </w:pPr>
      <w:r>
        <w:rPr>
          <w:rFonts w:ascii="Arial" w:cs="Arial" w:eastAsia="Arial" w:hAnsi="Arial"/>
          <w:sz w:val="17"/>
          <w:szCs w:val="17"/>
          <w:color w:val="auto"/>
        </w:rPr>
        <w:t>Our corporate headquarters is located near Houston, Texas at 12603 Southwest Freeway, Suite 300, Stafford, Texas 77477. A summary of our physical properties as of December 31, 2022 follows in the table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Location</w:t>
            </w:r>
          </w:p>
        </w:tc>
        <w:tc>
          <w:tcPr>
            <w:tcW w:w="100" w:type="dxa"/>
            <w:vAlign w:val="bottom"/>
          </w:tcPr>
          <w:p>
            <w:pPr>
              <w:spacing w:after="0"/>
              <w:rPr>
                <w:sz w:val="19"/>
                <w:szCs w:val="19"/>
                <w:color w:val="auto"/>
              </w:rPr>
            </w:pPr>
          </w:p>
        </w:tc>
        <w:tc>
          <w:tcPr>
            <w:tcW w:w="214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Country</w:t>
            </w:r>
          </w:p>
        </w:tc>
        <w:tc>
          <w:tcPr>
            <w:tcW w:w="100" w:type="dxa"/>
            <w:vAlign w:val="bottom"/>
          </w:tcPr>
          <w:p>
            <w:pPr>
              <w:spacing w:after="0"/>
              <w:rPr>
                <w:sz w:val="19"/>
                <w:szCs w:val="19"/>
                <w:color w:val="auto"/>
              </w:rPr>
            </w:pPr>
          </w:p>
        </w:tc>
        <w:tc>
          <w:tcPr>
            <w:tcW w:w="2160" w:type="dxa"/>
            <w:vAlign w:val="bottom"/>
            <w:tcBorders>
              <w:bottom w:val="single" w:sz="8" w:color="auto"/>
            </w:tcBorders>
          </w:tcPr>
          <w:p>
            <w:pPr>
              <w:ind w:left="440"/>
              <w:spacing w:after="0"/>
              <w:rPr>
                <w:sz w:val="20"/>
                <w:szCs w:val="20"/>
                <w:color w:val="auto"/>
              </w:rPr>
            </w:pPr>
            <w:r>
              <w:rPr>
                <w:rFonts w:ascii="Arial" w:cs="Arial" w:eastAsia="Arial" w:hAnsi="Arial"/>
                <w:sz w:val="17"/>
                <w:szCs w:val="17"/>
                <w:b w:val="1"/>
                <w:bCs w:val="1"/>
                <w:color w:val="auto"/>
              </w:rPr>
              <w:t>Approximate Size</w:t>
            </w:r>
          </w:p>
        </w:tc>
        <w:tc>
          <w:tcPr>
            <w:tcW w:w="100" w:type="dxa"/>
            <w:vAlign w:val="bottom"/>
          </w:tcPr>
          <w:p>
            <w:pPr>
              <w:spacing w:after="0"/>
              <w:rPr>
                <w:sz w:val="19"/>
                <w:szCs w:val="19"/>
                <w:color w:val="auto"/>
              </w:rPr>
            </w:pPr>
          </w:p>
        </w:tc>
        <w:tc>
          <w:tcPr>
            <w:tcW w:w="2160" w:type="dxa"/>
            <w:vAlign w:val="bottom"/>
            <w:tcBorders>
              <w:bottom w:val="single" w:sz="8" w:color="auto"/>
            </w:tcBorders>
          </w:tcPr>
          <w:p>
            <w:pPr>
              <w:ind w:left="760"/>
              <w:spacing w:after="0"/>
              <w:rPr>
                <w:sz w:val="20"/>
                <w:szCs w:val="20"/>
                <w:color w:val="auto"/>
              </w:rPr>
            </w:pPr>
            <w:r>
              <w:rPr>
                <w:rFonts w:ascii="Arial" w:cs="Arial" w:eastAsia="Arial" w:hAnsi="Arial"/>
                <w:sz w:val="17"/>
                <w:szCs w:val="17"/>
                <w:b w:val="1"/>
                <w:bCs w:val="1"/>
                <w:color w:val="auto"/>
              </w:rPr>
              <w:t>Function</w:t>
            </w:r>
          </w:p>
        </w:tc>
        <w:tc>
          <w:tcPr>
            <w:tcW w:w="100" w:type="dxa"/>
            <w:vAlign w:val="bottom"/>
          </w:tcPr>
          <w:p>
            <w:pPr>
              <w:spacing w:after="0"/>
              <w:rPr>
                <w:sz w:val="19"/>
                <w:szCs w:val="19"/>
                <w:color w:val="auto"/>
              </w:rPr>
            </w:pP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7"/>
                <w:szCs w:val="17"/>
                <w:b w:val="1"/>
                <w:bCs w:val="1"/>
                <w:color w:val="auto"/>
              </w:rPr>
              <w:t>Owned / Leased</w:t>
            </w:r>
          </w:p>
        </w:tc>
      </w:tr>
      <w:tr>
        <w:trPr>
          <w:trHeight w:val="200"/>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Stafford, Texas</w:t>
            </w:r>
          </w:p>
        </w:tc>
        <w:tc>
          <w:tcPr>
            <w:tcW w:w="2240" w:type="dxa"/>
            <w:vAlign w:val="bottom"/>
            <w:gridSpan w:val="2"/>
          </w:tcPr>
          <w:p>
            <w:pPr>
              <w:spacing w:after="0"/>
              <w:rPr>
                <w:sz w:val="20"/>
                <w:szCs w:val="20"/>
                <w:color w:val="auto"/>
              </w:rPr>
            </w:pPr>
            <w:r>
              <w:rPr>
                <w:rFonts w:ascii="Arial" w:cs="Arial" w:eastAsia="Arial" w:hAnsi="Arial"/>
                <w:sz w:val="17"/>
                <w:szCs w:val="17"/>
                <w:color w:val="auto"/>
              </w:rPr>
              <w:t>United States</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4,400 sq. ft.</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Corporate headquarters,</w:t>
            </w:r>
          </w:p>
        </w:tc>
        <w:tc>
          <w:tcPr>
            <w:tcW w:w="216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13"/>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administrative offices</w:t>
            </w:r>
          </w:p>
        </w:tc>
        <w:tc>
          <w:tcPr>
            <w:tcW w:w="2160" w:type="dxa"/>
            <w:vAlign w:val="bottom"/>
          </w:tcPr>
          <w:p>
            <w:pPr>
              <w:spacing w:after="0"/>
              <w:rPr>
                <w:sz w:val="18"/>
                <w:szCs w:val="18"/>
                <w:color w:val="auto"/>
              </w:rPr>
            </w:pPr>
          </w:p>
        </w:tc>
      </w:tr>
      <w:tr>
        <w:trPr>
          <w:trHeight w:val="214"/>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Lake Mary, Florida</w:t>
            </w:r>
          </w:p>
        </w:tc>
        <w:tc>
          <w:tcPr>
            <w:tcW w:w="2240" w:type="dxa"/>
            <w:vAlign w:val="bottom"/>
            <w:gridSpan w:val="2"/>
          </w:tcPr>
          <w:p>
            <w:pPr>
              <w:spacing w:after="0"/>
              <w:rPr>
                <w:sz w:val="20"/>
                <w:szCs w:val="20"/>
                <w:color w:val="auto"/>
              </w:rPr>
            </w:pPr>
            <w:r>
              <w:rPr>
                <w:rFonts w:ascii="Arial" w:cs="Arial" w:eastAsia="Arial" w:hAnsi="Arial"/>
                <w:sz w:val="17"/>
                <w:szCs w:val="17"/>
                <w:color w:val="auto"/>
              </w:rPr>
              <w:t>United States</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75,000 sq. ft. on 7 acres</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2160" w:type="dxa"/>
            <w:vAlign w:val="bottom"/>
          </w:tcPr>
          <w:p>
            <w:pPr>
              <w:ind w:left="20"/>
              <w:spacing w:after="0"/>
              <w:rPr>
                <w:sz w:val="20"/>
                <w:szCs w:val="20"/>
                <w:color w:val="auto"/>
              </w:rPr>
            </w:pPr>
            <w:r>
              <w:rPr>
                <w:rFonts w:ascii="Arial" w:cs="Arial" w:eastAsia="Arial" w:hAnsi="Arial"/>
                <w:sz w:val="17"/>
                <w:szCs w:val="17"/>
                <w:color w:val="auto"/>
              </w:rPr>
              <w:t>Owned</w:t>
            </w:r>
          </w:p>
        </w:tc>
      </w:tr>
      <w:tr>
        <w:trPr>
          <w:trHeight w:val="213"/>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administrative offices</w:t>
            </w:r>
          </w:p>
        </w:tc>
        <w:tc>
          <w:tcPr>
            <w:tcW w:w="2160" w:type="dxa"/>
            <w:vAlign w:val="bottom"/>
          </w:tcPr>
          <w:p>
            <w:pPr>
              <w:spacing w:after="0"/>
              <w:rPr>
                <w:sz w:val="18"/>
                <w:szCs w:val="18"/>
                <w:color w:val="auto"/>
              </w:rPr>
            </w:pPr>
          </w:p>
        </w:tc>
      </w:tr>
      <w:tr>
        <w:trPr>
          <w:trHeight w:val="238"/>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Orlando, Florida</w:t>
            </w:r>
          </w:p>
        </w:tc>
        <w:tc>
          <w:tcPr>
            <w:tcW w:w="2240" w:type="dxa"/>
            <w:vAlign w:val="bottom"/>
            <w:gridSpan w:val="2"/>
          </w:tcPr>
          <w:p>
            <w:pPr>
              <w:spacing w:after="0"/>
              <w:rPr>
                <w:sz w:val="20"/>
                <w:szCs w:val="20"/>
                <w:color w:val="auto"/>
              </w:rPr>
            </w:pPr>
            <w:r>
              <w:rPr>
                <w:rFonts w:ascii="Arial" w:cs="Arial" w:eastAsia="Arial" w:hAnsi="Arial"/>
                <w:sz w:val="17"/>
                <w:szCs w:val="17"/>
                <w:color w:val="auto"/>
              </w:rPr>
              <w:t>United States</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1,200 sq. ft.</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Research and development</w:t>
            </w:r>
          </w:p>
        </w:tc>
        <w:tc>
          <w:tcPr>
            <w:tcW w:w="216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14"/>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Clarksville, Tennessee</w:t>
            </w:r>
          </w:p>
        </w:tc>
        <w:tc>
          <w:tcPr>
            <w:tcW w:w="2240" w:type="dxa"/>
            <w:vAlign w:val="bottom"/>
            <w:gridSpan w:val="2"/>
          </w:tcPr>
          <w:p>
            <w:pPr>
              <w:spacing w:after="0"/>
              <w:rPr>
                <w:sz w:val="20"/>
                <w:szCs w:val="20"/>
                <w:color w:val="auto"/>
              </w:rPr>
            </w:pPr>
            <w:r>
              <w:rPr>
                <w:rFonts w:ascii="Arial" w:cs="Arial" w:eastAsia="Arial" w:hAnsi="Arial"/>
                <w:sz w:val="17"/>
                <w:szCs w:val="17"/>
                <w:color w:val="auto"/>
              </w:rPr>
              <w:t>United States</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577,000 sq. ft. on 82 acres</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Manufacturing (cell, module</w:t>
            </w:r>
          </w:p>
        </w:tc>
        <w:tc>
          <w:tcPr>
            <w:tcW w:w="2160" w:type="dxa"/>
            <w:vAlign w:val="bottom"/>
          </w:tcPr>
          <w:p>
            <w:pPr>
              <w:ind w:left="20"/>
              <w:spacing w:after="0"/>
              <w:rPr>
                <w:sz w:val="20"/>
                <w:szCs w:val="20"/>
                <w:color w:val="auto"/>
              </w:rPr>
            </w:pPr>
            <w:r>
              <w:rPr>
                <w:rFonts w:ascii="Arial" w:cs="Arial" w:eastAsia="Arial" w:hAnsi="Arial"/>
                <w:sz w:val="17"/>
                <w:szCs w:val="17"/>
                <w:color w:val="auto"/>
              </w:rPr>
              <w:t>Owned</w:t>
            </w: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7"/>
                <w:szCs w:val="17"/>
                <w:color w:val="auto"/>
                <w:w w:val="95"/>
              </w:rPr>
              <w:t>and pack), testing, warehouse,</w:t>
            </w:r>
          </w:p>
        </w:tc>
        <w:tc>
          <w:tcPr>
            <w:tcW w:w="2160" w:type="dxa"/>
            <w:vAlign w:val="bottom"/>
          </w:tcPr>
          <w:p>
            <w:pPr>
              <w:spacing w:after="0"/>
              <w:rPr>
                <w:sz w:val="16"/>
                <w:szCs w:val="16"/>
                <w:color w:val="auto"/>
              </w:rPr>
            </w:pPr>
          </w:p>
        </w:tc>
      </w:tr>
      <w:tr>
        <w:trPr>
          <w:trHeight w:val="213"/>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sales, administrative offices</w:t>
            </w:r>
          </w:p>
        </w:tc>
        <w:tc>
          <w:tcPr>
            <w:tcW w:w="2160" w:type="dxa"/>
            <w:vAlign w:val="bottom"/>
          </w:tcPr>
          <w:p>
            <w:pPr>
              <w:spacing w:after="0"/>
              <w:rPr>
                <w:sz w:val="18"/>
                <w:szCs w:val="18"/>
                <w:color w:val="auto"/>
              </w:rPr>
            </w:pPr>
          </w:p>
        </w:tc>
      </w:tr>
      <w:tr>
        <w:trPr>
          <w:trHeight w:val="226"/>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Denver, Colorado</w:t>
            </w:r>
          </w:p>
        </w:tc>
        <w:tc>
          <w:tcPr>
            <w:tcW w:w="2240" w:type="dxa"/>
            <w:vAlign w:val="bottom"/>
            <w:gridSpan w:val="2"/>
          </w:tcPr>
          <w:p>
            <w:pPr>
              <w:spacing w:after="0"/>
              <w:rPr>
                <w:sz w:val="20"/>
                <w:szCs w:val="20"/>
                <w:color w:val="auto"/>
              </w:rPr>
            </w:pPr>
            <w:r>
              <w:rPr>
                <w:rFonts w:ascii="Arial" w:cs="Arial" w:eastAsia="Arial" w:hAnsi="Arial"/>
                <w:sz w:val="17"/>
                <w:szCs w:val="17"/>
                <w:color w:val="auto"/>
              </w:rPr>
              <w:t>United States</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24,993 sq.ft. on 6.76 acres</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ESS headquarters,</w:t>
            </w:r>
          </w:p>
        </w:tc>
        <w:tc>
          <w:tcPr>
            <w:tcW w:w="2160" w:type="dxa"/>
            <w:vAlign w:val="bottom"/>
          </w:tcPr>
          <w:p>
            <w:pPr>
              <w:ind w:left="20"/>
              <w:spacing w:after="0"/>
              <w:rPr>
                <w:sz w:val="20"/>
                <w:szCs w:val="20"/>
                <w:color w:val="auto"/>
              </w:rPr>
            </w:pPr>
            <w:r>
              <w:rPr>
                <w:rFonts w:ascii="Arial" w:cs="Arial" w:eastAsia="Arial" w:hAnsi="Arial"/>
                <w:sz w:val="17"/>
                <w:szCs w:val="17"/>
                <w:color w:val="auto"/>
              </w:rPr>
              <w:t>Owned</w:t>
            </w:r>
          </w:p>
        </w:tc>
      </w:tr>
      <w:tr>
        <w:trPr>
          <w:trHeight w:val="213"/>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administrative offices</w:t>
            </w:r>
          </w:p>
        </w:tc>
        <w:tc>
          <w:tcPr>
            <w:tcW w:w="2160" w:type="dxa"/>
            <w:vAlign w:val="bottom"/>
          </w:tcPr>
          <w:p>
            <w:pPr>
              <w:spacing w:after="0"/>
              <w:rPr>
                <w:sz w:val="18"/>
                <w:szCs w:val="18"/>
                <w:color w:val="auto"/>
              </w:rPr>
            </w:pPr>
          </w:p>
        </w:tc>
      </w:tr>
      <w:tr>
        <w:trPr>
          <w:trHeight w:val="214"/>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Berlin</w:t>
            </w:r>
          </w:p>
        </w:tc>
        <w:tc>
          <w:tcPr>
            <w:tcW w:w="2240" w:type="dxa"/>
            <w:vAlign w:val="bottom"/>
            <w:gridSpan w:val="2"/>
          </w:tcPr>
          <w:p>
            <w:pPr>
              <w:spacing w:after="0"/>
              <w:rPr>
                <w:sz w:val="20"/>
                <w:szCs w:val="20"/>
                <w:color w:val="auto"/>
              </w:rPr>
            </w:pPr>
            <w:r>
              <w:rPr>
                <w:rFonts w:ascii="Arial" w:cs="Arial" w:eastAsia="Arial" w:hAnsi="Arial"/>
                <w:sz w:val="17"/>
                <w:szCs w:val="17"/>
                <w:color w:val="auto"/>
              </w:rPr>
              <w:t>Germany</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185,000 sq. ft. on 9 acres</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European headquarters,</w:t>
            </w:r>
          </w:p>
        </w:tc>
        <w:tc>
          <w:tcPr>
            <w:tcW w:w="216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administrative offices,</w:t>
            </w:r>
          </w:p>
        </w:tc>
        <w:tc>
          <w:tcPr>
            <w:tcW w:w="2160" w:type="dxa"/>
            <w:vAlign w:val="bottom"/>
          </w:tcPr>
          <w:p>
            <w:pPr>
              <w:spacing w:after="0"/>
              <w:rPr>
                <w:sz w:val="16"/>
                <w:szCs w:val="16"/>
                <w:color w:val="auto"/>
              </w:rPr>
            </w:pPr>
          </w:p>
        </w:tc>
      </w:tr>
      <w:tr>
        <w:trPr>
          <w:trHeight w:val="201"/>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manufacturing (module and</w:t>
            </w:r>
          </w:p>
        </w:tc>
        <w:tc>
          <w:tcPr>
            <w:tcW w:w="2160" w:type="dxa"/>
            <w:vAlign w:val="bottom"/>
          </w:tcPr>
          <w:p>
            <w:pPr>
              <w:spacing w:after="0"/>
              <w:rPr>
                <w:sz w:val="17"/>
                <w:szCs w:val="17"/>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pack), testing, warehouse,</w:t>
            </w:r>
          </w:p>
        </w:tc>
        <w:tc>
          <w:tcPr>
            <w:tcW w:w="2160" w:type="dxa"/>
            <w:vAlign w:val="bottom"/>
          </w:tcPr>
          <w:p>
            <w:pPr>
              <w:spacing w:after="0"/>
              <w:rPr>
                <w:sz w:val="16"/>
                <w:szCs w:val="16"/>
                <w:color w:val="auto"/>
              </w:rPr>
            </w:pPr>
          </w:p>
        </w:tc>
      </w:tr>
      <w:tr>
        <w:trPr>
          <w:trHeight w:val="213"/>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sales, after sales-service</w:t>
            </w:r>
          </w:p>
        </w:tc>
        <w:tc>
          <w:tcPr>
            <w:tcW w:w="2160" w:type="dxa"/>
            <w:vAlign w:val="bottom"/>
          </w:tcPr>
          <w:p>
            <w:pPr>
              <w:spacing w:after="0"/>
              <w:rPr>
                <w:sz w:val="18"/>
                <w:szCs w:val="18"/>
                <w:color w:val="auto"/>
              </w:rPr>
            </w:pPr>
          </w:p>
        </w:tc>
      </w:tr>
      <w:tr>
        <w:trPr>
          <w:trHeight w:val="214"/>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London</w:t>
            </w:r>
          </w:p>
        </w:tc>
        <w:tc>
          <w:tcPr>
            <w:tcW w:w="224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4,990 sq. ft.</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Sales, after sales-service,</w:t>
            </w:r>
          </w:p>
        </w:tc>
        <w:tc>
          <w:tcPr>
            <w:tcW w:w="216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213"/>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warehouse, testing</w:t>
            </w:r>
          </w:p>
        </w:tc>
        <w:tc>
          <w:tcPr>
            <w:tcW w:w="2160" w:type="dxa"/>
            <w:vAlign w:val="bottom"/>
          </w:tcPr>
          <w:p>
            <w:pPr>
              <w:spacing w:after="0"/>
              <w:rPr>
                <w:sz w:val="18"/>
                <w:szCs w:val="18"/>
                <w:color w:val="auto"/>
              </w:rPr>
            </w:pPr>
          </w:p>
        </w:tc>
      </w:tr>
      <w:tr>
        <w:trPr>
          <w:trHeight w:val="214"/>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Huzhou</w:t>
            </w:r>
          </w:p>
        </w:tc>
        <w:tc>
          <w:tcPr>
            <w:tcW w:w="2240" w:type="dxa"/>
            <w:vAlign w:val="bottom"/>
            <w:gridSpan w:val="2"/>
          </w:tcPr>
          <w:p>
            <w:pPr>
              <w:spacing w:after="0"/>
              <w:rPr>
                <w:sz w:val="20"/>
                <w:szCs w:val="20"/>
                <w:color w:val="auto"/>
              </w:rPr>
            </w:pPr>
            <w:r>
              <w:rPr>
                <w:rFonts w:ascii="Arial" w:cs="Arial" w:eastAsia="Arial" w:hAnsi="Arial"/>
                <w:sz w:val="17"/>
                <w:szCs w:val="17"/>
                <w:color w:val="auto"/>
              </w:rPr>
              <w:t>China</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1,400,000 sq. ft. on 72 acres</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Asia Pacific headquarters,</w:t>
            </w:r>
          </w:p>
        </w:tc>
        <w:tc>
          <w:tcPr>
            <w:tcW w:w="2160" w:type="dxa"/>
            <w:vAlign w:val="bottom"/>
          </w:tcPr>
          <w:p>
            <w:pPr>
              <w:ind w:left="20"/>
              <w:spacing w:after="0"/>
              <w:rPr>
                <w:sz w:val="20"/>
                <w:szCs w:val="20"/>
                <w:color w:val="auto"/>
              </w:rPr>
            </w:pPr>
            <w:r>
              <w:rPr>
                <w:rFonts w:ascii="Arial" w:cs="Arial" w:eastAsia="Arial" w:hAnsi="Arial"/>
                <w:sz w:val="17"/>
                <w:szCs w:val="17"/>
                <w:color w:val="auto"/>
              </w:rPr>
              <w:t>Owned</w:t>
            </w: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manufacturing (components,</w:t>
            </w:r>
          </w:p>
        </w:tc>
        <w:tc>
          <w:tcPr>
            <w:tcW w:w="2160" w:type="dxa"/>
            <w:vAlign w:val="bottom"/>
          </w:tcPr>
          <w:p>
            <w:pPr>
              <w:spacing w:after="0"/>
              <w:rPr>
                <w:sz w:val="16"/>
                <w:szCs w:val="16"/>
                <w:color w:val="auto"/>
              </w:rPr>
            </w:pPr>
          </w:p>
        </w:tc>
      </w:tr>
      <w:tr>
        <w:trPr>
          <w:trHeight w:val="201"/>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w w:val="94"/>
              </w:rPr>
              <w:t>cell, module and pack), testing,</w:t>
            </w:r>
          </w:p>
        </w:tc>
        <w:tc>
          <w:tcPr>
            <w:tcW w:w="2160" w:type="dxa"/>
            <w:vAlign w:val="bottom"/>
          </w:tcPr>
          <w:p>
            <w:pPr>
              <w:spacing w:after="0"/>
              <w:rPr>
                <w:sz w:val="17"/>
                <w:szCs w:val="17"/>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warehouse, sales, after-sales</w:t>
            </w:r>
          </w:p>
        </w:tc>
        <w:tc>
          <w:tcPr>
            <w:tcW w:w="2160" w:type="dxa"/>
            <w:vAlign w:val="bottom"/>
          </w:tcPr>
          <w:p>
            <w:pPr>
              <w:spacing w:after="0"/>
              <w:rPr>
                <w:sz w:val="16"/>
                <w:szCs w:val="16"/>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service, research and</w:t>
            </w:r>
          </w:p>
        </w:tc>
        <w:tc>
          <w:tcPr>
            <w:tcW w:w="2160" w:type="dxa"/>
            <w:vAlign w:val="bottom"/>
          </w:tcPr>
          <w:p>
            <w:pPr>
              <w:spacing w:after="0"/>
              <w:rPr>
                <w:sz w:val="16"/>
                <w:szCs w:val="16"/>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development, administrative</w:t>
            </w:r>
          </w:p>
        </w:tc>
        <w:tc>
          <w:tcPr>
            <w:tcW w:w="2160" w:type="dxa"/>
            <w:vAlign w:val="bottom"/>
          </w:tcPr>
          <w:p>
            <w:pPr>
              <w:spacing w:after="0"/>
              <w:rPr>
                <w:sz w:val="16"/>
                <w:szCs w:val="16"/>
                <w:color w:val="auto"/>
              </w:rPr>
            </w:pPr>
          </w:p>
        </w:tc>
      </w:tr>
      <w:tr>
        <w:trPr>
          <w:trHeight w:val="213"/>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offices, and canteen services</w:t>
            </w:r>
          </w:p>
        </w:tc>
        <w:tc>
          <w:tcPr>
            <w:tcW w:w="2160" w:type="dxa"/>
            <w:vAlign w:val="bottom"/>
          </w:tcPr>
          <w:p>
            <w:pPr>
              <w:spacing w:after="0"/>
              <w:rPr>
                <w:sz w:val="18"/>
                <w:szCs w:val="18"/>
                <w:color w:val="auto"/>
              </w:rPr>
            </w:pPr>
          </w:p>
        </w:tc>
      </w:tr>
      <w:tr>
        <w:trPr>
          <w:trHeight w:val="214"/>
        </w:trPr>
        <w:tc>
          <w:tcPr>
            <w:tcW w:w="2320" w:type="dxa"/>
            <w:vAlign w:val="bottom"/>
            <w:gridSpan w:val="2"/>
          </w:tcPr>
          <w:p>
            <w:pPr>
              <w:ind w:left="20"/>
              <w:spacing w:after="0"/>
              <w:rPr>
                <w:sz w:val="20"/>
                <w:szCs w:val="20"/>
                <w:color w:val="auto"/>
              </w:rPr>
            </w:pPr>
            <w:r>
              <w:rPr>
                <w:rFonts w:ascii="Arial" w:cs="Arial" w:eastAsia="Arial" w:hAnsi="Arial"/>
                <w:sz w:val="17"/>
                <w:szCs w:val="17"/>
                <w:color w:val="auto"/>
              </w:rPr>
              <w:t>Huzhou</w:t>
            </w:r>
          </w:p>
        </w:tc>
        <w:tc>
          <w:tcPr>
            <w:tcW w:w="2240" w:type="dxa"/>
            <w:vAlign w:val="bottom"/>
            <w:gridSpan w:val="2"/>
          </w:tcPr>
          <w:p>
            <w:pPr>
              <w:spacing w:after="0"/>
              <w:rPr>
                <w:sz w:val="20"/>
                <w:szCs w:val="20"/>
                <w:color w:val="auto"/>
              </w:rPr>
            </w:pPr>
            <w:r>
              <w:rPr>
                <w:rFonts w:ascii="Arial" w:cs="Arial" w:eastAsia="Arial" w:hAnsi="Arial"/>
                <w:sz w:val="17"/>
                <w:szCs w:val="17"/>
                <w:color w:val="auto"/>
              </w:rPr>
              <w:t>China</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61,000 sq. ft.</w:t>
            </w:r>
          </w:p>
        </w:tc>
        <w:tc>
          <w:tcPr>
            <w:tcW w:w="2260" w:type="dxa"/>
            <w:vAlign w:val="bottom"/>
            <w:gridSpan w:val="2"/>
          </w:tcPr>
          <w:p>
            <w:pPr>
              <w:ind w:left="20"/>
              <w:spacing w:after="0"/>
              <w:rPr>
                <w:sz w:val="20"/>
                <w:szCs w:val="20"/>
                <w:color w:val="auto"/>
              </w:rPr>
            </w:pPr>
            <w:r>
              <w:rPr>
                <w:rFonts w:ascii="Arial" w:cs="Arial" w:eastAsia="Arial" w:hAnsi="Arial"/>
                <w:sz w:val="17"/>
                <w:szCs w:val="17"/>
                <w:color w:val="auto"/>
                <w:w w:val="97"/>
              </w:rPr>
              <w:t>Manufacturing (other), testing,</w:t>
            </w:r>
          </w:p>
        </w:tc>
        <w:tc>
          <w:tcPr>
            <w:tcW w:w="2160" w:type="dxa"/>
            <w:vAlign w:val="bottom"/>
          </w:tcPr>
          <w:p>
            <w:pPr>
              <w:ind w:left="20"/>
              <w:spacing w:after="0"/>
              <w:rPr>
                <w:sz w:val="20"/>
                <w:szCs w:val="20"/>
                <w:color w:val="auto"/>
              </w:rPr>
            </w:pPr>
            <w:r>
              <w:rPr>
                <w:rFonts w:ascii="Arial" w:cs="Arial" w:eastAsia="Arial" w:hAnsi="Arial"/>
                <w:sz w:val="17"/>
                <w:szCs w:val="17"/>
                <w:color w:val="auto"/>
              </w:rPr>
              <w:t>Leased</w:t>
            </w: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warehouse, sales, after-sales</w:t>
            </w:r>
          </w:p>
        </w:tc>
        <w:tc>
          <w:tcPr>
            <w:tcW w:w="2160" w:type="dxa"/>
            <w:vAlign w:val="bottom"/>
          </w:tcPr>
          <w:p>
            <w:pPr>
              <w:spacing w:after="0"/>
              <w:rPr>
                <w:sz w:val="16"/>
                <w:szCs w:val="16"/>
                <w:color w:val="auto"/>
              </w:rPr>
            </w:pPr>
          </w:p>
        </w:tc>
      </w:tr>
      <w:tr>
        <w:trPr>
          <w:trHeight w:val="201"/>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service, research and</w:t>
            </w:r>
          </w:p>
        </w:tc>
        <w:tc>
          <w:tcPr>
            <w:tcW w:w="2160" w:type="dxa"/>
            <w:vAlign w:val="bottom"/>
          </w:tcPr>
          <w:p>
            <w:pPr>
              <w:spacing w:after="0"/>
              <w:rPr>
                <w:sz w:val="17"/>
                <w:szCs w:val="17"/>
                <w:color w:val="auto"/>
              </w:rPr>
            </w:pPr>
          </w:p>
        </w:tc>
      </w:tr>
      <w:tr>
        <w:trPr>
          <w:trHeight w:val="188"/>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development, administrative</w:t>
            </w:r>
          </w:p>
        </w:tc>
        <w:tc>
          <w:tcPr>
            <w:tcW w:w="2160" w:type="dxa"/>
            <w:vAlign w:val="bottom"/>
          </w:tcPr>
          <w:p>
            <w:pPr>
              <w:spacing w:after="0"/>
              <w:rPr>
                <w:sz w:val="16"/>
                <w:szCs w:val="16"/>
                <w:color w:val="auto"/>
              </w:rPr>
            </w:pPr>
          </w:p>
        </w:tc>
      </w:tr>
      <w:tr>
        <w:trPr>
          <w:trHeight w:val="213"/>
        </w:trPr>
        <w:tc>
          <w:tcPr>
            <w:tcW w:w="2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7"/>
                <w:szCs w:val="17"/>
                <w:color w:val="auto"/>
              </w:rPr>
              <w:t>offices, and canteen services</w:t>
            </w:r>
          </w:p>
        </w:tc>
        <w:tc>
          <w:tcPr>
            <w:tcW w:w="2160" w:type="dxa"/>
            <w:vAlign w:val="bottom"/>
          </w:tcPr>
          <w:p>
            <w:pPr>
              <w:spacing w:after="0"/>
              <w:rPr>
                <w:sz w:val="18"/>
                <w:szCs w:val="18"/>
                <w:color w:val="auto"/>
              </w:rPr>
            </w:pPr>
          </w:p>
        </w:tc>
      </w:tr>
      <w:tr>
        <w:trPr>
          <w:trHeight w:val="854"/>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ind w:left="980"/>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06"/>
        </w:trPr>
        <w:tc>
          <w:tcPr>
            <w:tcW w:w="2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10" w:lineRule="exact"/>
        <w:rPr>
          <w:sz w:val="20"/>
          <w:szCs w:val="20"/>
          <w:color w:val="auto"/>
        </w:rPr>
      </w:pPr>
    </w:p>
    <w:p>
      <w:pPr>
        <w:ind w:firstLine="603"/>
        <w:spacing w:after="0" w:line="269" w:lineRule="auto"/>
        <w:rPr>
          <w:sz w:val="20"/>
          <w:szCs w:val="20"/>
          <w:color w:val="auto"/>
        </w:rPr>
      </w:pPr>
      <w:r>
        <w:rPr>
          <w:rFonts w:ascii="Arial" w:cs="Arial" w:eastAsia="Arial" w:hAnsi="Arial"/>
          <w:sz w:val="16"/>
          <w:szCs w:val="16"/>
          <w:color w:val="auto"/>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if determined adversely to us, are believed to, either individually or taken together, have a material adverse effect on our business, operating results, cash flows or financial condition. However, the results of litigation and claims are inherently unpredictable. Regardless of the outcome, litigation has the potential to have an adverse impact on us because of defense and settlement costs, diversion of management resources and other factors. For a description of our pending legal proceedings, please see Note 28. Commitments and Contingencies, to the consolidated financial statements included elsewhere in this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Not applicable.</w:t>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59" w:name="page60"/>
    <w:bookmarkEnd w:id="5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10" w:lineRule="exact"/>
        <w:rPr>
          <w:sz w:val="20"/>
          <w:szCs w:val="20"/>
          <w:color w:val="auto"/>
        </w:rPr>
      </w:pPr>
    </w:p>
    <w:p>
      <w:pPr>
        <w:ind w:right="200" w:firstLine="603"/>
        <w:spacing w:after="0" w:line="268" w:lineRule="auto"/>
        <w:rPr>
          <w:sz w:val="20"/>
          <w:szCs w:val="20"/>
          <w:color w:val="auto"/>
        </w:rPr>
      </w:pPr>
      <w:r>
        <w:rPr>
          <w:rFonts w:ascii="Arial" w:cs="Arial" w:eastAsia="Arial" w:hAnsi="Arial"/>
          <w:sz w:val="17"/>
          <w:szCs w:val="17"/>
          <w:color w:val="auto"/>
        </w:rPr>
        <w:t>Microvast Holdings, Inc.’s common stock is listed on NASDAQ under the symbol “MVST” and began trading on July 26, 2021. Microvast Holdings, Inc.’s publicly-traded warrants are listed on NASDAQ under the symbol “MVSTW.”</w:t>
      </w:r>
    </w:p>
    <w:p>
      <w:pPr>
        <w:spacing w:after="0" w:line="166" w:lineRule="exact"/>
        <w:rPr>
          <w:sz w:val="20"/>
          <w:szCs w:val="20"/>
          <w:color w:val="auto"/>
        </w:rPr>
      </w:pPr>
    </w:p>
    <w:p>
      <w:pPr>
        <w:ind w:right="580" w:firstLine="603"/>
        <w:spacing w:after="0" w:line="268" w:lineRule="auto"/>
        <w:rPr>
          <w:sz w:val="20"/>
          <w:szCs w:val="20"/>
          <w:color w:val="auto"/>
        </w:rPr>
      </w:pPr>
      <w:r>
        <w:rPr>
          <w:rFonts w:ascii="Arial" w:cs="Arial" w:eastAsia="Arial" w:hAnsi="Arial"/>
          <w:sz w:val="17"/>
          <w:szCs w:val="17"/>
          <w:color w:val="auto"/>
        </w:rPr>
        <w:t>Prior to the consummation of the Business Combination, Tuscan’s common stock and public warrants were listed on the NASDAQ under the symbols “THCB” and “THCBW,”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Common Stock</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March 10, 2023, there were approximately 127 registered holders of our common stock according to the records maintained by our transfer agent.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10" w:lineRule="exact"/>
        <w:rPr>
          <w:sz w:val="20"/>
          <w:szCs w:val="20"/>
          <w:color w:val="auto"/>
        </w:rPr>
      </w:pPr>
    </w:p>
    <w:p>
      <w:pPr>
        <w:ind w:firstLine="603"/>
        <w:spacing w:after="0" w:line="271" w:lineRule="auto"/>
        <w:rPr>
          <w:sz w:val="20"/>
          <w:szCs w:val="20"/>
          <w:color w:val="auto"/>
        </w:rPr>
      </w:pPr>
      <w:r>
        <w:rPr>
          <w:rFonts w:ascii="Arial" w:cs="Arial" w:eastAsia="Arial" w:hAnsi="Arial"/>
          <w:sz w:val="16"/>
          <w:szCs w:val="16"/>
          <w:color w:val="auto"/>
        </w:rPr>
        <w:t>We currently intend to retain all available funds and any future earnings to fund the development and growth of our business. As a result, we do not anticipate declaring or paying any cash dividends in the foreseeable future. Any decision to declare and pay dividends in the future will be made at the discretion of the Board and will depend on, among other things, the business prospects, results of operations, financial condition, cash requirements and availability, legal requirements, certain restrictions related to indebtedness, industry trends and other factors that the Board may deem relevant. Any such decision will also be subject to compliance with contractual restrictions and covenants in the agreements governing current and future indebtedness.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10" w:lineRule="exact"/>
        <w:rPr>
          <w:sz w:val="20"/>
          <w:szCs w:val="20"/>
          <w:color w:val="auto"/>
        </w:rPr>
      </w:pPr>
    </w:p>
    <w:p>
      <w:pPr>
        <w:ind w:right="320" w:firstLine="603"/>
        <w:spacing w:after="0" w:line="299" w:lineRule="auto"/>
        <w:rPr>
          <w:sz w:val="20"/>
          <w:szCs w:val="20"/>
          <w:color w:val="auto"/>
        </w:rPr>
      </w:pPr>
      <w:r>
        <w:rPr>
          <w:rFonts w:ascii="Arial" w:cs="Arial" w:eastAsia="Arial" w:hAnsi="Arial"/>
          <w:sz w:val="16"/>
          <w:szCs w:val="16"/>
          <w:color w:val="auto"/>
        </w:rPr>
        <w:t>Our equity compensation plans that provide for the annual awarding of stock-based compensation have been approved by our stockholders. For additional detail, see Note 22. Share-Based Payment, to our audited consolidated financial statements included in Part II, Item 8 of this Annual Report.</w:t>
      </w:r>
    </w:p>
    <w:p>
      <w:pPr>
        <w:spacing w:after="0" w:line="144" w:lineRule="exact"/>
        <w:rPr>
          <w:sz w:val="20"/>
          <w:szCs w:val="20"/>
          <w:color w:val="auto"/>
        </w:rPr>
      </w:pPr>
    </w:p>
    <w:p>
      <w:pPr>
        <w:ind w:right="100" w:firstLine="603"/>
        <w:spacing w:after="0" w:line="268" w:lineRule="auto"/>
        <w:rPr>
          <w:sz w:val="20"/>
          <w:szCs w:val="20"/>
          <w:color w:val="auto"/>
        </w:rPr>
      </w:pPr>
      <w:r>
        <w:rPr>
          <w:rFonts w:ascii="Arial" w:cs="Arial" w:eastAsia="Arial" w:hAnsi="Arial"/>
          <w:sz w:val="17"/>
          <w:szCs w:val="17"/>
          <w:color w:val="auto"/>
        </w:rPr>
        <w:t>The following table sets forth, as of December 31, 2022, certain information related to our compensation plans under which shares of our common stock may be issued.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9"/>
              </w:rPr>
              <w:t>Number of</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1"/>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5"/>
              </w:rPr>
              <w:t>securities</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jc w:val="center"/>
              <w:ind w:right="296"/>
              <w:spacing w:after="0"/>
              <w:rPr>
                <w:sz w:val="20"/>
                <w:szCs w:val="20"/>
                <w:color w:val="auto"/>
              </w:rPr>
            </w:pPr>
            <w:r>
              <w:rPr>
                <w:rFonts w:ascii="Arial" w:cs="Arial" w:eastAsia="Arial" w:hAnsi="Arial"/>
                <w:sz w:val="17"/>
                <w:szCs w:val="17"/>
                <w:b w:val="1"/>
                <w:bCs w:val="1"/>
                <w:color w:val="auto"/>
                <w:w w:val="91"/>
              </w:rPr>
              <w:t>Number of</w:t>
            </w:r>
          </w:p>
        </w:tc>
      </w:tr>
      <w:tr>
        <w:trPr>
          <w:trHeight w:val="201"/>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8"/>
              </w:rPr>
              <w:t>to be</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jc w:val="center"/>
              <w:ind w:right="316"/>
              <w:spacing w:after="0"/>
              <w:rPr>
                <w:sz w:val="20"/>
                <w:szCs w:val="20"/>
                <w:color w:val="auto"/>
              </w:rPr>
            </w:pPr>
            <w:r>
              <w:rPr>
                <w:rFonts w:ascii="Arial" w:cs="Arial" w:eastAsia="Arial" w:hAnsi="Arial"/>
                <w:sz w:val="17"/>
                <w:szCs w:val="17"/>
                <w:b w:val="1"/>
                <w:bCs w:val="1"/>
                <w:color w:val="auto"/>
                <w:w w:val="85"/>
              </w:rPr>
              <w:t>securities</w:t>
            </w:r>
          </w:p>
        </w:tc>
      </w:tr>
      <w:tr>
        <w:trPr>
          <w:trHeight w:val="201"/>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right"/>
              <w:ind w:right="1020"/>
              <w:spacing w:after="0"/>
              <w:rPr>
                <w:sz w:val="20"/>
                <w:szCs w:val="20"/>
                <w:color w:val="auto"/>
              </w:rPr>
            </w:pPr>
            <w:r>
              <w:rPr>
                <w:rFonts w:ascii="Arial" w:cs="Arial" w:eastAsia="Arial" w:hAnsi="Arial"/>
                <w:sz w:val="17"/>
                <w:szCs w:val="17"/>
                <w:b w:val="1"/>
                <w:bCs w:val="1"/>
                <w:color w:val="auto"/>
              </w:rPr>
              <w:t>issued</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120" w:type="dxa"/>
            <w:vAlign w:val="bottom"/>
          </w:tcPr>
          <w:p>
            <w:pPr>
              <w:jc w:val="center"/>
              <w:ind w:right="316"/>
              <w:spacing w:after="0"/>
              <w:rPr>
                <w:sz w:val="20"/>
                <w:szCs w:val="20"/>
                <w:color w:val="auto"/>
              </w:rPr>
            </w:pPr>
            <w:r>
              <w:rPr>
                <w:rFonts w:ascii="Arial" w:cs="Arial" w:eastAsia="Arial" w:hAnsi="Arial"/>
                <w:sz w:val="17"/>
                <w:szCs w:val="17"/>
                <w:b w:val="1"/>
                <w:bCs w:val="1"/>
                <w:color w:val="auto"/>
                <w:w w:val="88"/>
              </w:rPr>
              <w:t>remaining</w:t>
            </w:r>
          </w:p>
        </w:tc>
      </w:tr>
      <w:tr>
        <w:trPr>
          <w:trHeight w:val="201"/>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6"/>
              </w:rPr>
              <w:t>upon</w:t>
            </w:r>
          </w:p>
        </w:tc>
        <w:tc>
          <w:tcPr>
            <w:tcW w:w="120" w:type="dxa"/>
            <w:vAlign w:val="bottom"/>
          </w:tcPr>
          <w:p>
            <w:pPr>
              <w:spacing w:after="0"/>
              <w:rPr>
                <w:sz w:val="17"/>
                <w:szCs w:val="17"/>
                <w:color w:val="auto"/>
              </w:rPr>
            </w:pPr>
          </w:p>
        </w:tc>
        <w:tc>
          <w:tcPr>
            <w:tcW w:w="1460" w:type="dxa"/>
            <w:vAlign w:val="bottom"/>
          </w:tcPr>
          <w:p>
            <w:pPr>
              <w:jc w:val="center"/>
              <w:ind w:right="76"/>
              <w:spacing w:after="0"/>
              <w:rPr>
                <w:sz w:val="20"/>
                <w:szCs w:val="20"/>
                <w:color w:val="auto"/>
              </w:rPr>
            </w:pPr>
            <w:r>
              <w:rPr>
                <w:rFonts w:ascii="Arial" w:cs="Arial" w:eastAsia="Arial" w:hAnsi="Arial"/>
                <w:sz w:val="17"/>
                <w:szCs w:val="17"/>
                <w:b w:val="1"/>
                <w:bCs w:val="1"/>
                <w:color w:val="auto"/>
                <w:w w:val="88"/>
              </w:rPr>
              <w:t>Weighted-average</w:t>
            </w:r>
          </w:p>
        </w:tc>
        <w:tc>
          <w:tcPr>
            <w:tcW w:w="2120" w:type="dxa"/>
            <w:vAlign w:val="bottom"/>
          </w:tcPr>
          <w:p>
            <w:pPr>
              <w:jc w:val="center"/>
              <w:ind w:right="296"/>
              <w:spacing w:after="0"/>
              <w:rPr>
                <w:sz w:val="20"/>
                <w:szCs w:val="20"/>
                <w:color w:val="auto"/>
              </w:rPr>
            </w:pPr>
            <w:r>
              <w:rPr>
                <w:rFonts w:ascii="Arial" w:cs="Arial" w:eastAsia="Arial" w:hAnsi="Arial"/>
                <w:sz w:val="17"/>
                <w:szCs w:val="17"/>
                <w:b w:val="1"/>
                <w:bCs w:val="1"/>
                <w:color w:val="auto"/>
                <w:w w:val="90"/>
              </w:rPr>
              <w:t>available for</w:t>
            </w:r>
          </w:p>
        </w:tc>
      </w:tr>
      <w:tr>
        <w:trPr>
          <w:trHeight w:val="201"/>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5"/>
              </w:rPr>
              <w:t>exercise of</w:t>
            </w:r>
          </w:p>
        </w:tc>
        <w:tc>
          <w:tcPr>
            <w:tcW w:w="120" w:type="dxa"/>
            <w:vAlign w:val="bottom"/>
          </w:tcPr>
          <w:p>
            <w:pPr>
              <w:spacing w:after="0"/>
              <w:rPr>
                <w:sz w:val="17"/>
                <w:szCs w:val="17"/>
                <w:color w:val="auto"/>
              </w:rPr>
            </w:pPr>
          </w:p>
        </w:tc>
        <w:tc>
          <w:tcPr>
            <w:tcW w:w="1460" w:type="dxa"/>
            <w:vAlign w:val="bottom"/>
          </w:tcPr>
          <w:p>
            <w:pPr>
              <w:jc w:val="center"/>
              <w:ind w:right="56"/>
              <w:spacing w:after="0"/>
              <w:rPr>
                <w:sz w:val="20"/>
                <w:szCs w:val="20"/>
                <w:color w:val="auto"/>
              </w:rPr>
            </w:pPr>
            <w:r>
              <w:rPr>
                <w:rFonts w:ascii="Arial" w:cs="Arial" w:eastAsia="Arial" w:hAnsi="Arial"/>
                <w:sz w:val="17"/>
                <w:szCs w:val="17"/>
                <w:b w:val="1"/>
                <w:bCs w:val="1"/>
                <w:color w:val="auto"/>
                <w:w w:val="84"/>
              </w:rPr>
              <w:t>exercise price</w:t>
            </w:r>
          </w:p>
        </w:tc>
        <w:tc>
          <w:tcPr>
            <w:tcW w:w="2120" w:type="dxa"/>
            <w:vAlign w:val="bottom"/>
          </w:tcPr>
          <w:p>
            <w:pPr>
              <w:jc w:val="center"/>
              <w:ind w:right="316"/>
              <w:spacing w:after="0"/>
              <w:rPr>
                <w:sz w:val="20"/>
                <w:szCs w:val="20"/>
                <w:color w:val="auto"/>
              </w:rPr>
            </w:pPr>
            <w:r>
              <w:rPr>
                <w:rFonts w:ascii="Arial" w:cs="Arial" w:eastAsia="Arial" w:hAnsi="Arial"/>
                <w:sz w:val="17"/>
                <w:szCs w:val="17"/>
                <w:b w:val="1"/>
                <w:bCs w:val="1"/>
                <w:color w:val="auto"/>
                <w:w w:val="91"/>
              </w:rPr>
              <w:t>future</w:t>
            </w:r>
          </w:p>
        </w:tc>
      </w:tr>
      <w:tr>
        <w:trPr>
          <w:trHeight w:val="201"/>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6"/>
              </w:rPr>
              <w:t>outstanding</w:t>
            </w:r>
          </w:p>
        </w:tc>
        <w:tc>
          <w:tcPr>
            <w:tcW w:w="120" w:type="dxa"/>
            <w:vAlign w:val="bottom"/>
          </w:tcPr>
          <w:p>
            <w:pPr>
              <w:spacing w:after="0"/>
              <w:rPr>
                <w:sz w:val="17"/>
                <w:szCs w:val="17"/>
                <w:color w:val="auto"/>
              </w:rPr>
            </w:pPr>
          </w:p>
        </w:tc>
        <w:tc>
          <w:tcPr>
            <w:tcW w:w="1460" w:type="dxa"/>
            <w:vAlign w:val="bottom"/>
          </w:tcPr>
          <w:p>
            <w:pPr>
              <w:jc w:val="center"/>
              <w:ind w:right="76"/>
              <w:spacing w:after="0"/>
              <w:rPr>
                <w:sz w:val="20"/>
                <w:szCs w:val="20"/>
                <w:color w:val="auto"/>
              </w:rPr>
            </w:pPr>
            <w:r>
              <w:rPr>
                <w:rFonts w:ascii="Arial" w:cs="Arial" w:eastAsia="Arial" w:hAnsi="Arial"/>
                <w:sz w:val="17"/>
                <w:szCs w:val="17"/>
                <w:b w:val="1"/>
                <w:bCs w:val="1"/>
                <w:color w:val="auto"/>
                <w:w w:val="86"/>
              </w:rPr>
              <w:t>of outstanding</w:t>
            </w:r>
          </w:p>
        </w:tc>
        <w:tc>
          <w:tcPr>
            <w:tcW w:w="2120" w:type="dxa"/>
            <w:vAlign w:val="bottom"/>
          </w:tcPr>
          <w:p>
            <w:pPr>
              <w:jc w:val="center"/>
              <w:ind w:right="316"/>
              <w:spacing w:after="0"/>
              <w:rPr>
                <w:sz w:val="20"/>
                <w:szCs w:val="20"/>
                <w:color w:val="auto"/>
              </w:rPr>
            </w:pPr>
            <w:r>
              <w:rPr>
                <w:rFonts w:ascii="Arial" w:cs="Arial" w:eastAsia="Arial" w:hAnsi="Arial"/>
                <w:sz w:val="17"/>
                <w:szCs w:val="17"/>
                <w:b w:val="1"/>
                <w:bCs w:val="1"/>
                <w:color w:val="auto"/>
                <w:w w:val="82"/>
              </w:rPr>
              <w:t>issuance</w:t>
            </w:r>
          </w:p>
        </w:tc>
      </w:tr>
      <w:tr>
        <w:trPr>
          <w:trHeight w:val="201"/>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84"/>
              </w:rPr>
              <w:t>options,</w:t>
            </w:r>
          </w:p>
        </w:tc>
        <w:tc>
          <w:tcPr>
            <w:tcW w:w="120" w:type="dxa"/>
            <w:vAlign w:val="bottom"/>
          </w:tcPr>
          <w:p>
            <w:pPr>
              <w:spacing w:after="0"/>
              <w:rPr>
                <w:sz w:val="17"/>
                <w:szCs w:val="17"/>
                <w:color w:val="auto"/>
              </w:rPr>
            </w:pPr>
          </w:p>
        </w:tc>
        <w:tc>
          <w:tcPr>
            <w:tcW w:w="1460" w:type="dxa"/>
            <w:vAlign w:val="bottom"/>
          </w:tcPr>
          <w:p>
            <w:pPr>
              <w:jc w:val="center"/>
              <w:ind w:right="56"/>
              <w:spacing w:after="0"/>
              <w:rPr>
                <w:sz w:val="20"/>
                <w:szCs w:val="20"/>
                <w:color w:val="auto"/>
              </w:rPr>
            </w:pPr>
            <w:r>
              <w:rPr>
                <w:rFonts w:ascii="Arial" w:cs="Arial" w:eastAsia="Arial" w:hAnsi="Arial"/>
                <w:sz w:val="17"/>
                <w:szCs w:val="17"/>
                <w:b w:val="1"/>
                <w:bCs w:val="1"/>
                <w:color w:val="auto"/>
                <w:w w:val="84"/>
              </w:rPr>
              <w:t>options,</w:t>
            </w:r>
          </w:p>
        </w:tc>
        <w:tc>
          <w:tcPr>
            <w:tcW w:w="2120" w:type="dxa"/>
            <w:vAlign w:val="bottom"/>
          </w:tcPr>
          <w:p>
            <w:pPr>
              <w:jc w:val="center"/>
              <w:ind w:right="316"/>
              <w:spacing w:after="0"/>
              <w:rPr>
                <w:sz w:val="20"/>
                <w:szCs w:val="20"/>
                <w:color w:val="auto"/>
              </w:rPr>
            </w:pPr>
            <w:r>
              <w:rPr>
                <w:rFonts w:ascii="Arial" w:cs="Arial" w:eastAsia="Arial" w:hAnsi="Arial"/>
                <w:sz w:val="17"/>
                <w:szCs w:val="17"/>
                <w:b w:val="1"/>
                <w:bCs w:val="1"/>
                <w:color w:val="auto"/>
                <w:w w:val="90"/>
              </w:rPr>
              <w:t>under equity</w:t>
            </w:r>
          </w:p>
        </w:tc>
      </w:tr>
      <w:tr>
        <w:trPr>
          <w:trHeight w:val="201"/>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7"/>
                <w:szCs w:val="17"/>
                <w:b w:val="1"/>
                <w:bCs w:val="1"/>
                <w:color w:val="auto"/>
                <w:w w:val="90"/>
              </w:rPr>
              <w:t>warrants</w:t>
            </w:r>
          </w:p>
        </w:tc>
        <w:tc>
          <w:tcPr>
            <w:tcW w:w="120" w:type="dxa"/>
            <w:vAlign w:val="bottom"/>
          </w:tcPr>
          <w:p>
            <w:pPr>
              <w:spacing w:after="0"/>
              <w:rPr>
                <w:sz w:val="17"/>
                <w:szCs w:val="17"/>
                <w:color w:val="auto"/>
              </w:rPr>
            </w:pPr>
          </w:p>
        </w:tc>
        <w:tc>
          <w:tcPr>
            <w:tcW w:w="1460" w:type="dxa"/>
            <w:vAlign w:val="bottom"/>
          </w:tcPr>
          <w:p>
            <w:pPr>
              <w:jc w:val="center"/>
              <w:ind w:right="56"/>
              <w:spacing w:after="0"/>
              <w:rPr>
                <w:sz w:val="20"/>
                <w:szCs w:val="20"/>
                <w:color w:val="auto"/>
              </w:rPr>
            </w:pPr>
            <w:r>
              <w:rPr>
                <w:rFonts w:ascii="Arial" w:cs="Arial" w:eastAsia="Arial" w:hAnsi="Arial"/>
                <w:sz w:val="17"/>
                <w:szCs w:val="17"/>
                <w:b w:val="1"/>
                <w:bCs w:val="1"/>
                <w:color w:val="auto"/>
                <w:w w:val="90"/>
              </w:rPr>
              <w:t>warrants and</w:t>
            </w:r>
          </w:p>
        </w:tc>
        <w:tc>
          <w:tcPr>
            <w:tcW w:w="2120" w:type="dxa"/>
            <w:vAlign w:val="bottom"/>
          </w:tcPr>
          <w:p>
            <w:pPr>
              <w:jc w:val="center"/>
              <w:ind w:right="296"/>
              <w:spacing w:after="0"/>
              <w:rPr>
                <w:sz w:val="20"/>
                <w:szCs w:val="20"/>
                <w:color w:val="auto"/>
              </w:rPr>
            </w:pPr>
            <w:r>
              <w:rPr>
                <w:rFonts w:ascii="Arial" w:cs="Arial" w:eastAsia="Arial" w:hAnsi="Arial"/>
                <w:sz w:val="17"/>
                <w:szCs w:val="17"/>
                <w:b w:val="1"/>
                <w:bCs w:val="1"/>
                <w:color w:val="auto"/>
                <w:w w:val="84"/>
              </w:rPr>
              <w:t>compensation</w:t>
            </w:r>
          </w:p>
        </w:tc>
      </w:tr>
      <w:tr>
        <w:trPr>
          <w:trHeight w:val="236"/>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Plan category</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and rights</w:t>
            </w:r>
          </w:p>
        </w:tc>
        <w:tc>
          <w:tcPr>
            <w:tcW w:w="4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8"/>
              </w:rPr>
              <w:t>rights</w:t>
            </w:r>
          </w:p>
        </w:tc>
        <w:tc>
          <w:tcPr>
            <w:tcW w:w="2120" w:type="dxa"/>
            <w:vAlign w:val="bottom"/>
            <w:tcBorders>
              <w:bottom w:val="single" w:sz="8" w:color="CCEEFF"/>
            </w:tcBorders>
          </w:tcPr>
          <w:p>
            <w:pPr>
              <w:jc w:val="center"/>
              <w:ind w:right="256"/>
              <w:spacing w:after="0"/>
              <w:rPr>
                <w:sz w:val="20"/>
                <w:szCs w:val="20"/>
                <w:color w:val="auto"/>
              </w:rPr>
            </w:pPr>
            <w:r>
              <w:rPr>
                <w:rFonts w:ascii="Arial" w:cs="Arial" w:eastAsia="Arial" w:hAnsi="Arial"/>
                <w:sz w:val="17"/>
                <w:szCs w:val="17"/>
                <w:b w:val="1"/>
                <w:bCs w:val="1"/>
                <w:color w:val="auto"/>
                <w:w w:val="85"/>
              </w:rPr>
              <w:t>plans</w:t>
            </w:r>
          </w:p>
        </w:tc>
      </w:tr>
      <w:tr>
        <w:trPr>
          <w:trHeight w:val="237"/>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compensation plans approved by security holders</w:t>
            </w:r>
          </w:p>
        </w:tc>
        <w:tc>
          <w:tcPr>
            <w:tcW w:w="2020" w:type="dxa"/>
            <w:vAlign w:val="bottom"/>
            <w:gridSpan w:val="2"/>
            <w:shd w:val="clear" w:color="auto" w:fill="CCEEFF"/>
          </w:tcPr>
          <w:p>
            <w:pPr>
              <w:jc w:val="right"/>
              <w:ind w:right="300"/>
              <w:spacing w:after="0" w:line="237" w:lineRule="exact"/>
              <w:rPr>
                <w:sz w:val="20"/>
                <w:szCs w:val="20"/>
                <w:color w:val="auto"/>
              </w:rPr>
            </w:pPr>
            <w:r>
              <w:rPr>
                <w:rFonts w:ascii="Arial" w:cs="Arial" w:eastAsia="Arial" w:hAnsi="Arial"/>
                <w:sz w:val="17"/>
                <w:szCs w:val="17"/>
                <w:color w:val="auto"/>
              </w:rPr>
              <w:t xml:space="preserve">60,466,526 </w:t>
            </w:r>
            <w:r>
              <w:rPr>
                <w:rFonts w:ascii="Arial" w:cs="Arial" w:eastAsia="Arial" w:hAnsi="Arial"/>
                <w:sz w:val="21"/>
                <w:szCs w:val="2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w:t>
            </w:r>
          </w:p>
        </w:tc>
        <w:tc>
          <w:tcPr>
            <w:tcW w:w="2120" w:type="dxa"/>
            <w:vAlign w:val="bottom"/>
            <w:shd w:val="clear" w:color="auto" w:fill="CCEEFF"/>
          </w:tcPr>
          <w:p>
            <w:pPr>
              <w:jc w:val="right"/>
              <w:ind w:right="216"/>
              <w:spacing w:after="0" w:line="237" w:lineRule="exact"/>
              <w:rPr>
                <w:sz w:val="20"/>
                <w:szCs w:val="20"/>
                <w:color w:val="auto"/>
              </w:rPr>
            </w:pPr>
            <w:r>
              <w:rPr>
                <w:rFonts w:ascii="Arial" w:cs="Arial" w:eastAsia="Arial" w:hAnsi="Arial"/>
                <w:sz w:val="17"/>
                <w:szCs w:val="17"/>
                <w:color w:val="auto"/>
              </w:rPr>
              <w:t xml:space="preserve">16,490,228 </w:t>
            </w:r>
            <w:r>
              <w:rPr>
                <w:rFonts w:ascii="Arial" w:cs="Arial" w:eastAsia="Arial" w:hAnsi="Arial"/>
                <w:sz w:val="21"/>
                <w:szCs w:val="21"/>
                <w:color w:val="auto"/>
                <w:vertAlign w:val="superscript"/>
              </w:rPr>
              <w:t>(2)</w:t>
            </w:r>
          </w:p>
        </w:tc>
      </w:tr>
      <w:tr>
        <w:trPr>
          <w:trHeight w:val="232"/>
        </w:trPr>
        <w:tc>
          <w:tcPr>
            <w:tcW w:w="5520" w:type="dxa"/>
            <w:vAlign w:val="bottom"/>
            <w:gridSpan w:val="2"/>
          </w:tcPr>
          <w:p>
            <w:pPr>
              <w:ind w:left="20"/>
              <w:spacing w:after="0"/>
              <w:rPr>
                <w:sz w:val="20"/>
                <w:szCs w:val="20"/>
                <w:color w:val="auto"/>
              </w:rPr>
            </w:pPr>
            <w:r>
              <w:rPr>
                <w:rFonts w:ascii="Arial" w:cs="Arial" w:eastAsia="Arial" w:hAnsi="Arial"/>
                <w:sz w:val="17"/>
                <w:szCs w:val="17"/>
                <w:color w:val="auto"/>
              </w:rPr>
              <w:t>Equity compensation plans not approved by security holders</w:t>
            </w:r>
          </w:p>
        </w:tc>
        <w:tc>
          <w:tcPr>
            <w:tcW w:w="202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w:t>
            </w:r>
          </w:p>
        </w:tc>
        <w:tc>
          <w:tcPr>
            <w:tcW w:w="2120" w:type="dxa"/>
            <w:vAlign w:val="bottom"/>
          </w:tcPr>
          <w:p>
            <w:pPr>
              <w:jc w:val="right"/>
              <w:ind w:right="376"/>
              <w:spacing w:after="0"/>
              <w:rPr>
                <w:sz w:val="20"/>
                <w:szCs w:val="20"/>
                <w:color w:val="auto"/>
              </w:rPr>
            </w:pPr>
            <w:r>
              <w:rPr>
                <w:rFonts w:ascii="Arial" w:cs="Arial" w:eastAsia="Arial" w:hAnsi="Arial"/>
                <w:sz w:val="17"/>
                <w:szCs w:val="17"/>
                <w:color w:val="auto"/>
              </w:rPr>
              <w:t>—</w:t>
            </w:r>
          </w:p>
        </w:tc>
      </w:tr>
      <w:tr>
        <w:trPr>
          <w:trHeight w:val="245"/>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60,466,526</w:t>
            </w: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2120" w:type="dxa"/>
            <w:vAlign w:val="bottom"/>
            <w:shd w:val="clear" w:color="auto" w:fill="CCEEFF"/>
          </w:tcPr>
          <w:p>
            <w:pPr>
              <w:jc w:val="right"/>
              <w:ind w:right="376"/>
              <w:spacing w:after="0"/>
              <w:rPr>
                <w:sz w:val="20"/>
                <w:szCs w:val="20"/>
                <w:color w:val="auto"/>
              </w:rPr>
            </w:pPr>
            <w:r>
              <w:rPr>
                <w:rFonts w:ascii="Arial" w:cs="Arial" w:eastAsia="Arial" w:hAnsi="Arial"/>
                <w:sz w:val="17"/>
                <w:szCs w:val="17"/>
                <w:color w:val="auto"/>
              </w:rPr>
              <w:t>16,490,228</w:t>
            </w:r>
          </w:p>
        </w:tc>
      </w:tr>
    </w:tbl>
    <w:p>
      <w:pPr>
        <w:spacing w:after="0" w:line="276" w:lineRule="exact"/>
        <w:rPr>
          <w:sz w:val="20"/>
          <w:szCs w:val="20"/>
          <w:color w:val="auto"/>
        </w:rPr>
      </w:pPr>
    </w:p>
    <w:p>
      <w:pPr>
        <w:ind w:left="300" w:right="140" w:hanging="300"/>
        <w:spacing w:after="0" w:line="257" w:lineRule="auto"/>
        <w:tabs>
          <w:tab w:leader="none" w:pos="294"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56,675,326 stock options and restricted stock units (“RSUs”) granted under the Microvast, Inc. Stock Incentive Plan (the “Stock Incentive Plan”) that were converted in the Business Combination into options to purchase 33,647,927 shares of our common stock and RSUs with respect to 23,027,399 shares of our common stock. No further awards may be granted under the Stock Incentive Plan.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(2) Represents shares issuable pursuant to the 2021 Plan.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10" w:lineRule="exact"/>
        <w:rPr>
          <w:sz w:val="20"/>
          <w:szCs w:val="20"/>
          <w:color w:val="auto"/>
        </w:rPr>
      </w:pPr>
    </w:p>
    <w:p>
      <w:pPr>
        <w:ind w:right="440" w:firstLine="603"/>
        <w:spacing w:after="0" w:line="268" w:lineRule="auto"/>
        <w:rPr>
          <w:sz w:val="20"/>
          <w:szCs w:val="20"/>
          <w:color w:val="auto"/>
        </w:rPr>
      </w:pPr>
      <w:r>
        <w:rPr>
          <w:rFonts w:ascii="Arial" w:cs="Arial" w:eastAsia="Arial" w:hAnsi="Arial"/>
          <w:sz w:val="17"/>
          <w:szCs w:val="17"/>
          <w:color w:val="auto"/>
        </w:rPr>
        <w:t>Information regarding all equity securities of the registrant sold by us during the period covered by this Annual Report that was not registered under the Securities Act was included in a Current Report on Form 8-K, and therefore is not required to be furnished herein.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210" w:lineRule="exact"/>
        <w:rPr>
          <w:sz w:val="20"/>
          <w:szCs w:val="20"/>
          <w:color w:val="auto"/>
        </w:rPr>
      </w:pPr>
    </w:p>
    <w:p>
      <w:pPr>
        <w:ind w:right="460" w:firstLine="603"/>
        <w:spacing w:after="0" w:line="254" w:lineRule="auto"/>
        <w:rPr>
          <w:sz w:val="20"/>
          <w:szCs w:val="20"/>
          <w:color w:val="auto"/>
        </w:rPr>
      </w:pPr>
      <w:r>
        <w:rPr>
          <w:rFonts w:ascii="Arial" w:cs="Arial" w:eastAsia="Arial" w:hAnsi="Arial"/>
          <w:sz w:val="17"/>
          <w:szCs w:val="17"/>
          <w:i w:val="1"/>
          <w:iCs w:val="1"/>
          <w:color w:val="auto"/>
        </w:rPr>
        <w:t>This performance graph shall not be deemed “filed” with the SEC or subject to Section 18 of the Exchange Act, nor shall it be deemed incorporated by reference in any of our filings under the Securities Act, as amended.</w:t>
      </w:r>
    </w:p>
    <w:p>
      <w:pPr>
        <w:ind w:firstLine="603"/>
        <w:spacing w:after="0" w:line="238" w:lineRule="auto"/>
        <w:rPr>
          <w:sz w:val="20"/>
          <w:szCs w:val="20"/>
          <w:color w:val="auto"/>
        </w:rPr>
      </w:pPr>
      <w:r>
        <w:rPr>
          <w:rFonts w:ascii="Arial" w:cs="Arial" w:eastAsia="Arial" w:hAnsi="Arial"/>
          <w:sz w:val="17"/>
          <w:szCs w:val="17"/>
          <w:color w:val="auto"/>
        </w:rPr>
        <w:t>The following line graph compares the cumulative total stockholder return on our common stock with the cumulative total return of (i) our common stock, (ii) the NASDAQ Composite Index and (iii) the NASDAQ Clean Edge Green Energy Index Fund (QCLN) from March 27, 2019 to December 31, 2022. The comparison assumes the investment of $100 in our common stock and in each of the foregoing indices and reinvestment of all dividends. The stock performance shown represents historical performance and is not representative of future stock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5332730" cy="2152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32730" cy="215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10" w:lineRule="exact"/>
        <w:rPr>
          <w:sz w:val="20"/>
          <w:szCs w:val="20"/>
          <w:color w:val="auto"/>
        </w:rPr>
      </w:pPr>
    </w:p>
    <w:p>
      <w:pPr>
        <w:ind w:firstLine="603"/>
        <w:spacing w:after="0" w:line="253"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consolidated results of operations and financial condition. The discussion should be read together with the historical consolidated financial statements and related notes that are included elsewhere in this Annual Report. This discussion may contain forward-looking statements based upon current expectations that involve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Business</w:t>
      </w:r>
    </w:p>
    <w:p>
      <w:pPr>
        <w:spacing w:after="0" w:line="23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Microvast Holdings, Inc. is an advanced battery technology company headquartered near Houston, Texas, and is publicly traded on the NASDAQ stock</w:t>
      </w:r>
    </w:p>
    <w:p>
      <w:pPr>
        <w:spacing w:after="0" w:line="6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exchange (the “NASDAQ”). We design, develop and manufacture battery components and systems primarily for electric commercial vehicles and utility-scale energy storage systems (“ESS”).</w:t>
      </w:r>
    </w:p>
    <w:p>
      <w:pPr>
        <w:spacing w:after="0" w:line="191"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color w:val="auto"/>
        </w:rPr>
        <w:t>When we founded Microvast in 2006, our guiding principle, which remains at the heart of everything we do today, was to adopt an innovative and creative approach to the design of lithium-ion batteries without relying on past technologies. We call this true innovation. Our design approach began without preconceptions on how to make a lithium-ion battery, which contrasts to many other battery companies which took legacy battery technologies used in consumer electronics and adopted those for use in new market opportunities, such as electric vehicles, which we believe is product development, not innovation. To understand this difference, is to understand what we have set out to achieve.</w:t>
      </w:r>
    </w:p>
    <w:p>
      <w:pPr>
        <w:spacing w:after="0" w:line="208" w:lineRule="exact"/>
        <w:rPr>
          <w:sz w:val="20"/>
          <w:szCs w:val="20"/>
          <w:color w:val="auto"/>
        </w:rPr>
      </w:pPr>
    </w:p>
    <w:p>
      <w:pPr>
        <w:ind w:right="20" w:firstLine="603"/>
        <w:spacing w:after="0" w:line="251" w:lineRule="auto"/>
        <w:rPr>
          <w:sz w:val="20"/>
          <w:szCs w:val="20"/>
          <w:color w:val="auto"/>
        </w:rPr>
      </w:pPr>
      <w:r>
        <w:rPr>
          <w:rFonts w:ascii="Arial" w:cs="Arial" w:eastAsia="Arial" w:hAnsi="Arial"/>
          <w:sz w:val="17"/>
          <w:szCs w:val="17"/>
          <w:color w:val="auto"/>
        </w:rPr>
        <w:t>Our mission is to use our innovative approach to create the battery technologies and solutions to accelerate the adoption of electric vehicles and the integration of renewable energy sources in order to power the transition to a sustainable economy. In particular, we seek to lead the charge in establishing and securing U.S. domestic battery production, which will strengthen the U.S. battery manufacturing base and reduce reliance on foreign battery manufacturing, in what is becoming a sector with significant strategic importance. We believe continuous investment in our technology and operations will deliver long-term targeted revenue and income growth.</w:t>
      </w:r>
    </w:p>
    <w:p>
      <w:pPr>
        <w:spacing w:after="0" w:line="208" w:lineRule="exact"/>
        <w:rPr>
          <w:sz w:val="20"/>
          <w:szCs w:val="20"/>
          <w:color w:val="auto"/>
        </w:rPr>
      </w:pPr>
    </w:p>
    <w:p>
      <w:pPr>
        <w:ind w:right="120" w:firstLine="603"/>
        <w:spacing w:after="0" w:line="307" w:lineRule="auto"/>
        <w:rPr>
          <w:sz w:val="20"/>
          <w:szCs w:val="20"/>
          <w:color w:val="auto"/>
        </w:rPr>
      </w:pPr>
      <w:r>
        <w:rPr>
          <w:rFonts w:ascii="Arial" w:cs="Arial" w:eastAsia="Arial" w:hAnsi="Arial"/>
          <w:sz w:val="15"/>
          <w:szCs w:val="15"/>
          <w:color w:val="auto"/>
        </w:rPr>
        <w:t>We have developed proprietary technologies covering the entire battery system through our vertically integrated approach: from basic cell materials like the cathode, anode, electrolyte and separator, to cooling systems and software controls for the battery pack. Since our inception, we have primarily focused on developing new battery solutions for the transportation industry which requires batteries that are ultra-fast charging, high energy density, long lasting and safe.</w:t>
      </w:r>
    </w:p>
    <w:p>
      <w:pPr>
        <w:spacing w:after="0" w:line="167" w:lineRule="exact"/>
        <w:rPr>
          <w:sz w:val="20"/>
          <w:szCs w:val="20"/>
          <w:color w:val="auto"/>
        </w:rPr>
      </w:pPr>
    </w:p>
    <w:p>
      <w:pPr>
        <w:ind w:right="80" w:firstLine="603"/>
        <w:spacing w:after="0" w:line="305" w:lineRule="auto"/>
        <w:rPr>
          <w:sz w:val="20"/>
          <w:szCs w:val="20"/>
          <w:color w:val="auto"/>
        </w:rPr>
      </w:pPr>
      <w:r>
        <w:rPr>
          <w:rFonts w:ascii="Arial" w:cs="Arial" w:eastAsia="Arial" w:hAnsi="Arial"/>
          <w:sz w:val="15"/>
          <w:szCs w:val="15"/>
          <w:color w:val="auto"/>
        </w:rPr>
        <w:t>In the future, in addition to expanding our production of battery systems and battery components, we expect to increase our focus on producing ESS solutions to support the shift to electrification, with the goal of becoming a leading global ESS solution provider to the energy market. This is a necessity because electric</w:t>
      </w:r>
    </w:p>
    <w:p>
      <w:pPr>
        <w:spacing w:after="0" w:line="1"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vehicles can only be considered as a green technology if the energy used to power them is also green. Addressing this symbiotic relationship is at the heart of our research activities and we expect it will shape our strategies for the foreseeable future.</w:t>
      </w:r>
    </w:p>
    <w:p>
      <w:pPr>
        <w:spacing w:after="0" w:line="191" w:lineRule="exact"/>
        <w:rPr>
          <w:sz w:val="20"/>
          <w:szCs w:val="20"/>
          <w:color w:val="auto"/>
        </w:rPr>
      </w:pPr>
    </w:p>
    <w:p>
      <w:pPr>
        <w:ind w:right="140" w:firstLine="603"/>
        <w:spacing w:after="0" w:line="356" w:lineRule="auto"/>
        <w:rPr>
          <w:sz w:val="20"/>
          <w:szCs w:val="20"/>
          <w:color w:val="auto"/>
        </w:rPr>
      </w:pPr>
      <w:r>
        <w:rPr>
          <w:rFonts w:ascii="Arial" w:cs="Arial" w:eastAsia="Arial" w:hAnsi="Arial"/>
          <w:sz w:val="15"/>
          <w:szCs w:val="15"/>
          <w:color w:val="auto"/>
        </w:rPr>
        <w:t>Our most recent innovation is our high-energy nickel manganese cobalt (“NMC”) 53.5 ampere-hour battery cell (the “53.5Ah”), whose performance characteristics make it an attractive solution for commercial vehicle and ESS applications. To bring this product to market we have made significant investments in capacity expansions in Huzhou, China and Clarksville, Tennessee. Both facilities are using the same fully-automated production equipment for the 53.5Ah cell which will give us considerable operating efficiencies. We expect the 53.5Ah cell to be our dominant revenue driver for this next phase of our growth.</w:t>
      </w:r>
    </w:p>
    <w:p>
      <w:pPr>
        <w:spacing w:after="0" w:line="131" w:lineRule="exact"/>
        <w:rPr>
          <w:sz w:val="20"/>
          <w:szCs w:val="20"/>
          <w:color w:val="auto"/>
        </w:rPr>
      </w:pPr>
    </w:p>
    <w:p>
      <w:pPr>
        <w:ind w:right="260" w:firstLine="603"/>
        <w:spacing w:after="0" w:line="298" w:lineRule="auto"/>
        <w:rPr>
          <w:sz w:val="20"/>
          <w:szCs w:val="20"/>
          <w:color w:val="auto"/>
        </w:rPr>
      </w:pPr>
      <w:r>
        <w:rPr>
          <w:rFonts w:ascii="Arial" w:cs="Arial" w:eastAsia="Arial" w:hAnsi="Arial"/>
          <w:sz w:val="15"/>
          <w:szCs w:val="15"/>
          <w:color w:val="auto"/>
        </w:rPr>
        <w:t>Since 2009, when we launched our first ultra-fast battery system, we have sold and delivered approximately 3,347.9 megawatt hours (“MWh”) of battery systems. Our revenue for the year ended December 31, 2022, increased $52.5 million to $204.5 million, a 35% increase compared to the year ended December 31, 2021. As of December 31, 2022, we had an order backlog of approximately $410.5 million for our battery systems (the equivalent of approximately 1,599.7 MWh), nearly 90% of which is attributable to the U.S. and Europe. We expect to fulfill a majority of our backlog within 2023 and 2024.</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223" w:lineRule="exact"/>
        <w:rPr>
          <w:sz w:val="20"/>
          <w:szCs w:val="20"/>
          <w:color w:val="auto"/>
        </w:rPr>
      </w:pPr>
    </w:p>
    <w:p>
      <w:pPr>
        <w:jc w:val="both"/>
        <w:ind w:firstLine="603"/>
        <w:spacing w:after="0" w:line="241" w:lineRule="auto"/>
        <w:rPr>
          <w:sz w:val="20"/>
          <w:szCs w:val="20"/>
          <w:color w:val="auto"/>
        </w:rPr>
      </w:pPr>
      <w:r>
        <w:rPr>
          <w:rFonts w:ascii="Arial" w:cs="Arial" w:eastAsia="Arial" w:hAnsi="Arial"/>
          <w:sz w:val="17"/>
          <w:szCs w:val="17"/>
          <w:color w:val="auto"/>
        </w:rPr>
        <w:t>On October 3,2022, we launched our new energy division (“Microvast Energy”). The new division will design, develop and manufacture ESS containers that are co-located with solar solutions or operate as stand-alone energy assets using our battery technology. The engineering, sales, after-sales and marketing and customer care departments for Microvast Energy are headquartered in northern Colorado.</w:t>
      </w:r>
    </w:p>
    <w:p>
      <w:pPr>
        <w:spacing w:after="0" w:line="215" w:lineRule="exact"/>
        <w:rPr>
          <w:sz w:val="20"/>
          <w:szCs w:val="20"/>
          <w:color w:val="auto"/>
        </w:rPr>
      </w:pPr>
    </w:p>
    <w:p>
      <w:pPr>
        <w:jc w:val="both"/>
        <w:ind w:firstLine="603"/>
        <w:spacing w:after="0" w:line="307" w:lineRule="auto"/>
        <w:rPr>
          <w:sz w:val="20"/>
          <w:szCs w:val="20"/>
          <w:color w:val="auto"/>
        </w:rPr>
      </w:pPr>
      <w:r>
        <w:rPr>
          <w:rFonts w:ascii="Arial" w:cs="Arial" w:eastAsia="Arial" w:hAnsi="Arial"/>
          <w:sz w:val="15"/>
          <w:szCs w:val="15"/>
          <w:color w:val="auto"/>
        </w:rPr>
        <w:t>Further, in October 2022, we were notified by the DOE that we had been selected, in collaboration with General Motors, to receive $200 million in grant funding as part of the DOE's Battery Materials Processing and Battery Manufacturing initiative pursuant to the recently enacted infrastructure law, subject to negotiation of specific terms. Once finalized, the grant funding will remain subject to certain conditions precedent and other terms and conditions to be agreed</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between us and the DOE. The grant funding is expected to support the construction of a new polyaramid separator manufacturing facility in the U.S.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of the Business Combination</w:t>
      </w:r>
    </w:p>
    <w:p>
      <w:pPr>
        <w:spacing w:after="0" w:line="210" w:lineRule="exact"/>
        <w:rPr>
          <w:sz w:val="20"/>
          <w:szCs w:val="20"/>
          <w:color w:val="auto"/>
        </w:rPr>
      </w:pPr>
    </w:p>
    <w:p>
      <w:pPr>
        <w:ind w:right="240" w:firstLine="603"/>
        <w:spacing w:after="0" w:line="280" w:lineRule="auto"/>
        <w:rPr>
          <w:sz w:val="20"/>
          <w:szCs w:val="20"/>
          <w:color w:val="auto"/>
        </w:rPr>
      </w:pPr>
      <w:r>
        <w:rPr>
          <w:rFonts w:ascii="Arial" w:cs="Arial" w:eastAsia="Arial" w:hAnsi="Arial"/>
          <w:sz w:val="16"/>
          <w:szCs w:val="16"/>
          <w:color w:val="auto"/>
        </w:rPr>
        <w:t>On July 23, 2021, Microvast Holdings, Inc. (formerly known as Tuscan Holdings Corp.) consummated the previously announced acquisition of Microvast, Inc., a Delaware corporation, pursuant to the Agreement and Plan of Merger dated February 1, 2021, between Tuscan, Microvast and TSCN Merger Sub Inc., a Delaware corporation, pursuant to which Merger Sub merged with and into Microvast, with Microvast surviving the merger.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See Note 29 to the audited consolidated financial statements of this Annual Report.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210" w:lineRule="exact"/>
        <w:rPr>
          <w:sz w:val="20"/>
          <w:szCs w:val="20"/>
          <w:color w:val="auto"/>
        </w:rPr>
      </w:pPr>
    </w:p>
    <w:p>
      <w:pPr>
        <w:ind w:firstLine="603"/>
        <w:spacing w:after="0" w:line="335" w:lineRule="auto"/>
        <w:rPr>
          <w:sz w:val="20"/>
          <w:szCs w:val="20"/>
          <w:color w:val="auto"/>
        </w:rPr>
      </w:pPr>
      <w:r>
        <w:rPr>
          <w:rFonts w:ascii="Arial" w:cs="Arial" w:eastAsia="Arial" w:hAnsi="Arial"/>
          <w:sz w:val="15"/>
          <w:szCs w:val="15"/>
          <w:color w:val="auto"/>
        </w:rPr>
        <w:t>We believe that our future success will be dependent on several factors, including those discussed below. While these areas represent opportunities for us, they also represent challenges and risks that we must successfully address in order to continue the growth of our business and improve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and Product Innovation</w:t>
      </w:r>
    </w:p>
    <w:p>
      <w:pPr>
        <w:spacing w:after="0" w:line="206" w:lineRule="exact"/>
        <w:rPr>
          <w:sz w:val="20"/>
          <w:szCs w:val="20"/>
          <w:color w:val="auto"/>
        </w:rPr>
      </w:pPr>
    </w:p>
    <w:p>
      <w:pPr>
        <w:ind w:right="20" w:firstLine="603"/>
        <w:spacing w:after="0" w:line="250" w:lineRule="auto"/>
        <w:rPr>
          <w:sz w:val="20"/>
          <w:szCs w:val="20"/>
          <w:color w:val="auto"/>
        </w:rPr>
      </w:pPr>
      <w:r>
        <w:rPr>
          <w:rFonts w:ascii="Arial" w:cs="Arial" w:eastAsia="Arial" w:hAnsi="Arial"/>
          <w:sz w:val="17"/>
          <w:szCs w:val="17"/>
          <w:color w:val="auto"/>
        </w:rPr>
        <w:t>Our financial performance is driven by development and sales of new products with innovative technology. Our ability to develop innovative technology has been and will continue to be dependent on our dedicated research team. As part of our efforts to develop innovative technology, in October 2021, we expanded our R&amp;D footprint in Orlando by purchasing a 75,000 square foot facility dedicated to R&amp;D. We plan to continue expanding our R&amp;D presence in the U.S. We also plan to continue leveraging our knowledge base in our overseas locations, including China and to continue expanding our R&amp;D efforts on a global basis. We expect our results of operations will continue to be impacted by our ability to develop new products with improved performance and reduced ownership cost, as well as the cost of our R&amp;D efforts.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Demand</w:t>
      </w:r>
    </w:p>
    <w:p>
      <w:pPr>
        <w:spacing w:after="0" w:line="194" w:lineRule="exact"/>
        <w:rPr>
          <w:sz w:val="20"/>
          <w:szCs w:val="20"/>
          <w:color w:val="auto"/>
        </w:rPr>
      </w:pPr>
    </w:p>
    <w:p>
      <w:pPr>
        <w:ind w:right="20" w:firstLine="603"/>
        <w:spacing w:after="0" w:line="273" w:lineRule="auto"/>
        <w:rPr>
          <w:sz w:val="20"/>
          <w:szCs w:val="20"/>
          <w:color w:val="auto"/>
        </w:rPr>
      </w:pPr>
      <w:r>
        <w:rPr>
          <w:rFonts w:ascii="Arial" w:cs="Arial" w:eastAsia="Arial" w:hAnsi="Arial"/>
          <w:sz w:val="15"/>
          <w:szCs w:val="15"/>
          <w:color w:val="auto"/>
        </w:rPr>
        <w:t>Our revenue and profitability depend substantially on the demand for battery systems and battery components, which is driven by the growth of the commercial and passenger electric vehicle and energy storage markets. Many factors contribute to the development of the electric vehicle and battery energy storage sector, including product innovation, general economic and political conditions, environmental concerns, energy demand, government support and economic incentives(e.g., the IRA in the U.S. and the E.U. Green Deal, E.U. Fit for 55). While governmental economic incentives and mandates can drive market demand for the markets in which we operate and, as a result, battery systems and components, governmental economic incentives can always be gradually reduced or eliminated. Any reduction or elimination of governmental economic incentives may result in reduced demand for our products and adversely affect our financial performance.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Capacity</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Our growth depends on being able to meet anticipated demand for our products. In order to do this, we will need to increase our manufacturing capacity. As of</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2022, we had a backlog of approximately $410.5 million for our battery systems, equivalent to approximately 1,599.7 MWh. So far we have used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$238.8 million of the proceeds from the Business Combination to expand our manufacturing facilities in order to increase our manufacturing output, enabling us to</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address our backlog and to capture growing market opportunities, and we plan to spend in the range of $180 million to $210 million during 2023 on continued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expansions of our facilities in Huzhou, China and Clarksville, Tennessee.</w:t>
      </w:r>
    </w:p>
    <w:p>
      <w:pPr>
        <w:spacing w:after="0" w:line="194" w:lineRule="exact"/>
        <w:rPr>
          <w:sz w:val="20"/>
          <w:szCs w:val="20"/>
          <w:color w:val="auto"/>
        </w:rPr>
      </w:pPr>
    </w:p>
    <w:p>
      <w:pPr>
        <w:ind w:right="160" w:firstLine="603"/>
        <w:spacing w:after="0" w:line="307" w:lineRule="auto"/>
        <w:rPr>
          <w:sz w:val="20"/>
          <w:szCs w:val="20"/>
          <w:color w:val="auto"/>
        </w:rPr>
      </w:pPr>
      <w:r>
        <w:rPr>
          <w:rFonts w:ascii="Arial" w:cs="Arial" w:eastAsia="Arial" w:hAnsi="Arial"/>
          <w:sz w:val="15"/>
          <w:szCs w:val="15"/>
          <w:color w:val="auto"/>
        </w:rPr>
        <w:t>Future capacity expansions, which are already being planned, will require significant capital expenditures and will require a corresponding expansion of our supporting infrastructure, further development of our sales and marketing team, an expansion of our customer base and strengthened quality control. This capacity expansion will be carried out in a measured manner based on our ongoing assessment of medium- and long-term demand for our solutions.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Geographic Mix</w:t>
      </w:r>
    </w:p>
    <w:p>
      <w:pPr>
        <w:spacing w:after="0" w:line="206" w:lineRule="exact"/>
        <w:rPr>
          <w:sz w:val="20"/>
          <w:szCs w:val="20"/>
          <w:color w:val="auto"/>
        </w:rPr>
      </w:pPr>
    </w:p>
    <w:p>
      <w:pPr>
        <w:ind w:right="20" w:firstLine="603"/>
        <w:spacing w:after="0" w:line="268" w:lineRule="auto"/>
        <w:rPr>
          <w:sz w:val="20"/>
          <w:szCs w:val="20"/>
          <w:color w:val="auto"/>
        </w:rPr>
      </w:pPr>
      <w:r>
        <w:rPr>
          <w:rFonts w:ascii="Arial" w:cs="Arial" w:eastAsia="Arial" w:hAnsi="Arial"/>
          <w:sz w:val="16"/>
          <w:szCs w:val="16"/>
          <w:color w:val="auto"/>
        </w:rPr>
        <w:t>After initially being focused on the Asia &amp; Pacific regions, we have expanded and continue to expand our presence and product promotion to Europe and the U.S. to capitalize on the rapidly growing electric vehicle and battery energy storage markets in those geographies. As we continue to expand our geographic focus to Europe and the U.S., we believe sales of our products in Europe and the U.S. will have the potential to generate higher gross margins because average sales prices for customers in the U.S. and Europe are typically significantly higher than the average sales prices in China. It has been our experience that buyers in Europe and the U.S. are more motivated by the technologies and quality of our products than are buyers in China, making them less sensitive to the price of our products than are similarly situated buyers in China where we are also faced with intense competition from local Chinese battery manufacturers, some of which have state support. Therefore, the geographic sources of our revenue will have an impact on our revenue and gross margins.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Costs</w:t>
      </w:r>
    </w:p>
    <w:p>
      <w:pPr>
        <w:spacing w:after="0" w:line="206"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color w:val="auto"/>
        </w:rPr>
        <w:t>Our profitability may also be affected by our ability to effectively manage our manufacturing costs. Our manufacturing costs are affected by fluctuations in the price of raw materials. If raw material prices increase, we will have to offset these higher costs either through price increases to our customers or through productivity improvements. Our ability to control our raw materials costs is also dependent on our ability to negotiate with our suppliers for a better price and our ability to source raw materials from reliable suppliers in a cost-efficient manner. In addition, we expect that an increase in our sales volume will enable us to lower our manufacturing costs through economies of scale.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Landscape</w:t>
      </w:r>
    </w:p>
    <w:p>
      <w:pPr>
        <w:spacing w:after="0" w:line="206" w:lineRule="exact"/>
        <w:rPr>
          <w:sz w:val="20"/>
          <w:szCs w:val="20"/>
          <w:color w:val="auto"/>
        </w:rPr>
      </w:pPr>
    </w:p>
    <w:p>
      <w:pPr>
        <w:ind w:right="40" w:firstLine="603"/>
        <w:spacing w:after="0" w:line="250" w:lineRule="auto"/>
        <w:rPr>
          <w:sz w:val="20"/>
          <w:szCs w:val="20"/>
          <w:color w:val="auto"/>
        </w:rPr>
      </w:pPr>
      <w:r>
        <w:rPr>
          <w:rFonts w:ascii="Arial" w:cs="Arial" w:eastAsia="Arial" w:hAnsi="Arial"/>
          <w:sz w:val="17"/>
          <w:szCs w:val="17"/>
          <w:color w:val="auto"/>
        </w:rPr>
        <w:t>We operate in an industry that is subject to many established environmental regulations, which have generally become more stringent over time, particularly with respect to hazardous waste generation and disposal and pollution control. These regulations affect the cost of our products and our gross margins. We are also affected by regulations in our target markets, such as economic incentives to purchasers of electric vehicles, tax credits for electric vehicle manufacturers or developers of renewable energy projects, and economic penalties that may apply to a car manufacturer based on its fleet-wide emissions or more generally legislation aimed at reducing GHGs. Each of these regulations may expand the market size for both electric vehicles and energy storage , which would, in turn, benefit us. We have operations and sales in China, the Asia &amp; Pacific region, Europe and the U.S. and, as a result, changes in trade restrictions and tariffs could impact our ability to meet projected sales or margins.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COVID-19</w:t>
      </w:r>
    </w:p>
    <w:p>
      <w:pPr>
        <w:spacing w:after="0" w:line="206" w:lineRule="exact"/>
        <w:rPr>
          <w:sz w:val="20"/>
          <w:szCs w:val="20"/>
          <w:color w:val="auto"/>
        </w:rPr>
      </w:pPr>
    </w:p>
    <w:p>
      <w:pPr>
        <w:ind w:right="40" w:firstLine="603"/>
        <w:spacing w:after="0" w:line="249" w:lineRule="auto"/>
        <w:rPr>
          <w:sz w:val="20"/>
          <w:szCs w:val="20"/>
          <w:color w:val="auto"/>
        </w:rPr>
      </w:pPr>
      <w:r>
        <w:rPr>
          <w:rFonts w:ascii="Arial" w:cs="Arial" w:eastAsia="Arial" w:hAnsi="Arial"/>
          <w:sz w:val="17"/>
          <w:szCs w:val="17"/>
          <w:color w:val="auto"/>
        </w:rPr>
        <w:t>To date, COVID-19 has had an adverse impact on our sales and operations. During 2022, we continued to face unanticipated challenges caused by the continued impact of the global pandemic and emerging variants of the virus, in particular due to continued lockdowns and other restrictive measures in China. These lockdowns did not have a direct impact on our manufacturing facility in Huzhou, China; however, they have impacted the operations of certain of our third-party suppliers and our ability to book transportation of goods. In addition, the lockdowns and other restrictive measures have significantly disrupted supply chains across many industries around the globe. These and future lockdown measures may impact our ability to produce and/or timely deliver goods and services to our clients globally and further disruptions to supply chains in the automotive or energy industry may continue to reduce and/or delay our customers' demand for our products and services. In addition, lengthy mandatory quarantine periods continue to restrict our ability to have non-China based employees and other invitees visit our facilities in China.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We currently conduct our business through one operating segment. Our historical results are reported in accordance with U.S. GAAP and in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6" w:lineRule="exact"/>
        <w:rPr>
          <w:sz w:val="20"/>
          <w:szCs w:val="20"/>
          <w:color w:val="auto"/>
        </w:rPr>
      </w:pPr>
    </w:p>
    <w:p>
      <w:pPr>
        <w:ind w:right="220" w:firstLine="603"/>
        <w:spacing w:after="0" w:line="268" w:lineRule="auto"/>
        <w:rPr>
          <w:sz w:val="20"/>
          <w:szCs w:val="20"/>
          <w:color w:val="auto"/>
        </w:rPr>
      </w:pPr>
      <w:r>
        <w:rPr>
          <w:rFonts w:ascii="Arial" w:cs="Arial" w:eastAsia="Arial" w:hAnsi="Arial"/>
          <w:sz w:val="17"/>
          <w:szCs w:val="17"/>
          <w:color w:val="auto"/>
        </w:rPr>
        <w:t>We derive revenue from the sales of our electric battery products, including LpTO, LpCO, MpCO, HpCO and HnCo battery power systems. While we have historically marketed and sold our products primarily in China and the wider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Asia-Pacific region, we are also expanding our sales presence internationally. The following table sets forth a breakdown of our revenue by the major geographic regions in which our customers are located for the periods indicated:</w:t>
      </w:r>
    </w:p>
    <w:p>
      <w:pPr>
        <w:spacing w:after="0" w:line="212" w:lineRule="exact"/>
        <w:rPr>
          <w:sz w:val="20"/>
          <w:szCs w:val="20"/>
          <w:color w:val="auto"/>
        </w:rPr>
      </w:pPr>
    </w:p>
    <w:p>
      <w:pPr>
        <w:jc w:val="center"/>
        <w:ind w:left="4880"/>
        <w:spacing w:after="0"/>
        <w:rPr>
          <w:sz w:val="20"/>
          <w:szCs w:val="20"/>
          <w:color w:val="auto"/>
        </w:rPr>
      </w:pPr>
      <w:r>
        <w:rPr>
          <w:rFonts w:ascii="Arial" w:cs="Arial" w:eastAsia="Arial" w:hAnsi="Arial"/>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21590</wp:posOffset>
            </wp:positionV>
            <wp:extent cx="40411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041140" cy="8255"/>
                    </a:xfrm>
                    <a:prstGeom prst="rect">
                      <a:avLst/>
                    </a:prstGeom>
                    <a:noFill/>
                  </pic:spPr>
                </pic:pic>
              </a:graphicData>
            </a:graphic>
          </wp:anchor>
        </w:drawing>
      </w:r>
    </w:p>
    <w:p>
      <w:pPr>
        <w:spacing w:after="0" w:line="36" w:lineRule="exact"/>
        <w:rPr>
          <w:sz w:val="20"/>
          <w:szCs w:val="20"/>
          <w:color w:val="auto"/>
        </w:rPr>
      </w:pPr>
    </w:p>
    <w:p>
      <w:pPr>
        <w:ind w:left="6280"/>
        <w:spacing w:after="0"/>
        <w:tabs>
          <w:tab w:leader="none" w:pos="948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21590</wp:posOffset>
            </wp:positionV>
            <wp:extent cx="40411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4114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56" w:lineRule="exact"/>
        <w:rPr>
          <w:sz w:val="20"/>
          <w:szCs w:val="20"/>
          <w:color w:val="auto"/>
        </w:rPr>
      </w:pPr>
    </w:p>
    <w:p>
      <w:pPr>
        <w:ind w:left="5920"/>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21590</wp:posOffset>
            </wp:positionV>
            <wp:extent cx="19850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85010" cy="8255"/>
                    </a:xfrm>
                    <a:prstGeom prst="rect">
                      <a:avLst/>
                    </a:prstGeom>
                    <a:noFill/>
                  </pic:spPr>
                </pic:pic>
              </a:graphicData>
            </a:graphic>
          </wp:anchor>
        </w:drawing>
      </w:r>
    </w:p>
    <w:p>
      <w:pPr>
        <w:spacing w:after="0" w:line="36" w:lineRule="exact"/>
        <w:rPr>
          <w:sz w:val="20"/>
          <w:szCs w:val="20"/>
          <w:color w:val="auto"/>
        </w:rPr>
      </w:pPr>
    </w:p>
    <w:p>
      <w:pPr>
        <w:ind w:left="5300"/>
        <w:spacing w:after="0"/>
        <w:tabs>
          <w:tab w:leader="none" w:pos="7100" w:val="left"/>
        </w:tabs>
        <w:rPr>
          <w:sz w:val="20"/>
          <w:szCs w:val="20"/>
          <w:color w:val="auto"/>
        </w:rPr>
      </w:pPr>
      <w:r>
        <w:rPr>
          <w:rFonts w:ascii="Arial" w:cs="Arial" w:eastAsia="Arial" w:hAnsi="Arial"/>
          <w:sz w:val="17"/>
          <w:szCs w:val="17"/>
          <w:b w:val="1"/>
          <w:bCs w:val="1"/>
          <w:color w:val="auto"/>
        </w:rPr>
        <w:t>Revenue</w:t>
      </w:r>
      <w:r>
        <w:rPr>
          <w:sz w:val="20"/>
          <w:szCs w:val="20"/>
          <w:color w:val="auto"/>
        </w:rPr>
        <w:tab/>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21590</wp:posOffset>
            </wp:positionV>
            <wp:extent cx="20008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00885" cy="8255"/>
                    </a:xfrm>
                    <a:prstGeom prst="rect">
                      <a:avLst/>
                    </a:prstGeom>
                    <a:noFill/>
                  </pic:spPr>
                </pic:pic>
              </a:graphicData>
            </a:graphic>
          </wp:anchor>
        </w:drawing>
      </w:r>
    </w:p>
    <w:p>
      <w:pPr>
        <w:spacing w:after="0" w:line="36" w:lineRule="exact"/>
        <w:rPr>
          <w:sz w:val="20"/>
          <w:szCs w:val="20"/>
          <w:color w:val="auto"/>
        </w:rPr>
      </w:pPr>
    </w:p>
    <w:p>
      <w:pPr>
        <w:spacing w:after="0"/>
        <w:tabs>
          <w:tab w:leader="none" w:pos="1820" w:val="left"/>
        </w:tabs>
        <w:rPr>
          <w:sz w:val="20"/>
          <w:szCs w:val="20"/>
          <w:color w:val="auto"/>
        </w:rPr>
      </w:pPr>
      <w:r>
        <w:rPr>
          <w:rFonts w:ascii="Arial" w:cs="Arial" w:eastAsia="Arial" w:hAnsi="Arial"/>
          <w:sz w:val="17"/>
          <w:szCs w:val="17"/>
          <w:b w:val="1"/>
          <w:bCs w:val="1"/>
          <w:color w:val="auto"/>
        </w:rPr>
        <w:t>Revenue</w:t>
      </w:r>
      <w:r>
        <w:rPr>
          <w:sz w:val="20"/>
          <w:szCs w:val="20"/>
          <w:color w:val="auto"/>
        </w:rPr>
        <w:tab/>
      </w:r>
      <w:r>
        <w:rPr>
          <w:rFonts w:ascii="Arial" w:cs="Arial" w:eastAsia="Arial" w:hAnsi="Arial"/>
          <w:sz w:val="17"/>
          <w:szCs w:val="17"/>
          <w:b w:val="1"/>
          <w:bCs w:val="1"/>
          <w:color w:val="auto"/>
        </w:rPr>
        <w:t>%</w:t>
      </w:r>
    </w:p>
    <w:p>
      <w:pPr>
        <w:spacing w:after="0" w:line="22" w:lineRule="exact"/>
        <w:rPr>
          <w:sz w:val="20"/>
          <w:szCs w:val="20"/>
          <w:color w:val="auto"/>
        </w:rPr>
      </w:pPr>
    </w:p>
    <w:p>
      <w:pPr>
        <w:sectPr>
          <w:pgSz w:w="11900" w:h="16838" w:orient="portrait"/>
          <w:cols w:equalWidth="0" w:num="2">
            <w:col w:w="7800" w:space="720"/>
            <w:col w:w="272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China</w:t>
            </w:r>
          </w:p>
        </w:tc>
        <w:tc>
          <w:tcPr>
            <w:tcW w:w="4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93,326</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132,469</w:t>
            </w:r>
          </w:p>
        </w:tc>
        <w:tc>
          <w:tcPr>
            <w:tcW w:w="8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7"/>
                <w:szCs w:val="17"/>
                <w:i w:val="1"/>
                <w:iCs w:val="1"/>
                <w:color w:val="auto"/>
              </w:rPr>
              <w:t>Other Asia &amp; Pacific countries</w:t>
            </w:r>
          </w:p>
        </w:tc>
        <w:tc>
          <w:tcPr>
            <w:tcW w:w="4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38,190</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52,566</w:t>
            </w: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rPr>
              <w:t>%</w:t>
            </w:r>
          </w:p>
        </w:tc>
      </w:tr>
      <w:tr>
        <w:trPr>
          <w:trHeight w:val="237"/>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Asia &amp; Pacific Region</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b w:val="1"/>
                <w:bCs w:val="1"/>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131,516</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86 %</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6"/>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185,035</w:t>
            </w:r>
          </w:p>
        </w:tc>
        <w:tc>
          <w:tcPr>
            <w:tcW w:w="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90 %</w:t>
            </w:r>
          </w:p>
        </w:tc>
      </w:tr>
      <w:tr>
        <w:trPr>
          <w:trHeight w:val="232"/>
        </w:trPr>
        <w:tc>
          <w:tcPr>
            <w:tcW w:w="4880" w:type="dxa"/>
            <w:vAlign w:val="bottom"/>
          </w:tcPr>
          <w:p>
            <w:pPr>
              <w:ind w:left="20"/>
              <w:spacing w:after="0"/>
              <w:rPr>
                <w:sz w:val="20"/>
                <w:szCs w:val="20"/>
                <w:color w:val="auto"/>
              </w:rPr>
            </w:pPr>
            <w:r>
              <w:rPr>
                <w:rFonts w:ascii="Arial" w:cs="Arial" w:eastAsia="Arial" w:hAnsi="Arial"/>
                <w:sz w:val="17"/>
                <w:szCs w:val="17"/>
                <w:b w:val="1"/>
                <w:bCs w:val="1"/>
                <w:color w:val="auto"/>
              </w:rPr>
              <w:t>Europe</w:t>
            </w: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19,542</w:t>
            </w:r>
          </w:p>
        </w:tc>
        <w:tc>
          <w:tcPr>
            <w:tcW w:w="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b w:val="1"/>
                <w:bCs w:val="1"/>
                <w:color w:val="auto"/>
              </w:rPr>
              <w:t>13 %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15,809</w:t>
            </w:r>
          </w:p>
        </w:tc>
        <w:tc>
          <w:tcPr>
            <w:tcW w:w="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7"/>
                <w:szCs w:val="17"/>
                <w:b w:val="1"/>
                <w:bCs w:val="1"/>
                <w:color w:val="auto"/>
              </w:rPr>
              <w:t>8 %</w:t>
            </w:r>
          </w:p>
        </w:tc>
      </w:tr>
      <w:tr>
        <w:trPr>
          <w:trHeight w:val="238"/>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U.S.</w:t>
            </w: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918</w:t>
            </w:r>
          </w:p>
        </w:tc>
        <w:tc>
          <w:tcPr>
            <w:tcW w:w="100" w:type="dxa"/>
            <w:vAlign w:val="bottom"/>
            <w:shd w:val="clear" w:color="auto" w:fill="CCEEFF"/>
          </w:tcPr>
          <w:p>
            <w:pPr>
              <w:spacing w:after="0"/>
              <w:rPr>
                <w:sz w:val="20"/>
                <w:szCs w:val="20"/>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1 %</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3,651</w:t>
            </w:r>
          </w:p>
        </w:tc>
        <w:tc>
          <w:tcPr>
            <w:tcW w:w="80" w:type="dxa"/>
            <w:vAlign w:val="bottom"/>
            <w:shd w:val="clear" w:color="auto" w:fill="CCEEFF"/>
          </w:tcPr>
          <w:p>
            <w:pPr>
              <w:spacing w:after="0"/>
              <w:rPr>
                <w:sz w:val="20"/>
                <w:szCs w:val="20"/>
                <w:color w:val="auto"/>
              </w:rPr>
            </w:pP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2 %</w:t>
            </w:r>
          </w:p>
        </w:tc>
      </w:tr>
      <w:tr>
        <w:trPr>
          <w:trHeight w:val="237"/>
        </w:trPr>
        <w:tc>
          <w:tcPr>
            <w:tcW w:w="4880" w:type="dxa"/>
            <w:vAlign w:val="bottom"/>
          </w:tcPr>
          <w:p>
            <w:pPr>
              <w:ind w:left="120"/>
              <w:spacing w:after="0"/>
              <w:rPr>
                <w:sz w:val="20"/>
                <w:szCs w:val="20"/>
                <w:color w:val="auto"/>
              </w:rPr>
            </w:pPr>
            <w:r>
              <w:rPr>
                <w:rFonts w:ascii="Arial" w:cs="Arial" w:eastAsia="Arial" w:hAnsi="Arial"/>
                <w:sz w:val="17"/>
                <w:szCs w:val="17"/>
                <w:b w:val="1"/>
                <w:bCs w:val="1"/>
                <w:color w:val="auto"/>
              </w:rPr>
              <w:t>Total</w:t>
            </w: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151,976</w:t>
            </w:r>
          </w:p>
        </w:tc>
        <w:tc>
          <w:tcPr>
            <w:tcW w:w="100" w:type="dxa"/>
            <w:vAlign w:val="bottom"/>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204,495</w:t>
            </w:r>
          </w:p>
        </w:tc>
        <w:tc>
          <w:tcPr>
            <w:tcW w:w="80" w:type="dxa"/>
            <w:vAlign w:val="bottom"/>
          </w:tcPr>
          <w:p>
            <w:pPr>
              <w:spacing w:after="0"/>
              <w:rPr>
                <w:sz w:val="20"/>
                <w:szCs w:val="20"/>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100 %</w:t>
            </w:r>
          </w:p>
        </w:tc>
      </w:tr>
      <w:tr>
        <w:trPr>
          <w:trHeight w:val="20"/>
        </w:trPr>
        <w:tc>
          <w:tcPr>
            <w:tcW w:w="48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180" w:firstLine="603"/>
        <w:spacing w:after="0" w:line="335" w:lineRule="auto"/>
        <w:rPr>
          <w:sz w:val="20"/>
          <w:szCs w:val="20"/>
          <w:color w:val="auto"/>
        </w:rPr>
      </w:pPr>
      <w:r>
        <w:rPr>
          <w:rFonts w:ascii="Arial" w:cs="Arial" w:eastAsia="Arial" w:hAnsi="Arial"/>
          <w:sz w:val="15"/>
          <w:szCs w:val="15"/>
          <w:color w:val="auto"/>
        </w:rPr>
        <w:t>We have historically derived a portion of our revenue in a given reporting period from a limited number of key customers, which have varied from period to period. For the year ended December 31, 2022, one customer accounted for 12% of our net revenues. In 2021, one customer accounted for 11% of our net revenues.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 and Gross Profit</w:t>
      </w:r>
    </w:p>
    <w:p>
      <w:pPr>
        <w:spacing w:after="0" w:line="206" w:lineRule="exact"/>
        <w:rPr>
          <w:sz w:val="20"/>
          <w:szCs w:val="20"/>
          <w:color w:val="auto"/>
        </w:rPr>
      </w:pPr>
    </w:p>
    <w:p>
      <w:pPr>
        <w:ind w:right="220" w:firstLine="603"/>
        <w:spacing w:after="0" w:line="257" w:lineRule="auto"/>
        <w:rPr>
          <w:sz w:val="20"/>
          <w:szCs w:val="20"/>
          <w:color w:val="auto"/>
        </w:rPr>
      </w:pPr>
      <w:r>
        <w:rPr>
          <w:rFonts w:ascii="Arial" w:cs="Arial" w:eastAsia="Arial" w:hAnsi="Arial"/>
          <w:sz w:val="17"/>
          <w:szCs w:val="17"/>
          <w:color w:val="auto"/>
        </w:rPr>
        <w:t>Cost of revenues includes direct and indirect materials, manufacturing overhead (including depreciation, freight and logistics), warranty reserves and expenses, provision for obsolete inventories, and labor costs and related personnel expenses, including stock-based compensation and other related expenses that are directly attributable to the manufacturing of products.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Gross profit is equal to revenue less cost of revenues. Gross profit margin is equal to gross profit divided by revenue.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Operating expenses consist of selling and marketing, general and administrative and R&amp;D expenses.</w:t>
      </w:r>
    </w:p>
    <w:p>
      <w:pPr>
        <w:spacing w:after="0" w:line="206" w:lineRule="exact"/>
        <w:rPr>
          <w:sz w:val="20"/>
          <w:szCs w:val="20"/>
          <w:color w:val="auto"/>
        </w:rPr>
      </w:pPr>
    </w:p>
    <w:p>
      <w:pPr>
        <w:ind w:firstLine="603"/>
        <w:spacing w:after="0" w:line="253" w:lineRule="auto"/>
        <w:rPr>
          <w:sz w:val="20"/>
          <w:szCs w:val="20"/>
          <w:color w:val="auto"/>
        </w:rPr>
      </w:pPr>
      <w:r>
        <w:rPr>
          <w:rFonts w:ascii="Arial" w:cs="Arial" w:eastAsia="Arial" w:hAnsi="Arial"/>
          <w:sz w:val="17"/>
          <w:szCs w:val="17"/>
          <w:i w:val="1"/>
          <w:iCs w:val="1"/>
          <w:color w:val="auto"/>
        </w:rPr>
        <w:t xml:space="preserve">Selling and marketing expenses. </w:t>
      </w:r>
      <w:r>
        <w:rPr>
          <w:rFonts w:ascii="Arial" w:cs="Arial" w:eastAsia="Arial" w:hAnsi="Arial"/>
          <w:sz w:val="17"/>
          <w:szCs w:val="17"/>
          <w:color w:val="auto"/>
        </w:rPr>
        <w:t>Selling and marketing expenses consist primarily of personnel-related costs associated with our sales and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functions, including salaries and stock-based compensation, and other expenses related to advertising and promotions of our products. We intend to hire additional sales personnel, initiate additional marketing programs and build additional relationships with our customers. Accordingly, we expect that our selling and marketing expenses will continue to increase in absolute dollars in the long term as we expand our business.</w:t>
      </w:r>
    </w:p>
    <w:p>
      <w:pPr>
        <w:spacing w:after="0" w:line="180" w:lineRule="exact"/>
        <w:rPr>
          <w:sz w:val="20"/>
          <w:szCs w:val="20"/>
          <w:color w:val="auto"/>
        </w:rPr>
      </w:pPr>
    </w:p>
    <w:p>
      <w:pPr>
        <w:ind w:right="360" w:firstLine="603"/>
        <w:spacing w:after="0" w:line="307" w:lineRule="auto"/>
        <w:rPr>
          <w:sz w:val="20"/>
          <w:szCs w:val="20"/>
          <w:color w:val="auto"/>
        </w:rPr>
      </w:pPr>
      <w:r>
        <w:rPr>
          <w:rFonts w:ascii="Arial" w:cs="Arial" w:eastAsia="Arial" w:hAnsi="Arial"/>
          <w:sz w:val="15"/>
          <w:szCs w:val="15"/>
          <w:i w:val="1"/>
          <w:iCs w:val="1"/>
          <w:color w:val="auto"/>
        </w:rPr>
        <w:t xml:space="preserve">General and administrative expenses. </w:t>
      </w:r>
      <w:r>
        <w:rPr>
          <w:rFonts w:ascii="Arial" w:cs="Arial" w:eastAsia="Arial" w:hAnsi="Arial"/>
          <w:sz w:val="15"/>
          <w:szCs w:val="15"/>
          <w:color w:val="auto"/>
        </w:rPr>
        <w:t>General and administrative expenses consist primarily of personnel-related expenses associated with our executive,</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stock-based compensation, legal, finance, human resource and IT functions, as well as fees for professional services, depreciation and amortization and insurance expenses. We expect to incur additional costs as we hire personnel and enhance our infrastructure to support the anticipated growth of our business.</w:t>
      </w:r>
    </w:p>
    <w:p>
      <w:pPr>
        <w:spacing w:after="0" w:line="141" w:lineRule="exact"/>
        <w:rPr>
          <w:sz w:val="20"/>
          <w:szCs w:val="20"/>
          <w:color w:val="auto"/>
        </w:rPr>
      </w:pPr>
    </w:p>
    <w:p>
      <w:pPr>
        <w:jc w:val="both"/>
        <w:ind w:right="540" w:firstLine="603"/>
        <w:spacing w:after="0" w:line="307" w:lineRule="auto"/>
        <w:rPr>
          <w:sz w:val="20"/>
          <w:szCs w:val="20"/>
          <w:color w:val="auto"/>
        </w:rPr>
      </w:pPr>
      <w:r>
        <w:rPr>
          <w:rFonts w:ascii="Arial" w:cs="Arial" w:eastAsia="Arial" w:hAnsi="Arial"/>
          <w:sz w:val="15"/>
          <w:szCs w:val="15"/>
          <w:i w:val="1"/>
          <w:iCs w:val="1"/>
          <w:color w:val="auto"/>
        </w:rPr>
        <w:t xml:space="preserve">R&amp;D expenses. </w:t>
      </w:r>
      <w:r>
        <w:rPr>
          <w:rFonts w:ascii="Arial" w:cs="Arial" w:eastAsia="Arial" w:hAnsi="Arial"/>
          <w:sz w:val="15"/>
          <w:szCs w:val="15"/>
          <w:color w:val="auto"/>
        </w:rPr>
        <w:t>R&amp;D expenses consist primarily of personnel-related expenses, including stock-based compensation, raw material expenses relating to</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materials used for experiments, utility expenses and depreciation expenses attributable to R&amp;D activities. Over time, we expect our R&amp;D expense to increase in absolute dollars as we continue to make significant investments in developing new products, applications, functionality and other offerings.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Subsidy Income</w:t>
      </w:r>
    </w:p>
    <w:p>
      <w:pPr>
        <w:spacing w:after="0" w:line="206" w:lineRule="exact"/>
        <w:rPr>
          <w:sz w:val="20"/>
          <w:szCs w:val="20"/>
          <w:color w:val="auto"/>
        </w:rPr>
      </w:pPr>
    </w:p>
    <w:p>
      <w:pPr>
        <w:ind w:right="80" w:firstLine="603"/>
        <w:spacing w:after="0" w:line="268" w:lineRule="auto"/>
        <w:rPr>
          <w:sz w:val="20"/>
          <w:szCs w:val="20"/>
          <w:color w:val="auto"/>
        </w:rPr>
      </w:pPr>
      <w:r>
        <w:rPr>
          <w:rFonts w:ascii="Arial" w:cs="Arial" w:eastAsia="Arial" w:hAnsi="Arial"/>
          <w:sz w:val="17"/>
          <w:szCs w:val="17"/>
          <w:color w:val="auto"/>
        </w:rPr>
        <w:t>Government subsidies represent government grants received from local government authorities. The amounts of and conditions attached to each subsidy were determined at the sole discretion of the relevant governmental authorities. Our subsidy income is non-recurring in nature.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Expenses</w:t>
      </w:r>
    </w:p>
    <w:p>
      <w:pPr>
        <w:spacing w:after="0" w:line="206" w:lineRule="exact"/>
        <w:rPr>
          <w:sz w:val="20"/>
          <w:szCs w:val="20"/>
          <w:color w:val="auto"/>
        </w:rPr>
      </w:pPr>
    </w:p>
    <w:p>
      <w:pPr>
        <w:ind w:right="360" w:firstLine="603"/>
        <w:spacing w:after="0" w:line="268" w:lineRule="auto"/>
        <w:rPr>
          <w:sz w:val="20"/>
          <w:szCs w:val="20"/>
          <w:color w:val="auto"/>
        </w:rPr>
      </w:pPr>
      <w:r>
        <w:rPr>
          <w:rFonts w:ascii="Arial" w:cs="Arial" w:eastAsia="Arial" w:hAnsi="Arial"/>
          <w:sz w:val="17"/>
          <w:szCs w:val="17"/>
          <w:color w:val="auto"/>
        </w:rPr>
        <w:t>Other income and expenses consist primarily of the interest expense associated with our debt financing arrangements, interest income earned on our cash balances, gains and losses from foreign exchange conversion, and gains and losses on disposal of assets.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206" w:lineRule="exact"/>
        <w:rPr>
          <w:sz w:val="20"/>
          <w:szCs w:val="20"/>
          <w:color w:val="auto"/>
        </w:rPr>
      </w:pPr>
    </w:p>
    <w:p>
      <w:pPr>
        <w:ind w:right="260" w:firstLine="603"/>
        <w:spacing w:after="0" w:line="290" w:lineRule="auto"/>
        <w:rPr>
          <w:sz w:val="20"/>
          <w:szCs w:val="20"/>
          <w:color w:val="auto"/>
        </w:rPr>
      </w:pPr>
      <w:r>
        <w:rPr>
          <w:rFonts w:ascii="Arial" w:cs="Arial" w:eastAsia="Arial" w:hAnsi="Arial"/>
          <w:sz w:val="15"/>
          <w:szCs w:val="15"/>
          <w:color w:val="auto"/>
        </w:rPr>
        <w:t>We are subject to income taxes in the U.S. and the foreign jurisdictions in which we do business, namely China, Germany and the U.K. These foreign jurisdictions have statutory tax rates different from those in the U.S. Accordingly, our effective tax rates will vary depending on the relative proportion of foreign to U.S. income, the absorption of foreign tax credits, changes in the valuation of our deferred tax assets and liabilities and changes in tax laws. We regularly assess the likelihood of adverse outcomes resulting from the examination of our tax returns by the U.S. Internal Revenue Service and other tax authorities to determine the adequacy of our income tax reserves and expense. Should actual events or results differ from our current expectations, charges or credits to our income tax expense may become necessary. Any such adjustments could have a significant impact on our results of operations.</w:t>
      </w:r>
    </w:p>
    <w:p>
      <w:pPr>
        <w:spacing w:after="0" w:line="155"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color w:val="auto"/>
        </w:rPr>
        <w:t>Income tax in China is generally calculated at 25% of the estimated assessable profit of our subsidiaries in China, except that two of our subsidiaries in China are qualified as “High and New Tech Enterprises” and thus enjoy a preferential income tax rate of 15%. The federal corporate income tax rate of 21% is applied for our U.S. entity. Our income tax in the U.K. is calculated at an average tax rate of 19% of the estimated assessable profit of our subsidiary in the U.K. The German enterprise income tax, which is a combination of corporate income tax and trade tax, is calculated at 27.9% of the estimated assessable profit of our subsidiary in Germany.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0" w:lineRule="exact"/>
        <w:rPr>
          <w:sz w:val="20"/>
          <w:szCs w:val="20"/>
          <w:color w:val="auto"/>
        </w:rPr>
      </w:pPr>
    </w:p>
    <w:p>
      <w:pPr>
        <w:ind w:right="260" w:firstLine="603"/>
        <w:spacing w:after="0" w:line="268" w:lineRule="auto"/>
        <w:rPr>
          <w:sz w:val="20"/>
          <w:szCs w:val="20"/>
          <w:color w:val="auto"/>
        </w:rPr>
      </w:pPr>
      <w:r>
        <w:rPr>
          <w:rFonts w:ascii="Arial" w:cs="Arial" w:eastAsia="Arial" w:hAnsi="Arial"/>
          <w:sz w:val="17"/>
          <w:szCs w:val="17"/>
          <w:i w:val="1"/>
          <w:iCs w:val="1"/>
          <w:color w:val="auto"/>
        </w:rPr>
        <w:t>This section of this Form 10-K generally discusses 2021 and 2022 items and year-to-year comparisons between 2021 and 2022. Discussions of 2020 items and year-to-year comparisons between 2020 and 2021 are not included in this</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6" w:name="page67"/>
    <w:bookmarkEnd w:id="6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i w:val="1"/>
          <w:iCs w:val="1"/>
          <w:color w:val="auto"/>
        </w:rPr>
        <w:t>Form 10-K, and can be found in “Management’s Discussion and Analysis of Financial Condition and Results of Operations” in the Form 10-K filed on March 29,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 Ended December 31, 2021 to the Year Ended December 31, 2022</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our historical operating results for the periods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20" w:type="dxa"/>
            <w:vAlign w:val="bottom"/>
          </w:tcPr>
          <w:p>
            <w:pPr>
              <w:ind w:left="20"/>
              <w:spacing w:after="0"/>
              <w:rPr>
                <w:sz w:val="20"/>
                <w:szCs w:val="20"/>
                <w:color w:val="auto"/>
              </w:rPr>
            </w:pPr>
            <w:r>
              <w:rPr>
                <w:rFonts w:ascii="Arial" w:cs="Arial" w:eastAsia="Arial" w:hAnsi="Arial"/>
                <w:sz w:val="17"/>
                <w:szCs w:val="17"/>
                <w:i w:val="1"/>
                <w:iCs w:val="1"/>
                <w:color w:val="auto"/>
              </w:rPr>
              <w:t>Amounts in thousands</w:t>
            </w:r>
          </w:p>
        </w:tc>
        <w:tc>
          <w:tcPr>
            <w:tcW w:w="2180" w:type="dxa"/>
            <w:vAlign w:val="bottom"/>
            <w:tcBorders>
              <w:bottom w:val="single" w:sz="8" w:color="auto"/>
            </w:tcBorders>
            <w:gridSpan w:val="3"/>
          </w:tcPr>
          <w:p>
            <w:pPr>
              <w:ind w:left="1120"/>
              <w:spacing w:after="0"/>
              <w:rPr>
                <w:sz w:val="20"/>
                <w:szCs w:val="20"/>
                <w:color w:val="auto"/>
              </w:rPr>
            </w:pPr>
            <w:r>
              <w:rPr>
                <w:rFonts w:ascii="Arial" w:cs="Arial" w:eastAsia="Arial" w:hAnsi="Arial"/>
                <w:sz w:val="17"/>
                <w:szCs w:val="17"/>
                <w:b w:val="1"/>
                <w:bCs w:val="1"/>
                <w:color w:val="auto"/>
                <w:w w:val="94"/>
              </w:rPr>
              <w:t>December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1"/>
        </w:trPr>
        <w:tc>
          <w:tcPr>
            <w:tcW w:w="4820" w:type="dxa"/>
            <w:vAlign w:val="bottom"/>
          </w:tcPr>
          <w:p>
            <w:pPr>
              <w:spacing w:after="0"/>
              <w:rPr>
                <w:sz w:val="20"/>
                <w:szCs w:val="20"/>
                <w:color w:val="auto"/>
              </w:rPr>
            </w:pPr>
          </w:p>
        </w:tc>
        <w:tc>
          <w:tcPr>
            <w:tcW w:w="1560" w:type="dxa"/>
            <w:vAlign w:val="bottom"/>
          </w:tcPr>
          <w:p>
            <w:pPr>
              <w:jc w:val="right"/>
              <w:ind w:right="516"/>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ind w:right="536"/>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0"/>
                <w:szCs w:val="20"/>
                <w:color w:val="auto"/>
              </w:rPr>
            </w:pPr>
          </w:p>
        </w:tc>
        <w:tc>
          <w:tcPr>
            <w:tcW w:w="1520" w:type="dxa"/>
            <w:vAlign w:val="bottom"/>
            <w:gridSpan w:val="2"/>
          </w:tcPr>
          <w:p>
            <w:pPr>
              <w:ind w:left="380"/>
              <w:spacing w:after="0"/>
              <w:rPr>
                <w:sz w:val="20"/>
                <w:szCs w:val="20"/>
                <w:color w:val="auto"/>
              </w:rPr>
            </w:pPr>
            <w:r>
              <w:rPr>
                <w:rFonts w:ascii="Arial" w:cs="Arial" w:eastAsia="Arial" w:hAnsi="Arial"/>
                <w:sz w:val="17"/>
                <w:szCs w:val="17"/>
                <w:b w:val="1"/>
                <w:bCs w:val="1"/>
                <w:color w:val="auto"/>
              </w:rPr>
              <w:t>$ Change</w:t>
            </w:r>
          </w:p>
        </w:tc>
        <w:tc>
          <w:tcPr>
            <w:tcW w:w="1400" w:type="dxa"/>
            <w:vAlign w:val="bottom"/>
          </w:tcPr>
          <w:p>
            <w:pPr>
              <w:jc w:val="right"/>
              <w:ind w:right="156"/>
              <w:spacing w:after="0"/>
              <w:rPr>
                <w:sz w:val="20"/>
                <w:szCs w:val="20"/>
                <w:color w:val="auto"/>
              </w:rPr>
            </w:pPr>
            <w:r>
              <w:rPr>
                <w:rFonts w:ascii="Arial" w:cs="Arial" w:eastAsia="Arial" w:hAnsi="Arial"/>
                <w:sz w:val="17"/>
                <w:szCs w:val="17"/>
                <w:b w:val="1"/>
                <w:bCs w:val="1"/>
                <w:color w:val="auto"/>
              </w:rPr>
              <w:t>% Change</w:t>
            </w:r>
          </w:p>
        </w:tc>
        <w:tc>
          <w:tcPr>
            <w:tcW w:w="180" w:type="dxa"/>
            <w:vAlign w:val="bottom"/>
          </w:tcPr>
          <w:p>
            <w:pPr>
              <w:spacing w:after="0"/>
              <w:rPr>
                <w:sz w:val="20"/>
                <w:szCs w:val="20"/>
                <w:color w:val="auto"/>
              </w:rPr>
            </w:pPr>
          </w:p>
        </w:tc>
      </w:tr>
      <w:tr>
        <w:trPr>
          <w:trHeight w:val="237"/>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5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151,976</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204,495</w:t>
            </w:r>
          </w:p>
        </w:tc>
        <w:tc>
          <w:tcPr>
            <w:tcW w:w="100" w:type="dxa"/>
            <w:vAlign w:val="bottom"/>
            <w:tcBorders>
              <w:top w:val="single" w:sz="8" w:color="CCEEFF"/>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52,519</w:t>
            </w:r>
          </w:p>
        </w:tc>
        <w:tc>
          <w:tcPr>
            <w:tcW w:w="1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revenues</w:t>
            </w:r>
          </w:p>
        </w:tc>
        <w:tc>
          <w:tcPr>
            <w:tcW w:w="15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(194,719)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(195,422)</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(703)</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48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Gross (loss) profit</w:t>
            </w:r>
          </w:p>
        </w:tc>
        <w:tc>
          <w:tcPr>
            <w:tcW w:w="1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(42,743)</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b w:val="1"/>
                <w:bCs w:val="1"/>
                <w:color w:val="auto"/>
              </w:rPr>
              <w:t>9,073</w:t>
            </w:r>
          </w:p>
        </w:tc>
        <w:tc>
          <w:tcPr>
            <w:tcW w:w="100" w:type="dxa"/>
            <w:vAlign w:val="bottom"/>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51,816</w:t>
            </w:r>
          </w:p>
        </w:tc>
        <w:tc>
          <w:tcPr>
            <w:tcW w:w="100" w:type="dxa"/>
            <w:vAlign w:val="bottom"/>
            <w:shd w:val="clear" w:color="auto" w:fill="CCEEFF"/>
          </w:tcPr>
          <w:p>
            <w:pPr>
              <w:spacing w:after="0"/>
              <w:rPr>
                <w:sz w:val="20"/>
                <w:szCs w:val="20"/>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121.2 %</w:t>
            </w:r>
          </w:p>
        </w:tc>
      </w:tr>
      <w:tr>
        <w:trPr>
          <w:trHeight w:val="225"/>
        </w:trPr>
        <w:tc>
          <w:tcPr>
            <w:tcW w:w="48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4.4 %</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5"/>
        </w:trPr>
        <w:tc>
          <w:tcPr>
            <w:tcW w:w="48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8"/>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32"/>
        </w:trPr>
        <w:tc>
          <w:tcPr>
            <w:tcW w:w="482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1560" w:type="dxa"/>
            <w:vAlign w:val="bottom"/>
          </w:tcPr>
          <w:p>
            <w:pPr>
              <w:jc w:val="right"/>
              <w:ind w:right="76"/>
              <w:spacing w:after="0"/>
              <w:rPr>
                <w:sz w:val="20"/>
                <w:szCs w:val="20"/>
                <w:color w:val="auto"/>
              </w:rPr>
            </w:pPr>
            <w:r>
              <w:rPr>
                <w:rFonts w:ascii="Arial" w:cs="Arial" w:eastAsia="Arial" w:hAnsi="Arial"/>
                <w:sz w:val="17"/>
                <w:szCs w:val="17"/>
                <w:color w:val="auto"/>
              </w:rPr>
              <w:t>(101,632)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ind w:right="76"/>
              <w:spacing w:after="0"/>
              <w:rPr>
                <w:sz w:val="20"/>
                <w:szCs w:val="20"/>
                <w:color w:val="auto"/>
              </w:rPr>
            </w:pPr>
            <w:r>
              <w:rPr>
                <w:rFonts w:ascii="Arial" w:cs="Arial" w:eastAsia="Arial" w:hAnsi="Arial"/>
                <w:sz w:val="17"/>
                <w:szCs w:val="17"/>
                <w:color w:val="auto"/>
              </w:rPr>
              <w:t>(104,572)</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(2,940)</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2.9</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15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(34,385)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(43,508)</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(9,123)</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and marketing expenses</w:t>
            </w:r>
          </w:p>
        </w:tc>
        <w:tc>
          <w:tcPr>
            <w:tcW w:w="15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(21,431)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rPr>
              <w:t>(22,611)</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4820" w:type="dxa"/>
            <w:vAlign w:val="bottom"/>
            <w:shd w:val="clear" w:color="auto" w:fill="CCEEFF"/>
          </w:tcPr>
          <w:p>
            <w:pPr>
              <w:ind w:left="120"/>
              <w:spacing w:after="0"/>
              <w:rPr>
                <w:sz w:val="20"/>
                <w:szCs w:val="20"/>
                <w:color w:val="auto"/>
              </w:rPr>
            </w:pPr>
            <w:r>
              <w:rPr>
                <w:rFonts w:ascii="Arial" w:cs="Arial" w:eastAsia="Arial" w:hAnsi="Arial"/>
                <w:sz w:val="17"/>
                <w:szCs w:val="17"/>
                <w:b w:val="1"/>
                <w:bCs w:val="1"/>
                <w:color w:val="auto"/>
              </w:rPr>
              <w:t>Total operating expenses</w:t>
            </w:r>
          </w:p>
        </w:tc>
        <w:tc>
          <w:tcPr>
            <w:tcW w:w="156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(157,448)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(170,691)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(13,243)</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8.4 %</w:t>
            </w:r>
          </w:p>
        </w:tc>
      </w:tr>
      <w:tr>
        <w:trPr>
          <w:trHeight w:val="232"/>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Subsidy income</w:t>
            </w:r>
          </w:p>
        </w:tc>
        <w:tc>
          <w:tcPr>
            <w:tcW w:w="15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6,127</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1,672</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(4,455)</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(72.7) %</w:t>
            </w:r>
          </w:p>
        </w:tc>
      </w:tr>
      <w:tr>
        <w:trPr>
          <w:trHeight w:val="237"/>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loss</w:t>
            </w:r>
          </w:p>
        </w:tc>
        <w:tc>
          <w:tcPr>
            <w:tcW w:w="15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(194,064)</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(159,946)</w:t>
            </w:r>
          </w:p>
        </w:tc>
        <w:tc>
          <w:tcPr>
            <w:tcW w:w="100" w:type="dxa"/>
            <w:vAlign w:val="bottom"/>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34,118</w:t>
            </w:r>
          </w:p>
        </w:tc>
        <w:tc>
          <w:tcPr>
            <w:tcW w:w="100" w:type="dxa"/>
            <w:vAlign w:val="bottom"/>
            <w:shd w:val="clear" w:color="auto" w:fill="CCEEFF"/>
          </w:tcPr>
          <w:p>
            <w:pPr>
              <w:spacing w:after="0"/>
              <w:rPr>
                <w:sz w:val="20"/>
                <w:szCs w:val="20"/>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(17.6)%</w:t>
            </w:r>
          </w:p>
        </w:tc>
      </w:tr>
      <w:tr>
        <w:trPr>
          <w:trHeight w:val="225"/>
        </w:trPr>
        <w:tc>
          <w:tcPr>
            <w:tcW w:w="4820" w:type="dxa"/>
            <w:vAlign w:val="bottom"/>
          </w:tcPr>
          <w:p>
            <w:pPr>
              <w:ind w:left="20"/>
              <w:spacing w:after="0"/>
              <w:rPr>
                <w:sz w:val="20"/>
                <w:szCs w:val="20"/>
                <w:color w:val="auto"/>
              </w:rPr>
            </w:pPr>
            <w:r>
              <w:rPr>
                <w:rFonts w:ascii="Arial" w:cs="Arial" w:eastAsia="Arial" w:hAnsi="Arial"/>
                <w:sz w:val="17"/>
                <w:szCs w:val="17"/>
                <w:b w:val="1"/>
                <w:bCs w:val="1"/>
                <w:color w:val="auto"/>
              </w:rPr>
              <w:t>Other income and expenses: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45"/>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5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446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3,179</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2,733</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612.8</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482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1560" w:type="dxa"/>
            <w:vAlign w:val="bottom"/>
          </w:tcPr>
          <w:p>
            <w:pPr>
              <w:jc w:val="right"/>
              <w:ind w:right="76"/>
              <w:spacing w:after="0"/>
              <w:rPr>
                <w:sz w:val="20"/>
                <w:szCs w:val="20"/>
                <w:color w:val="auto"/>
              </w:rPr>
            </w:pPr>
            <w:r>
              <w:rPr>
                <w:rFonts w:ascii="Arial" w:cs="Arial" w:eastAsia="Arial" w:hAnsi="Arial"/>
                <w:sz w:val="17"/>
                <w:szCs w:val="17"/>
                <w:color w:val="auto"/>
              </w:rPr>
              <w:t>(5,411)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ind w:right="76"/>
              <w:spacing w:after="0"/>
              <w:rPr>
                <w:sz w:val="20"/>
                <w:szCs w:val="20"/>
                <w:color w:val="auto"/>
              </w:rPr>
            </w:pPr>
            <w:r>
              <w:rPr>
                <w:rFonts w:ascii="Arial" w:cs="Arial" w:eastAsia="Arial" w:hAnsi="Arial"/>
                <w:sz w:val="17"/>
                <w:szCs w:val="17"/>
                <w:color w:val="auto"/>
              </w:rPr>
              <w:t>(3,323)</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2,088</w:t>
            </w:r>
          </w:p>
        </w:tc>
        <w:tc>
          <w:tcPr>
            <w:tcW w:w="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(38.6) %</w:t>
            </w:r>
          </w:p>
        </w:tc>
      </w:tr>
      <w:tr>
        <w:trPr>
          <w:trHeight w:val="245"/>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15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944</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1,006</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(1622.6) %</w:t>
            </w:r>
          </w:p>
        </w:tc>
      </w:tr>
      <w:tr>
        <w:trPr>
          <w:trHeight w:val="232"/>
        </w:trPr>
        <w:tc>
          <w:tcPr>
            <w:tcW w:w="4820" w:type="dxa"/>
            <w:vAlign w:val="bottom"/>
          </w:tcPr>
          <w:p>
            <w:pPr>
              <w:ind w:left="20"/>
              <w:spacing w:after="0"/>
              <w:rPr>
                <w:sz w:val="20"/>
                <w:szCs w:val="20"/>
                <w:color w:val="auto"/>
              </w:rPr>
            </w:pPr>
            <w:r>
              <w:rPr>
                <w:rFonts w:ascii="Arial" w:cs="Arial" w:eastAsia="Arial" w:hAnsi="Arial"/>
                <w:sz w:val="17"/>
                <w:szCs w:val="17"/>
                <w:color w:val="auto"/>
              </w:rPr>
              <w:t>Loss on changes in fair value of convertible notes</w:t>
            </w:r>
          </w:p>
        </w:tc>
        <w:tc>
          <w:tcPr>
            <w:tcW w:w="1560" w:type="dxa"/>
            <w:vAlign w:val="bottom"/>
          </w:tcPr>
          <w:p>
            <w:pPr>
              <w:jc w:val="right"/>
              <w:ind w:right="76"/>
              <w:spacing w:after="0"/>
              <w:rPr>
                <w:sz w:val="20"/>
                <w:szCs w:val="20"/>
                <w:color w:val="auto"/>
              </w:rPr>
            </w:pPr>
            <w:r>
              <w:rPr>
                <w:rFonts w:ascii="Arial" w:cs="Arial" w:eastAsia="Arial" w:hAnsi="Arial"/>
                <w:sz w:val="17"/>
                <w:szCs w:val="17"/>
                <w:color w:val="auto"/>
              </w:rPr>
              <w:t>(9,861)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9,861</w:t>
            </w:r>
          </w:p>
        </w:tc>
        <w:tc>
          <w:tcPr>
            <w:tcW w:w="10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(100.0) %</w:t>
            </w:r>
          </w:p>
        </w:tc>
      </w:tr>
      <w:tr>
        <w:trPr>
          <w:trHeight w:val="245"/>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15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2,469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979</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(1,490)</w:t>
            </w: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(60.3) %</w:t>
            </w:r>
          </w:p>
        </w:tc>
      </w:tr>
      <w:tr>
        <w:trPr>
          <w:trHeight w:val="232"/>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Loss before income tax</w:t>
            </w:r>
          </w:p>
        </w:tc>
        <w:tc>
          <w:tcPr>
            <w:tcW w:w="15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(206,483)</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(158,167)</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48,316</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(23.4)%</w:t>
            </w:r>
          </w:p>
        </w:tc>
      </w:tr>
      <w:tr>
        <w:trPr>
          <w:trHeight w:val="231"/>
        </w:trPr>
        <w:tc>
          <w:tcPr>
            <w:tcW w:w="4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2180" w:type="dxa"/>
            <w:vAlign w:val="bottom"/>
            <w:gridSpan w:val="3"/>
            <w:shd w:val="clear" w:color="auto" w:fill="CCEEFF"/>
          </w:tcPr>
          <w:p>
            <w:pPr>
              <w:jc w:val="right"/>
              <w:ind w:right="8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4820" w:type="dxa"/>
            <w:vAlign w:val="bottom"/>
          </w:tcPr>
          <w:p>
            <w:pPr>
              <w:ind w:left="20"/>
              <w:spacing w:after="0"/>
              <w:rPr>
                <w:sz w:val="20"/>
                <w:szCs w:val="20"/>
                <w:color w:val="auto"/>
              </w:rPr>
            </w:pPr>
            <w:r>
              <w:rPr>
                <w:rFonts w:ascii="Arial" w:cs="Arial" w:eastAsia="Arial" w:hAnsi="Arial"/>
                <w:sz w:val="17"/>
                <w:szCs w:val="17"/>
                <w:b w:val="1"/>
                <w:bCs w:val="1"/>
                <w:color w:val="auto"/>
              </w:rPr>
              <w:t>Net loss</w:t>
            </w:r>
          </w:p>
        </w:tc>
        <w:tc>
          <w:tcPr>
            <w:tcW w:w="15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(206,483)</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(158,200)</w:t>
            </w:r>
          </w:p>
        </w:tc>
        <w:tc>
          <w:tcPr>
            <w:tcW w:w="100" w:type="dxa"/>
            <w:vAlign w:val="bottom"/>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48,283</w:t>
            </w:r>
          </w:p>
        </w:tc>
        <w:tc>
          <w:tcPr>
            <w:tcW w:w="100" w:type="dxa"/>
            <w:vAlign w:val="bottom"/>
          </w:tcPr>
          <w:p>
            <w:pPr>
              <w:spacing w:after="0"/>
              <w:rPr>
                <w:sz w:val="20"/>
                <w:szCs w:val="20"/>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(23.4)%</w:t>
            </w:r>
          </w:p>
        </w:tc>
      </w:tr>
      <w:tr>
        <w:trPr>
          <w:trHeight w:val="20"/>
        </w:trPr>
        <w:tc>
          <w:tcPr>
            <w:tcW w:w="4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06" w:lineRule="exact"/>
        <w:rPr>
          <w:sz w:val="20"/>
          <w:szCs w:val="20"/>
          <w:color w:val="auto"/>
        </w:rPr>
      </w:pPr>
    </w:p>
    <w:p>
      <w:pPr>
        <w:ind w:right="40" w:firstLine="603"/>
        <w:spacing w:after="0" w:line="280" w:lineRule="auto"/>
        <w:rPr>
          <w:sz w:val="20"/>
          <w:szCs w:val="20"/>
          <w:color w:val="auto"/>
        </w:rPr>
      </w:pPr>
      <w:r>
        <w:rPr>
          <w:rFonts w:ascii="Arial" w:cs="Arial" w:eastAsia="Arial" w:hAnsi="Arial"/>
          <w:sz w:val="16"/>
          <w:szCs w:val="16"/>
          <w:color w:val="auto"/>
        </w:rPr>
        <w:t>Our revenue increased from approximately $152.0 million for the year ended December 31, 2021 to approximately $204.5 million for 2022 primarily driven by an increase in sales volume from approximately 489.2 MWh for year ended December 31, 2021 to approximately 694.2 MWh for the same period in 2022, which is due to the increase in the sales of battery cell products to new and existing customers in the Asia &amp; Pacific region and the U.S.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 and Gross Profit</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cost of sales for the year ended December 31, 2022 remained stable compared to the same period in 2021.</w:t>
      </w:r>
    </w:p>
    <w:p>
      <w:pPr>
        <w:spacing w:after="0" w:line="206" w:lineRule="exact"/>
        <w:rPr>
          <w:sz w:val="20"/>
          <w:szCs w:val="20"/>
          <w:color w:val="auto"/>
        </w:rPr>
      </w:pPr>
    </w:p>
    <w:p>
      <w:pPr>
        <w:ind w:right="80" w:firstLine="603"/>
        <w:spacing w:after="0" w:line="253" w:lineRule="auto"/>
        <w:rPr>
          <w:sz w:val="20"/>
          <w:szCs w:val="20"/>
          <w:color w:val="auto"/>
        </w:rPr>
      </w:pPr>
      <w:r>
        <w:rPr>
          <w:rFonts w:ascii="Arial" w:cs="Arial" w:eastAsia="Arial" w:hAnsi="Arial"/>
          <w:sz w:val="17"/>
          <w:szCs w:val="17"/>
          <w:color w:val="auto"/>
        </w:rPr>
        <w:t>Our gross profit margin increased from negative 28.1% for the year ended December 31, 2021 to 4.4% for the same period in 2022. The increase in gross margin was primarily due to (i) better economies of scale resulting from increasing sales volume and (ii) $46.5 million of additional warranty cost for a legacy product that was accrued during 2021 not occurring in 2022. These improvements to gross margin were partially offset by (i) increases in raw material prices and (ii) $3.4 million of increased share-based compensation expenses.</w:t>
      </w:r>
    </w:p>
    <w:p>
      <w:pPr>
        <w:spacing w:after="0" w:line="180" w:lineRule="exact"/>
        <w:rPr>
          <w:sz w:val="20"/>
          <w:szCs w:val="20"/>
          <w:color w:val="auto"/>
        </w:rPr>
      </w:pPr>
    </w:p>
    <w:p>
      <w:pPr>
        <w:ind w:right="160" w:firstLine="603"/>
        <w:spacing w:after="0" w:line="274" w:lineRule="auto"/>
        <w:rPr>
          <w:sz w:val="20"/>
          <w:szCs w:val="20"/>
          <w:color w:val="auto"/>
        </w:rPr>
      </w:pPr>
      <w:r>
        <w:rPr>
          <w:rFonts w:ascii="Arial" w:cs="Arial" w:eastAsia="Arial" w:hAnsi="Arial"/>
          <w:sz w:val="16"/>
          <w:szCs w:val="16"/>
          <w:color w:val="auto"/>
        </w:rPr>
        <w:t>Our legacy product that was sold during 2017 and 2018 to our China-based customers did not meet our high standards and experienced performance issues when in operation. Following a rigorous root cause analysis completed in October 2021, we determined that a component sourced from a third-party supplier was not meeting our performance standards. It is our expectation that the legacy product will need to be replaced before the expiration of the product warranty in their respective sales contracts with our customers. We believe this issue is limited to this legacy product,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which we ceased selling in late 2018, as the component was not incorporated into any other products. Accordingly, the $46.5 million of additional accrual warranty cost for the legacy product during 2021 did not occur in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and Marketing</w:t>
      </w:r>
    </w:p>
    <w:p>
      <w:pPr>
        <w:spacing w:after="0" w:line="206" w:lineRule="exact"/>
        <w:rPr>
          <w:sz w:val="20"/>
          <w:szCs w:val="20"/>
          <w:color w:val="auto"/>
        </w:rPr>
      </w:pPr>
    </w:p>
    <w:p>
      <w:pPr>
        <w:ind w:right="80" w:firstLine="603"/>
        <w:spacing w:after="0" w:line="335" w:lineRule="auto"/>
        <w:rPr>
          <w:sz w:val="20"/>
          <w:szCs w:val="20"/>
          <w:color w:val="auto"/>
        </w:rPr>
      </w:pPr>
      <w:r>
        <w:rPr>
          <w:rFonts w:ascii="Arial" w:cs="Arial" w:eastAsia="Arial" w:hAnsi="Arial"/>
          <w:sz w:val="15"/>
          <w:szCs w:val="15"/>
          <w:color w:val="auto"/>
        </w:rPr>
        <w:t>Selling and marketing expenses for the year ended December 31, 2022 increased $1.2 million, or 5.5%, compared to the same period in 2021. The increase in selling and marketing expenses was primarily due to $0.7 million of increased share-based compensation expenses and other increases related to business expansion.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06" w:lineRule="exact"/>
        <w:rPr>
          <w:sz w:val="20"/>
          <w:szCs w:val="20"/>
          <w:color w:val="auto"/>
        </w:rPr>
      </w:pPr>
    </w:p>
    <w:p>
      <w:pPr>
        <w:ind w:firstLine="603"/>
        <w:spacing w:after="0" w:line="253" w:lineRule="auto"/>
        <w:rPr>
          <w:sz w:val="20"/>
          <w:szCs w:val="20"/>
          <w:color w:val="auto"/>
        </w:rPr>
      </w:pPr>
      <w:r>
        <w:rPr>
          <w:rFonts w:ascii="Arial" w:cs="Arial" w:eastAsia="Arial" w:hAnsi="Arial"/>
          <w:sz w:val="17"/>
          <w:szCs w:val="17"/>
          <w:color w:val="auto"/>
        </w:rPr>
        <w:t>General and administrative expenses for the year ended December 31, 2022 increased $2.9 million, or 2.9%, compared to the same period in 2021. The increase in General and administrative expenses was primarily due to $7.8 million of increased share-based compensation expenses, $2.4 million of increased insurance fees after becoming a public company and other increases related to business expansion and other increases related to business expansion, offset by $6.9 million exchange gain and other expense saving.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206" w:lineRule="exact"/>
        <w:rPr>
          <w:sz w:val="20"/>
          <w:szCs w:val="20"/>
          <w:color w:val="auto"/>
        </w:rPr>
      </w:pPr>
    </w:p>
    <w:p>
      <w:pPr>
        <w:ind w:right="60" w:firstLine="603"/>
        <w:spacing w:after="0" w:line="253" w:lineRule="auto"/>
        <w:rPr>
          <w:sz w:val="20"/>
          <w:szCs w:val="20"/>
          <w:color w:val="auto"/>
        </w:rPr>
      </w:pPr>
      <w:r>
        <w:rPr>
          <w:rFonts w:ascii="Arial" w:cs="Arial" w:eastAsia="Arial" w:hAnsi="Arial"/>
          <w:sz w:val="17"/>
          <w:szCs w:val="17"/>
          <w:color w:val="auto"/>
        </w:rPr>
        <w:t>R&amp;D expenses for the year ended December 31, 2022 increased $9.1 million, or 26.5%, compared to the same period in 2021. The increase in R&amp;D expenses was primarily due to (i) $3.9 million of increased personnel-related expenses as we increased headcount of our research team as a result of our efforts to further develop and enhance our products; (ii) $2.5 million of increased costs of materials used for experiments due to more testing activities, (iii) $0.9 million of increased share-based compensation expenses and (iv) other increases related to business expansion.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Subsidy Income</w:t>
      </w:r>
    </w:p>
    <w:p>
      <w:pPr>
        <w:spacing w:after="0" w:line="206" w:lineRule="exact"/>
        <w:rPr>
          <w:sz w:val="20"/>
          <w:szCs w:val="20"/>
          <w:color w:val="auto"/>
        </w:rPr>
      </w:pPr>
    </w:p>
    <w:p>
      <w:pPr>
        <w:ind w:right="260" w:firstLine="603"/>
        <w:spacing w:after="0" w:line="268" w:lineRule="auto"/>
        <w:rPr>
          <w:sz w:val="20"/>
          <w:szCs w:val="20"/>
          <w:color w:val="auto"/>
        </w:rPr>
      </w:pPr>
      <w:r>
        <w:rPr>
          <w:rFonts w:ascii="Arial" w:cs="Arial" w:eastAsia="Arial" w:hAnsi="Arial"/>
          <w:sz w:val="17"/>
          <w:szCs w:val="17"/>
          <w:color w:val="auto"/>
        </w:rPr>
        <w:t>Subsidy income decreased from $6.1 million for the year ended December 31, 2021 to $1.7 million in the same period in 2022, primarily due to a one-time award granted by local governments in China in 2021.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on changes in fair value of convertible notes</w:t>
      </w:r>
    </w:p>
    <w:p>
      <w:pPr>
        <w:spacing w:after="0" w:line="206" w:lineRule="exact"/>
        <w:rPr>
          <w:sz w:val="20"/>
          <w:szCs w:val="20"/>
          <w:color w:val="auto"/>
        </w:rPr>
      </w:pPr>
    </w:p>
    <w:p>
      <w:pPr>
        <w:ind w:right="60" w:firstLine="603"/>
        <w:spacing w:after="0" w:line="268" w:lineRule="auto"/>
        <w:rPr>
          <w:sz w:val="20"/>
          <w:szCs w:val="20"/>
          <w:color w:val="auto"/>
        </w:rPr>
      </w:pPr>
      <w:r>
        <w:rPr>
          <w:rFonts w:ascii="Arial" w:cs="Arial" w:eastAsia="Arial" w:hAnsi="Arial"/>
          <w:sz w:val="17"/>
          <w:szCs w:val="17"/>
          <w:color w:val="auto"/>
        </w:rPr>
        <w:t>For the year ended December 31, 2021, we incurred a loss of $9.9 million due to changes in fair value of the convertible notes issued in January and February 2021 and converted to common stock upon the Business Combination on July 23, 2021. No such event occurred in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on change in fair value of warrant liability</w:t>
      </w:r>
    </w:p>
    <w:p>
      <w:pPr>
        <w:spacing w:after="0" w:line="206" w:lineRule="exact"/>
        <w:rPr>
          <w:sz w:val="20"/>
          <w:szCs w:val="20"/>
          <w:color w:val="auto"/>
        </w:rPr>
      </w:pPr>
    </w:p>
    <w:p>
      <w:pPr>
        <w:ind w:right="780" w:firstLine="603"/>
        <w:spacing w:after="0" w:line="268" w:lineRule="auto"/>
        <w:rPr>
          <w:sz w:val="20"/>
          <w:szCs w:val="20"/>
          <w:color w:val="auto"/>
        </w:rPr>
      </w:pPr>
      <w:r>
        <w:rPr>
          <w:rFonts w:ascii="Arial" w:cs="Arial" w:eastAsia="Arial" w:hAnsi="Arial"/>
          <w:sz w:val="17"/>
          <w:szCs w:val="17"/>
          <w:color w:val="auto"/>
        </w:rPr>
        <w:t>For the year ended December 31, 2022, we recorded a gain of $1.0 million due to the change in fair value of warrant liability compared to a gain of $2.5 million in the same period of 2021, primarily because of the fair value fluctuation of our warrants.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0" w:lineRule="exact"/>
        <w:rPr>
          <w:sz w:val="20"/>
          <w:szCs w:val="20"/>
          <w:color w:val="auto"/>
        </w:rPr>
      </w:pPr>
    </w:p>
    <w:p>
      <w:pPr>
        <w:jc w:val="both"/>
        <w:ind w:right="20" w:firstLine="603"/>
        <w:spacing w:after="0" w:line="307" w:lineRule="auto"/>
        <w:rPr>
          <w:sz w:val="20"/>
          <w:szCs w:val="20"/>
          <w:color w:val="auto"/>
        </w:rPr>
      </w:pPr>
      <w:r>
        <w:rPr>
          <w:rFonts w:ascii="Arial" w:cs="Arial" w:eastAsia="Arial" w:hAnsi="Arial"/>
          <w:sz w:val="15"/>
          <w:szCs w:val="15"/>
          <w:color w:val="auto"/>
        </w:rPr>
        <w:t>Since inception, we have financed our operations primarily from capital contributions from equity holders, issuance of convertible notes and bank borrowings. We expect existing cash, cash equivalents, short-term marketable securities, cash flows from operations and financing activities to continue to be sufficient to fund our operating activities and cash commitments for investing and financing activities for at least the next 12 months and thereafter for the foreseeable future.</w:t>
      </w:r>
    </w:p>
    <w:p>
      <w:pPr>
        <w:spacing w:after="0" w:line="141" w:lineRule="exact"/>
        <w:rPr>
          <w:sz w:val="20"/>
          <w:szCs w:val="20"/>
          <w:color w:val="auto"/>
        </w:rPr>
      </w:pPr>
    </w:p>
    <w:p>
      <w:pPr>
        <w:ind w:right="180" w:firstLine="603"/>
        <w:spacing w:after="0" w:line="268" w:lineRule="auto"/>
        <w:rPr>
          <w:sz w:val="20"/>
          <w:szCs w:val="20"/>
          <w:color w:val="auto"/>
        </w:rPr>
      </w:pPr>
      <w:r>
        <w:rPr>
          <w:rFonts w:ascii="Arial" w:cs="Arial" w:eastAsia="Arial" w:hAnsi="Arial"/>
          <w:sz w:val="17"/>
          <w:szCs w:val="17"/>
          <w:color w:val="auto"/>
        </w:rPr>
        <w:t>As of December 31, 2022, our principal sources of liquidity were our cash and cash equivalents, restricted cash and short-term investments in the amount of $327.7 million.</w:t>
      </w:r>
    </w:p>
    <w:p>
      <w:pPr>
        <w:spacing w:after="0" w:line="166" w:lineRule="exact"/>
        <w:rPr>
          <w:sz w:val="20"/>
          <w:szCs w:val="20"/>
          <w:color w:val="auto"/>
        </w:rPr>
      </w:pPr>
    </w:p>
    <w:p>
      <w:pPr>
        <w:ind w:right="20" w:firstLine="603"/>
        <w:spacing w:after="0" w:line="257" w:lineRule="auto"/>
        <w:rPr>
          <w:sz w:val="20"/>
          <w:szCs w:val="20"/>
          <w:color w:val="auto"/>
        </w:rPr>
      </w:pPr>
      <w:r>
        <w:rPr>
          <w:rFonts w:ascii="Arial" w:cs="Arial" w:eastAsia="Arial" w:hAnsi="Arial"/>
          <w:sz w:val="17"/>
          <w:szCs w:val="17"/>
          <w:color w:val="auto"/>
        </w:rPr>
        <w:t>The consolidated net cash position as of December 31, 2022 included cash and cash equivalents of $1.3 million, $23.5 million and $0.5 million held by our China, German and UK subsidiaries, respectively, that is not available to fund domestic operations unless funds are repatriated. Should we need to repatriate to the U.S. part or all of the funds held by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our international subsidiaries in the form of a dividend, we would need to accrue and pay withholding taxes. We do not intend to pay any cash dividends on our common stock in the foreseeable future and intend to retain all of the available funds and any future earnings for use in the operation and expansion of our business in China, the E.U. and the U.S.</w:t>
      </w:r>
    </w:p>
    <w:p>
      <w:pPr>
        <w:spacing w:after="0" w:line="175" w:lineRule="exact"/>
        <w:rPr>
          <w:sz w:val="20"/>
          <w:szCs w:val="20"/>
          <w:color w:val="auto"/>
        </w:rPr>
      </w:pPr>
    </w:p>
    <w:p>
      <w:pPr>
        <w:ind w:right="40" w:firstLine="603"/>
        <w:spacing w:after="0" w:line="269" w:lineRule="auto"/>
        <w:rPr>
          <w:sz w:val="20"/>
          <w:szCs w:val="20"/>
          <w:color w:val="auto"/>
        </w:rPr>
      </w:pPr>
      <w:r>
        <w:rPr>
          <w:rFonts w:ascii="Arial" w:cs="Arial" w:eastAsia="Arial" w:hAnsi="Arial"/>
          <w:sz w:val="16"/>
          <w:szCs w:val="16"/>
          <w:color w:val="auto"/>
        </w:rPr>
        <w:t>We continue to assess the effect of the COVID-19 pandemic and the Russia/Ukraine crisis on our operations. The extent to which the COVID-19 pandemic will impact our business and operations will depend on future developments that are highly uncertain and cannot be predicted with confidence, such as the continuing spread of the infection, new and emerging variants of the virus, the duration of the pandemic, and the effectiveness of actions taken in the U.S. and other countries to contain and treat the disease. The extent to which the Russia/Ukraine crisis will impact our business and operations will also depend on future developments that are highly uncertain and cannot be predicted with confidence, including restrictive actions that may be taken by the U.S. and/or other countries, such as sanctions or export controls, and the duration of the conflict.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Financings</w:t>
      </w:r>
    </w:p>
    <w:p>
      <w:pPr>
        <w:spacing w:after="0" w:line="206" w:lineRule="exact"/>
        <w:rPr>
          <w:sz w:val="20"/>
          <w:szCs w:val="20"/>
          <w:color w:val="auto"/>
        </w:rPr>
      </w:pPr>
    </w:p>
    <w:p>
      <w:pPr>
        <w:ind w:right="80" w:firstLine="603"/>
        <w:spacing w:after="0" w:line="253" w:lineRule="auto"/>
        <w:rPr>
          <w:sz w:val="20"/>
          <w:szCs w:val="20"/>
          <w:color w:val="auto"/>
        </w:rPr>
      </w:pPr>
      <w:r>
        <w:rPr>
          <w:rFonts w:ascii="Arial" w:cs="Arial" w:eastAsia="Arial" w:hAnsi="Arial"/>
          <w:sz w:val="17"/>
          <w:szCs w:val="17"/>
          <w:color w:val="auto"/>
        </w:rPr>
        <w:t>As of December 31, 2022, we had bank borrowings of $46.4 million, the terms of which range from three months to two years. The interest rates of our bank borrowings ranged from 4.50% to 4.80% per annum. As of December 31, 2022, we had convertible bonds of $43.9 million, with interest rates ranging from 3% to 4%. The convertible bonds are due in 2027. As of December 31, 2022, we were in compliance with all material terms and covenants of our loan agreements, credit agreements and bonds.</w:t>
      </w:r>
    </w:p>
    <w:p>
      <w:pPr>
        <w:spacing w:after="0" w:line="180" w:lineRule="exact"/>
        <w:rPr>
          <w:sz w:val="20"/>
          <w:szCs w:val="20"/>
          <w:color w:val="auto"/>
        </w:rPr>
      </w:pPr>
    </w:p>
    <w:p>
      <w:pPr>
        <w:ind w:right="240" w:firstLine="603"/>
        <w:spacing w:after="0" w:line="251" w:lineRule="auto"/>
        <w:rPr>
          <w:sz w:val="20"/>
          <w:szCs w:val="20"/>
          <w:color w:val="auto"/>
        </w:rPr>
      </w:pPr>
      <w:r>
        <w:rPr>
          <w:rFonts w:ascii="Arial" w:cs="Arial" w:eastAsia="Arial" w:hAnsi="Arial"/>
          <w:sz w:val="17"/>
          <w:szCs w:val="17"/>
          <w:color w:val="auto"/>
        </w:rPr>
        <w:t>On July 23, 2021, we received $708.4 million from the completion of the Business Combination, $705.1 million net of transaction costs paid by Microvast, Inc. We have used $238.8 million of the net proceeds from the Business Combination to expand our manufacturing facilities and for the purchase of property and equipment associated with our existing manufacturing and R&amp;D facilities. In addition, $54.3 million of the net proceeds were used for working capital as of December 31, 2022. We expect the total capital expenditures related to these capacity expansions in Huzhou, China and Clarksville, Tennessee to be in the range of $460.0 million to $490.0 million.</w:t>
      </w:r>
    </w:p>
    <w:p>
      <w:pPr>
        <w:spacing w:after="0" w:line="183" w:lineRule="exact"/>
        <w:rPr>
          <w:sz w:val="20"/>
          <w:szCs w:val="20"/>
          <w:color w:val="auto"/>
        </w:rPr>
      </w:pPr>
    </w:p>
    <w:p>
      <w:pPr>
        <w:jc w:val="both"/>
        <w:ind w:right="160" w:firstLine="603"/>
        <w:spacing w:after="0" w:line="307" w:lineRule="auto"/>
        <w:rPr>
          <w:sz w:val="20"/>
          <w:szCs w:val="20"/>
          <w:color w:val="auto"/>
        </w:rPr>
      </w:pPr>
      <w:r>
        <w:rPr>
          <w:rFonts w:ascii="Arial" w:cs="Arial" w:eastAsia="Arial" w:hAnsi="Arial"/>
          <w:sz w:val="15"/>
          <w:szCs w:val="15"/>
          <w:color w:val="auto"/>
        </w:rPr>
        <w:t>The exercise price for our outstanding warrants is $11.50 per share of common stock, and the trading price of our common stock was $1.20 as of March 10, 2023. There is no guarantee that the warrants will be exercised prior to their expiration, however, we do not expect this to impact our liquidity and we believe we will be able to meet our working capital requirements for at least the next 12 months and fund our expansion plans with proceeds from the Business Combination.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 and other contractual obligations</w:t>
      </w:r>
    </w:p>
    <w:p>
      <w:pPr>
        <w:spacing w:after="0" w:line="206" w:lineRule="exact"/>
        <w:rPr>
          <w:sz w:val="20"/>
          <w:szCs w:val="20"/>
          <w:color w:val="auto"/>
        </w:rPr>
      </w:pPr>
    </w:p>
    <w:p>
      <w:pPr>
        <w:ind w:firstLine="603"/>
        <w:spacing w:after="0" w:line="293" w:lineRule="auto"/>
        <w:rPr>
          <w:sz w:val="20"/>
          <w:szCs w:val="20"/>
          <w:color w:val="auto"/>
        </w:rPr>
      </w:pPr>
      <w:r>
        <w:rPr>
          <w:rFonts w:ascii="Arial" w:cs="Arial" w:eastAsia="Arial" w:hAnsi="Arial"/>
          <w:sz w:val="15"/>
          <w:szCs w:val="15"/>
          <w:color w:val="auto"/>
        </w:rPr>
        <w:t>Our future capital requirements will depend on many factors, including, but not limited to funding planned production capacity expansions and for general working capital. We believe the proceeds from the Business Combination will be sufficient to cover our planned expansions and our general working capital needs. In addition, we may in the future enter into arrangements to acquire or invest in complementary businesses or technologies. We may need to seek additional equity or debt financing in order to meet these future capital requirements. If we are unable to raise additional capital when desired, or on terms that are acceptable to us, our business, financial condition and results of operations could be adversely affected. There are no material off-balance sheet arrangements other than those described below.</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Lease Commitments</w:t>
      </w:r>
    </w:p>
    <w:p>
      <w:pPr>
        <w:spacing w:after="0" w:line="206" w:lineRule="exact"/>
        <w:rPr>
          <w:sz w:val="20"/>
          <w:szCs w:val="20"/>
          <w:color w:val="auto"/>
        </w:rPr>
      </w:pPr>
    </w:p>
    <w:p>
      <w:pPr>
        <w:ind w:right="260" w:firstLine="603"/>
        <w:spacing w:after="0" w:line="335" w:lineRule="auto"/>
        <w:rPr>
          <w:sz w:val="20"/>
          <w:szCs w:val="20"/>
          <w:color w:val="auto"/>
        </w:rPr>
      </w:pPr>
      <w:r>
        <w:rPr>
          <w:rFonts w:ascii="Arial" w:cs="Arial" w:eastAsia="Arial" w:hAnsi="Arial"/>
          <w:sz w:val="15"/>
          <w:szCs w:val="15"/>
          <w:color w:val="auto"/>
        </w:rPr>
        <w:t>We lease certain facilities and equipment under non-cancellable lease agreements that expire at various dates through 2036. For additional information, see Note 17 – Leases, in the notes to the unaudited condensed consolidated financial statements in Part II, Item 8 of this Report on Form 10-K.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206" w:lineRule="exact"/>
        <w:rPr>
          <w:sz w:val="20"/>
          <w:szCs w:val="20"/>
          <w:color w:val="auto"/>
        </w:rPr>
      </w:pPr>
    </w:p>
    <w:p>
      <w:pPr>
        <w:ind w:right="740" w:firstLine="603"/>
        <w:spacing w:after="0" w:line="299" w:lineRule="auto"/>
        <w:rPr>
          <w:sz w:val="20"/>
          <w:szCs w:val="20"/>
          <w:color w:val="auto"/>
        </w:rPr>
      </w:pPr>
      <w:r>
        <w:rPr>
          <w:rFonts w:ascii="Arial" w:cs="Arial" w:eastAsia="Arial" w:hAnsi="Arial"/>
          <w:sz w:val="16"/>
          <w:szCs w:val="16"/>
          <w:color w:val="auto"/>
        </w:rPr>
        <w:t>We regularly enter into non-cancelable contractual obligations primarily related to purchases of inventory. As of December 31, 2022, such purchase commitments, which do not qualify for recognition on our Consolidated Balance Sheets, amount to $30.5 million, all of which is short-term.</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60" w:firstLine="603"/>
        <w:spacing w:after="0" w:line="257" w:lineRule="auto"/>
        <w:rPr>
          <w:sz w:val="20"/>
          <w:szCs w:val="20"/>
          <w:color w:val="auto"/>
        </w:rPr>
      </w:pPr>
      <w:r>
        <w:rPr>
          <w:rFonts w:ascii="Arial" w:cs="Arial" w:eastAsia="Arial" w:hAnsi="Arial"/>
          <w:sz w:val="17"/>
          <w:szCs w:val="17"/>
          <w:color w:val="auto"/>
        </w:rPr>
        <w:t>Our capital expenditures amounted to $87.9 million and $150.9 million for the years ended December 31, 2021 and 2022, respectively. Our capital expenditures in 2021 and 2022 related primarily to the construction of manufacturing facilities under our expansion plans for our facilities in Clarksville, Tennessee and Huzhou, China.</w:t>
      </w:r>
    </w:p>
    <w:p>
      <w:pPr>
        <w:spacing w:after="0" w:line="175" w:lineRule="exact"/>
        <w:rPr>
          <w:sz w:val="20"/>
          <w:szCs w:val="20"/>
          <w:color w:val="auto"/>
        </w:rPr>
      </w:pPr>
    </w:p>
    <w:p>
      <w:pPr>
        <w:ind w:right="200" w:firstLine="603"/>
        <w:spacing w:after="0" w:line="293" w:lineRule="auto"/>
        <w:rPr>
          <w:sz w:val="20"/>
          <w:szCs w:val="20"/>
          <w:color w:val="auto"/>
        </w:rPr>
      </w:pPr>
      <w:r>
        <w:rPr>
          <w:rFonts w:ascii="Arial" w:cs="Arial" w:eastAsia="Arial" w:hAnsi="Arial"/>
          <w:sz w:val="15"/>
          <w:szCs w:val="15"/>
          <w:color w:val="auto"/>
        </w:rPr>
        <w:t>In 2021, we started our capacity expansion plans in Huzhou, China, Berlin, Germany and Clarksville, Tennessee. The project in Germany was completed in 2021, and the China and Tennessee projects are expected to be completed in the first and fourth quarters of 2023, respectively. The completion of these projects is expected to increase our existing production capacity by 4 GWh once operational. We expect the total capital expenditures related to these capacity expansions in Huzhou, China and Clarksville, Tennessee to be in the range of $460.0 million to $490.0 million, which we plan to finance primarily through the proceeds from the Business Combination and bank borrowings, which we believe will be sufficient to cover all of the disclosed and estimated costs.</w:t>
      </w:r>
    </w:p>
    <w:p>
      <w:pPr>
        <w:spacing w:after="0" w:line="152" w:lineRule="exact"/>
        <w:rPr>
          <w:sz w:val="20"/>
          <w:szCs w:val="20"/>
          <w:color w:val="auto"/>
        </w:rPr>
      </w:pPr>
    </w:p>
    <w:p>
      <w:pPr>
        <w:ind w:right="80" w:firstLine="603"/>
        <w:spacing w:after="0" w:line="307" w:lineRule="auto"/>
        <w:rPr>
          <w:sz w:val="20"/>
          <w:szCs w:val="20"/>
          <w:color w:val="auto"/>
        </w:rPr>
      </w:pPr>
      <w:r>
        <w:rPr>
          <w:rFonts w:ascii="Arial" w:cs="Arial" w:eastAsia="Arial" w:hAnsi="Arial"/>
          <w:sz w:val="15"/>
          <w:szCs w:val="15"/>
          <w:color w:val="auto"/>
        </w:rPr>
        <w:t>Our planned capital expenditures are based on management’s current estimates and may be subject to change. There can be no assurance that we will execute our capital expenditure plans as contemplated at or below-estimated costs, and we may also from time-to-time determine to undertake additional capital projects and incur additional capital expenditures. As a result, actual capital expenditures in future years may be more or less than the amounts shown.</w:t>
      </w:r>
    </w:p>
    <w:p>
      <w:pPr>
        <w:sectPr>
          <w:pgSz w:w="11900" w:h="16838" w:orient="portrait"/>
          <w:cols w:equalWidth="0" w:num="1">
            <w:col w:w="11220"/>
          </w:cols>
          <w:pgMar w:left="320" w:top="123" w:right="359" w:bottom="1440" w:gutter="0" w:footer="0" w:header="0"/>
        </w:sectPr>
      </w:pP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provides a summary of our cash flow data for the years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Amount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1845" cy="159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845" cy="15938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cash used in operating activities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1845" cy="159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845" cy="15938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cash provided by financing activities</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Year Ended</w:t>
      </w:r>
    </w:p>
    <w:p>
      <w:pPr>
        <w:spacing w:after="0" w:line="22"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19685</wp:posOffset>
            </wp:positionV>
            <wp:extent cx="19367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36750" cy="8255"/>
                    </a:xfrm>
                    <a:prstGeom prst="rect">
                      <a:avLst/>
                    </a:prstGeom>
                    <a:noFill/>
                  </pic:spPr>
                </pic:pic>
              </a:graphicData>
            </a:graphic>
          </wp:anchor>
        </w:drawing>
      </w:r>
    </w:p>
    <w:p>
      <w:pPr>
        <w:spacing w:after="0" w:line="32"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29845</wp:posOffset>
            </wp:positionV>
            <wp:extent cx="19367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36750" cy="8255"/>
                    </a:xfrm>
                    <a:prstGeom prst="rect">
                      <a:avLst/>
                    </a:prstGeom>
                    <a:noFill/>
                  </pic:spPr>
                </pic:pic>
              </a:graphicData>
            </a:graphic>
          </wp:anchor>
        </w:drawing>
      </w:r>
    </w:p>
    <w:p>
      <w:pPr>
        <w:spacing w:after="0" w:line="303" w:lineRule="exact"/>
        <w:rPr>
          <w:sz w:val="20"/>
          <w:szCs w:val="20"/>
          <w:color w:val="auto"/>
        </w:rPr>
      </w:pPr>
    </w:p>
    <w:p>
      <w:pPr>
        <w:jc w:val="both"/>
        <w:ind w:left="300"/>
        <w:spacing w:after="0"/>
        <w:tabs>
          <w:tab w:leader="none" w:pos="1860" w:val="left"/>
        </w:tabs>
        <w:rPr>
          <w:sz w:val="20"/>
          <w:szCs w:val="20"/>
          <w:color w:val="auto"/>
        </w:rPr>
      </w:pPr>
      <w:r>
        <w:rPr>
          <w:rFonts w:ascii="Arial" w:cs="Arial" w:eastAsia="Arial" w:hAnsi="Arial"/>
          <w:sz w:val="17"/>
          <w:szCs w:val="17"/>
          <w:color w:val="auto"/>
        </w:rPr>
        <w:t>(45,039)</w:t>
      </w:r>
      <w:r>
        <w:rPr>
          <w:sz w:val="20"/>
          <w:szCs w:val="20"/>
          <w:color w:val="auto"/>
        </w:rPr>
        <w:tab/>
      </w:r>
      <w:r>
        <w:rPr>
          <w:rFonts w:ascii="Arial" w:cs="Arial" w:eastAsia="Arial" w:hAnsi="Arial"/>
          <w:sz w:val="17"/>
          <w:szCs w:val="17"/>
          <w:color w:val="auto"/>
        </w:rPr>
        <w:t>(53,928)</w:t>
      </w:r>
    </w:p>
    <w:p>
      <w:pPr>
        <w:spacing w:after="0" w:line="56" w:lineRule="exact"/>
        <w:rPr>
          <w:sz w:val="20"/>
          <w:szCs w:val="20"/>
          <w:color w:val="auto"/>
        </w:rPr>
      </w:pPr>
    </w:p>
    <w:p>
      <w:pPr>
        <w:jc w:val="both"/>
        <w:ind w:left="300"/>
        <w:spacing w:after="0"/>
        <w:tabs>
          <w:tab w:leader="none" w:pos="1760" w:val="left"/>
        </w:tabs>
        <w:rPr>
          <w:sz w:val="20"/>
          <w:szCs w:val="20"/>
          <w:color w:val="auto"/>
        </w:rPr>
      </w:pPr>
      <w:r>
        <w:rPr>
          <w:rFonts w:ascii="Arial" w:cs="Arial" w:eastAsia="Arial" w:hAnsi="Arial"/>
          <w:sz w:val="17"/>
          <w:szCs w:val="17"/>
          <w:color w:val="auto"/>
        </w:rPr>
        <w:t>(87,862)</w:t>
      </w:r>
      <w:r>
        <w:rPr>
          <w:sz w:val="20"/>
          <w:szCs w:val="20"/>
          <w:color w:val="auto"/>
        </w:rPr>
        <w:tab/>
      </w:r>
      <w:r>
        <w:rPr>
          <w:rFonts w:ascii="Arial" w:cs="Arial" w:eastAsia="Arial" w:hAnsi="Arial"/>
          <w:sz w:val="17"/>
          <w:szCs w:val="17"/>
          <w:color w:val="auto"/>
        </w:rPr>
        <w:t>(175,945)</w:t>
      </w:r>
    </w:p>
    <w:p>
      <w:pPr>
        <w:spacing w:after="0" w:line="56" w:lineRule="exact"/>
        <w:rPr>
          <w:sz w:val="20"/>
          <w:szCs w:val="20"/>
          <w:color w:val="auto"/>
        </w:rPr>
      </w:pPr>
    </w:p>
    <w:p>
      <w:pPr>
        <w:ind w:left="280"/>
        <w:spacing w:after="0"/>
        <w:tabs>
          <w:tab w:leader="none" w:pos="2000" w:val="left"/>
        </w:tabs>
        <w:rPr>
          <w:sz w:val="20"/>
          <w:szCs w:val="20"/>
          <w:color w:val="auto"/>
        </w:rPr>
      </w:pPr>
      <w:r>
        <w:rPr>
          <w:rFonts w:ascii="Arial" w:cs="Arial" w:eastAsia="Arial" w:hAnsi="Arial"/>
          <w:sz w:val="16"/>
          <w:szCs w:val="16"/>
          <w:color w:val="auto"/>
        </w:rPr>
        <w:t>624,949</w:t>
      </w:r>
      <w:r>
        <w:rPr>
          <w:sz w:val="20"/>
          <w:szCs w:val="20"/>
          <w:color w:val="auto"/>
        </w:rPr>
        <w:tab/>
      </w:r>
      <w:r>
        <w:rPr>
          <w:rFonts w:ascii="Arial" w:cs="Arial" w:eastAsia="Arial" w:hAnsi="Arial"/>
          <w:sz w:val="16"/>
          <w:szCs w:val="16"/>
          <w:color w:val="auto"/>
        </w:rPr>
        <w:t>4,967</w:t>
      </w:r>
    </w:p>
    <w:p>
      <w:pPr>
        <w:spacing w:after="0" w:line="713" w:lineRule="exact"/>
        <w:rPr>
          <w:sz w:val="20"/>
          <w:szCs w:val="20"/>
          <w:color w:val="auto"/>
        </w:rPr>
      </w:pPr>
    </w:p>
    <w:p>
      <w:pPr>
        <w:sectPr>
          <w:pgSz w:w="11900" w:h="16838" w:orient="portrait"/>
          <w:cols w:equalWidth="0" w:num="2">
            <w:col w:w="8060" w:space="720"/>
            <w:col w:w="2440"/>
          </w:cols>
          <w:pgMar w:left="320" w:top="123" w:right="359" w:bottom="1440" w:gutter="0" w:footer="0" w:header="0"/>
          <w:type w:val="continuous"/>
        </w:sectPr>
      </w:pPr>
    </w:p>
    <w:p>
      <w:pPr>
        <w:spacing w:after="0" w:line="6" w:lineRule="exact"/>
        <w:rPr>
          <w:sz w:val="20"/>
          <w:szCs w:val="20"/>
          <w:color w:val="auto"/>
        </w:rPr>
      </w:pPr>
    </w:p>
    <w:p>
      <w:pPr>
        <w:ind w:right="60" w:firstLine="603"/>
        <w:spacing w:after="0" w:line="250" w:lineRule="auto"/>
        <w:rPr>
          <w:sz w:val="20"/>
          <w:szCs w:val="20"/>
          <w:color w:val="auto"/>
        </w:rPr>
      </w:pPr>
      <w:r>
        <w:rPr>
          <w:rFonts w:ascii="Arial" w:cs="Arial" w:eastAsia="Arial" w:hAnsi="Arial"/>
          <w:sz w:val="17"/>
          <w:szCs w:val="17"/>
          <w:color w:val="auto"/>
        </w:rPr>
        <w:t>During the year ended December 31, 2022, our operating activities used $53.9 million in cash. This decrease in cash consisted of (1) a net loss of $158.2 million and non-cash charges of $134.7 million, of which $19.8 million is depreciation of property, plant and equipment and $90.8 million is non-cash share-based compensation expense; and (2) a $30.4 million decrease in cash flows from operating assets and liabilities including $35.7 million cash outflow due to the net increase of accounts receivable and notes receivable and $43.7 million increase in inventories, $21.0 million decrease in accrued and other liabilities and prepaid expense and other current assets, partially offset by $20.6 million increase in accounts payable and notes payable and $49.4 million cash inflow from other operating assets and liabilities.</w:t>
      </w:r>
    </w:p>
    <w:p>
      <w:pPr>
        <w:spacing w:after="0" w:line="184" w:lineRule="exact"/>
        <w:rPr>
          <w:sz w:val="20"/>
          <w:szCs w:val="20"/>
          <w:color w:val="auto"/>
        </w:rPr>
      </w:pPr>
    </w:p>
    <w:p>
      <w:pPr>
        <w:ind w:right="180" w:firstLine="603"/>
        <w:spacing w:after="0" w:line="274" w:lineRule="auto"/>
        <w:rPr>
          <w:sz w:val="20"/>
          <w:szCs w:val="20"/>
          <w:color w:val="auto"/>
        </w:rPr>
      </w:pPr>
      <w:r>
        <w:rPr>
          <w:rFonts w:ascii="Arial" w:cs="Arial" w:eastAsia="Arial" w:hAnsi="Arial"/>
          <w:sz w:val="16"/>
          <w:szCs w:val="16"/>
          <w:color w:val="auto"/>
        </w:rPr>
        <w:t>During the year ended December 31, 2021, our operating activities used $45.0 million in cash. This decrease in cash consisted of (1) $21.1 million in cash paid after adjusting our net loss for non-cash and non-operating items, of which $20.0 million is depreciation of property, plant and equipment, $9.9 million loss on change in fair value of convertible notes, and $2.5 million gain on change in fair value of warrant; (2) $23.9 million decrease in cash flows from operating assets and liabilities including $1.8 million cash outflow due to increase of accounts receivable and notes receivable.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206" w:lineRule="exact"/>
        <w:rPr>
          <w:sz w:val="20"/>
          <w:szCs w:val="20"/>
          <w:color w:val="auto"/>
        </w:rPr>
      </w:pPr>
    </w:p>
    <w:p>
      <w:pPr>
        <w:jc w:val="both"/>
        <w:ind w:right="40" w:firstLine="603"/>
        <w:spacing w:after="0" w:line="257" w:lineRule="auto"/>
        <w:rPr>
          <w:sz w:val="20"/>
          <w:szCs w:val="20"/>
          <w:color w:val="auto"/>
        </w:rPr>
      </w:pPr>
      <w:r>
        <w:rPr>
          <w:rFonts w:ascii="Arial" w:cs="Arial" w:eastAsia="Arial" w:hAnsi="Arial"/>
          <w:sz w:val="17"/>
          <w:szCs w:val="17"/>
          <w:color w:val="auto"/>
        </w:rPr>
        <w:t>During the year ended December 31, 2022, cash used in investing activities totaled $175.9 million. This cash outflow primarily consisted of $150.9 million of capital expenditures related to the expansion of our manufacturing facilities and to the purchase of property and equipment associated with our existing manufacturing and R&amp;D facilities, and $25.0 million of purchase of short-term investments.</w:t>
      </w:r>
    </w:p>
    <w:p>
      <w:pPr>
        <w:spacing w:after="0" w:line="175" w:lineRule="exact"/>
        <w:rPr>
          <w:sz w:val="20"/>
          <w:szCs w:val="20"/>
          <w:color w:val="auto"/>
        </w:rPr>
      </w:pPr>
    </w:p>
    <w:p>
      <w:pPr>
        <w:ind w:right="840" w:firstLine="603"/>
        <w:spacing w:after="0" w:line="268" w:lineRule="auto"/>
        <w:rPr>
          <w:sz w:val="20"/>
          <w:szCs w:val="20"/>
          <w:color w:val="auto"/>
        </w:rPr>
      </w:pPr>
      <w:r>
        <w:rPr>
          <w:rFonts w:ascii="Arial" w:cs="Arial" w:eastAsia="Arial" w:hAnsi="Arial"/>
          <w:sz w:val="17"/>
          <w:szCs w:val="17"/>
          <w:color w:val="auto"/>
        </w:rPr>
        <w:t>During the year ended December 31, 2021, cash used in investing activities totaled $87.9 million. This cash outflow primarily consisted of capital expenditures related to the purchase of property and equipment in connection with our expansion plans.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206" w:lineRule="exact"/>
        <w:rPr>
          <w:sz w:val="20"/>
          <w:szCs w:val="20"/>
          <w:color w:val="auto"/>
        </w:rPr>
      </w:pPr>
    </w:p>
    <w:p>
      <w:pPr>
        <w:ind w:right="40" w:firstLine="603"/>
        <w:spacing w:after="0" w:line="299" w:lineRule="auto"/>
        <w:rPr>
          <w:sz w:val="20"/>
          <w:szCs w:val="20"/>
          <w:color w:val="auto"/>
        </w:rPr>
      </w:pPr>
      <w:r>
        <w:rPr>
          <w:rFonts w:ascii="Arial" w:cs="Arial" w:eastAsia="Arial" w:hAnsi="Arial"/>
          <w:sz w:val="16"/>
          <w:szCs w:val="16"/>
          <w:color w:val="auto"/>
        </w:rPr>
        <w:t>During the year ended December 31, 2022, cash generated by financing activities totaled $5.0 million. This cash inflow was a result of $58.7 million proceeds from bank borrowings partially offset by $24.5 million repayment on bank borrowings and $29.2 million partial repayment on outstanding bonds.</w:t>
      </w:r>
    </w:p>
    <w:p>
      <w:pPr>
        <w:spacing w:after="0" w:line="144" w:lineRule="exact"/>
        <w:rPr>
          <w:sz w:val="20"/>
          <w:szCs w:val="20"/>
          <w:color w:val="auto"/>
        </w:rPr>
      </w:pPr>
    </w:p>
    <w:p>
      <w:pPr>
        <w:ind w:right="60" w:firstLine="603"/>
        <w:spacing w:after="0" w:line="274" w:lineRule="auto"/>
        <w:rPr>
          <w:sz w:val="20"/>
          <w:szCs w:val="20"/>
          <w:color w:val="auto"/>
        </w:rPr>
      </w:pPr>
      <w:r>
        <w:rPr>
          <w:rFonts w:ascii="Arial" w:cs="Arial" w:eastAsia="Arial" w:hAnsi="Arial"/>
          <w:sz w:val="16"/>
          <w:szCs w:val="16"/>
          <w:color w:val="auto"/>
        </w:rPr>
        <w:t>During the year ended December 31, 2021, cash provided by financing activities totaled $624.9 million. This cash inflow was a result of $38.9 million proceeds from bank borrowings, $57.5 million proceeds from the issuance of convertible notes to new investors and $222.6 million from the trust account upon consummation of the Business Combination, net of transaction costs, partially offset by $37.6 million repayment on bank borrowings, a $139.0 million repurchase of a minority interest in a subsidiary and $482.5 million from PIPE investors upon consummation of the Business Combination.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0" w:lineRule="exact"/>
        <w:rPr>
          <w:sz w:val="20"/>
          <w:szCs w:val="20"/>
          <w:color w:val="auto"/>
        </w:rPr>
      </w:pPr>
    </w:p>
    <w:p>
      <w:pPr>
        <w:ind w:right="200" w:firstLine="603"/>
        <w:spacing w:after="0" w:line="253" w:lineRule="auto"/>
        <w:rPr>
          <w:sz w:val="20"/>
          <w:szCs w:val="20"/>
          <w:color w:val="auto"/>
        </w:rPr>
      </w:pPr>
      <w:r>
        <w:rPr>
          <w:rFonts w:ascii="Arial" w:cs="Arial" w:eastAsia="Arial" w:hAnsi="Arial"/>
          <w:sz w:val="17"/>
          <w:szCs w:val="17"/>
          <w:color w:val="auto"/>
        </w:rPr>
        <w:t>Our consolidated financial statements are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right="80" w:firstLine="603"/>
        <w:spacing w:after="0" w:line="335" w:lineRule="auto"/>
        <w:rPr>
          <w:sz w:val="20"/>
          <w:szCs w:val="20"/>
          <w:color w:val="auto"/>
        </w:rPr>
      </w:pPr>
      <w:r>
        <w:rPr>
          <w:rFonts w:ascii="Arial" w:cs="Arial" w:eastAsia="Arial" w:hAnsi="Arial"/>
          <w:sz w:val="15"/>
          <w:szCs w:val="15"/>
          <w:color w:val="auto"/>
        </w:rPr>
        <w:t>We believe the following critical accounting policies involve a higher degree of judgment and complexity than our other accounting policies. Therefore, these are the policies we believe are the most critical to understanding and evaluating our consolidated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Warranty</w:t>
      </w:r>
    </w:p>
    <w:p>
      <w:pPr>
        <w:spacing w:after="0" w:line="206" w:lineRule="exact"/>
        <w:rPr>
          <w:sz w:val="20"/>
          <w:szCs w:val="20"/>
          <w:color w:val="auto"/>
        </w:rPr>
      </w:pPr>
    </w:p>
    <w:p>
      <w:pPr>
        <w:jc w:val="both"/>
        <w:ind w:right="60" w:firstLine="603"/>
        <w:spacing w:after="0" w:line="280" w:lineRule="auto"/>
        <w:rPr>
          <w:sz w:val="20"/>
          <w:szCs w:val="20"/>
          <w:color w:val="auto"/>
        </w:rPr>
      </w:pPr>
      <w:r>
        <w:rPr>
          <w:rFonts w:ascii="Arial" w:cs="Arial" w:eastAsia="Arial" w:hAnsi="Arial"/>
          <w:sz w:val="16"/>
          <w:szCs w:val="16"/>
          <w:color w:val="auto"/>
        </w:rPr>
        <w:t>We provide product warranties, which entail the repair or replacement of non-conforming items, in conjunction with sales of products. Estimated costs related to warranties are recorded in the period in which the related product sales occur. The warranty liability recorded at each balance sheet date reflects management’s best estimates of its product warranties based on historical information and other currently available evidence.</w:t>
      </w:r>
    </w:p>
    <w:p>
      <w:pPr>
        <w:spacing w:after="0" w:line="159" w:lineRule="exact"/>
        <w:rPr>
          <w:sz w:val="20"/>
          <w:szCs w:val="20"/>
          <w:color w:val="auto"/>
        </w:rPr>
      </w:pPr>
    </w:p>
    <w:p>
      <w:pPr>
        <w:ind w:right="280" w:firstLine="603"/>
        <w:spacing w:after="0" w:line="307" w:lineRule="auto"/>
        <w:rPr>
          <w:sz w:val="20"/>
          <w:szCs w:val="20"/>
          <w:color w:val="auto"/>
        </w:rPr>
      </w:pPr>
      <w:r>
        <w:rPr>
          <w:rFonts w:ascii="Arial" w:cs="Arial" w:eastAsia="Arial" w:hAnsi="Arial"/>
          <w:sz w:val="15"/>
          <w:szCs w:val="15"/>
          <w:color w:val="auto"/>
        </w:rPr>
        <w:t>Our product warranties generally range from one to eight years. We establish a reserve for the estimated cost of the product warranty at the time revenue is recognized. The portion of the warranties we expect to incur within the next 12 months is recorded in accrued expenses and other current liabilities, while the remainder is recorded in other non-current liabilities on the consolidated balance sheets. Warranty reserves are recorded as a cost of revenue.</w:t>
      </w:r>
    </w:p>
    <w:p>
      <w:pPr>
        <w:spacing w:after="0" w:line="141"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color w:val="auto"/>
        </w:rPr>
        <w:t>In 2021, as a result of the increases in the repairing cost and frequency of claims with respect to a legacy product sold in 2017 and 2018, we conducted intensive experiments and a root cause analysis, which was completed in October 2021. We concluded that a component purchased from a supplier was not meeting our performance standards. As a result, we expect that the impacted legacy products sold will need to be replaced before the expiration of warranty term. This reassessment resulted in a change in estimate for additional accrual of $46.5 million for such legacy product in 2021. As the component was not incorporated into other products, no additional accrual was made to other existing products sold.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206" w:lineRule="exact"/>
        <w:rPr>
          <w:sz w:val="20"/>
          <w:szCs w:val="20"/>
          <w:color w:val="auto"/>
        </w:rPr>
      </w:pPr>
    </w:p>
    <w:p>
      <w:pPr>
        <w:ind w:right="80" w:firstLine="603"/>
        <w:spacing w:after="0" w:line="287" w:lineRule="auto"/>
        <w:rPr>
          <w:sz w:val="20"/>
          <w:szCs w:val="20"/>
          <w:color w:val="auto"/>
        </w:rPr>
      </w:pPr>
      <w:r>
        <w:rPr>
          <w:rFonts w:ascii="Arial" w:cs="Arial" w:eastAsia="Arial" w:hAnsi="Arial"/>
          <w:sz w:val="15"/>
          <w:szCs w:val="15"/>
          <w:color w:val="auto"/>
        </w:rPr>
        <w:t>Inventories are stated at the lower of cost or net realizable value. Cost is determined using the weighted average method. Inventory levels are analyzed periodically and written down to their net realizable value if they have become obsolete, have a cost basis in excess of expected net realizable value or are in excess of expected demand. We analyze current and future product demand relative to the remaining product life to identify potential excess inventories. These forecasts of future demand are based upon historical trends and analysis as adjusted for overall market conditions. Inventory write-downs are measured as the difference between the cost of the inventory and its net realizable value, and charged to inventory reserves, which is a component of cost of revenue. At the point of the loss recognition, a new, lower cost basis for those inventories is established, and subsequent changes in facts and circumstances do not result in the restoration or increase in that newly established cost basis. We recorded inventory impairment losses of $18.3 million and $4.8 million during the years ended December 31, 2021 and 2022, respectively. We monitor the inventory impairments periodically and, since battery technology continues to advance, we may incur inventory impairment losses in the future.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6" w:lineRule="exact"/>
        <w:rPr>
          <w:sz w:val="20"/>
          <w:szCs w:val="20"/>
          <w:color w:val="auto"/>
        </w:rPr>
      </w:pPr>
    </w:p>
    <w:p>
      <w:pPr>
        <w:ind w:right="140" w:firstLine="603"/>
        <w:spacing w:after="0" w:line="288" w:lineRule="auto"/>
        <w:rPr>
          <w:sz w:val="20"/>
          <w:szCs w:val="20"/>
          <w:color w:val="auto"/>
        </w:rPr>
      </w:pPr>
      <w:r>
        <w:rPr>
          <w:rFonts w:ascii="Arial" w:cs="Arial" w:eastAsia="Arial" w:hAnsi="Arial"/>
          <w:sz w:val="15"/>
          <w:szCs w:val="15"/>
          <w:color w:val="auto"/>
        </w:rPr>
        <w:t>We utilize the asset and liability method in accounting for income taxes. Deferred tax assets and liabilities reflect the estimated future tax consequences of temporary differences between the financial reporting and tax bases of assets and liabilities. Deferred tax assets and liabilities are measured using enacted tax rates expected to apply to taxable income in the years in which those temporary differences are expected to be recovered or settled. Deferred tax expense or benefit is the result of changes in the deferred tax asset and liability. Valuation allowances are established when necessary to reduce deferred tax assets where it is more likely than not that the deferred tax assets will not be realized. We make estimates, assumptions and judgments to determine its provision for its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established a valuation allowance.</w:t>
      </w:r>
    </w:p>
    <w:p>
      <w:pPr>
        <w:spacing w:after="0" w:line="158" w:lineRule="exact"/>
        <w:rPr>
          <w:sz w:val="20"/>
          <w:szCs w:val="20"/>
          <w:color w:val="auto"/>
        </w:rPr>
      </w:pPr>
    </w:p>
    <w:p>
      <w:pPr>
        <w:ind w:right="120" w:firstLine="603"/>
        <w:spacing w:after="0" w:line="253" w:lineRule="auto"/>
        <w:rPr>
          <w:sz w:val="20"/>
          <w:szCs w:val="20"/>
          <w:color w:val="auto"/>
        </w:rPr>
      </w:pPr>
      <w:r>
        <w:rPr>
          <w:rFonts w:ascii="Arial" w:cs="Arial" w:eastAsia="Arial" w:hAnsi="Arial"/>
          <w:sz w:val="17"/>
          <w:szCs w:val="17"/>
          <w:color w:val="auto"/>
        </w:rPr>
        <w:t>We account for uncertain tax positions by reporting a liability for unrecognized tax benefits resulting from uncertain tax positions taken or expected to be taken in a tax return. Tax benefits are recognized from uncertain tax positions when we believe that it is more-likely-than-not that the tax position will be sustained on examination by the taxing authorities based on the technical merits of the position. We recognize interest and penalties, if any, related to unrecognized tax benefits in income tax expense.</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06" w:lineRule="exact"/>
        <w:rPr>
          <w:sz w:val="20"/>
          <w:szCs w:val="20"/>
          <w:color w:val="auto"/>
        </w:rPr>
      </w:pPr>
    </w:p>
    <w:p>
      <w:pPr>
        <w:ind w:right="80" w:firstLine="603"/>
        <w:spacing w:after="0" w:line="284" w:lineRule="auto"/>
        <w:rPr>
          <w:sz w:val="20"/>
          <w:szCs w:val="20"/>
          <w:color w:val="auto"/>
        </w:rPr>
      </w:pPr>
      <w:r>
        <w:rPr>
          <w:rFonts w:ascii="Arial" w:cs="Arial" w:eastAsia="Arial" w:hAnsi="Arial"/>
          <w:sz w:val="15"/>
          <w:szCs w:val="15"/>
          <w:color w:val="auto"/>
        </w:rPr>
        <w:t>We recognize compensation expense on a straight-line basis over the service period that awards are expected to vest, based on the estimated fair value of the awards on the date of the grant. We recognize forfeitures as they occur. Fair value excludes the effect of non-market based vesting conditions. The fair value of RSUs with service conditions is based on the grant date share price. We estimate the fair value of options utilizing the Binomial-Lattice Model. The fair value of non-vested shares that vest based on market conditions are estimated using the Monte Carlo valuation method. These fair value estimates of stock related awards and assumptions inherent therein are estimates and, as a result, may not be reflective of future results or amounts ultimately realized by recipients of the grants. For these awards with performance conditions, we recognize compensation expense when the performance goals are achieved, or when it becomes probable that the performance goals will be achieved. Management performs the probability assessment on a quarterly basis by reviewing external factors, such as macroeconomic conditions and the analog industry revenue forecasts, and internal factors, such as our business and operational objectives and revenue forecasts. Changes in the probability assessment of achievement of the performance conditions are accounted for in the period of change by recording a cumulative catch-up adjustment as if the new estimate had been applied since the service inception date. As a result, our stock-based compensation expense is subject to volatility and may fluctuate significantly each quarter due to changes in our probability assessment of achievement of the performance conditions or actual results being different from projections made by management. Liability-classified awards are remeasured at lower of capped value or fair value as of each report date during settlement.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10" w:lineRule="exact"/>
        <w:rPr>
          <w:sz w:val="20"/>
          <w:szCs w:val="20"/>
          <w:color w:val="auto"/>
        </w:rPr>
      </w:pPr>
    </w:p>
    <w:p>
      <w:pPr>
        <w:ind w:right="140" w:firstLine="603"/>
        <w:spacing w:after="0" w:line="253"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ind w:right="320" w:firstLine="603"/>
        <w:spacing w:after="0" w:line="250" w:lineRule="auto"/>
        <w:rPr>
          <w:sz w:val="20"/>
          <w:szCs w:val="20"/>
          <w:color w:val="auto"/>
        </w:rPr>
      </w:pPr>
      <w:r>
        <w:rPr>
          <w:rFonts w:ascii="Arial" w:cs="Arial" w:eastAsia="Arial" w:hAnsi="Arial"/>
          <w:sz w:val="17"/>
          <w:szCs w:val="17"/>
          <w:color w:val="auto"/>
        </w:rPr>
        <w:t>We are an “emerging growth company” as defined in Section 2(a) of the Securities Act of 1933, as amended (the “Securities Act”) as our last fiscal year revenue was less than $1.235 billion. We have elected to take advantage of the benefits of the extended transition period for new or revised financial accounting standards, although we may decide to adopt early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as a result of the potential differences in accounting standards used.</w:t>
      </w:r>
    </w:p>
    <w:p>
      <w:pPr>
        <w:spacing w:after="0" w:line="184" w:lineRule="exact"/>
        <w:rPr>
          <w:sz w:val="20"/>
          <w:szCs w:val="20"/>
          <w:color w:val="auto"/>
        </w:rPr>
      </w:pPr>
    </w:p>
    <w:p>
      <w:pPr>
        <w:ind w:firstLine="603"/>
        <w:spacing w:after="0" w:line="257" w:lineRule="auto"/>
        <w:rPr>
          <w:sz w:val="20"/>
          <w:szCs w:val="20"/>
          <w:color w:val="auto"/>
        </w:rPr>
      </w:pPr>
      <w:r>
        <w:rPr>
          <w:rFonts w:ascii="Arial" w:cs="Arial" w:eastAsia="Arial" w:hAnsi="Arial"/>
          <w:sz w:val="17"/>
          <w:szCs w:val="17"/>
          <w:color w:val="auto"/>
        </w:rPr>
        <w:t>We will remain an emerging growth company until the earliest of (a) the last day of the fiscal year during which we have total annual gross revenues of at least $1.235 billion; (b) the last day of our fiscal year following the fifth anniversary of the completion of our IPO; (c) the date on which we have, during the preceding three-year period, issued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more than $1.0 billion in non-convertible debt; or (d) the date on which we are deemed to be a “large accelerated filer” under the Exchange Act, which would occur if the market value of our common stock held by non-affiliates is at least $700 million as of the last business day of our most recently completed second fiscal quarter. Once we cease to be an emerging growth company, we will not be entitled to the exemptions provided in the JOBS Act discussed above.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information required by this Item regarding internal control over financial reporting is set forth in Part II, Item 9A of this Annual Report.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0" w:lineRule="exact"/>
        <w:rPr>
          <w:sz w:val="20"/>
          <w:szCs w:val="20"/>
          <w:color w:val="auto"/>
        </w:rPr>
      </w:pPr>
    </w:p>
    <w:p>
      <w:pPr>
        <w:ind w:right="20" w:firstLine="603"/>
        <w:spacing w:after="0" w:line="257" w:lineRule="auto"/>
        <w:rPr>
          <w:sz w:val="20"/>
          <w:szCs w:val="20"/>
          <w:color w:val="auto"/>
        </w:rPr>
      </w:pPr>
      <w:r>
        <w:rPr>
          <w:rFonts w:ascii="Arial" w:cs="Arial" w:eastAsia="Arial" w:hAnsi="Arial"/>
          <w:sz w:val="17"/>
          <w:szCs w:val="17"/>
          <w:color w:val="auto"/>
        </w:rPr>
        <w:t>See Note 2 to the audited consolidated financial statements beginning on page F-12 of this Annual Report for more information about recent accounting pronouncements, the timing of their adoption, and our assessment, to the extent we have made one, of their potential impact on our financial condition and its results of operations and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35" w:lineRule="exact"/>
        <w:rPr>
          <w:sz w:val="20"/>
          <w:szCs w:val="20"/>
          <w:color w:val="auto"/>
        </w:rPr>
      </w:pPr>
    </w:p>
    <w:p>
      <w:pPr>
        <w:jc w:val="both"/>
        <w:ind w:right="340" w:firstLine="603"/>
        <w:spacing w:after="0" w:line="274" w:lineRule="auto"/>
        <w:rPr>
          <w:sz w:val="20"/>
          <w:szCs w:val="20"/>
          <w:color w:val="auto"/>
        </w:rPr>
      </w:pPr>
      <w:r>
        <w:rPr>
          <w:rFonts w:ascii="Arial" w:cs="Arial" w:eastAsia="Arial" w:hAnsi="Arial"/>
          <w:sz w:val="16"/>
          <w:szCs w:val="16"/>
          <w:color w:val="auto"/>
        </w:rPr>
        <w:t>Our cash and cash equivalents consist of cash and money market accounts. Such interest-earning instruments carry a degree of interest rate risk. To date, fluctuations in interest income have not been significant. In addition, our bonds payable bear interest at fixed rates and are not publicly traded. Our project finance loans in China contain a spread of 115 basis points over the Loan Prime Rate in China and accordingly are exposed to movements in that reference rate. Therefore, interest expense going forward could be materially affected by changes in the market interest rates.</w:t>
      </w:r>
    </w:p>
    <w:p>
      <w:pPr>
        <w:spacing w:after="0" w:line="164" w:lineRule="exact"/>
        <w:rPr>
          <w:sz w:val="20"/>
          <w:szCs w:val="20"/>
          <w:color w:val="auto"/>
        </w:rPr>
      </w:pPr>
    </w:p>
    <w:p>
      <w:pPr>
        <w:ind w:right="220" w:firstLine="603"/>
        <w:spacing w:after="0" w:line="253"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equivalents have a short maturity, our portfolio’s fair value is relatively insensitive to interest rate changes. We do not believe that an increase or decrease in interest rates of 100 basis points would have a material effect on our operating results or financial condition. In future periods, we will continue to evaluate our investment policy in order to ensure that we continue to meet our overall objectives.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210" w:lineRule="exact"/>
        <w:rPr>
          <w:sz w:val="20"/>
          <w:szCs w:val="20"/>
          <w:color w:val="auto"/>
        </w:rPr>
      </w:pPr>
    </w:p>
    <w:p>
      <w:pPr>
        <w:ind w:firstLine="603"/>
        <w:spacing w:after="0" w:line="267" w:lineRule="auto"/>
        <w:rPr>
          <w:sz w:val="20"/>
          <w:szCs w:val="20"/>
          <w:color w:val="auto"/>
        </w:rPr>
      </w:pPr>
      <w:r>
        <w:rPr>
          <w:rFonts w:ascii="Arial" w:cs="Arial" w:eastAsia="Arial" w:hAnsi="Arial"/>
          <w:sz w:val="16"/>
          <w:szCs w:val="16"/>
          <w:color w:val="auto"/>
        </w:rPr>
        <w:t>We have a large operational presence in China and a significant amount of our transactions are currently denominated in RMB. The volatility of exchange rates depends on many factors that we cannot forecast with reliable accuracy. We have experienced and will continue to experience fluctuations in our operating results as a result of transaction gains and losses related to translating certain cash balances, trade accounts receivable and payable balances, and intercompany balances that are denominated in currencies other than the U.S. Dollar, principally RMB. The effect of an immediate 10% adverse change in foreign exchange rates on RMB-denominated accounts as of December 31, 2022, including intercompany balances, would result in a foreign currency loss of $2.8 million. In the event our foreign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foreign-currency exchange risk. It is difficult to predict the impact hedging activities would have on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210" w:lineRule="exact"/>
        <w:rPr>
          <w:sz w:val="20"/>
          <w:szCs w:val="20"/>
          <w:color w:val="auto"/>
        </w:rPr>
      </w:pPr>
    </w:p>
    <w:p>
      <w:pPr>
        <w:jc w:val="both"/>
        <w:ind w:right="80" w:firstLine="603"/>
        <w:spacing w:after="0" w:line="257" w:lineRule="auto"/>
        <w:rPr>
          <w:sz w:val="20"/>
          <w:szCs w:val="20"/>
          <w:color w:val="auto"/>
        </w:rPr>
      </w:pPr>
      <w:r>
        <w:rPr>
          <w:rFonts w:ascii="Arial" w:cs="Arial" w:eastAsia="Arial" w:hAnsi="Arial"/>
          <w:sz w:val="17"/>
          <w:szCs w:val="17"/>
          <w:color w:val="auto"/>
        </w:rPr>
        <w:t>Our credit risk primarily relates to our trade and other receivables, restricted cash, cash equivalents and amounts due from related parties. We generally grant credit only to clients and related parties with good credit ratings and we also closely monitor overdue debts. In this regard, we consider that the credit risk arising from our balances with counterparties is significantly reduced.</w:t>
      </w:r>
    </w:p>
    <w:p>
      <w:pPr>
        <w:spacing w:after="0" w:line="175" w:lineRule="exact"/>
        <w:rPr>
          <w:sz w:val="20"/>
          <w:szCs w:val="20"/>
          <w:color w:val="auto"/>
        </w:rPr>
      </w:pPr>
    </w:p>
    <w:p>
      <w:pPr>
        <w:ind w:right="3000" w:firstLine="603"/>
        <w:spacing w:after="0" w:line="269" w:lineRule="auto"/>
        <w:rPr>
          <w:sz w:val="20"/>
          <w:szCs w:val="20"/>
          <w:color w:val="auto"/>
        </w:rPr>
      </w:pPr>
      <w:r>
        <w:rPr>
          <w:rFonts w:ascii="Arial" w:cs="Arial" w:eastAsia="Arial" w:hAnsi="Arial"/>
          <w:sz w:val="16"/>
          <w:szCs w:val="16"/>
          <w:color w:val="auto"/>
        </w:rPr>
        <w:t>The assumptions used in evaluating our exposure to credit losses associated with our financing receivables portfolio involve estimates and significant judgment. Holding other estimates constant, a hypothetical 100 basis points increase in the expected loss rate on the financing receivables portfolio would have resulted in an increase in the allowance for credit losses of approximately $0.9 million as of December 31, 2022.</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603"/>
        <w:spacing w:after="0" w:line="274" w:lineRule="auto"/>
        <w:rPr>
          <w:sz w:val="20"/>
          <w:szCs w:val="20"/>
          <w:color w:val="auto"/>
        </w:rPr>
      </w:pPr>
      <w:r>
        <w:rPr>
          <w:rFonts w:ascii="Arial" w:cs="Arial" w:eastAsia="Arial" w:hAnsi="Arial"/>
          <w:sz w:val="16"/>
          <w:szCs w:val="16"/>
          <w:color w:val="auto"/>
        </w:rPr>
        <w:t>In order to minimize the credit risk, we have delegated a team responsible for determining credit limits, credit approvals and other monitoring procedures to ensure that follow-up action is taken to recover overdue debts. In addition, we review the recoverable amount of each individual debtor at the end of each reporting period to ensure that adequate impairment losses are made for irrecoverable amounts. We will negotiate with the counterparties of the debts for settlement plans or changes in credit terms, should the need arise. In this regard, we consider that our credit risk is significantly reduced.</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0" w:lineRule="exact"/>
        <w:rPr>
          <w:sz w:val="20"/>
          <w:szCs w:val="20"/>
          <w:color w:val="auto"/>
        </w:rPr>
      </w:pPr>
    </w:p>
    <w:p>
      <w:pPr>
        <w:ind w:right="160" w:firstLine="603"/>
        <w:spacing w:after="0" w:line="268" w:lineRule="auto"/>
        <w:rPr>
          <w:sz w:val="20"/>
          <w:szCs w:val="20"/>
          <w:color w:val="auto"/>
        </w:rPr>
      </w:pPr>
      <w:r>
        <w:rPr>
          <w:rFonts w:ascii="Arial" w:cs="Arial" w:eastAsia="Arial" w:hAnsi="Arial"/>
          <w:sz w:val="17"/>
          <w:szCs w:val="17"/>
          <w:color w:val="auto"/>
        </w:rPr>
        <w:t>We have historically experienced higher sales during our third and fourth fiscal quarters as compared to our first and second fiscal quarters. However, our limited operating history makes it difficult for us to judge the exact nature or extent of the seasonality of our business.</w:t>
      </w:r>
    </w:p>
    <w:p>
      <w:pPr>
        <w:spacing w:after="0" w:line="200" w:lineRule="exact"/>
        <w:rPr>
          <w:sz w:val="20"/>
          <w:szCs w:val="20"/>
          <w:color w:val="auto"/>
        </w:rPr>
      </w:pP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040"/>
          </w:cols>
          <w:pgMar w:left="320" w:top="123" w:right="5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Financial Statements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60" w:type="dxa"/>
            <w:vAlign w:val="bottom"/>
            <w:tcBorders>
              <w:bottom w:val="single" w:sz="8" w:color="CCEEFF"/>
            </w:tcBorders>
          </w:tcPr>
          <w:p>
            <w:pPr>
              <w:spacing w:after="0"/>
              <w:rPr>
                <w:sz w:val="19"/>
                <w:szCs w:val="19"/>
                <w:color w:val="auto"/>
              </w:rPr>
            </w:pPr>
          </w:p>
        </w:tc>
        <w:tc>
          <w:tcPr>
            <w:tcW w:w="29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3"/>
              </w:rPr>
              <w:t>Page</w:t>
            </w:r>
          </w:p>
        </w:tc>
      </w:tr>
      <w:tr>
        <w:trPr>
          <w:trHeight w:val="225"/>
        </w:trPr>
        <w:tc>
          <w:tcPr>
            <w:tcW w:w="10220" w:type="dxa"/>
            <w:vAlign w:val="bottom"/>
            <w:gridSpan w:val="9"/>
            <w:shd w:val="clear" w:color="auto" w:fill="CCEEFF"/>
          </w:tcPr>
          <w:p>
            <w:pPr>
              <w:ind w:left="20"/>
              <w:spacing w:after="0"/>
              <w:rPr>
                <w:sz w:val="20"/>
                <w:szCs w:val="20"/>
                <w:color w:val="auto"/>
              </w:rPr>
            </w:pPr>
            <w:r>
              <w:rPr>
                <w:rFonts w:ascii="Arial" w:cs="Arial" w:eastAsia="Arial" w:hAnsi="Arial"/>
                <w:sz w:val="17"/>
                <w:szCs w:val="17"/>
                <w:b w:val="1"/>
                <w:bCs w:val="1"/>
                <w:color w:val="auto"/>
              </w:rPr>
              <w:t>PART I. FINANCIAL INFORMATION</w:t>
            </w:r>
          </w:p>
        </w:tc>
        <w:tc>
          <w:tcPr>
            <w:tcW w:w="1020" w:type="dxa"/>
            <w:vAlign w:val="bottom"/>
            <w:shd w:val="clear" w:color="auto" w:fill="CCEEFF"/>
          </w:tcPr>
          <w:p>
            <w:pPr>
              <w:spacing w:after="0"/>
              <w:rPr>
                <w:sz w:val="19"/>
                <w:szCs w:val="19"/>
                <w:color w:val="auto"/>
              </w:rPr>
            </w:pPr>
          </w:p>
        </w:tc>
      </w:tr>
      <w:tr>
        <w:trPr>
          <w:trHeight w:val="251"/>
        </w:trPr>
        <w:tc>
          <w:tcPr>
            <w:tcW w:w="11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31"/>
        </w:trPr>
        <w:tc>
          <w:tcPr>
            <w:tcW w:w="1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Item 1.</w:t>
            </w:r>
          </w:p>
        </w:tc>
        <w:tc>
          <w:tcPr>
            <w:tcW w:w="9060" w:type="dxa"/>
            <w:vAlign w:val="bottom"/>
            <w:gridSpan w:val="8"/>
            <w:shd w:val="clear" w:color="auto" w:fill="CCEEFF"/>
          </w:tcPr>
          <w:p>
            <w:pPr>
              <w:spacing w:after="0"/>
              <w:rPr>
                <w:sz w:val="20"/>
                <w:szCs w:val="20"/>
                <w:color w:val="auto"/>
              </w:rPr>
            </w:pPr>
            <w:r>
              <w:rPr>
                <w:rFonts w:ascii="Arial" w:cs="Arial" w:eastAsia="Arial" w:hAnsi="Arial"/>
                <w:sz w:val="17"/>
                <w:szCs w:val="17"/>
                <w:color w:val="0000FF"/>
              </w:rPr>
              <w:t>Report of Independent Registered Public Accounting Firm</w:t>
            </w: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F-2</w:t>
            </w:r>
          </w:p>
        </w:tc>
      </w:tr>
      <w:tr>
        <w:trPr>
          <w:trHeight w:val="251"/>
        </w:trPr>
        <w:tc>
          <w:tcPr>
            <w:tcW w:w="1160" w:type="dxa"/>
            <w:vAlign w:val="bottom"/>
            <w:tcBorders>
              <w:top w:val="single" w:sz="8" w:color="CCEEFF"/>
            </w:tcBorders>
          </w:tcPr>
          <w:p>
            <w:pPr>
              <w:spacing w:after="0"/>
              <w:rPr>
                <w:sz w:val="21"/>
                <w:szCs w:val="21"/>
                <w:color w:val="auto"/>
              </w:rPr>
            </w:pPr>
          </w:p>
        </w:tc>
        <w:tc>
          <w:tcPr>
            <w:tcW w:w="2920" w:type="dxa"/>
            <w:vAlign w:val="bottom"/>
            <w:tcBorders>
              <w:top w:val="single" w:sz="8" w:color="0000FF"/>
            </w:tcBorders>
          </w:tcPr>
          <w:p>
            <w:pPr>
              <w:spacing w:after="0"/>
              <w:rPr>
                <w:sz w:val="21"/>
                <w:szCs w:val="21"/>
                <w:color w:val="auto"/>
              </w:rPr>
            </w:pPr>
          </w:p>
        </w:tc>
        <w:tc>
          <w:tcPr>
            <w:tcW w:w="1000" w:type="dxa"/>
            <w:vAlign w:val="bottom"/>
            <w:tcBorders>
              <w:top w:val="single" w:sz="8" w:color="0000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r>
      <w:tr>
        <w:trPr>
          <w:trHeight w:val="219"/>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89" w:lineRule="exact"/>
              <w:rPr>
                <w:sz w:val="20"/>
                <w:szCs w:val="20"/>
                <w:color w:val="auto"/>
              </w:rPr>
            </w:pPr>
            <w:r>
              <w:rPr>
                <w:rFonts w:ascii="Arial" w:cs="Arial" w:eastAsia="Arial" w:hAnsi="Arial"/>
                <w:sz w:val="17"/>
                <w:szCs w:val="17"/>
                <w:color w:val="0000FF"/>
              </w:rPr>
              <w:t>Consolidated Balance Sheets as of December 31, 2021 and 202</w:t>
            </w:r>
            <w:r>
              <w:rPr>
                <w:rFonts w:ascii="Arial" w:cs="Arial" w:eastAsia="Arial" w:hAnsi="Arial"/>
                <w:sz w:val="17"/>
                <w:szCs w:val="17"/>
                <w:color w:val="000000"/>
              </w:rPr>
              <w:t>2</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6"/>
              </w:rPr>
              <w:t>F-3</w:t>
            </w:r>
          </w:p>
        </w:tc>
      </w:tr>
      <w:tr>
        <w:trPr>
          <w:trHeight w:val="251"/>
        </w:trPr>
        <w:tc>
          <w:tcPr>
            <w:tcW w:w="1160" w:type="dxa"/>
            <w:vAlign w:val="bottom"/>
            <w:tcBorders>
              <w:top w:val="single" w:sz="8" w:color="CCEEFF"/>
            </w:tcBorders>
          </w:tcPr>
          <w:p>
            <w:pPr>
              <w:spacing w:after="0"/>
              <w:rPr>
                <w:sz w:val="21"/>
                <w:szCs w:val="21"/>
                <w:color w:val="auto"/>
              </w:rPr>
            </w:pPr>
          </w:p>
        </w:tc>
        <w:tc>
          <w:tcPr>
            <w:tcW w:w="2920" w:type="dxa"/>
            <w:vAlign w:val="bottom"/>
            <w:tcBorders>
              <w:top w:val="single" w:sz="8" w:color="0000FF"/>
            </w:tcBorders>
          </w:tcPr>
          <w:p>
            <w:pPr>
              <w:spacing w:after="0"/>
              <w:rPr>
                <w:sz w:val="21"/>
                <w:szCs w:val="21"/>
                <w:color w:val="auto"/>
              </w:rPr>
            </w:pPr>
          </w:p>
        </w:tc>
        <w:tc>
          <w:tcPr>
            <w:tcW w:w="10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r>
      <w:tr>
        <w:trPr>
          <w:trHeight w:val="218"/>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89" w:lineRule="exact"/>
              <w:rPr>
                <w:sz w:val="20"/>
                <w:szCs w:val="20"/>
                <w:color w:val="auto"/>
              </w:rPr>
            </w:pPr>
            <w:r>
              <w:rPr>
                <w:rFonts w:ascii="Arial" w:cs="Arial" w:eastAsia="Arial" w:hAnsi="Arial"/>
                <w:sz w:val="17"/>
                <w:szCs w:val="17"/>
                <w:color w:val="0000FF"/>
              </w:rPr>
              <w:t>Consolidated Statements of Operations for the Years Ended December 31, 2020, 2021 and 202</w:t>
            </w:r>
            <w:r>
              <w:rPr>
                <w:rFonts w:ascii="Arial" w:cs="Arial" w:eastAsia="Arial" w:hAnsi="Arial"/>
                <w:sz w:val="17"/>
                <w:szCs w:val="17"/>
                <w:color w:val="000000"/>
              </w:rPr>
              <w:t>2</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6"/>
              </w:rPr>
              <w:t>F-5</w:t>
            </w:r>
          </w:p>
        </w:tc>
      </w:tr>
      <w:tr>
        <w:trPr>
          <w:trHeight w:val="251"/>
        </w:trPr>
        <w:tc>
          <w:tcPr>
            <w:tcW w:w="1160" w:type="dxa"/>
            <w:vAlign w:val="bottom"/>
            <w:tcBorders>
              <w:top w:val="single" w:sz="8" w:color="CCEEFF"/>
            </w:tcBorders>
          </w:tcPr>
          <w:p>
            <w:pPr>
              <w:spacing w:after="0"/>
              <w:rPr>
                <w:sz w:val="21"/>
                <w:szCs w:val="21"/>
                <w:color w:val="auto"/>
              </w:rPr>
            </w:pPr>
          </w:p>
        </w:tc>
        <w:tc>
          <w:tcPr>
            <w:tcW w:w="2920" w:type="dxa"/>
            <w:vAlign w:val="bottom"/>
            <w:tcBorders>
              <w:top w:val="single" w:sz="8" w:color="0000FF"/>
            </w:tcBorders>
          </w:tcPr>
          <w:p>
            <w:pPr>
              <w:spacing w:after="0"/>
              <w:rPr>
                <w:sz w:val="21"/>
                <w:szCs w:val="21"/>
                <w:color w:val="auto"/>
              </w:rPr>
            </w:pPr>
          </w:p>
        </w:tc>
        <w:tc>
          <w:tcPr>
            <w:tcW w:w="10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100" w:type="dxa"/>
            <w:vAlign w:val="bottom"/>
            <w:tcBorders>
              <w:top w:val="single" w:sz="8" w:color="0000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r>
      <w:tr>
        <w:trPr>
          <w:trHeight w:val="219"/>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89" w:lineRule="exact"/>
              <w:rPr>
                <w:sz w:val="20"/>
                <w:szCs w:val="20"/>
                <w:color w:val="auto"/>
              </w:rPr>
            </w:pPr>
            <w:r>
              <w:rPr>
                <w:rFonts w:ascii="Arial" w:cs="Arial" w:eastAsia="Arial" w:hAnsi="Arial"/>
                <w:sz w:val="17"/>
                <w:szCs w:val="17"/>
                <w:color w:val="0000FF"/>
              </w:rPr>
              <w:t>Consolidated Statements of Comprehensive Loss for the Years Ended December 31, 2020, 2021 and 202</w:t>
            </w:r>
            <w:r>
              <w:rPr>
                <w:rFonts w:ascii="Arial" w:cs="Arial" w:eastAsia="Arial" w:hAnsi="Arial"/>
                <w:sz w:val="17"/>
                <w:szCs w:val="17"/>
                <w:color w:val="000000"/>
              </w:rPr>
              <w:t>2</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6"/>
              </w:rPr>
              <w:t>F-6</w:t>
            </w:r>
          </w:p>
        </w:tc>
      </w:tr>
      <w:tr>
        <w:trPr>
          <w:trHeight w:val="251"/>
        </w:trPr>
        <w:tc>
          <w:tcPr>
            <w:tcW w:w="1160" w:type="dxa"/>
            <w:vAlign w:val="bottom"/>
            <w:tcBorders>
              <w:top w:val="single" w:sz="8" w:color="CCEEFF"/>
            </w:tcBorders>
          </w:tcPr>
          <w:p>
            <w:pPr>
              <w:spacing w:after="0"/>
              <w:rPr>
                <w:sz w:val="21"/>
                <w:szCs w:val="21"/>
                <w:color w:val="auto"/>
              </w:rPr>
            </w:pPr>
          </w:p>
        </w:tc>
        <w:tc>
          <w:tcPr>
            <w:tcW w:w="2920" w:type="dxa"/>
            <w:vAlign w:val="bottom"/>
            <w:tcBorders>
              <w:top w:val="single" w:sz="8" w:color="0000FF"/>
            </w:tcBorders>
          </w:tcPr>
          <w:p>
            <w:pPr>
              <w:spacing w:after="0"/>
              <w:rPr>
                <w:sz w:val="21"/>
                <w:szCs w:val="21"/>
                <w:color w:val="auto"/>
              </w:rPr>
            </w:pPr>
          </w:p>
        </w:tc>
        <w:tc>
          <w:tcPr>
            <w:tcW w:w="10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r>
      <w:tr>
        <w:trPr>
          <w:trHeight w:val="218"/>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89" w:lineRule="exact"/>
              <w:rPr>
                <w:sz w:val="20"/>
                <w:szCs w:val="20"/>
                <w:color w:val="auto"/>
              </w:rPr>
            </w:pPr>
            <w:r>
              <w:rPr>
                <w:rFonts w:ascii="Arial" w:cs="Arial" w:eastAsia="Arial" w:hAnsi="Arial"/>
                <w:sz w:val="17"/>
                <w:szCs w:val="17"/>
                <w:color w:val="0000FF"/>
                <w:w w:val="94"/>
              </w:rPr>
              <w:t>Consolidated Statements of Changes in Shareholders’ (Deficit)/Equity for the Years Ended December 31, 2020, 2021 and 202</w:t>
            </w:r>
            <w:r>
              <w:rPr>
                <w:rFonts w:ascii="Arial" w:cs="Arial" w:eastAsia="Arial" w:hAnsi="Arial"/>
                <w:sz w:val="17"/>
                <w:szCs w:val="17"/>
                <w:color w:val="000000"/>
                <w:w w:val="94"/>
              </w:rPr>
              <w:t>2</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6"/>
              </w:rPr>
              <w:t>F-7</w:t>
            </w:r>
          </w:p>
        </w:tc>
      </w:tr>
      <w:tr>
        <w:trPr>
          <w:trHeight w:val="251"/>
        </w:trPr>
        <w:tc>
          <w:tcPr>
            <w:tcW w:w="1160" w:type="dxa"/>
            <w:vAlign w:val="bottom"/>
            <w:tcBorders>
              <w:top w:val="single" w:sz="8" w:color="CCEEFF"/>
            </w:tcBorders>
          </w:tcPr>
          <w:p>
            <w:pPr>
              <w:spacing w:after="0"/>
              <w:rPr>
                <w:sz w:val="21"/>
                <w:szCs w:val="21"/>
                <w:color w:val="auto"/>
              </w:rPr>
            </w:pPr>
          </w:p>
        </w:tc>
        <w:tc>
          <w:tcPr>
            <w:tcW w:w="2920" w:type="dxa"/>
            <w:vAlign w:val="bottom"/>
            <w:tcBorders>
              <w:top w:val="single" w:sz="8" w:color="0000FF"/>
            </w:tcBorders>
          </w:tcPr>
          <w:p>
            <w:pPr>
              <w:spacing w:after="0"/>
              <w:rPr>
                <w:sz w:val="21"/>
                <w:szCs w:val="21"/>
                <w:color w:val="auto"/>
              </w:rPr>
            </w:pPr>
          </w:p>
        </w:tc>
        <w:tc>
          <w:tcPr>
            <w:tcW w:w="10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20" w:type="dxa"/>
            <w:vAlign w:val="bottom"/>
            <w:tcBorders>
              <w:top w:val="single" w:sz="8" w:color="0000FF"/>
            </w:tcBorders>
          </w:tcPr>
          <w:p>
            <w:pPr>
              <w:spacing w:after="0"/>
              <w:rPr>
                <w:sz w:val="21"/>
                <w:szCs w:val="21"/>
                <w:color w:val="auto"/>
              </w:rPr>
            </w:pPr>
          </w:p>
        </w:tc>
        <w:tc>
          <w:tcPr>
            <w:tcW w:w="1420" w:type="dxa"/>
            <w:vAlign w:val="bottom"/>
            <w:tcBorders>
              <w:top w:val="single" w:sz="8" w:color="0000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r>
      <w:tr>
        <w:trPr>
          <w:trHeight w:val="219"/>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89" w:lineRule="exact"/>
              <w:rPr>
                <w:sz w:val="20"/>
                <w:szCs w:val="20"/>
                <w:color w:val="auto"/>
              </w:rPr>
            </w:pPr>
            <w:r>
              <w:rPr>
                <w:rFonts w:ascii="Arial" w:cs="Arial" w:eastAsia="Arial" w:hAnsi="Arial"/>
                <w:sz w:val="17"/>
                <w:szCs w:val="17"/>
                <w:color w:val="0000FF"/>
              </w:rPr>
              <w:t>Consolidated Statements of Cash Flows for the Years Ended December 31, 2020, 2021 and 202</w:t>
            </w:r>
            <w:r>
              <w:rPr>
                <w:rFonts w:ascii="Arial" w:cs="Arial" w:eastAsia="Arial" w:hAnsi="Arial"/>
                <w:sz w:val="17"/>
                <w:szCs w:val="17"/>
                <w:color w:val="000000"/>
              </w:rPr>
              <w:t>2</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F-10</w:t>
            </w:r>
          </w:p>
        </w:tc>
      </w:tr>
      <w:tr>
        <w:trPr>
          <w:trHeight w:val="251"/>
        </w:trPr>
        <w:tc>
          <w:tcPr>
            <w:tcW w:w="1160" w:type="dxa"/>
            <w:vAlign w:val="bottom"/>
            <w:tcBorders>
              <w:top w:val="single" w:sz="8" w:color="CCEEFF"/>
            </w:tcBorders>
          </w:tcPr>
          <w:p>
            <w:pPr>
              <w:spacing w:after="0"/>
              <w:rPr>
                <w:sz w:val="21"/>
                <w:szCs w:val="21"/>
                <w:color w:val="auto"/>
              </w:rPr>
            </w:pPr>
          </w:p>
        </w:tc>
        <w:tc>
          <w:tcPr>
            <w:tcW w:w="2920" w:type="dxa"/>
            <w:vAlign w:val="bottom"/>
            <w:tcBorders>
              <w:top w:val="single" w:sz="8" w:color="0000FF"/>
            </w:tcBorders>
          </w:tcPr>
          <w:p>
            <w:pPr>
              <w:spacing w:after="0"/>
              <w:rPr>
                <w:sz w:val="21"/>
                <w:szCs w:val="21"/>
                <w:color w:val="auto"/>
              </w:rPr>
            </w:pPr>
          </w:p>
        </w:tc>
        <w:tc>
          <w:tcPr>
            <w:tcW w:w="10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10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20" w:type="dxa"/>
            <w:vAlign w:val="bottom"/>
            <w:tcBorders>
              <w:top w:val="single" w:sz="8" w:color="CCEEFF"/>
            </w:tcBorders>
          </w:tcPr>
          <w:p>
            <w:pPr>
              <w:spacing w:after="0"/>
              <w:rPr>
                <w:sz w:val="21"/>
                <w:szCs w:val="21"/>
                <w:color w:val="auto"/>
              </w:rPr>
            </w:pPr>
          </w:p>
        </w:tc>
      </w:tr>
      <w:tr>
        <w:trPr>
          <w:trHeight w:val="218"/>
        </w:trPr>
        <w:tc>
          <w:tcPr>
            <w:tcW w:w="1160" w:type="dxa"/>
            <w:vAlign w:val="bottom"/>
            <w:shd w:val="clear" w:color="auto" w:fill="CCEEFF"/>
          </w:tcPr>
          <w:p>
            <w:pPr>
              <w:spacing w:after="0"/>
              <w:rPr>
                <w:sz w:val="19"/>
                <w:szCs w:val="19"/>
                <w:color w:val="auto"/>
              </w:rPr>
            </w:pPr>
          </w:p>
        </w:tc>
        <w:tc>
          <w:tcPr>
            <w:tcW w:w="9060" w:type="dxa"/>
            <w:vAlign w:val="bottom"/>
            <w:gridSpan w:val="8"/>
            <w:shd w:val="clear" w:color="auto" w:fill="CCEEFF"/>
          </w:tcPr>
          <w:p>
            <w:pPr>
              <w:spacing w:after="0" w:line="189" w:lineRule="exact"/>
              <w:rPr>
                <w:sz w:val="20"/>
                <w:szCs w:val="20"/>
                <w:color w:val="auto"/>
              </w:rPr>
            </w:pPr>
            <w:r>
              <w:rPr>
                <w:rFonts w:ascii="Arial" w:cs="Arial" w:eastAsia="Arial" w:hAnsi="Arial"/>
                <w:sz w:val="17"/>
                <w:szCs w:val="17"/>
                <w:color w:val="0000FF"/>
              </w:rPr>
              <w:t>Notes to Consolidated Financial Statements</w:t>
            </w: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F-12</w:t>
            </w:r>
          </w:p>
        </w:tc>
      </w:tr>
      <w:tr>
        <w:trPr>
          <w:trHeight w:val="841"/>
        </w:trPr>
        <w:tc>
          <w:tcPr>
            <w:tcW w:w="1160" w:type="dxa"/>
            <w:vAlign w:val="bottom"/>
            <w:tcBorders>
              <w:top w:val="single" w:sz="8" w:color="CCEEFF"/>
            </w:tcBorders>
          </w:tcPr>
          <w:p>
            <w:pPr>
              <w:spacing w:after="0"/>
              <w:rPr>
                <w:sz w:val="24"/>
                <w:szCs w:val="24"/>
                <w:color w:val="auto"/>
              </w:rPr>
            </w:pPr>
          </w:p>
        </w:tc>
        <w:tc>
          <w:tcPr>
            <w:tcW w:w="2920" w:type="dxa"/>
            <w:vAlign w:val="bottom"/>
            <w:tcBorders>
              <w:top w:val="single" w:sz="8" w:color="0000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820" w:type="dxa"/>
            <w:vAlign w:val="bottom"/>
            <w:tcBorders>
              <w:top w:val="single" w:sz="8" w:color="CCEEFF"/>
            </w:tcBorders>
            <w:gridSpan w:val="5"/>
          </w:tcPr>
          <w:p>
            <w:pPr>
              <w:ind w:left="100"/>
              <w:spacing w:after="0"/>
              <w:rPr>
                <w:sz w:val="20"/>
                <w:szCs w:val="20"/>
                <w:color w:val="auto"/>
              </w:rPr>
            </w:pPr>
            <w:r>
              <w:rPr>
                <w:rFonts w:ascii="Arial" w:cs="Arial" w:eastAsia="Arial" w:hAnsi="Arial"/>
                <w:sz w:val="17"/>
                <w:szCs w:val="17"/>
                <w:color w:val="auto"/>
              </w:rPr>
              <w:t>F-1</w:t>
            </w:r>
          </w:p>
        </w:tc>
        <w:tc>
          <w:tcPr>
            <w:tcW w:w="1020" w:type="dxa"/>
            <w:vAlign w:val="bottom"/>
            <w:tcBorders>
              <w:top w:val="single" w:sz="8" w:color="CCEEFF"/>
            </w:tcBorders>
          </w:tcPr>
          <w:p>
            <w:pPr>
              <w:spacing w:after="0"/>
              <w:rPr>
                <w:sz w:val="24"/>
                <w:szCs w:val="24"/>
                <w:color w:val="auto"/>
              </w:rPr>
            </w:pPr>
          </w:p>
        </w:tc>
      </w:tr>
      <w:tr>
        <w:trPr>
          <w:trHeight w:val="106"/>
        </w:trPr>
        <w:tc>
          <w:tcPr>
            <w:tcW w:w="116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740" w:firstLine="2759"/>
        <w:spacing w:after="0" w:line="494" w:lineRule="auto"/>
        <w:rPr>
          <w:sz w:val="20"/>
          <w:szCs w:val="20"/>
          <w:color w:val="auto"/>
        </w:rPr>
      </w:pPr>
      <w:r>
        <w:rPr>
          <w:rFonts w:ascii="Arial" w:cs="Arial" w:eastAsia="Arial" w:hAnsi="Arial"/>
          <w:sz w:val="17"/>
          <w:szCs w:val="17"/>
          <w:b w:val="1"/>
          <w:bCs w:val="1"/>
          <w:color w:val="auto"/>
        </w:rPr>
        <w:t>REPORT OF INDEPENDENT REGISTERED PUBLIC ACCOUNTING FIRM To the Shareholders and Board of Directors of Microvast Holdings, Inc. Opinion on the Financial Statements</w:t>
      </w:r>
    </w:p>
    <w:p>
      <w:pPr>
        <w:spacing w:after="0" w:line="2" w:lineRule="exact"/>
        <w:rPr>
          <w:sz w:val="20"/>
          <w:szCs w:val="20"/>
          <w:color w:val="auto"/>
        </w:rPr>
      </w:pPr>
    </w:p>
    <w:p>
      <w:pPr>
        <w:ind w:right="20" w:firstLine="603"/>
        <w:spacing w:after="0" w:line="250" w:lineRule="auto"/>
        <w:rPr>
          <w:sz w:val="20"/>
          <w:szCs w:val="20"/>
          <w:color w:val="auto"/>
        </w:rPr>
      </w:pPr>
      <w:r>
        <w:rPr>
          <w:rFonts w:ascii="Arial" w:cs="Arial" w:eastAsia="Arial" w:hAnsi="Arial"/>
          <w:sz w:val="17"/>
          <w:szCs w:val="17"/>
          <w:color w:val="auto"/>
        </w:rPr>
        <w:t>We have audited the accompanying consolidated balance sheets of Microvast Holdings, Inc. and its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as of December 31, 2021 and 2022, the related consolidated statements of operations, comprehensive loss, changes in shareholders’ (deficit)/equity, and cash flows, for each of the three years in the period ended December 31, 2022, and the related notes and the schedule listed in Schedule I (collectively referred to as the “</w:t>
      </w:r>
      <w:r>
        <w:rPr>
          <w:rFonts w:ascii="Arial" w:cs="Arial" w:eastAsia="Arial" w:hAnsi="Arial"/>
          <w:sz w:val="17"/>
          <w:szCs w:val="17"/>
          <w:b w:val="1"/>
          <w:bCs w:val="1"/>
          <w:i w:val="1"/>
          <w:iCs w:val="1"/>
          <w:color w:val="auto"/>
        </w:rPr>
        <w:t>financial statements</w:t>
      </w:r>
      <w:r>
        <w:rPr>
          <w:rFonts w:ascii="Arial" w:cs="Arial" w:eastAsia="Arial" w:hAnsi="Arial"/>
          <w:sz w:val="17"/>
          <w:szCs w:val="17"/>
          <w:color w:val="auto"/>
        </w:rPr>
        <w:t>”). In our opinion, the financial statements present fairly, in all material respects, the financial position of the Company as of December 31, 2021 and 2022, and the results of its operations and its cash flows for each of the three years in the period ended December 31, 2022, in conformity with accounting principles generally accepted in the United States of America.</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10" w:lineRule="exact"/>
        <w:rPr>
          <w:sz w:val="20"/>
          <w:szCs w:val="20"/>
          <w:color w:val="auto"/>
        </w:rPr>
      </w:pPr>
    </w:p>
    <w:p>
      <w:pPr>
        <w:ind w:right="220" w:firstLine="603"/>
        <w:spacing w:after="0" w:line="25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0" w:firstLine="603"/>
        <w:spacing w:after="0" w:line="25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firstLine="603"/>
        <w:spacing w:after="0" w:line="27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/s/ Deloitte Touche Tohmatsu Certified Public Accountants LLP</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Beijing, the People’s Republic of China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16, 2023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2011.</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6" w:name="page77"/>
    <w:bookmarkEnd w:id="7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5"/>
        </w:trPr>
        <w:tc>
          <w:tcPr>
            <w:tcW w:w="82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8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2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480,931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231,420</w:t>
            </w:r>
          </w:p>
        </w:tc>
        <w:tc>
          <w:tcPr>
            <w:tcW w:w="0" w:type="dxa"/>
            <w:vAlign w:val="bottom"/>
          </w:tcPr>
          <w:p>
            <w:pPr>
              <w:spacing w:after="0"/>
              <w:rPr>
                <w:sz w:val="1"/>
                <w:szCs w:val="1"/>
                <w:color w:val="auto"/>
              </w:rPr>
            </w:pPr>
          </w:p>
        </w:tc>
      </w:tr>
      <w:tr>
        <w:trPr>
          <w:trHeight w:val="232"/>
        </w:trPr>
        <w:tc>
          <w:tcPr>
            <w:tcW w:w="8200" w:type="dxa"/>
            <w:vAlign w:val="bottom"/>
          </w:tcPr>
          <w:p>
            <w:pPr>
              <w:ind w:left="160"/>
              <w:spacing w:after="0"/>
              <w:rPr>
                <w:sz w:val="20"/>
                <w:szCs w:val="20"/>
                <w:color w:val="auto"/>
              </w:rPr>
            </w:pPr>
            <w:r>
              <w:rPr>
                <w:rFonts w:ascii="Arial" w:cs="Arial" w:eastAsia="Arial" w:hAnsi="Arial"/>
                <w:sz w:val="17"/>
                <w:szCs w:val="17"/>
                <w:color w:val="auto"/>
              </w:rPr>
              <w:t>Restricted cash, current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55,178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70,732</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Short-term investments</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25,070</w:t>
            </w:r>
          </w:p>
        </w:tc>
        <w:tc>
          <w:tcPr>
            <w:tcW w:w="0" w:type="dxa"/>
            <w:vAlign w:val="bottom"/>
          </w:tcPr>
          <w:p>
            <w:pPr>
              <w:spacing w:after="0"/>
              <w:rPr>
                <w:sz w:val="1"/>
                <w:szCs w:val="1"/>
                <w:color w:val="auto"/>
              </w:rPr>
            </w:pPr>
          </w:p>
        </w:tc>
      </w:tr>
      <w:tr>
        <w:trPr>
          <w:trHeight w:val="201"/>
        </w:trPr>
        <w:tc>
          <w:tcPr>
            <w:tcW w:w="8200" w:type="dxa"/>
            <w:vAlign w:val="bottom"/>
          </w:tcPr>
          <w:p>
            <w:pPr>
              <w:ind w:left="160"/>
              <w:spacing w:after="0"/>
              <w:rPr>
                <w:sz w:val="20"/>
                <w:szCs w:val="20"/>
                <w:color w:val="auto"/>
              </w:rPr>
            </w:pPr>
            <w:r>
              <w:rPr>
                <w:rFonts w:ascii="Arial" w:cs="Arial" w:eastAsia="Arial" w:hAnsi="Arial"/>
                <w:sz w:val="17"/>
                <w:szCs w:val="17"/>
                <w:color w:val="auto"/>
                <w:w w:val="90"/>
              </w:rPr>
              <w:t>Accounts receivable (net of allowance for doubtful accounts of $5,005 and $4,407 as of December 31, 2021 and 2022,</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00" w:type="dxa"/>
            <w:vAlign w:val="bottom"/>
          </w:tcPr>
          <w:p>
            <w:pPr>
              <w:ind w:left="320"/>
              <w:spacing w:after="0"/>
              <w:rPr>
                <w:sz w:val="20"/>
                <w:szCs w:val="20"/>
                <w:color w:val="auto"/>
              </w:rPr>
            </w:pPr>
            <w:r>
              <w:rPr>
                <w:rFonts w:ascii="Arial" w:cs="Arial" w:eastAsia="Arial" w:hAnsi="Arial"/>
                <w:sz w:val="17"/>
                <w:szCs w:val="17"/>
                <w:color w:val="auto"/>
              </w:rPr>
              <w:t>respectively)</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88,717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119,304</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Notes receivable</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w:t>
            </w:r>
          </w:p>
        </w:tc>
        <w:tc>
          <w:tcPr>
            <w:tcW w:w="0" w:type="dxa"/>
            <w:vAlign w:val="bottom"/>
          </w:tcPr>
          <w:p>
            <w:pPr>
              <w:spacing w:after="0"/>
              <w:rPr>
                <w:sz w:val="1"/>
                <w:szCs w:val="1"/>
                <w:color w:val="auto"/>
              </w:rPr>
            </w:pPr>
          </w:p>
        </w:tc>
      </w:tr>
      <w:tr>
        <w:trPr>
          <w:trHeight w:val="232"/>
        </w:trPr>
        <w:tc>
          <w:tcPr>
            <w:tcW w:w="8200" w:type="dxa"/>
            <w:vAlign w:val="bottom"/>
          </w:tcPr>
          <w:p>
            <w:pPr>
              <w:ind w:left="160"/>
              <w:spacing w:after="0"/>
              <w:rPr>
                <w:sz w:val="20"/>
                <w:szCs w:val="20"/>
                <w:color w:val="auto"/>
              </w:rPr>
            </w:pPr>
            <w:r>
              <w:rPr>
                <w:rFonts w:ascii="Arial" w:cs="Arial" w:eastAsia="Arial" w:hAnsi="Arial"/>
                <w:sz w:val="17"/>
                <w:szCs w:val="17"/>
                <w:color w:val="auto"/>
              </w:rPr>
              <w:t>Inventories,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53,424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84,252</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17,127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12,093</w:t>
            </w:r>
          </w:p>
        </w:tc>
        <w:tc>
          <w:tcPr>
            <w:tcW w:w="0" w:type="dxa"/>
            <w:vAlign w:val="bottom"/>
          </w:tcPr>
          <w:p>
            <w:pPr>
              <w:spacing w:after="0"/>
              <w:rPr>
                <w:sz w:val="1"/>
                <w:szCs w:val="1"/>
                <w:color w:val="auto"/>
              </w:rPr>
            </w:pPr>
          </w:p>
        </w:tc>
      </w:tr>
      <w:tr>
        <w:trPr>
          <w:trHeight w:val="232"/>
        </w:trPr>
        <w:tc>
          <w:tcPr>
            <w:tcW w:w="820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Amounts due from related parties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706,606</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545,067</w:t>
            </w:r>
          </w:p>
        </w:tc>
        <w:tc>
          <w:tcPr>
            <w:tcW w:w="0" w:type="dxa"/>
            <w:vAlign w:val="bottom"/>
          </w:tcPr>
          <w:p>
            <w:pPr>
              <w:spacing w:after="0"/>
              <w:rPr>
                <w:sz w:val="1"/>
                <w:szCs w:val="1"/>
                <w:color w:val="auto"/>
              </w:rPr>
            </w:pPr>
          </w:p>
        </w:tc>
      </w:tr>
      <w:tr>
        <w:trPr>
          <w:trHeight w:val="231"/>
        </w:trPr>
        <w:tc>
          <w:tcPr>
            <w:tcW w:w="8200" w:type="dxa"/>
            <w:vAlign w:val="bottom"/>
          </w:tcPr>
          <w:p>
            <w:pPr>
              <w:ind w:left="20"/>
              <w:spacing w:after="0"/>
              <w:rPr>
                <w:sz w:val="20"/>
                <w:szCs w:val="20"/>
                <w:color w:val="auto"/>
              </w:rPr>
            </w:pPr>
            <w:r>
              <w:rPr>
                <w:rFonts w:ascii="Arial" w:cs="Arial" w:eastAsia="Arial" w:hAnsi="Arial"/>
                <w:sz w:val="17"/>
                <w:szCs w:val="17"/>
                <w:color w:val="auto"/>
              </w:rPr>
              <w:t>Restricted cash, non-current</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253,057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335,140</w:t>
            </w:r>
          </w:p>
        </w:tc>
        <w:tc>
          <w:tcPr>
            <w:tcW w:w="0" w:type="dxa"/>
            <w:vAlign w:val="bottom"/>
          </w:tcPr>
          <w:p>
            <w:pPr>
              <w:spacing w:after="0"/>
              <w:rPr>
                <w:sz w:val="1"/>
                <w:szCs w:val="1"/>
                <w:color w:val="auto"/>
              </w:rPr>
            </w:pP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Land use rights, net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14,008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12,639</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Acquired intangible assets, net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w:t>
            </w:r>
          </w:p>
        </w:tc>
        <w:tc>
          <w:tcPr>
            <w:tcW w:w="0" w:type="dxa"/>
            <w:vAlign w:val="bottom"/>
          </w:tcPr>
          <w:p>
            <w:pPr>
              <w:spacing w:after="0"/>
              <w:rPr>
                <w:sz w:val="1"/>
                <w:szCs w:val="1"/>
                <w:color w:val="auto"/>
              </w:rPr>
            </w:pP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Operating lease right-of-use assets</w:t>
            </w:r>
          </w:p>
        </w:tc>
        <w:tc>
          <w:tcPr>
            <w:tcW w:w="18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16,368</w:t>
            </w:r>
          </w:p>
        </w:tc>
        <w:tc>
          <w:tcPr>
            <w:tcW w:w="0" w:type="dxa"/>
            <w:vAlign w:val="bottom"/>
          </w:tcPr>
          <w:p>
            <w:pPr>
              <w:spacing w:after="0"/>
              <w:rPr>
                <w:sz w:val="1"/>
                <w:szCs w:val="1"/>
                <w:color w:val="auto"/>
              </w:rPr>
            </w:pPr>
          </w:p>
        </w:tc>
      </w:tr>
      <w:tr>
        <w:trPr>
          <w:trHeight w:val="23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non-current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19,738</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73,642</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995,291</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984,957</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8200" w:type="dxa"/>
            <w:vAlign w:val="bottom"/>
          </w:tcPr>
          <w:p>
            <w:pPr>
              <w:ind w:left="160"/>
              <w:spacing w:after="0"/>
              <w:rPr>
                <w:sz w:val="20"/>
                <w:szCs w:val="20"/>
                <w:color w:val="auto"/>
              </w:rPr>
            </w:pPr>
            <w:r>
              <w:rPr>
                <w:rFonts w:ascii="Arial" w:cs="Arial" w:eastAsia="Arial" w:hAnsi="Arial"/>
                <w:sz w:val="17"/>
                <w:szCs w:val="17"/>
                <w:color w:val="auto"/>
              </w:rPr>
              <w:t>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40,408</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44,985</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Notes payable</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60,953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68,441</w:t>
            </w:r>
          </w:p>
        </w:tc>
        <w:tc>
          <w:tcPr>
            <w:tcW w:w="0" w:type="dxa"/>
            <w:vAlign w:val="bottom"/>
          </w:tcPr>
          <w:p>
            <w:pPr>
              <w:spacing w:after="0"/>
              <w:rPr>
                <w:sz w:val="1"/>
                <w:szCs w:val="1"/>
                <w:color w:val="auto"/>
              </w:rPr>
            </w:pPr>
          </w:p>
        </w:tc>
      </w:tr>
      <w:tr>
        <w:trPr>
          <w:trHeight w:val="232"/>
        </w:trPr>
        <w:tc>
          <w:tcPr>
            <w:tcW w:w="8200" w:type="dxa"/>
            <w:vAlign w:val="bottom"/>
          </w:tcPr>
          <w:p>
            <w:pPr>
              <w:ind w:left="160"/>
              <w:spacing w:after="0"/>
              <w:rPr>
                <w:sz w:val="20"/>
                <w:szCs w:val="20"/>
                <w:color w:val="auto"/>
              </w:rPr>
            </w:pPr>
            <w:r>
              <w:rPr>
                <w:rFonts w:ascii="Arial" w:cs="Arial" w:eastAsia="Arial" w:hAnsi="Arial"/>
                <w:sz w:val="17"/>
                <w:szCs w:val="17"/>
                <w:color w:val="auto"/>
              </w:rPr>
              <w:t>Accrued expenses and other current liabilities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58,740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66,720</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Advance from customers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54,207</w:t>
            </w:r>
          </w:p>
        </w:tc>
        <w:tc>
          <w:tcPr>
            <w:tcW w:w="0" w:type="dxa"/>
            <w:vAlign w:val="bottom"/>
          </w:tcPr>
          <w:p>
            <w:pPr>
              <w:spacing w:after="0"/>
              <w:rPr>
                <w:sz w:val="1"/>
                <w:szCs w:val="1"/>
                <w:color w:val="auto"/>
              </w:rPr>
            </w:pPr>
          </w:p>
        </w:tc>
      </w:tr>
      <w:tr>
        <w:trPr>
          <w:trHeight w:val="232"/>
        </w:trPr>
        <w:tc>
          <w:tcPr>
            <w:tcW w:w="8200" w:type="dxa"/>
            <w:vAlign w:val="bottom"/>
          </w:tcPr>
          <w:p>
            <w:pPr>
              <w:ind w:left="160"/>
              <w:spacing w:after="0"/>
              <w:rPr>
                <w:sz w:val="20"/>
                <w:szCs w:val="20"/>
                <w:color w:val="auto"/>
              </w:rPr>
            </w:pPr>
            <w:r>
              <w:rPr>
                <w:rFonts w:ascii="Arial" w:cs="Arial" w:eastAsia="Arial" w:hAnsi="Arial"/>
                <w:sz w:val="17"/>
                <w:szCs w:val="17"/>
                <w:color w:val="auto"/>
              </w:rPr>
              <w:t>Short-term bank borrowings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13,301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17,398</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Income tax payables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3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Current Liabilities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175,594</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252,409</w:t>
            </w:r>
          </w:p>
        </w:tc>
        <w:tc>
          <w:tcPr>
            <w:tcW w:w="0" w:type="dxa"/>
            <w:vAlign w:val="bottom"/>
          </w:tcPr>
          <w:p>
            <w:pPr>
              <w:spacing w:after="0"/>
              <w:rPr>
                <w:sz w:val="1"/>
                <w:szCs w:val="1"/>
                <w:color w:val="auto"/>
              </w:rPr>
            </w:pPr>
          </w:p>
        </w:tc>
      </w:tr>
      <w:tr>
        <w:trPr>
          <w:trHeight w:val="237"/>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bank borrowings</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28,997</w:t>
            </w:r>
          </w:p>
        </w:tc>
        <w:tc>
          <w:tcPr>
            <w:tcW w:w="0" w:type="dxa"/>
            <w:vAlign w:val="bottom"/>
          </w:tcPr>
          <w:p>
            <w:pPr>
              <w:spacing w:after="0"/>
              <w:rPr>
                <w:sz w:val="1"/>
                <w:szCs w:val="1"/>
                <w:color w:val="auto"/>
              </w:rPr>
            </w:pP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Long-term bonds payable</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73,147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43,888</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liability</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Share-based compensation liability</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18,925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14,347</w:t>
            </w:r>
          </w:p>
        </w:tc>
        <w:tc>
          <w:tcPr>
            <w:tcW w:w="0" w:type="dxa"/>
            <w:vAlign w:val="bottom"/>
          </w:tcPr>
          <w:p>
            <w:pPr>
              <w:spacing w:after="0"/>
              <w:rPr>
                <w:sz w:val="1"/>
                <w:szCs w:val="1"/>
                <w:color w:val="auto"/>
              </w:rPr>
            </w:pPr>
          </w:p>
        </w:tc>
      </w:tr>
      <w:tr>
        <w:trPr>
          <w:trHeight w:val="23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non-current liabilities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39,822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32,082</w:t>
            </w:r>
          </w:p>
        </w:tc>
        <w:tc>
          <w:tcPr>
            <w:tcW w:w="0" w:type="dxa"/>
            <w:vAlign w:val="bottom"/>
          </w:tcPr>
          <w:p>
            <w:pPr>
              <w:spacing w:after="0"/>
              <w:rPr>
                <w:sz w:val="1"/>
                <w:szCs w:val="1"/>
                <w:color w:val="auto"/>
              </w:rPr>
            </w:pPr>
          </w:p>
        </w:tc>
      </w:tr>
      <w:tr>
        <w:trPr>
          <w:trHeight w:val="26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308,593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371,980</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Commitments and contingencies (Note 28)</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Shareholders’ Equity</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Arial" w:cs="Arial" w:eastAsia="Arial" w:hAnsi="Arial"/>
                <w:sz w:val="17"/>
                <w:szCs w:val="17"/>
                <w:color w:val="auto"/>
                <w:w w:val="90"/>
              </w:rPr>
              <w:t>Common Stock (par value of US$0.0001 per share, 750,000,000 shares authorized as of December 31, 2021 and 2022;</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200" w:type="dxa"/>
            <w:vAlign w:val="bottom"/>
          </w:tcPr>
          <w:p>
            <w:pPr>
              <w:ind w:left="160"/>
              <w:spacing w:after="0"/>
              <w:rPr>
                <w:sz w:val="20"/>
                <w:szCs w:val="20"/>
                <w:color w:val="auto"/>
              </w:rPr>
            </w:pPr>
            <w:r>
              <w:rPr>
                <w:rFonts w:ascii="Arial" w:cs="Arial" w:eastAsia="Arial" w:hAnsi="Arial"/>
                <w:sz w:val="17"/>
                <w:szCs w:val="17"/>
                <w:color w:val="auto"/>
                <w:w w:val="88"/>
              </w:rPr>
              <w:t>300,530,516 and 309,316,011 shares issued, and 298,843,016 and 307,628,511 shares outstanding as of December 31,</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200" w:type="dxa"/>
            <w:vAlign w:val="bottom"/>
          </w:tcPr>
          <w:p>
            <w:pPr>
              <w:ind w:left="160"/>
              <w:spacing w:after="0"/>
              <w:rPr>
                <w:sz w:val="20"/>
                <w:szCs w:val="20"/>
                <w:color w:val="auto"/>
              </w:rPr>
            </w:pPr>
            <w:r>
              <w:rPr>
                <w:rFonts w:ascii="Arial" w:cs="Arial" w:eastAsia="Arial" w:hAnsi="Arial"/>
                <w:sz w:val="17"/>
                <w:szCs w:val="17"/>
                <w:color w:val="auto"/>
              </w:rPr>
              <w:t>2021 and 2022)</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854"/>
        </w:trPr>
        <w:tc>
          <w:tcPr>
            <w:tcW w:w="8200" w:type="dxa"/>
            <w:vAlign w:val="bottom"/>
          </w:tcPr>
          <w:p>
            <w:pPr>
              <w:ind w:left="5500"/>
              <w:spacing w:after="0"/>
              <w:rPr>
                <w:sz w:val="20"/>
                <w:szCs w:val="20"/>
                <w:color w:val="auto"/>
              </w:rPr>
            </w:pPr>
            <w:r>
              <w:rPr>
                <w:rFonts w:ascii="Arial" w:cs="Arial" w:eastAsia="Arial" w:hAnsi="Arial"/>
                <w:sz w:val="17"/>
                <w:szCs w:val="17"/>
                <w:color w:val="auto"/>
              </w:rPr>
              <w:t>F-3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8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5"/>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1,306,034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1,416,160</w:t>
            </w: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Statutory reserves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6,032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6,032</w:t>
            </w: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(632,099)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(791,165)</w:t>
            </w:r>
          </w:p>
        </w:tc>
      </w:tr>
      <w:tr>
        <w:trPr>
          <w:trHeight w:val="23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(18,081)</w:t>
            </w: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Shareholders’ Equity</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686,698</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612,977</w:t>
            </w:r>
          </w:p>
        </w:tc>
      </w:tr>
      <w:tr>
        <w:trPr>
          <w:trHeight w:val="237"/>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995,291</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984,957</w:t>
            </w: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392"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Year Ended</w:t>
      </w:r>
    </w:p>
    <w:p>
      <w:pPr>
        <w:spacing w:after="0" w:line="22"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19685</wp:posOffset>
            </wp:positionV>
            <wp:extent cx="29330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151,976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204,495</w:t>
            </w:r>
          </w:p>
        </w:tc>
      </w:tr>
      <w:tr>
        <w:trPr>
          <w:trHeight w:val="232"/>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revenues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(90,378)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(194,719)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(195,422)</w:t>
            </w: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profit/(loss)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17,140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(42,743)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9,073</w:t>
            </w:r>
          </w:p>
        </w:tc>
      </w:tr>
      <w:tr>
        <w:trPr>
          <w:trHeight w:val="225"/>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(101,632)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(104,572)</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Research and development expenses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(16,637)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(34,385)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(43,508)</w:t>
            </w:r>
          </w:p>
        </w:tc>
      </w:tr>
      <w:tr>
        <w:trPr>
          <w:trHeight w:val="238"/>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marketing expenses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(13,761)</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(21,431)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(22,611)</w:t>
            </w:r>
          </w:p>
        </w:tc>
      </w:tr>
      <w:tr>
        <w:trPr>
          <w:trHeight w:val="231"/>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(49,247)</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(157,448)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(170,691)</w:t>
            </w: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Subsidy income</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1,672</w:t>
            </w:r>
          </w:p>
        </w:tc>
      </w:tr>
      <w:tr>
        <w:trPr>
          <w:trHeight w:val="231"/>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Loss from operations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(29,107)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(194,064)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(159,946)</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income and expenses: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Interest income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3,179</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(3,323)</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Loss on changes in fair value of Bridge Notes</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(9,861)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changes in fair value of warrant liability</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r>
      <w:tr>
        <w:trPr>
          <w:trHeight w:val="232"/>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944</w:t>
            </w: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Loss before provision for income tax</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(33,624)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(206,483)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(158,167)</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62"/>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w:t>
            </w: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(33,625)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(206,483)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(158,200)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6620" w:type="dxa"/>
            <w:vAlign w:val="bottom"/>
          </w:tcPr>
          <w:p>
            <w:pPr>
              <w:ind w:left="20"/>
              <w:spacing w:after="0"/>
              <w:rPr>
                <w:sz w:val="20"/>
                <w:szCs w:val="20"/>
                <w:color w:val="auto"/>
              </w:rPr>
            </w:pPr>
            <w:r>
              <w:rPr>
                <w:rFonts w:ascii="Arial" w:cs="Arial" w:eastAsia="Arial" w:hAnsi="Arial"/>
                <w:sz w:val="17"/>
                <w:szCs w:val="17"/>
                <w:color w:val="auto"/>
              </w:rPr>
              <w:t>Less: Accretion of Series C1 Preferred</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2,257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Accretion of Series C2 Preferred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Less: Accretion of Series D1 Preferred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18,648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10,708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Accretion for noncontrolling interests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15,927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Net loss attributable to common stock shareholders of Microvast Holdings, Inc.</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(80,963)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(234,103)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(158,200)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5"/>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0"/>
              </w:rPr>
              <w:t>Net loss per share attributable to Common Stock shareholders of Microvast Holdings, Inc.</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Basic and diluted</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(1.26)</w:t>
            </w:r>
          </w:p>
        </w:tc>
        <w:tc>
          <w:tcPr>
            <w:tcW w:w="8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(0.52)</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shares used in calculating net loss per share of common stock:</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6"/>
        </w:trPr>
        <w:tc>
          <w:tcPr>
            <w:tcW w:w="6620" w:type="dxa"/>
            <w:vAlign w:val="bottom"/>
          </w:tcPr>
          <w:p>
            <w:pPr>
              <w:ind w:left="20"/>
              <w:spacing w:after="0"/>
              <w:rPr>
                <w:sz w:val="20"/>
                <w:szCs w:val="20"/>
                <w:color w:val="auto"/>
              </w:rPr>
            </w:pPr>
            <w:r>
              <w:rPr>
                <w:rFonts w:ascii="Arial" w:cs="Arial" w:eastAsia="Arial" w:hAnsi="Arial"/>
                <w:sz w:val="17"/>
                <w:szCs w:val="17"/>
                <w:color w:val="auto"/>
              </w:rPr>
              <w:t>Basic and diluted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99,028,297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185,896,482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303,279,188</w:t>
            </w: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392"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Year Ended</w:t>
      </w:r>
    </w:p>
    <w:p>
      <w:pPr>
        <w:spacing w:after="0" w:line="22"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19685</wp:posOffset>
            </wp:positionV>
            <wp:extent cx="29330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456"/>
              <w:spacing w:after="0"/>
              <w:rPr>
                <w:sz w:val="20"/>
                <w:szCs w:val="20"/>
                <w:color w:val="auto"/>
              </w:rPr>
            </w:pPr>
            <w:r>
              <w:rPr>
                <w:rFonts w:ascii="Arial" w:cs="Arial" w:eastAsia="Arial" w:hAnsi="Arial"/>
                <w:sz w:val="17"/>
                <w:szCs w:val="17"/>
                <w:color w:val="auto"/>
                <w:w w:val="88"/>
              </w:rPr>
              <w:t>(33,625)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(206,483)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(158,200)</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Foreign currency translation adjustment</w:t>
            </w:r>
          </w:p>
        </w:tc>
        <w:tc>
          <w:tcPr>
            <w:tcW w:w="340" w:type="dxa"/>
            <w:vAlign w:val="bottom"/>
          </w:tcPr>
          <w:p>
            <w:pPr>
              <w:spacing w:after="0"/>
              <w:rPr>
                <w:sz w:val="20"/>
                <w:szCs w:val="20"/>
                <w:color w:val="auto"/>
              </w:rPr>
            </w:pPr>
          </w:p>
        </w:tc>
        <w:tc>
          <w:tcPr>
            <w:tcW w:w="1140" w:type="dxa"/>
            <w:vAlign w:val="bottom"/>
          </w:tcPr>
          <w:p>
            <w:pPr>
              <w:jc w:val="center"/>
              <w:ind w:left="476"/>
              <w:spacing w:after="0"/>
              <w:rPr>
                <w:sz w:val="20"/>
                <w:szCs w:val="20"/>
                <w:color w:val="auto"/>
              </w:rPr>
            </w:pPr>
            <w:r>
              <w:rPr>
                <w:rFonts w:ascii="Arial" w:cs="Arial" w:eastAsia="Arial" w:hAnsi="Arial"/>
                <w:sz w:val="17"/>
                <w:szCs w:val="17"/>
                <w:color w:val="auto"/>
                <w:w w:val="88"/>
              </w:rPr>
              <w:t>16,622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(24,782)</w:t>
            </w:r>
          </w:p>
        </w:tc>
      </w:tr>
      <w:tr>
        <w:trPr>
          <w:trHeight w:val="238"/>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center"/>
              <w:ind w:left="456"/>
              <w:spacing w:after="0"/>
              <w:rPr>
                <w:sz w:val="20"/>
                <w:szCs w:val="20"/>
                <w:color w:val="auto"/>
              </w:rPr>
            </w:pPr>
            <w:r>
              <w:rPr>
                <w:rFonts w:ascii="Arial" w:cs="Arial" w:eastAsia="Arial" w:hAnsi="Arial"/>
                <w:sz w:val="17"/>
                <w:szCs w:val="17"/>
                <w:color w:val="auto"/>
                <w:w w:val="88"/>
              </w:rPr>
              <w:t>(17,003)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(207,138)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(182,982)</w:t>
            </w:r>
          </w:p>
        </w:tc>
      </w:tr>
      <w:tr>
        <w:trPr>
          <w:trHeight w:val="237"/>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Total comprehensive loss attributable to Microvast Holdings, Inc.</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center"/>
              <w:ind w:left="456"/>
              <w:spacing w:after="0"/>
              <w:rPr>
                <w:sz w:val="20"/>
                <w:szCs w:val="20"/>
                <w:color w:val="auto"/>
              </w:rPr>
            </w:pPr>
            <w:r>
              <w:rPr>
                <w:rFonts w:ascii="Arial" w:cs="Arial" w:eastAsia="Arial" w:hAnsi="Arial"/>
                <w:sz w:val="17"/>
                <w:szCs w:val="17"/>
                <w:b w:val="1"/>
                <w:bCs w:val="1"/>
                <w:color w:val="auto"/>
                <w:w w:val="88"/>
              </w:rPr>
              <w:t>(17,003)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(207,138)</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(182,982)</w:t>
            </w: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SHAREHOLDERS’ (DEFICIT)/EQUITY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8"/>
          </w:tcPr>
          <w:p>
            <w:pPr>
              <w:ind w:left="740"/>
              <w:spacing w:after="0"/>
              <w:rPr>
                <w:sz w:val="20"/>
                <w:szCs w:val="20"/>
                <w:color w:val="auto"/>
              </w:rPr>
            </w:pPr>
            <w:r>
              <w:rPr>
                <w:rFonts w:ascii="Arial" w:cs="Arial" w:eastAsia="Arial" w:hAnsi="Arial"/>
                <w:sz w:val="17"/>
                <w:szCs w:val="17"/>
                <w:b w:val="1"/>
                <w:bCs w:val="1"/>
                <w:color w:val="auto"/>
              </w:rPr>
              <w:t>Year Ended December 31, 2020</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30"/>
        </w:trPr>
        <w:tc>
          <w:tcPr>
            <w:tcW w:w="2920" w:type="dxa"/>
            <w:vAlign w:val="bottom"/>
          </w:tcPr>
          <w:p>
            <w:pPr>
              <w:spacing w:after="0"/>
              <w:rPr>
                <w:sz w:val="19"/>
                <w:szCs w:val="19"/>
                <w:color w:val="auto"/>
              </w:rPr>
            </w:pPr>
          </w:p>
        </w:tc>
        <w:tc>
          <w:tcPr>
            <w:tcW w:w="2180" w:type="dxa"/>
            <w:vAlign w:val="bottom"/>
            <w:gridSpan w:val="5"/>
          </w:tcPr>
          <w:p>
            <w:pPr>
              <w:ind w:left="500"/>
              <w:spacing w:after="0"/>
              <w:rPr>
                <w:sz w:val="20"/>
                <w:szCs w:val="20"/>
                <w:color w:val="auto"/>
              </w:rPr>
            </w:pPr>
            <w:r>
              <w:rPr>
                <w:rFonts w:ascii="Arial" w:cs="Arial" w:eastAsia="Arial" w:hAnsi="Arial"/>
                <w:sz w:val="17"/>
                <w:szCs w:val="17"/>
                <w:b w:val="1"/>
                <w:bCs w:val="1"/>
                <w:color w:val="auto"/>
              </w:rPr>
              <w:t>Common Stock</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7"/>
        </w:trPr>
        <w:tc>
          <w:tcPr>
            <w:tcW w:w="29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Arial" w:cs="Arial" w:eastAsia="Arial" w:hAnsi="Arial"/>
                <w:sz w:val="17"/>
                <w:szCs w:val="17"/>
                <w:b w:val="1"/>
                <w:bCs w:val="1"/>
                <w:color w:val="auto"/>
                <w:w w:val="88"/>
              </w:rPr>
              <w:t>Total</w:t>
            </w:r>
          </w:p>
        </w:tc>
      </w:tr>
      <w:tr>
        <w:trPr>
          <w:trHeight w:val="201"/>
        </w:trPr>
        <w:tc>
          <w:tcPr>
            <w:tcW w:w="2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Accumulated</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Arial" w:cs="Arial" w:eastAsia="Arial" w:hAnsi="Arial"/>
                <w:sz w:val="17"/>
                <w:szCs w:val="17"/>
                <w:b w:val="1"/>
                <w:bCs w:val="1"/>
                <w:color w:val="auto"/>
                <w:w w:val="90"/>
              </w:rPr>
              <w:t>Microvast</w:t>
            </w:r>
          </w:p>
        </w:tc>
      </w:tr>
      <w:tr>
        <w:trPr>
          <w:trHeight w:val="201"/>
        </w:trPr>
        <w:tc>
          <w:tcPr>
            <w:tcW w:w="2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Additional</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other</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Holdings, Inc.</w:t>
            </w:r>
          </w:p>
        </w:tc>
      </w:tr>
      <w:tr>
        <w:trPr>
          <w:trHeight w:val="201"/>
        </w:trPr>
        <w:tc>
          <w:tcPr>
            <w:tcW w:w="2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paid-in</w:t>
            </w: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8"/>
              </w:rPr>
              <w:t>Accumulated</w:t>
            </w:r>
          </w:p>
        </w:tc>
        <w:tc>
          <w:tcPr>
            <w:tcW w:w="12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4"/>
              </w:rPr>
              <w:t>comprehensive</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Statutory</w:t>
            </w:r>
          </w:p>
        </w:tc>
        <w:tc>
          <w:tcPr>
            <w:tcW w:w="10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Arial" w:cs="Arial" w:eastAsia="Arial" w:hAnsi="Arial"/>
                <w:sz w:val="17"/>
                <w:szCs w:val="17"/>
                <w:b w:val="1"/>
                <w:bCs w:val="1"/>
                <w:color w:val="auto"/>
                <w:w w:val="86"/>
              </w:rPr>
              <w:t>shareholders’</w:t>
            </w:r>
          </w:p>
        </w:tc>
      </w:tr>
      <w:tr>
        <w:trPr>
          <w:trHeight w:val="236"/>
        </w:trPr>
        <w:tc>
          <w:tcPr>
            <w:tcW w:w="2920" w:type="dxa"/>
            <w:vAlign w:val="bottom"/>
          </w:tcPr>
          <w:p>
            <w:pPr>
              <w:spacing w:after="0"/>
              <w:rPr>
                <w:sz w:val="20"/>
                <w:szCs w:val="20"/>
                <w:color w:val="auto"/>
              </w:rPr>
            </w:pPr>
          </w:p>
        </w:tc>
        <w:tc>
          <w:tcPr>
            <w:tcW w:w="1080" w:type="dxa"/>
            <w:vAlign w:val="bottom"/>
            <w:gridSpan w:val="2"/>
          </w:tcPr>
          <w:p>
            <w:pPr>
              <w:ind w:left="260"/>
              <w:spacing w:after="0"/>
              <w:rPr>
                <w:sz w:val="20"/>
                <w:szCs w:val="20"/>
                <w:color w:val="auto"/>
              </w:rPr>
            </w:pPr>
            <w:r>
              <w:rPr>
                <w:rFonts w:ascii="Arial" w:cs="Arial" w:eastAsia="Arial" w:hAnsi="Arial"/>
                <w:sz w:val="17"/>
                <w:szCs w:val="17"/>
                <w:b w:val="1"/>
                <w:bCs w:val="1"/>
                <w:color w:val="auto"/>
              </w:rPr>
              <w:t>Shares</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7"/>
                <w:szCs w:val="17"/>
                <w:b w:val="1"/>
                <w:bCs w:val="1"/>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capital</w:t>
            </w:r>
          </w:p>
        </w:tc>
        <w:tc>
          <w:tcPr>
            <w:tcW w:w="100" w:type="dxa"/>
            <w:vAlign w:val="bottom"/>
          </w:tcPr>
          <w:p>
            <w:pPr>
              <w:spacing w:after="0"/>
              <w:rPr>
                <w:sz w:val="20"/>
                <w:szCs w:val="2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deficit</w:t>
            </w:r>
          </w:p>
        </w:tc>
        <w:tc>
          <w:tcPr>
            <w:tcW w:w="100" w:type="dxa"/>
            <w:vAlign w:val="bottom"/>
          </w:tcPr>
          <w:p>
            <w:pPr>
              <w:spacing w:after="0"/>
              <w:rPr>
                <w:sz w:val="20"/>
                <w:szCs w:val="20"/>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5"/>
              </w:rPr>
              <w:t>(loss)/income</w:t>
            </w:r>
          </w:p>
        </w:tc>
        <w:tc>
          <w:tcPr>
            <w:tcW w:w="14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5"/>
              </w:rPr>
              <w:t>reserve</w:t>
            </w:r>
          </w:p>
        </w:tc>
        <w:tc>
          <w:tcPr>
            <w:tcW w:w="100" w:type="dxa"/>
            <w:vAlign w:val="bottom"/>
          </w:tcPr>
          <w:p>
            <w:pPr>
              <w:spacing w:after="0"/>
              <w:rPr>
                <w:sz w:val="20"/>
                <w:szCs w:val="20"/>
                <w:color w:val="auto"/>
              </w:rPr>
            </w:pPr>
          </w:p>
        </w:tc>
        <w:tc>
          <w:tcPr>
            <w:tcW w:w="1140" w:type="dxa"/>
            <w:vAlign w:val="bottom"/>
          </w:tcPr>
          <w:p>
            <w:pPr>
              <w:jc w:val="center"/>
              <w:ind w:right="16"/>
              <w:spacing w:after="0"/>
              <w:rPr>
                <w:sz w:val="20"/>
                <w:szCs w:val="20"/>
                <w:color w:val="auto"/>
              </w:rPr>
            </w:pPr>
            <w:r>
              <w:rPr>
                <w:rFonts w:ascii="Arial" w:cs="Arial" w:eastAsia="Arial" w:hAnsi="Arial"/>
                <w:sz w:val="17"/>
                <w:szCs w:val="17"/>
                <w:b w:val="1"/>
                <w:bCs w:val="1"/>
                <w:color w:val="auto"/>
                <w:w w:val="87"/>
              </w:rPr>
              <w:t>deficit</w:t>
            </w:r>
          </w:p>
        </w:tc>
      </w:tr>
      <w:tr>
        <w:trPr>
          <w:trHeight w:val="237"/>
        </w:trPr>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2019</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99,028,297</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3,727</w:t>
            </w: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(320,760)</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(9,266)</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6,032</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(320,261)</w:t>
            </w:r>
          </w:p>
        </w:tc>
      </w:tr>
      <w:tr>
        <w:trPr>
          <w:trHeight w:val="232"/>
        </w:trPr>
        <w:tc>
          <w:tcPr>
            <w:tcW w:w="29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(33,625)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(33,625)</w:t>
            </w:r>
          </w:p>
        </w:tc>
      </w:tr>
      <w:tr>
        <w:trPr>
          <w:trHeight w:val="245"/>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for Series C1 Preferred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(3,897)</w:t>
            </w:r>
          </w:p>
        </w:tc>
      </w:tr>
      <w:tr>
        <w:trPr>
          <w:trHeight w:val="232"/>
        </w:trPr>
        <w:tc>
          <w:tcPr>
            <w:tcW w:w="2920" w:type="dxa"/>
            <w:vAlign w:val="bottom"/>
          </w:tcPr>
          <w:p>
            <w:pPr>
              <w:ind w:left="20"/>
              <w:spacing w:after="0"/>
              <w:rPr>
                <w:sz w:val="20"/>
                <w:szCs w:val="20"/>
                <w:color w:val="auto"/>
              </w:rPr>
            </w:pPr>
            <w:r>
              <w:rPr>
                <w:rFonts w:ascii="Arial" w:cs="Arial" w:eastAsia="Arial" w:hAnsi="Arial"/>
                <w:sz w:val="17"/>
                <w:szCs w:val="17"/>
                <w:color w:val="auto"/>
              </w:rPr>
              <w:t>Accretion for Series C2 Preferred</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(8,866)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(8,866)</w:t>
            </w:r>
          </w:p>
        </w:tc>
      </w:tr>
      <w:tr>
        <w:trPr>
          <w:trHeight w:val="245"/>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for Series D1 Preferred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(18,648)</w:t>
            </w:r>
          </w:p>
        </w:tc>
      </w:tr>
      <w:tr>
        <w:trPr>
          <w:trHeight w:val="201"/>
        </w:trPr>
        <w:tc>
          <w:tcPr>
            <w:tcW w:w="2920" w:type="dxa"/>
            <w:vAlign w:val="bottom"/>
          </w:tcPr>
          <w:p>
            <w:pPr>
              <w:ind w:left="20"/>
              <w:spacing w:after="0"/>
              <w:rPr>
                <w:sz w:val="20"/>
                <w:szCs w:val="20"/>
                <w:color w:val="auto"/>
              </w:rPr>
            </w:pPr>
            <w:r>
              <w:rPr>
                <w:rFonts w:ascii="Arial" w:cs="Arial" w:eastAsia="Arial" w:hAnsi="Arial"/>
                <w:sz w:val="17"/>
                <w:szCs w:val="17"/>
                <w:color w:val="auto"/>
                <w:w w:val="99"/>
              </w:rPr>
              <w:t>Accretion for the exiting noncontrolling</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2920" w:type="dxa"/>
            <w:vAlign w:val="bottom"/>
          </w:tcPr>
          <w:p>
            <w:pPr>
              <w:ind w:left="160"/>
              <w:spacing w:after="0"/>
              <w:rPr>
                <w:sz w:val="20"/>
                <w:szCs w:val="20"/>
                <w:color w:val="auto"/>
              </w:rPr>
            </w:pPr>
            <w:r>
              <w:rPr>
                <w:rFonts w:ascii="Arial" w:cs="Arial" w:eastAsia="Arial" w:hAnsi="Arial"/>
                <w:sz w:val="17"/>
                <w:szCs w:val="17"/>
                <w:color w:val="auto"/>
              </w:rPr>
              <w:t>interests</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(5,668)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(5,668)</w:t>
            </w:r>
          </w:p>
        </w:tc>
      </w:tr>
      <w:tr>
        <w:trPr>
          <w:trHeight w:val="245"/>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Foreign currency translation adjustments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16,622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16,622</w:t>
            </w:r>
          </w:p>
        </w:tc>
      </w:tr>
      <w:tr>
        <w:trPr>
          <w:trHeight w:val="201"/>
        </w:trPr>
        <w:tc>
          <w:tcPr>
            <w:tcW w:w="2920" w:type="dxa"/>
            <w:vAlign w:val="bottom"/>
          </w:tcPr>
          <w:p>
            <w:pPr>
              <w:ind w:left="20"/>
              <w:spacing w:after="0"/>
              <w:rPr>
                <w:sz w:val="20"/>
                <w:szCs w:val="20"/>
                <w:color w:val="auto"/>
              </w:rPr>
            </w:pPr>
            <w:r>
              <w:rPr>
                <w:rFonts w:ascii="Arial" w:cs="Arial" w:eastAsia="Arial" w:hAnsi="Arial"/>
                <w:sz w:val="17"/>
                <w:szCs w:val="17"/>
                <w:color w:val="auto"/>
                <w:w w:val="97"/>
              </w:rPr>
              <w:t>Accretion of redeemable noncontrolling</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29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interests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(10,259)</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(10,259)</w:t>
            </w:r>
          </w:p>
        </w:tc>
      </w:tr>
      <w:tr>
        <w:trPr>
          <w:trHeight w:val="257"/>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2020</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99,028,297</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(397,996)</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(384,602)</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SHAREHOLDERS’ (DEFICIT)/EQUITY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otherwise noted)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8"/>
          </w:tcPr>
          <w:p>
            <w:pPr>
              <w:ind w:left="620"/>
              <w:spacing w:after="0"/>
              <w:rPr>
                <w:sz w:val="20"/>
                <w:szCs w:val="20"/>
                <w:color w:val="auto"/>
              </w:rPr>
            </w:pPr>
            <w:r>
              <w:rPr>
                <w:rFonts w:ascii="Arial" w:cs="Arial" w:eastAsia="Arial" w:hAnsi="Arial"/>
                <w:sz w:val="17"/>
                <w:szCs w:val="17"/>
                <w:b w:val="1"/>
                <w:bCs w:val="1"/>
                <w:color w:val="auto"/>
              </w:rPr>
              <w:t>Year Ended December 31, 2021</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30"/>
        </w:trPr>
        <w:tc>
          <w:tcPr>
            <w:tcW w:w="2920" w:type="dxa"/>
            <w:vAlign w:val="bottom"/>
          </w:tcPr>
          <w:p>
            <w:pPr>
              <w:spacing w:after="0"/>
              <w:rPr>
                <w:sz w:val="19"/>
                <w:szCs w:val="19"/>
                <w:color w:val="auto"/>
              </w:rPr>
            </w:pPr>
          </w:p>
        </w:tc>
        <w:tc>
          <w:tcPr>
            <w:tcW w:w="2300" w:type="dxa"/>
            <w:vAlign w:val="bottom"/>
            <w:gridSpan w:val="5"/>
          </w:tcPr>
          <w:p>
            <w:pPr>
              <w:ind w:left="560"/>
              <w:spacing w:after="0"/>
              <w:rPr>
                <w:sz w:val="20"/>
                <w:szCs w:val="20"/>
                <w:color w:val="auto"/>
              </w:rPr>
            </w:pPr>
            <w:r>
              <w:rPr>
                <w:rFonts w:ascii="Arial" w:cs="Arial" w:eastAsia="Arial" w:hAnsi="Arial"/>
                <w:sz w:val="17"/>
                <w:szCs w:val="17"/>
                <w:b w:val="1"/>
                <w:bCs w:val="1"/>
                <w:color w:val="auto"/>
              </w:rPr>
              <w:t>Common Stock</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7"/>
        </w:trPr>
        <w:tc>
          <w:tcPr>
            <w:tcW w:w="292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56"/>
              <w:spacing w:after="0"/>
              <w:rPr>
                <w:sz w:val="20"/>
                <w:szCs w:val="20"/>
                <w:color w:val="auto"/>
              </w:rPr>
            </w:pPr>
            <w:r>
              <w:rPr>
                <w:rFonts w:ascii="Arial" w:cs="Arial" w:eastAsia="Arial" w:hAnsi="Arial"/>
                <w:sz w:val="17"/>
                <w:szCs w:val="17"/>
                <w:b w:val="1"/>
                <w:bCs w:val="1"/>
                <w:color w:val="auto"/>
                <w:w w:val="88"/>
              </w:rPr>
              <w:t>Total</w:t>
            </w:r>
          </w:p>
        </w:tc>
      </w:tr>
      <w:tr>
        <w:trPr>
          <w:trHeight w:val="201"/>
        </w:trPr>
        <w:tc>
          <w:tcPr>
            <w:tcW w:w="2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Accumulated</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56"/>
              <w:spacing w:after="0"/>
              <w:rPr>
                <w:sz w:val="20"/>
                <w:szCs w:val="20"/>
                <w:color w:val="auto"/>
              </w:rPr>
            </w:pPr>
            <w:r>
              <w:rPr>
                <w:rFonts w:ascii="Arial" w:cs="Arial" w:eastAsia="Arial" w:hAnsi="Arial"/>
                <w:sz w:val="17"/>
                <w:szCs w:val="17"/>
                <w:b w:val="1"/>
                <w:bCs w:val="1"/>
                <w:color w:val="auto"/>
                <w:w w:val="90"/>
              </w:rPr>
              <w:t>Microvast</w:t>
            </w:r>
          </w:p>
        </w:tc>
      </w:tr>
      <w:tr>
        <w:trPr>
          <w:trHeight w:val="201"/>
        </w:trPr>
        <w:tc>
          <w:tcPr>
            <w:tcW w:w="2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Additional</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other</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Holdings, Inc.</w:t>
            </w:r>
          </w:p>
        </w:tc>
      </w:tr>
      <w:tr>
        <w:trPr>
          <w:trHeight w:val="201"/>
        </w:trPr>
        <w:tc>
          <w:tcPr>
            <w:tcW w:w="2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paid-in</w:t>
            </w:r>
          </w:p>
        </w:tc>
        <w:tc>
          <w:tcPr>
            <w:tcW w:w="116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3"/>
              </w:rPr>
              <w:t>Accumulated</w:t>
            </w:r>
          </w:p>
        </w:tc>
        <w:tc>
          <w:tcPr>
            <w:tcW w:w="13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4"/>
              </w:rPr>
              <w:t>comprehensive</w:t>
            </w:r>
          </w:p>
        </w:tc>
        <w:tc>
          <w:tcPr>
            <w:tcW w:w="140" w:type="dxa"/>
            <w:vAlign w:val="bottom"/>
          </w:tcPr>
          <w:p>
            <w:pPr>
              <w:spacing w:after="0"/>
              <w:rPr>
                <w:sz w:val="17"/>
                <w:szCs w:val="17"/>
                <w:color w:val="auto"/>
              </w:rPr>
            </w:pPr>
          </w:p>
        </w:tc>
        <w:tc>
          <w:tcPr>
            <w:tcW w:w="1000" w:type="dxa"/>
            <w:vAlign w:val="bottom"/>
            <w:gridSpan w:val="2"/>
          </w:tcPr>
          <w:p>
            <w:pPr>
              <w:ind w:left="60"/>
              <w:spacing w:after="0"/>
              <w:rPr>
                <w:sz w:val="20"/>
                <w:szCs w:val="20"/>
                <w:color w:val="auto"/>
              </w:rPr>
            </w:pPr>
            <w:r>
              <w:rPr>
                <w:rFonts w:ascii="Arial" w:cs="Arial" w:eastAsia="Arial" w:hAnsi="Arial"/>
                <w:sz w:val="17"/>
                <w:szCs w:val="17"/>
                <w:b w:val="1"/>
                <w:bCs w:val="1"/>
                <w:color w:val="auto"/>
              </w:rPr>
              <w:t>Statutory</w:t>
            </w:r>
          </w:p>
        </w:tc>
        <w:tc>
          <w:tcPr>
            <w:tcW w:w="100" w:type="dxa"/>
            <w:vAlign w:val="bottom"/>
          </w:tcPr>
          <w:p>
            <w:pPr>
              <w:spacing w:after="0"/>
              <w:rPr>
                <w:sz w:val="17"/>
                <w:szCs w:val="17"/>
                <w:color w:val="auto"/>
              </w:rPr>
            </w:pPr>
          </w:p>
        </w:tc>
        <w:tc>
          <w:tcPr>
            <w:tcW w:w="1140" w:type="dxa"/>
            <w:vAlign w:val="bottom"/>
          </w:tcPr>
          <w:p>
            <w:pPr>
              <w:jc w:val="center"/>
              <w:ind w:right="56"/>
              <w:spacing w:after="0"/>
              <w:rPr>
                <w:sz w:val="20"/>
                <w:szCs w:val="20"/>
                <w:color w:val="auto"/>
              </w:rPr>
            </w:pPr>
            <w:r>
              <w:rPr>
                <w:rFonts w:ascii="Arial" w:cs="Arial" w:eastAsia="Arial" w:hAnsi="Arial"/>
                <w:sz w:val="17"/>
                <w:szCs w:val="17"/>
                <w:b w:val="1"/>
                <w:bCs w:val="1"/>
                <w:color w:val="auto"/>
                <w:w w:val="88"/>
              </w:rPr>
              <w:t>Shareholders’</w:t>
            </w:r>
          </w:p>
        </w:tc>
      </w:tr>
      <w:tr>
        <w:trPr>
          <w:trHeight w:val="236"/>
        </w:trPr>
        <w:tc>
          <w:tcPr>
            <w:tcW w:w="29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Shares</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96"/>
              </w:rPr>
              <w:t>Amount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capital</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deficit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3"/>
              </w:rPr>
              <w:t>income</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reserve</w:t>
            </w:r>
          </w:p>
        </w:tc>
        <w:tc>
          <w:tcPr>
            <w:tcW w:w="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3"/>
              </w:rPr>
              <w:t>(Deficit)/Equity</w:t>
            </w:r>
          </w:p>
        </w:tc>
      </w:tr>
      <w:tr>
        <w:trPr>
          <w:trHeight w:val="237"/>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99,028,297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(397,996)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7,356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(384,602)</w:t>
            </w:r>
          </w:p>
        </w:tc>
      </w:tr>
      <w:tr>
        <w:trPr>
          <w:trHeight w:val="232"/>
        </w:trPr>
        <w:tc>
          <w:tcPr>
            <w:tcW w:w="29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(206,483)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(206,483)</w:t>
            </w:r>
          </w:p>
        </w:tc>
      </w:tr>
      <w:tr>
        <w:trPr>
          <w:trHeight w:val="245"/>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for Series C1 Preferred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(2,257)</w:t>
            </w:r>
          </w:p>
        </w:tc>
      </w:tr>
      <w:tr>
        <w:trPr>
          <w:trHeight w:val="232"/>
        </w:trPr>
        <w:tc>
          <w:tcPr>
            <w:tcW w:w="2920" w:type="dxa"/>
            <w:vAlign w:val="bottom"/>
          </w:tcPr>
          <w:p>
            <w:pPr>
              <w:ind w:left="20"/>
              <w:spacing w:after="0"/>
              <w:rPr>
                <w:sz w:val="20"/>
                <w:szCs w:val="20"/>
                <w:color w:val="auto"/>
              </w:rPr>
            </w:pPr>
            <w:r>
              <w:rPr>
                <w:rFonts w:ascii="Arial" w:cs="Arial" w:eastAsia="Arial" w:hAnsi="Arial"/>
                <w:sz w:val="17"/>
                <w:szCs w:val="17"/>
                <w:color w:val="auto"/>
              </w:rPr>
              <w:t>Accretion for Series C2 Preferred</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(5,132)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(5,132)</w:t>
            </w:r>
          </w:p>
        </w:tc>
      </w:tr>
      <w:tr>
        <w:trPr>
          <w:trHeight w:val="245"/>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Accretion for Series D1 Preferred</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(10,708)</w:t>
            </w:r>
          </w:p>
        </w:tc>
      </w:tr>
      <w:tr>
        <w:trPr>
          <w:trHeight w:val="213"/>
        </w:trPr>
        <w:tc>
          <w:tcPr>
            <w:tcW w:w="2920" w:type="dxa"/>
            <w:vAlign w:val="bottom"/>
          </w:tcPr>
          <w:p>
            <w:pPr>
              <w:ind w:left="20"/>
              <w:spacing w:after="0"/>
              <w:rPr>
                <w:sz w:val="20"/>
                <w:szCs w:val="20"/>
                <w:color w:val="auto"/>
              </w:rPr>
            </w:pPr>
            <w:r>
              <w:rPr>
                <w:rFonts w:ascii="Arial" w:cs="Arial" w:eastAsia="Arial" w:hAnsi="Arial"/>
                <w:sz w:val="17"/>
                <w:szCs w:val="17"/>
                <w:color w:val="auto"/>
                <w:w w:val="95"/>
              </w:rPr>
              <w:t>Accretion for redeemable noncontrolling</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3"/>
        </w:trPr>
        <w:tc>
          <w:tcPr>
            <w:tcW w:w="2920" w:type="dxa"/>
            <w:vAlign w:val="bottom"/>
          </w:tcPr>
          <w:p>
            <w:pPr>
              <w:ind w:left="160"/>
              <w:spacing w:after="0"/>
              <w:rPr>
                <w:sz w:val="20"/>
                <w:szCs w:val="20"/>
                <w:color w:val="auto"/>
              </w:rPr>
            </w:pPr>
            <w:r>
              <w:rPr>
                <w:rFonts w:ascii="Arial" w:cs="Arial" w:eastAsia="Arial" w:hAnsi="Arial"/>
                <w:sz w:val="17"/>
                <w:szCs w:val="17"/>
                <w:color w:val="auto"/>
              </w:rPr>
              <w:t>interests</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(5,841)</w:t>
            </w:r>
          </w:p>
        </w:tc>
      </w:tr>
      <w:tr>
        <w:trPr>
          <w:trHeight w:val="25"/>
        </w:trPr>
        <w:tc>
          <w:tcPr>
            <w:tcW w:w="2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1"/>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Accretion for the exiting noncontrolling</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6"/>
        </w:trPr>
        <w:tc>
          <w:tcPr>
            <w:tcW w:w="29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w:t>
            </w:r>
          </w:p>
        </w:tc>
      </w:tr>
      <w:tr>
        <w:trPr>
          <w:trHeight w:val="213"/>
        </w:trPr>
        <w:tc>
          <w:tcPr>
            <w:tcW w:w="2920" w:type="dxa"/>
            <w:vAlign w:val="bottom"/>
          </w:tcPr>
          <w:p>
            <w:pPr>
              <w:ind w:left="20"/>
              <w:spacing w:after="0"/>
              <w:rPr>
                <w:sz w:val="20"/>
                <w:szCs w:val="20"/>
                <w:color w:val="auto"/>
              </w:rPr>
            </w:pPr>
            <w:r>
              <w:rPr>
                <w:rFonts w:ascii="Arial" w:cs="Arial" w:eastAsia="Arial" w:hAnsi="Arial"/>
                <w:sz w:val="17"/>
                <w:szCs w:val="17"/>
                <w:color w:val="auto"/>
              </w:rPr>
              <w:t>Issuance of common stock upon the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1"/>
        </w:trPr>
        <w:tc>
          <w:tcPr>
            <w:tcW w:w="2920" w:type="dxa"/>
            <w:vAlign w:val="bottom"/>
          </w:tcPr>
          <w:p>
            <w:pPr>
              <w:ind w:left="160"/>
              <w:spacing w:after="0"/>
              <w:rPr>
                <w:sz w:val="20"/>
                <w:szCs w:val="20"/>
                <w:color w:val="auto"/>
              </w:rPr>
            </w:pPr>
            <w:r>
              <w:rPr>
                <w:rFonts w:ascii="Arial" w:cs="Arial" w:eastAsia="Arial" w:hAnsi="Arial"/>
                <w:sz w:val="17"/>
                <w:szCs w:val="17"/>
                <w:color w:val="auto"/>
                <w:w w:val="91"/>
              </w:rPr>
              <w:t>reverse recapitalization, net of issuance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3"/>
        </w:trPr>
        <w:tc>
          <w:tcPr>
            <w:tcW w:w="2920" w:type="dxa"/>
            <w:vAlign w:val="bottom"/>
          </w:tcPr>
          <w:p>
            <w:pPr>
              <w:ind w:left="160"/>
              <w:spacing w:after="0"/>
              <w:rPr>
                <w:sz w:val="20"/>
                <w:szCs w:val="20"/>
                <w:color w:val="auto"/>
              </w:rPr>
            </w:pPr>
            <w:r>
              <w:rPr>
                <w:rFonts w:ascii="Arial" w:cs="Arial" w:eastAsia="Arial" w:hAnsi="Arial"/>
                <w:sz w:val="17"/>
                <w:szCs w:val="17"/>
                <w:color w:val="auto"/>
              </w:rPr>
              <w:t>costs (Note 3)</w:t>
            </w:r>
          </w:p>
        </w:tc>
        <w:tc>
          <w:tcPr>
            <w:tcW w:w="1080" w:type="dxa"/>
            <w:vAlign w:val="bottom"/>
          </w:tcPr>
          <w:p>
            <w:pPr>
              <w:jc w:val="right"/>
              <w:spacing w:after="0"/>
              <w:rPr>
                <w:sz w:val="20"/>
                <w:szCs w:val="20"/>
                <w:color w:val="auto"/>
              </w:rPr>
            </w:pPr>
            <w:r>
              <w:rPr>
                <w:rFonts w:ascii="Arial" w:cs="Arial" w:eastAsia="Arial" w:hAnsi="Arial"/>
                <w:sz w:val="17"/>
                <w:szCs w:val="17"/>
                <w:color w:val="auto"/>
              </w:rPr>
              <w:t>191,254,950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1,241,828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1,241,851</w:t>
            </w:r>
          </w:p>
        </w:tc>
      </w:tr>
      <w:tr>
        <w:trPr>
          <w:trHeight w:val="25"/>
        </w:trPr>
        <w:tc>
          <w:tcPr>
            <w:tcW w:w="2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3"/>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Issuance of common stock in connection</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1"/>
        </w:trPr>
        <w:tc>
          <w:tcPr>
            <w:tcW w:w="29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with vesting of restricted stock units and</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1"/>
        </w:trPr>
        <w:tc>
          <w:tcPr>
            <w:tcW w:w="29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3"/>
              </w:rPr>
              <w:t>stock options (including the conversion</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8"/>
        </w:trPr>
        <w:tc>
          <w:tcPr>
            <w:tcW w:w="2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and vesting of Series B2 preferred)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8,559,769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39,532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39,533</w:t>
            </w:r>
          </w:p>
        </w:tc>
      </w:tr>
      <w:tr>
        <w:trPr>
          <w:trHeight w:val="226"/>
        </w:trPr>
        <w:tc>
          <w:tcPr>
            <w:tcW w:w="2920" w:type="dxa"/>
            <w:vAlign w:val="bottom"/>
          </w:tcPr>
          <w:p>
            <w:pPr>
              <w:ind w:left="20"/>
              <w:spacing w:after="0"/>
              <w:rPr>
                <w:sz w:val="20"/>
                <w:szCs w:val="20"/>
                <w:color w:val="auto"/>
              </w:rPr>
            </w:pPr>
            <w:r>
              <w:rPr>
                <w:rFonts w:ascii="Arial" w:cs="Arial" w:eastAsia="Arial" w:hAnsi="Arial"/>
                <w:sz w:val="17"/>
                <w:szCs w:val="17"/>
                <w:color w:val="auto"/>
              </w:rPr>
              <w:t>Share-based compensation(Note 22)</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24,674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24,674</w:t>
            </w:r>
          </w:p>
        </w:tc>
      </w:tr>
      <w:tr>
        <w:trPr>
          <w:trHeight w:val="25"/>
        </w:trPr>
        <w:tc>
          <w:tcPr>
            <w:tcW w:w="2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2"/>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Foreign currency translation adjustments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r>
      <w:tr>
        <w:trPr>
          <w:trHeight w:val="237"/>
        </w:trPr>
        <w:tc>
          <w:tcPr>
            <w:tcW w:w="2920" w:type="dxa"/>
            <w:vAlign w:val="bottom"/>
          </w:tcPr>
          <w:p>
            <w:pPr>
              <w:ind w:left="20"/>
              <w:spacing w:after="0"/>
              <w:rPr>
                <w:sz w:val="20"/>
                <w:szCs w:val="20"/>
                <w:color w:val="auto"/>
              </w:rPr>
            </w:pPr>
            <w:r>
              <w:rPr>
                <w:rFonts w:ascii="Arial" w:cs="Arial" w:eastAsia="Arial" w:hAnsi="Arial"/>
                <w:sz w:val="17"/>
                <w:szCs w:val="17"/>
                <w:color w:val="auto"/>
              </w:rPr>
              <w:t>Balance as of December 31,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298,843,016</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1,306,034</w:t>
            </w: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(632,099)</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6,701</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6,032</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686,698</w:t>
            </w:r>
          </w:p>
        </w:tc>
      </w:tr>
      <w:tr>
        <w:trPr>
          <w:trHeight w:val="20"/>
        </w:trPr>
        <w:tc>
          <w:tcPr>
            <w:tcW w:w="2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SHAREHOLDERS’ (DEFICIT)/EQUITY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8"/>
          </w:tcPr>
          <w:p>
            <w:pPr>
              <w:ind w:left="620"/>
              <w:spacing w:after="0"/>
              <w:rPr>
                <w:sz w:val="20"/>
                <w:szCs w:val="20"/>
                <w:color w:val="auto"/>
              </w:rPr>
            </w:pPr>
            <w:r>
              <w:rPr>
                <w:rFonts w:ascii="Arial" w:cs="Arial" w:eastAsia="Arial" w:hAnsi="Arial"/>
                <w:sz w:val="17"/>
                <w:szCs w:val="17"/>
                <w:b w:val="1"/>
                <w:bCs w:val="1"/>
                <w:color w:val="auto"/>
              </w:rPr>
              <w:t>Year Ended December 31, 2022</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20" w:type="dxa"/>
            <w:vAlign w:val="bottom"/>
          </w:tcPr>
          <w:p>
            <w:pPr>
              <w:spacing w:after="0"/>
              <w:rPr>
                <w:sz w:val="18"/>
                <w:szCs w:val="18"/>
                <w:color w:val="auto"/>
              </w:rPr>
            </w:pPr>
          </w:p>
        </w:tc>
        <w:tc>
          <w:tcPr>
            <w:tcW w:w="1980" w:type="dxa"/>
            <w:vAlign w:val="bottom"/>
            <w:gridSpan w:val="3"/>
          </w:tcPr>
          <w:p>
            <w:pPr>
              <w:jc w:val="right"/>
              <w:ind w:right="236"/>
              <w:spacing w:after="0"/>
              <w:rPr>
                <w:sz w:val="20"/>
                <w:szCs w:val="20"/>
                <w:color w:val="auto"/>
              </w:rPr>
            </w:pPr>
            <w:r>
              <w:rPr>
                <w:rFonts w:ascii="Arial" w:cs="Arial" w:eastAsia="Arial" w:hAnsi="Arial"/>
                <w:sz w:val="17"/>
                <w:szCs w:val="17"/>
                <w:b w:val="1"/>
                <w:bCs w:val="1"/>
                <w:color w:val="auto"/>
              </w:rPr>
              <w:t>Common Stock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vMerge w:val="restart"/>
          </w:tcPr>
          <w:p>
            <w:pPr>
              <w:jc w:val="center"/>
              <w:ind w:right="36"/>
              <w:spacing w:after="0"/>
              <w:rPr>
                <w:sz w:val="20"/>
                <w:szCs w:val="20"/>
                <w:color w:val="auto"/>
              </w:rPr>
            </w:pPr>
            <w:r>
              <w:rPr>
                <w:rFonts w:ascii="Arial" w:cs="Arial" w:eastAsia="Arial" w:hAnsi="Arial"/>
                <w:sz w:val="17"/>
                <w:szCs w:val="17"/>
                <w:b w:val="1"/>
                <w:bCs w:val="1"/>
                <w:color w:val="auto"/>
                <w:w w:val="88"/>
              </w:rPr>
              <w:t>Total</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Accumulated</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6"/>
              <w:spacing w:after="0"/>
              <w:rPr>
                <w:sz w:val="20"/>
                <w:szCs w:val="20"/>
                <w:color w:val="auto"/>
              </w:rPr>
            </w:pPr>
            <w:r>
              <w:rPr>
                <w:rFonts w:ascii="Arial" w:cs="Arial" w:eastAsia="Arial" w:hAnsi="Arial"/>
                <w:sz w:val="17"/>
                <w:szCs w:val="17"/>
                <w:b w:val="1"/>
                <w:bCs w:val="1"/>
                <w:color w:val="auto"/>
                <w:w w:val="90"/>
              </w:rPr>
              <w:t>Microvast</w:t>
            </w:r>
          </w:p>
        </w:tc>
        <w:tc>
          <w:tcPr>
            <w:tcW w:w="0" w:type="dxa"/>
            <w:vAlign w:val="bottom"/>
          </w:tcPr>
          <w:p>
            <w:pPr>
              <w:spacing w:after="0"/>
              <w:rPr>
                <w:sz w:val="1"/>
                <w:szCs w:val="1"/>
                <w:color w:val="auto"/>
              </w:rPr>
            </w:pPr>
          </w:p>
        </w:tc>
      </w:tr>
      <w:tr>
        <w:trPr>
          <w:trHeight w:val="201"/>
        </w:trPr>
        <w:tc>
          <w:tcPr>
            <w:tcW w:w="2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Additional</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other</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36"/>
              <w:spacing w:after="0"/>
              <w:rPr>
                <w:sz w:val="20"/>
                <w:szCs w:val="20"/>
                <w:color w:val="auto"/>
              </w:rPr>
            </w:pPr>
            <w:r>
              <w:rPr>
                <w:rFonts w:ascii="Arial" w:cs="Arial" w:eastAsia="Arial" w:hAnsi="Arial"/>
                <w:sz w:val="17"/>
                <w:szCs w:val="17"/>
                <w:b w:val="1"/>
                <w:bCs w:val="1"/>
                <w:color w:val="auto"/>
                <w:w w:val="89"/>
              </w:rPr>
              <w:t>Holdings, Inc.</w:t>
            </w:r>
          </w:p>
        </w:tc>
        <w:tc>
          <w:tcPr>
            <w:tcW w:w="0" w:type="dxa"/>
            <w:vAlign w:val="bottom"/>
          </w:tcPr>
          <w:p>
            <w:pPr>
              <w:spacing w:after="0"/>
              <w:rPr>
                <w:sz w:val="1"/>
                <w:szCs w:val="1"/>
                <w:color w:val="auto"/>
              </w:rPr>
            </w:pPr>
          </w:p>
        </w:tc>
      </w:tr>
      <w:tr>
        <w:trPr>
          <w:trHeight w:val="201"/>
        </w:trPr>
        <w:tc>
          <w:tcPr>
            <w:tcW w:w="2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paid-in</w:t>
            </w:r>
          </w:p>
        </w:tc>
        <w:tc>
          <w:tcPr>
            <w:tcW w:w="116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3"/>
              </w:rPr>
              <w:t>Accumulated</w:t>
            </w:r>
          </w:p>
        </w:tc>
        <w:tc>
          <w:tcPr>
            <w:tcW w:w="13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6"/>
              </w:rPr>
              <w:t>Comprehensive</w:t>
            </w:r>
          </w:p>
        </w:tc>
        <w:tc>
          <w:tcPr>
            <w:tcW w:w="14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Statutory</w:t>
            </w:r>
          </w:p>
        </w:tc>
        <w:tc>
          <w:tcPr>
            <w:tcW w:w="120" w:type="dxa"/>
            <w:vAlign w:val="bottom"/>
          </w:tcPr>
          <w:p>
            <w:pPr>
              <w:spacing w:after="0"/>
              <w:rPr>
                <w:sz w:val="17"/>
                <w:szCs w:val="17"/>
                <w:color w:val="auto"/>
              </w:rPr>
            </w:pPr>
          </w:p>
        </w:tc>
        <w:tc>
          <w:tcPr>
            <w:tcW w:w="1120" w:type="dxa"/>
            <w:vAlign w:val="bottom"/>
          </w:tcPr>
          <w:p>
            <w:pPr>
              <w:jc w:val="center"/>
              <w:ind w:right="36"/>
              <w:spacing w:after="0"/>
              <w:rPr>
                <w:sz w:val="20"/>
                <w:szCs w:val="20"/>
                <w:color w:val="auto"/>
              </w:rPr>
            </w:pPr>
            <w:r>
              <w:rPr>
                <w:rFonts w:ascii="Arial" w:cs="Arial" w:eastAsia="Arial" w:hAnsi="Arial"/>
                <w:sz w:val="17"/>
                <w:szCs w:val="17"/>
                <w:b w:val="1"/>
                <w:bCs w:val="1"/>
                <w:color w:val="auto"/>
                <w:w w:val="88"/>
              </w:rPr>
              <w:t>Shareholders’</w:t>
            </w:r>
          </w:p>
        </w:tc>
        <w:tc>
          <w:tcPr>
            <w:tcW w:w="0" w:type="dxa"/>
            <w:vAlign w:val="bottom"/>
          </w:tcPr>
          <w:p>
            <w:pPr>
              <w:spacing w:after="0"/>
              <w:rPr>
                <w:sz w:val="1"/>
                <w:szCs w:val="1"/>
                <w:color w:val="auto"/>
              </w:rPr>
            </w:pPr>
          </w:p>
        </w:tc>
      </w:tr>
      <w:tr>
        <w:trPr>
          <w:trHeight w:val="217"/>
        </w:trPr>
        <w:tc>
          <w:tcPr>
            <w:tcW w:w="292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7"/>
                <w:szCs w:val="17"/>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Amount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capital</w:t>
            </w:r>
          </w:p>
        </w:tc>
        <w:tc>
          <w:tcPr>
            <w:tcW w:w="2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Arial" w:cs="Arial" w:eastAsia="Arial" w:hAnsi="Arial"/>
                <w:sz w:val="17"/>
                <w:szCs w:val="17"/>
                <w:b w:val="1"/>
                <w:bCs w:val="1"/>
                <w:color w:val="auto"/>
              </w:rPr>
              <w:t>deficit</w:t>
            </w: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3"/>
              </w:rPr>
              <w:t>income (loss)</w:t>
            </w: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2"/>
              </w:rPr>
              <w:t>reserves</w:t>
            </w:r>
          </w:p>
        </w:tc>
        <w:tc>
          <w:tcPr>
            <w:tcW w:w="120" w:type="dxa"/>
            <w:vAlign w:val="bottom"/>
          </w:tcPr>
          <w:p>
            <w:pPr>
              <w:spacing w:after="0"/>
              <w:rPr>
                <w:sz w:val="18"/>
                <w:szCs w:val="18"/>
                <w:color w:val="auto"/>
              </w:rPr>
            </w:pPr>
          </w:p>
        </w:tc>
        <w:tc>
          <w:tcPr>
            <w:tcW w:w="1120" w:type="dxa"/>
            <w:vAlign w:val="bottom"/>
          </w:tcPr>
          <w:p>
            <w:pPr>
              <w:jc w:val="center"/>
              <w:ind w:right="36"/>
              <w:spacing w:after="0"/>
              <w:rPr>
                <w:sz w:val="20"/>
                <w:szCs w:val="20"/>
                <w:color w:val="auto"/>
              </w:rPr>
            </w:pPr>
            <w:r>
              <w:rPr>
                <w:rFonts w:ascii="Arial" w:cs="Arial" w:eastAsia="Arial" w:hAnsi="Arial"/>
                <w:sz w:val="17"/>
                <w:szCs w:val="17"/>
                <w:b w:val="1"/>
                <w:bCs w:val="1"/>
                <w:color w:val="auto"/>
                <w:w w:val="92"/>
              </w:rPr>
              <w:t>Equity</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2021</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298,843,016</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30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1,306,034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(632,099)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6,701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6,032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686,698</w:t>
            </w:r>
          </w:p>
        </w:tc>
        <w:tc>
          <w:tcPr>
            <w:tcW w:w="0" w:type="dxa"/>
            <w:vAlign w:val="bottom"/>
          </w:tcPr>
          <w:p>
            <w:pPr>
              <w:spacing w:after="0"/>
              <w:rPr>
                <w:sz w:val="1"/>
                <w:szCs w:val="1"/>
                <w:color w:val="auto"/>
              </w:rPr>
            </w:pPr>
          </w:p>
        </w:tc>
      </w:tr>
      <w:tr>
        <w:trPr>
          <w:trHeight w:val="226"/>
        </w:trPr>
        <w:tc>
          <w:tcPr>
            <w:tcW w:w="2920" w:type="dxa"/>
            <w:vAlign w:val="bottom"/>
          </w:tcPr>
          <w:p>
            <w:pPr>
              <w:ind w:left="20"/>
              <w:spacing w:after="0"/>
              <w:rPr>
                <w:sz w:val="20"/>
                <w:szCs w:val="20"/>
                <w:color w:val="auto"/>
              </w:rPr>
            </w:pPr>
            <w:r>
              <w:rPr>
                <w:rFonts w:ascii="Arial" w:cs="Arial" w:eastAsia="Arial" w:hAnsi="Arial"/>
                <w:sz w:val="17"/>
                <w:szCs w:val="17"/>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(158,200)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(158,200)</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9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Cumulative effect adjustment related to</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4"/>
              </w:rPr>
              <w:t>opening retained earnings for adoption</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7"/>
              </w:rPr>
              <w:t xml:space="preserve">of </w:t>
            </w:r>
            <w:r>
              <w:rPr>
                <w:rFonts w:ascii="Arial" w:cs="Arial" w:eastAsia="Arial" w:hAnsi="Arial"/>
                <w:sz w:val="15"/>
                <w:szCs w:val="15"/>
                <w:color w:val="auto"/>
                <w:w w:val="97"/>
              </w:rPr>
              <w:t>ASU2016-13</w:t>
            </w:r>
            <w:r>
              <w:rPr>
                <w:rFonts w:ascii="Arial" w:cs="Arial" w:eastAsia="Arial" w:hAnsi="Arial"/>
                <w:sz w:val="17"/>
                <w:szCs w:val="17"/>
                <w:color w:val="auto"/>
                <w:w w:val="97"/>
              </w:rPr>
              <w:t>, Financial instruments-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Credit losses (Topic 326)</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7"/>
                <w:szCs w:val="17"/>
                <w:color w:val="auto"/>
                <w:w w:val="94"/>
              </w:rPr>
              <w:t>Issuance of common stock in connection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60"/>
              <w:spacing w:after="0"/>
              <w:rPr>
                <w:sz w:val="20"/>
                <w:szCs w:val="20"/>
                <w:color w:val="auto"/>
              </w:rPr>
            </w:pPr>
            <w:r>
              <w:rPr>
                <w:rFonts w:ascii="Arial" w:cs="Arial" w:eastAsia="Arial" w:hAnsi="Arial"/>
                <w:sz w:val="17"/>
                <w:szCs w:val="17"/>
                <w:color w:val="auto"/>
              </w:rPr>
              <w:t>with vesting of share-based awards</w:t>
            </w:r>
          </w:p>
        </w:tc>
        <w:tc>
          <w:tcPr>
            <w:tcW w:w="1080" w:type="dxa"/>
            <w:vAlign w:val="bottom"/>
          </w:tcPr>
          <w:p>
            <w:pPr>
              <w:jc w:val="right"/>
              <w:spacing w:after="0"/>
              <w:rPr>
                <w:sz w:val="20"/>
                <w:szCs w:val="20"/>
                <w:color w:val="auto"/>
              </w:rPr>
            </w:pPr>
            <w:r>
              <w:rPr>
                <w:rFonts w:ascii="Arial" w:cs="Arial" w:eastAsia="Arial" w:hAnsi="Arial"/>
                <w:sz w:val="17"/>
                <w:szCs w:val="17"/>
                <w:color w:val="auto"/>
              </w:rPr>
              <w:t>8,785,495</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Share-based compensation(Note 22)</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3"/>
              </w:rPr>
              <w:t>—</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110,127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110,127</w:t>
            </w:r>
          </w:p>
        </w:tc>
        <w:tc>
          <w:tcPr>
            <w:tcW w:w="0" w:type="dxa"/>
            <w:vAlign w:val="bottom"/>
          </w:tcPr>
          <w:p>
            <w:pPr>
              <w:spacing w:after="0"/>
              <w:rPr>
                <w:sz w:val="1"/>
                <w:szCs w:val="1"/>
                <w:color w:val="auto"/>
              </w:rPr>
            </w:pPr>
          </w:p>
        </w:tc>
      </w:tr>
      <w:tr>
        <w:trPr>
          <w:trHeight w:val="226"/>
        </w:trPr>
        <w:tc>
          <w:tcPr>
            <w:tcW w:w="2920" w:type="dxa"/>
            <w:vAlign w:val="bottom"/>
          </w:tcPr>
          <w:p>
            <w:pPr>
              <w:ind w:left="20"/>
              <w:spacing w:after="0"/>
              <w:rPr>
                <w:sz w:val="20"/>
                <w:szCs w:val="20"/>
                <w:color w:val="auto"/>
              </w:rPr>
            </w:pPr>
            <w:r>
              <w:rPr>
                <w:rFonts w:ascii="Arial" w:cs="Arial" w:eastAsia="Arial" w:hAnsi="Arial"/>
                <w:sz w:val="17"/>
                <w:szCs w:val="17"/>
                <w:color w:val="auto"/>
                <w:w w:val="93"/>
              </w:rPr>
              <w:t>Foreign currency translation adjustments</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(24,782)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(24,782)</w:t>
            </w:r>
          </w:p>
        </w:tc>
        <w:tc>
          <w:tcPr>
            <w:tcW w:w="0" w:type="dxa"/>
            <w:vAlign w:val="bottom"/>
          </w:tcPr>
          <w:p>
            <w:pPr>
              <w:spacing w:after="0"/>
              <w:rPr>
                <w:sz w:val="1"/>
                <w:szCs w:val="1"/>
                <w:color w:val="auto"/>
              </w:rPr>
            </w:pPr>
          </w:p>
        </w:tc>
      </w:tr>
      <w:tr>
        <w:trPr>
          <w:trHeight w:val="25"/>
        </w:trPr>
        <w:tc>
          <w:tcPr>
            <w:tcW w:w="29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2022</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307,628,511</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7"/>
                <w:szCs w:val="17"/>
                <w:color w:val="auto"/>
                <w:w w:val="84"/>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31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1,416,160</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(791,165)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(18,081)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6,032</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612,977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392"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Year Ended</w:t>
      </w:r>
    </w:p>
    <w:p>
      <w:pPr>
        <w:spacing w:after="0" w:line="11"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18415</wp:posOffset>
            </wp:positionV>
            <wp:extent cx="29330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20"/>
        </w:trPr>
        <w:tc>
          <w:tcPr>
            <w:tcW w:w="662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loss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(206,483)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(158,200)</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w w:val="95"/>
              </w:rPr>
              <w:t>Adjustments to reconcile net loss to net cash generated from/(used in) operating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Loss /(Gain) on disposal of property, plant and equipment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Depreciation of property, plant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16,097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19,975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19,811</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land use rights and intangible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Noncash lease expenses</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2,214</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Share-based compensation</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82,894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90,808</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Changes in fair value of warrant liability</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(2,469)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(979)</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Changes in fair value of Bridge Notes</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(Reversal)/allowance of doubtful accounts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721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1,640</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obsolete inventories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18,295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4,789</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Impairment loss from property, plant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2,443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1,798</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Product warranty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52,932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14,097</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Notes receivable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10,016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3,187</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Accounts receivable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(11,844)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(38,924)</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Inventories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(43,694)</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(10,980)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3,628</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Amounts due from/to related parties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Operating lease right-of-use assets</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(19,375)</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non-current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Notes payable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24,159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13,490</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Accounts payable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7,146</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Advance from customers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(971)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53,022</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Accrued expenses and other liabilities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(24,674)</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Operating lease liabilities</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14,999</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non-current liabilities</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Income tax payables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generated from/(used in) operating activities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15,556</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(45,039)</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(53,928)</w:t>
            </w:r>
          </w:p>
        </w:tc>
      </w:tr>
      <w:tr>
        <w:trPr>
          <w:trHeight w:val="237"/>
        </w:trPr>
        <w:tc>
          <w:tcPr>
            <w:tcW w:w="6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9"/>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(18,645)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(87,862)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(150,880)</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on disposal of property, plant and equipment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Purchase of short-term investments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(25,070)</w:t>
            </w:r>
          </w:p>
        </w:tc>
      </w:tr>
      <w:tr>
        <w:trPr>
          <w:trHeight w:val="238"/>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maturity of short-term investments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(17,674)</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(87,862)</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(175,945)</w:t>
            </w:r>
          </w:p>
        </w:tc>
      </w:tr>
      <w:tr>
        <w:trPr>
          <w:trHeight w:val="237"/>
        </w:trPr>
        <w:tc>
          <w:tcPr>
            <w:tcW w:w="6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bank borrowings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38,926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58,708</w:t>
            </w:r>
          </w:p>
        </w:tc>
      </w:tr>
      <w:tr>
        <w:trPr>
          <w:trHeight w:val="841"/>
        </w:trPr>
        <w:tc>
          <w:tcPr>
            <w:tcW w:w="6620" w:type="dxa"/>
            <w:vAlign w:val="bottom"/>
          </w:tcPr>
          <w:p>
            <w:pPr>
              <w:ind w:left="5460"/>
              <w:spacing w:after="0"/>
              <w:rPr>
                <w:sz w:val="20"/>
                <w:szCs w:val="20"/>
                <w:color w:val="auto"/>
              </w:rPr>
            </w:pPr>
            <w:r>
              <w:rPr>
                <w:rFonts w:ascii="Arial" w:cs="Arial" w:eastAsia="Arial" w:hAnsi="Arial"/>
                <w:sz w:val="17"/>
                <w:szCs w:val="17"/>
                <w:color w:val="auto"/>
              </w:rPr>
              <w:t>F-10</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6"/>
        </w:trPr>
        <w:tc>
          <w:tcPr>
            <w:tcW w:w="66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 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392"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Year Ended</w:t>
      </w:r>
    </w:p>
    <w:p>
      <w:pPr>
        <w:spacing w:after="0" w:line="11"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18415</wp:posOffset>
            </wp:positionV>
            <wp:extent cx="29330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1"/>
        </w:trPr>
        <w:tc>
          <w:tcPr>
            <w:tcW w:w="6620" w:type="dxa"/>
            <w:vAlign w:val="bottom"/>
          </w:tcPr>
          <w:p>
            <w:pPr>
              <w:ind w:left="160"/>
              <w:spacing w:after="0"/>
              <w:rPr>
                <w:sz w:val="20"/>
                <w:szCs w:val="20"/>
                <w:color w:val="auto"/>
              </w:rPr>
            </w:pPr>
            <w:r>
              <w:rPr>
                <w:rFonts w:ascii="Arial" w:cs="Arial" w:eastAsia="Arial" w:hAnsi="Arial"/>
                <w:sz w:val="17"/>
                <w:szCs w:val="17"/>
                <w:color w:val="auto"/>
              </w:rPr>
              <w:t>Repayment of bonds payable</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(29,259)</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Repayment of bank borrowings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(37,568)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(24,482)</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Loans borrowing from related parties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18,889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Repayment of related party loans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Cash received from the trust account upon Merger, net of transaction costs (Note 3)</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222,629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1"/>
              </w:rPr>
              <w:t>Cash received from Private Investment in Public Equity (“PIPE”) investors upon Merger (Note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6"/>
        </w:trPr>
        <w:tc>
          <w:tcPr>
            <w:tcW w:w="6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3)</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482,500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Payment to exited noncontrolling interests (Note 19)</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(139,038)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Issuance of Bridge Notes (Note 14)</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57,500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2"/>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in)/generated from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624,949</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4,967</w:t>
            </w:r>
          </w:p>
        </w:tc>
      </w:tr>
      <w:tr>
        <w:trPr>
          <w:trHeight w:val="231"/>
        </w:trPr>
        <w:tc>
          <w:tcPr>
            <w:tcW w:w="6620" w:type="dxa"/>
            <w:vAlign w:val="bottom"/>
          </w:tcPr>
          <w:p>
            <w:pPr>
              <w:ind w:left="20"/>
              <w:spacing w:after="0"/>
              <w:rPr>
                <w:sz w:val="20"/>
                <w:szCs w:val="20"/>
                <w:color w:val="auto"/>
              </w:rPr>
            </w:pPr>
            <w:r>
              <w:rPr>
                <w:rFonts w:ascii="Arial" w:cs="Arial" w:eastAsia="Arial" w:hAnsi="Arial"/>
                <w:sz w:val="17"/>
                <w:szCs w:val="17"/>
                <w:color w:val="auto"/>
              </w:rPr>
              <w:t>Effect of exchange rate changes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2,865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(8,586)</w:t>
            </w:r>
          </w:p>
        </w:tc>
      </w:tr>
      <w:tr>
        <w:trPr>
          <w:trHeight w:val="239"/>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 Increase in cash, cash equivalents and restricted cash</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494,913</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(233,492)</w:t>
            </w:r>
          </w:p>
        </w:tc>
      </w:tr>
      <w:tr>
        <w:trPr>
          <w:trHeight w:val="231"/>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cash equivalents and restricted cash at beginning of the year</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41,784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41,196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536,109</w:t>
            </w:r>
          </w:p>
        </w:tc>
      </w:tr>
      <w:tr>
        <w:trPr>
          <w:trHeight w:val="262"/>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end of the year</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536,109</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302,617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8"/>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Reconciliation to amounts on consolidated balance sheets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21,496</w:t>
            </w:r>
          </w:p>
        </w:tc>
        <w:tc>
          <w:tcPr>
            <w:tcW w:w="10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480,931</w:t>
            </w:r>
          </w:p>
        </w:tc>
        <w:tc>
          <w:tcPr>
            <w:tcW w:w="8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231,420</w:t>
            </w:r>
          </w:p>
        </w:tc>
      </w:tr>
      <w:tr>
        <w:trPr>
          <w:trHeight w:val="238"/>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cash</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19,700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55,178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71,197</w:t>
            </w:r>
          </w:p>
        </w:tc>
      </w:tr>
      <w:tr>
        <w:trPr>
          <w:trHeight w:val="237"/>
        </w:trPr>
        <w:tc>
          <w:tcPr>
            <w:tcW w:w="6620" w:type="dxa"/>
            <w:vAlign w:val="bottom"/>
          </w:tcPr>
          <w:p>
            <w:pPr>
              <w:ind w:left="160"/>
              <w:spacing w:after="0"/>
              <w:rPr>
                <w:sz w:val="20"/>
                <w:szCs w:val="20"/>
                <w:color w:val="auto"/>
              </w:rPr>
            </w:pPr>
            <w:r>
              <w:rPr>
                <w:rFonts w:ascii="Arial" w:cs="Arial" w:eastAsia="Arial" w:hAnsi="Arial"/>
                <w:sz w:val="17"/>
                <w:szCs w:val="17"/>
                <w:color w:val="auto"/>
              </w:rPr>
              <w:t>Total cash, cash equivalents and restricted cash</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41,196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536,109</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302,617</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6"/>
        </w:trPr>
        <w:tc>
          <w:tcPr>
            <w:tcW w:w="6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Supplemental disclosure of cash flow information</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paid</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5,135</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Income tax paid</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6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Non-cash investing and financing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Payable for redemption of noncontrolling interest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6"/>
        </w:trPr>
        <w:tc>
          <w:tcPr>
            <w:tcW w:w="6620" w:type="dxa"/>
            <w:vAlign w:val="bottom"/>
          </w:tcPr>
          <w:p>
            <w:pPr>
              <w:ind w:left="160"/>
              <w:spacing w:after="0"/>
              <w:rPr>
                <w:sz w:val="20"/>
                <w:szCs w:val="20"/>
                <w:color w:val="auto"/>
              </w:rPr>
            </w:pPr>
            <w:r>
              <w:rPr>
                <w:rFonts w:ascii="Arial" w:cs="Arial" w:eastAsia="Arial" w:hAnsi="Arial"/>
                <w:sz w:val="17"/>
                <w:szCs w:val="17"/>
                <w:color w:val="auto"/>
              </w:rPr>
              <w:t>Payable for purchase of property, plant and equipment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15,122</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18,500</w:t>
            </w:r>
          </w:p>
        </w:tc>
        <w:tc>
          <w:tcPr>
            <w:tcW w:w="8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29,183</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ORGANIZATION AND BUSINESS OPERATIONS</w:t>
      </w:r>
    </w:p>
    <w:p>
      <w:pPr>
        <w:spacing w:after="0" w:line="21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Microvast, Inc. was incorporated under the laws of the State of Texas in the United States of America (“USA”) on October 12, 2006 and re-domiciled to the State of Delaware on December 31, 2015. Microvast Inc. and its subsidiaries (collectively, the “Group”) are primarily engaged in developing, manufacturing, and selling electronic power products for electric vehicles and energy storage across the globe, with its primary markets and operations in the People’s Republic of China (“PRC”), Europe and the United States.</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July 23, 2021 (the “Closing Date”), Microvast, Inc. and Tuscan Holdings Corp.(“Tuscan”) consummated the previously announced merger (the “Merger”), pursuant to the Agreement and Plan of Merger (the “Merger Agreement”) dated February 1, 2021, between Tuscan, Microvast, Inc. and TSCN Merger Sub Inc., a Delaware corporation (“Merger Sub”).</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Pursuant to the Merger Agreement, the Merger Sub merged with and into Microvast, Inc., with Microvast, Inc. surviving the Merger. As a result of the Merger, Tuscan was renamed “Microvast Holdings, Inc.” (the “Company”). The Merger was accounted for as a reverse recapitalization as Microvast, Inc. was determined to be the accounting acquirer under Financial Accounting Standards Board’s Accounting Standards Codification Topic 805, Business Combinations (“ASC 805”). Please refer to Note 3 “Reverse Recapitalization” for further details of the Merger.</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Upon the completion of the Merger transaction between Microvast, Inc. and Tuscan, the share, per share value and net loss per share available to Microvast Inc.’s common stockholders in the financial statements for each of the two years ended December 31, 2021 were retroactively recast to reflect the exchange ratio established in the Merger Agreement. Refer to Note 3 for details.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details of the Company’s major subsidiaries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0"/>
              </w:rPr>
              <w:t>Date of</w:t>
            </w:r>
          </w:p>
        </w:tc>
        <w:tc>
          <w:tcPr>
            <w:tcW w:w="1600" w:type="dxa"/>
            <w:vAlign w:val="bottom"/>
          </w:tcPr>
          <w:p>
            <w:pPr>
              <w:spacing w:after="0"/>
              <w:rPr>
                <w:sz w:val="17"/>
                <w:szCs w:val="17"/>
                <w:color w:val="auto"/>
              </w:rPr>
            </w:pPr>
          </w:p>
        </w:tc>
      </w:tr>
      <w:tr>
        <w:trPr>
          <w:trHeight w:val="201"/>
        </w:trPr>
        <w:tc>
          <w:tcPr>
            <w:tcW w:w="4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incorporation</w:t>
            </w:r>
          </w:p>
        </w:tc>
        <w:tc>
          <w:tcPr>
            <w:tcW w:w="1600" w:type="dxa"/>
            <w:vAlign w:val="bottom"/>
          </w:tcPr>
          <w:p>
            <w:pPr>
              <w:jc w:val="right"/>
              <w:ind w:right="336"/>
              <w:spacing w:after="0"/>
              <w:rPr>
                <w:sz w:val="20"/>
                <w:szCs w:val="20"/>
                <w:color w:val="auto"/>
              </w:rPr>
            </w:pPr>
            <w:r>
              <w:rPr>
                <w:rFonts w:ascii="Arial" w:cs="Arial" w:eastAsia="Arial" w:hAnsi="Arial"/>
                <w:sz w:val="17"/>
                <w:szCs w:val="17"/>
                <w:b w:val="1"/>
                <w:bCs w:val="1"/>
                <w:color w:val="auto"/>
              </w:rPr>
              <w:t>Percentage</w:t>
            </w:r>
          </w:p>
        </w:tc>
      </w:tr>
      <w:tr>
        <w:trPr>
          <w:trHeight w:val="217"/>
        </w:trPr>
        <w:tc>
          <w:tcPr>
            <w:tcW w:w="4500" w:type="dxa"/>
            <w:vAlign w:val="bottom"/>
            <w:gridSpan w:val="2"/>
          </w:tcPr>
          <w:p>
            <w:pPr>
              <w:ind w:left="20"/>
              <w:spacing w:after="0"/>
              <w:rPr>
                <w:sz w:val="20"/>
                <w:szCs w:val="20"/>
                <w:color w:val="auto"/>
              </w:rPr>
            </w:pPr>
            <w:r>
              <w:rPr>
                <w:rFonts w:ascii="Arial" w:cs="Arial" w:eastAsia="Arial" w:hAnsi="Arial"/>
                <w:sz w:val="17"/>
                <w:szCs w:val="17"/>
                <w:b w:val="1"/>
                <w:bCs w:val="1"/>
                <w:color w:val="auto"/>
              </w:rPr>
              <w:t>Subsidiaries</w:t>
            </w:r>
          </w:p>
        </w:tc>
        <w:tc>
          <w:tcPr>
            <w:tcW w:w="2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Place of incorporation</w:t>
            </w:r>
          </w:p>
        </w:tc>
        <w:tc>
          <w:tcPr>
            <w:tcW w:w="2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or acquisition</w:t>
            </w:r>
          </w:p>
        </w:tc>
        <w:tc>
          <w:tcPr>
            <w:tcW w:w="1600" w:type="dxa"/>
            <w:vAlign w:val="bottom"/>
          </w:tcPr>
          <w:p>
            <w:pPr>
              <w:jc w:val="right"/>
              <w:ind w:right="256"/>
              <w:spacing w:after="0"/>
              <w:rPr>
                <w:sz w:val="20"/>
                <w:szCs w:val="20"/>
                <w:color w:val="auto"/>
              </w:rPr>
            </w:pPr>
            <w:r>
              <w:rPr>
                <w:rFonts w:ascii="Arial" w:cs="Arial" w:eastAsia="Arial" w:hAnsi="Arial"/>
                <w:sz w:val="17"/>
                <w:szCs w:val="17"/>
                <w:b w:val="1"/>
                <w:bCs w:val="1"/>
                <w:color w:val="auto"/>
              </w:rPr>
              <w:t>of ownership</w:t>
            </w:r>
          </w:p>
        </w:tc>
      </w:tr>
      <w:tr>
        <w:trPr>
          <w:trHeight w:val="25"/>
        </w:trPr>
        <w:tc>
          <w:tcPr>
            <w:tcW w:w="4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Microvast, Inc. (“</w:t>
            </w:r>
            <w:r>
              <w:rPr>
                <w:rFonts w:ascii="Arial" w:cs="Arial" w:eastAsia="Arial" w:hAnsi="Arial"/>
                <w:sz w:val="17"/>
                <w:szCs w:val="17"/>
                <w:b w:val="1"/>
                <w:bCs w:val="1"/>
                <w:i w:val="1"/>
                <w:iCs w:val="1"/>
                <w:color w:val="auto"/>
              </w:rPr>
              <w:t>Microvast</w:t>
            </w:r>
            <w:r>
              <w:rPr>
                <w:rFonts w:ascii="Arial" w:cs="Arial" w:eastAsia="Arial" w:hAnsi="Arial"/>
                <w:sz w:val="17"/>
                <w:szCs w:val="17"/>
                <w:color w:val="auto"/>
              </w:rPr>
              <w:t>”)</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Delaware, USA</w:t>
            </w:r>
          </w:p>
        </w:tc>
        <w:tc>
          <w:tcPr>
            <w:tcW w:w="25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89"/>
              </w:rPr>
              <w:t>October 2006</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45"/>
        </w:trPr>
        <w:tc>
          <w:tcPr>
            <w:tcW w:w="4500" w:type="dxa"/>
            <w:vAlign w:val="bottom"/>
            <w:gridSpan w:val="2"/>
          </w:tcPr>
          <w:p>
            <w:pPr>
              <w:ind w:left="20"/>
              <w:spacing w:after="0"/>
              <w:rPr>
                <w:sz w:val="20"/>
                <w:szCs w:val="20"/>
                <w:color w:val="auto"/>
              </w:rPr>
            </w:pPr>
            <w:r>
              <w:rPr>
                <w:rFonts w:ascii="Arial" w:cs="Arial" w:eastAsia="Arial" w:hAnsi="Arial"/>
                <w:sz w:val="17"/>
                <w:szCs w:val="17"/>
                <w:color w:val="auto"/>
              </w:rPr>
              <w:t>Microvast Power Solutions, Inc (“</w:t>
            </w:r>
            <w:r>
              <w:rPr>
                <w:rFonts w:ascii="Arial" w:cs="Arial" w:eastAsia="Arial" w:hAnsi="Arial"/>
                <w:sz w:val="17"/>
                <w:szCs w:val="17"/>
                <w:b w:val="1"/>
                <w:bCs w:val="1"/>
                <w:i w:val="1"/>
                <w:iCs w:val="1"/>
                <w:color w:val="auto"/>
              </w:rPr>
              <w:t>MP Solutions</w:t>
            </w:r>
            <w:r>
              <w:rPr>
                <w:rFonts w:ascii="Arial" w:cs="Arial" w:eastAsia="Arial" w:hAnsi="Arial"/>
                <w:sz w:val="17"/>
                <w:szCs w:val="17"/>
                <w:color w:val="auto"/>
              </w:rPr>
              <w:t>”)</w:t>
            </w:r>
          </w:p>
        </w:tc>
        <w:tc>
          <w:tcPr>
            <w:tcW w:w="256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Texas, USA</w:t>
            </w:r>
          </w:p>
        </w:tc>
        <w:tc>
          <w:tcPr>
            <w:tcW w:w="258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July 2013</w:t>
            </w:r>
          </w:p>
        </w:tc>
        <w:tc>
          <w:tcPr>
            <w:tcW w:w="160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57"/>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Microvast Power Systems Co., Ltd. (“</w:t>
            </w:r>
            <w:r>
              <w:rPr>
                <w:rFonts w:ascii="Arial" w:cs="Arial" w:eastAsia="Arial" w:hAnsi="Arial"/>
                <w:sz w:val="17"/>
                <w:szCs w:val="17"/>
                <w:b w:val="1"/>
                <w:bCs w:val="1"/>
                <w:i w:val="1"/>
                <w:iCs w:val="1"/>
                <w:color w:val="auto"/>
              </w:rPr>
              <w:t>MPS</w:t>
            </w:r>
            <w:r>
              <w:rPr>
                <w:rFonts w:ascii="Arial" w:cs="Arial" w:eastAsia="Arial" w:hAnsi="Arial"/>
                <w:sz w:val="17"/>
                <w:szCs w:val="17"/>
                <w:color w:val="auto"/>
              </w:rPr>
              <w:t>”)</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Huzhou, PRC</w:t>
            </w:r>
          </w:p>
        </w:tc>
        <w:tc>
          <w:tcPr>
            <w:tcW w:w="25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7"/>
              </w:rPr>
              <w:t>December 2006</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45"/>
        </w:trPr>
        <w:tc>
          <w:tcPr>
            <w:tcW w:w="4500" w:type="dxa"/>
            <w:vAlign w:val="bottom"/>
            <w:gridSpan w:val="2"/>
          </w:tcPr>
          <w:p>
            <w:pPr>
              <w:ind w:left="20"/>
              <w:spacing w:after="0"/>
              <w:rPr>
                <w:sz w:val="20"/>
                <w:szCs w:val="20"/>
                <w:color w:val="auto"/>
              </w:rPr>
            </w:pPr>
            <w:r>
              <w:rPr>
                <w:rFonts w:ascii="Arial" w:cs="Arial" w:eastAsia="Arial" w:hAnsi="Arial"/>
                <w:sz w:val="17"/>
                <w:szCs w:val="17"/>
                <w:color w:val="auto"/>
              </w:rPr>
              <w:t>Microvast GmbH (“</w:t>
            </w:r>
            <w:r>
              <w:rPr>
                <w:rFonts w:ascii="Arial" w:cs="Arial" w:eastAsia="Arial" w:hAnsi="Arial"/>
                <w:sz w:val="17"/>
                <w:szCs w:val="17"/>
                <w:b w:val="1"/>
                <w:bCs w:val="1"/>
                <w:i w:val="1"/>
                <w:iCs w:val="1"/>
                <w:color w:val="auto"/>
              </w:rPr>
              <w:t>MV GmbH</w:t>
            </w:r>
            <w:r>
              <w:rPr>
                <w:rFonts w:ascii="Arial" w:cs="Arial" w:eastAsia="Arial" w:hAnsi="Arial"/>
                <w:sz w:val="17"/>
                <w:szCs w:val="17"/>
                <w:color w:val="auto"/>
              </w:rPr>
              <w:t>”)</w:t>
            </w:r>
          </w:p>
        </w:tc>
        <w:tc>
          <w:tcPr>
            <w:tcW w:w="256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Germany</w:t>
            </w:r>
          </w:p>
        </w:tc>
        <w:tc>
          <w:tcPr>
            <w:tcW w:w="258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May 2016</w:t>
            </w:r>
          </w:p>
        </w:tc>
        <w:tc>
          <w:tcPr>
            <w:tcW w:w="1600" w:type="dxa"/>
            <w:vAlign w:val="bottom"/>
          </w:tcPr>
          <w:p>
            <w:pPr>
              <w:jc w:val="right"/>
              <w:spacing w:after="0"/>
              <w:rPr>
                <w:sz w:val="20"/>
                <w:szCs w:val="20"/>
                <w:color w:val="auto"/>
              </w:rPr>
            </w:pPr>
            <w:r>
              <w:rPr>
                <w:rFonts w:ascii="Arial" w:cs="Arial" w:eastAsia="Arial" w:hAnsi="Arial"/>
                <w:sz w:val="17"/>
                <w:szCs w:val="17"/>
                <w:color w:val="auto"/>
              </w:rPr>
              <w:t>100 %</w:t>
            </w:r>
          </w:p>
        </w:tc>
      </w:tr>
      <w:tr>
        <w:trPr>
          <w:trHeight w:val="207"/>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Huzhou Hongwei New Energy Automobile Co., Ltd.</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8"/>
        </w:trPr>
        <w:tc>
          <w:tcPr>
            <w:tcW w:w="4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Hongwei</w:t>
            </w:r>
            <w:r>
              <w:rPr>
                <w:rFonts w:ascii="Arial" w:cs="Arial" w:eastAsia="Arial" w:hAnsi="Arial"/>
                <w:sz w:val="17"/>
                <w:szCs w:val="17"/>
                <w:color w:val="auto"/>
              </w:rPr>
              <w:t>”)</w:t>
            </w:r>
          </w:p>
        </w:tc>
        <w:tc>
          <w:tcPr>
            <w:tcW w:w="25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0"/>
              </w:rPr>
              <w:t>Huzhou, PRC</w:t>
            </w:r>
          </w:p>
        </w:tc>
        <w:tc>
          <w:tcPr>
            <w:tcW w:w="25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7"/>
              </w:rPr>
              <w:t>December 2016</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38"/>
        </w:trPr>
        <w:tc>
          <w:tcPr>
            <w:tcW w:w="4500" w:type="dxa"/>
            <w:vAlign w:val="bottom"/>
            <w:gridSpan w:val="2"/>
          </w:tcPr>
          <w:p>
            <w:pPr>
              <w:ind w:left="20"/>
              <w:spacing w:after="0"/>
              <w:rPr>
                <w:sz w:val="20"/>
                <w:szCs w:val="20"/>
                <w:color w:val="auto"/>
              </w:rPr>
            </w:pPr>
            <w:r>
              <w:rPr>
                <w:rFonts w:ascii="Arial" w:cs="Arial" w:eastAsia="Arial" w:hAnsi="Arial"/>
                <w:sz w:val="17"/>
                <w:szCs w:val="17"/>
                <w:color w:val="auto"/>
              </w:rPr>
              <w:t>Microvast Energy, Inc. (“</w:t>
            </w:r>
            <w:r>
              <w:rPr>
                <w:rFonts w:ascii="Arial" w:cs="Arial" w:eastAsia="Arial" w:hAnsi="Arial"/>
                <w:sz w:val="17"/>
                <w:szCs w:val="17"/>
                <w:b w:val="1"/>
                <w:bCs w:val="1"/>
                <w:i w:val="1"/>
                <w:iCs w:val="1"/>
                <w:color w:val="auto"/>
              </w:rPr>
              <w:t>MV Energy</w:t>
            </w:r>
            <w:r>
              <w:rPr>
                <w:rFonts w:ascii="Arial" w:cs="Arial" w:eastAsia="Arial" w:hAnsi="Arial"/>
                <w:sz w:val="17"/>
                <w:szCs w:val="17"/>
                <w:color w:val="auto"/>
              </w:rPr>
              <w:t>”)</w:t>
            </w:r>
          </w:p>
        </w:tc>
        <w:tc>
          <w:tcPr>
            <w:tcW w:w="2560" w:type="dxa"/>
            <w:vAlign w:val="bottom"/>
            <w:gridSpan w:val="2"/>
          </w:tcPr>
          <w:p>
            <w:pPr>
              <w:jc w:val="center"/>
              <w:ind w:right="80"/>
              <w:spacing w:after="0"/>
              <w:rPr>
                <w:sz w:val="20"/>
                <w:szCs w:val="20"/>
                <w:color w:val="auto"/>
              </w:rPr>
            </w:pPr>
            <w:r>
              <w:rPr>
                <w:rFonts w:ascii="Arial" w:cs="Arial" w:eastAsia="Arial" w:hAnsi="Arial"/>
                <w:sz w:val="17"/>
                <w:szCs w:val="17"/>
                <w:color w:val="auto"/>
                <w:w w:val="91"/>
              </w:rPr>
              <w:t>Colorado, USA</w:t>
            </w:r>
          </w:p>
        </w:tc>
        <w:tc>
          <w:tcPr>
            <w:tcW w:w="258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July 2022</w:t>
            </w:r>
          </w:p>
        </w:tc>
        <w:tc>
          <w:tcPr>
            <w:tcW w:w="1600" w:type="dxa"/>
            <w:vAlign w:val="bottom"/>
          </w:tcPr>
          <w:p>
            <w:pPr>
              <w:jc w:val="right"/>
              <w:spacing w:after="0"/>
              <w:rPr>
                <w:sz w:val="20"/>
                <w:szCs w:val="20"/>
                <w:color w:val="auto"/>
              </w:rPr>
            </w:pPr>
            <w:r>
              <w:rPr>
                <w:rFonts w:ascii="Arial" w:cs="Arial" w:eastAsia="Arial" w:hAnsi="Arial"/>
                <w:sz w:val="17"/>
                <w:szCs w:val="17"/>
                <w:color w:val="auto"/>
              </w:rPr>
              <w:t>100 %</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consolidated financial statements of the Group have been prepared in accordance with the generally accepted accounting principles in the United States of America (“U.S. GAAP”).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w:t>
      </w:r>
    </w:p>
    <w:p>
      <w:pPr>
        <w:spacing w:after="0" w:line="206"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The consolidated financial statements of the Group include the financial statements of the Company and its subsidiaries. All intercompany transactions and balances have been eliminated upon consolidation.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interests and redeemable noncontrolling interests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For the Company’s consolidated subsidiaries, noncontrolling interests are recognized to reflect the portion of their equity that is not attributable, directly or indirectly, to the Company as the controlling shareholder. Noncontrolling interests are classified as a separate line item in the equity section of the Company’s consolidated balance sheets and have been separately disclosed in the Company’s consolidated statements of operations and comprehensive loss to distinguish the interests from that of the Company.</w:t>
      </w:r>
    </w:p>
    <w:p>
      <w:pPr>
        <w:spacing w:after="0" w:line="180"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Noncontrolling interests in subsidiaries that are redeemable at the option of the holder and not solely within the control of the Company for cash or other assets are classified outside of permanent equity at redemption value as redeemable noncontrolling interests. If the redemption event is probable to occur, the Company records the redeemable noncontrolling interests at the redemption value on each balance sheet date with the changes recognized as an adjustment to equity.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06"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assets and liabilities, revenue, costs and expenses in the consolidated financial statements and accompanying notes, and disclosure of contingent liabilities at the date of the consolidated financial statements. Actual results could differ from these estimates. Significant accounting estimates reflected in the Group’s financial statements include allowance for doubtful accounts, provision for obsolete inventories, impairment of long-lived assets, valuation allowance for deferred tax assets, product warranties, fair value measurement of Bridge Notes, fair value measurement of warrant liability and share based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w:t>
      </w:r>
    </w:p>
    <w:p>
      <w:pPr>
        <w:spacing w:after="0" w:line="20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Pursuant to the JOBS Act, an emerging growth company may adopt new or revised accounting standards that may be issued by FASB or the SEC either (i) within the same periods as those otherwise applicable to non-emerging growth companies or (ii) within the same time periods as private companies. The Company intends to take advantage of the exemption for complying with new or revised accounting standards within the same time periods as private companies. Accordingly, the information contained herein may be different than the information provided by other public companies.</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 also intends to take advantage of some of the reduced regulatory and reporting requirements of emerging growth companies pursuant to the JOBS Act so long as the Company qualifies as an emerging growth company, including, but not limited to, an exemption from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06"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Cash and cash equivalents consist of cash on hand and highly liquid investments, which are unrestricted from withdrawal or use, or which have maturities of three months or less.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206" w:lineRule="exact"/>
        <w:rPr>
          <w:sz w:val="20"/>
          <w:szCs w:val="20"/>
          <w:color w:val="auto"/>
        </w:rPr>
      </w:pPr>
    </w:p>
    <w:p>
      <w:pPr>
        <w:jc w:val="both"/>
        <w:ind w:right="260"/>
        <w:spacing w:after="0" w:line="280" w:lineRule="auto"/>
        <w:rPr>
          <w:sz w:val="20"/>
          <w:szCs w:val="20"/>
          <w:color w:val="auto"/>
        </w:rPr>
      </w:pPr>
      <w:r>
        <w:rPr>
          <w:rFonts w:ascii="Arial" w:cs="Arial" w:eastAsia="Arial" w:hAnsi="Arial"/>
          <w:sz w:val="16"/>
          <w:szCs w:val="16"/>
          <w:color w:val="auto"/>
        </w:rPr>
        <w:t>Restricted cash represents deposits made to banks to secure bank acceptance notes (or Notes Payable), letters of credit issued by the Group, and restricted use bank borrowings (see Note 12). It is common in the PRC that the banks require the Group to pledge notes receivable or make a deposit as collateral. The deposits and the matured bank acceptance notes from its customers are recorded as restricted cash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7" w:name="page88"/>
    <w:bookmarkEnd w:id="8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9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Accounts receivable represents those receivables derived in the ordinary course of business, net of allowance for doubtful accounts. Beginning on January 1, 2022, the Group evaluates its accounts receivable for expected credit losses on a regular basis. The Group maintains an estimated allowance for credit losses to reduce its accounts receivable to the amount that it believes will be collected. The Group uses the creditworthiness of customers, aging of the receivables, past transaction history with customers and their current condition, changes in customer payment terms, specific facts and circumstances, and the overall economic climate in the industries the Group serves to monitor the Group's receivables within the scope of expected credit losses model and use these as a basis to develop the Group's expected loss estimates.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Notes receivable and payable</w:t>
      </w:r>
    </w:p>
    <w:p>
      <w:pPr>
        <w:spacing w:after="0" w:line="194" w:lineRule="exact"/>
        <w:rPr>
          <w:sz w:val="20"/>
          <w:szCs w:val="20"/>
          <w:color w:val="auto"/>
        </w:rPr>
      </w:pPr>
    </w:p>
    <w:p>
      <w:pPr>
        <w:ind w:right="60"/>
        <w:spacing w:after="0" w:line="281" w:lineRule="auto"/>
        <w:rPr>
          <w:sz w:val="20"/>
          <w:szCs w:val="20"/>
          <w:color w:val="auto"/>
        </w:rPr>
      </w:pPr>
      <w:r>
        <w:rPr>
          <w:rFonts w:ascii="Arial" w:cs="Arial" w:eastAsia="Arial" w:hAnsi="Arial"/>
          <w:sz w:val="15"/>
          <w:szCs w:val="15"/>
          <w:color w:val="auto"/>
        </w:rPr>
        <w:t>The Group accepts bank acceptance notes (“notes”) from customers in the PRC in the normal course of business. The Group may present these notes with banks in the PRC for cash payment or endorse these notes to its suppliers to settle its accounts payable. The Group derecongnised the endorsed notes upon transferring them to its suppliers as the Group loses effective control over these notes. Notes receivable and payable are typically non-interest bearing and have maturities of one year or less.</w:t>
      </w:r>
    </w:p>
    <w:p>
      <w:pPr>
        <w:spacing w:after="0" w:line="160"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As of December 31, 2021 and 2022, the balance of notes receivable were $11,144 and $2,196, respectively while certain notes receivable have been pledged to our banks to secure their issuance of bank acceptance notes for the Group.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Short-term investments</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Group’s short-term held-to-maturity investments are classified based on their contractual maturity dates which are less than one year and are recorded at their amortized costs. The Company recognized $37, $ nil and $70 interest income from the short-term investments for the years ended December 31, 2020, 2021 and 2022, respectively.</w:t>
      </w:r>
    </w:p>
    <w:p>
      <w:pPr>
        <w:spacing w:after="0" w:line="17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Group reviews its held-to-maturity investments for other-than-temporary impairment (“OTTI”) based on the specific identification method. The Group considers available quantitative and qualitative evidence in evaluating the potential impairment of its short-term investments. If the cost of an investment exceeds the investment’s fair value, the Group considers, among other factors, general market conditions, expected future performance of the instruments, the duration and the extent to which the fair value of the investment is less than the cost, and the Group’s intent and ability to hold the investments. OTTI is recognized as a loss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 net</w:t>
      </w:r>
    </w:p>
    <w:p>
      <w:pPr>
        <w:spacing w:after="0" w:line="19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Inventories of the Group consist of raw materials, work in process and finished goods. Inventories are stated at the lower of cost or net realizable value. Inventory costs include expenses that are directly or indirectly incurred in the acquisition and production process, including shipping and handling costs charged by suppliers. The cost of materials and supplies used in production, direct labor costs and allocated overhead costs are all included in the inventory costs. The allocated overhead cost includes depreciation, insurance, employee benefits, and indirect labor. Cost is determined using the weighted average method. Inventories are written down to net realizable value taking into consideration of estimates of future demand, technology developments, market conditions and reasonably predicative costs of completion or disposal.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Prepaid expenses and other current assets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and other current assets primarily consist of advances to suppliers, prepaid expenses, deposits and value-added tax receivables.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 net</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Property, plant and equipment are carried at cost less accumulated depreciation. Depreciation is calculated on a straight-line basis over the following estimated useful lives:</w:t>
      </w:r>
    </w:p>
    <w:p>
      <w:pPr>
        <w:sectPr>
          <w:pgSz w:w="11900" w:h="16838" w:orient="portrait"/>
          <w:cols w:equalWidth="0" w:num="1">
            <w:col w:w="11240"/>
          </w:cols>
          <w:pgMar w:left="320" w:top="123" w:right="339" w:bottom="1440" w:gutter="0" w:footer="0" w:header="0"/>
        </w:sect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5"/>
          <w:szCs w:val="15"/>
          <w:color w:val="auto"/>
        </w:rPr>
        <w:t>Buildings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5040"/>
        <w:spacing w:after="0"/>
        <w:rPr>
          <w:sz w:val="20"/>
          <w:szCs w:val="20"/>
          <w:color w:val="auto"/>
        </w:rPr>
      </w:pPr>
      <w:r>
        <w:rPr>
          <w:rFonts w:ascii="Arial" w:cs="Arial" w:eastAsia="Arial" w:hAnsi="Arial"/>
          <w:sz w:val="14"/>
          <w:szCs w:val="14"/>
          <w:color w:val="auto"/>
        </w:rPr>
        <w:t>20 years</w:t>
      </w:r>
    </w:p>
    <w:p>
      <w:pPr>
        <w:spacing w:after="0" w:line="77" w:lineRule="exact"/>
        <w:rPr>
          <w:sz w:val="20"/>
          <w:szCs w:val="20"/>
          <w:color w:val="auto"/>
        </w:rPr>
      </w:pPr>
    </w:p>
    <w:p>
      <w:pPr>
        <w:sectPr>
          <w:pgSz w:w="11900" w:h="16838" w:orient="portrait"/>
          <w:cols w:equalWidth="0" w:num="2">
            <w:col w:w="4920" w:space="720"/>
            <w:col w:w="5600"/>
          </w:cols>
          <w:pgMar w:left="320" w:top="123"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Machineries and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10 years</w:t>
      </w:r>
    </w:p>
    <w:p>
      <w:pPr>
        <w:spacing w:after="0" w:line="77" w:lineRule="exact"/>
        <w:rPr>
          <w:sz w:val="20"/>
          <w:szCs w:val="20"/>
          <w:color w:val="auto"/>
        </w:rPr>
      </w:pPr>
    </w:p>
    <w:p>
      <w:pPr>
        <w:sectPr>
          <w:pgSz w:w="11900" w:h="16838" w:orient="portrait"/>
          <w:cols w:equalWidth="0" w:num="2">
            <w:col w:w="4920" w:space="720"/>
            <w:col w:w="5600"/>
          </w:cols>
          <w:pgMar w:left="320" w:top="123"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Fixtures and electronic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4 - 5 years</w:t>
      </w:r>
    </w:p>
    <w:p>
      <w:pPr>
        <w:spacing w:after="0" w:line="77" w:lineRule="exact"/>
        <w:rPr>
          <w:sz w:val="20"/>
          <w:szCs w:val="20"/>
          <w:color w:val="auto"/>
        </w:rPr>
      </w:pPr>
    </w:p>
    <w:p>
      <w:pPr>
        <w:sectPr>
          <w:pgSz w:w="11900" w:h="16838" w:orient="portrait"/>
          <w:cols w:equalWidth="0" w:num="2">
            <w:col w:w="4920" w:space="720"/>
            <w:col w:w="5600"/>
          </w:cols>
          <w:pgMar w:left="320" w:top="123"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Motor vehicles</w:t>
      </w:r>
    </w:p>
    <w:p>
      <w:pPr>
        <w:spacing w:after="0" w:line="20" w:lineRule="exact"/>
        <w:rPr>
          <w:sz w:val="20"/>
          <w:szCs w:val="20"/>
          <w:color w:val="auto"/>
        </w:rPr>
      </w:pPr>
      <w:r>
        <w:rPr>
          <w:sz w:val="20"/>
          <w:szCs w:val="20"/>
          <w:color w:val="auto"/>
        </w:rPr>
        <w:br w:type="column"/>
      </w:r>
    </w:p>
    <w:p>
      <w:pPr>
        <w:jc w:val="center"/>
        <w:ind w:right="5120"/>
        <w:spacing w:after="0"/>
        <w:rPr>
          <w:sz w:val="20"/>
          <w:szCs w:val="20"/>
          <w:color w:val="auto"/>
        </w:rPr>
      </w:pPr>
      <w:r>
        <w:rPr>
          <w:rFonts w:ascii="Arial" w:cs="Arial" w:eastAsia="Arial" w:hAnsi="Arial"/>
          <w:sz w:val="14"/>
          <w:szCs w:val="14"/>
          <w:color w:val="auto"/>
        </w:rPr>
        <w:t>5 years</w:t>
      </w:r>
    </w:p>
    <w:p>
      <w:pPr>
        <w:spacing w:after="0" w:line="77" w:lineRule="exact"/>
        <w:rPr>
          <w:sz w:val="20"/>
          <w:szCs w:val="20"/>
          <w:color w:val="auto"/>
        </w:rPr>
      </w:pPr>
    </w:p>
    <w:p>
      <w:pPr>
        <w:sectPr>
          <w:pgSz w:w="11900" w:h="16838" w:orient="portrait"/>
          <w:cols w:equalWidth="0" w:num="2">
            <w:col w:w="4920" w:space="720"/>
            <w:col w:w="5600"/>
          </w:cols>
          <w:pgMar w:left="320" w:top="123"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Shorter of the lease term or estimated useful lives</w:t>
      </w:r>
    </w:p>
    <w:p>
      <w:pPr>
        <w:spacing w:after="0" w:line="200" w:lineRule="exact"/>
        <w:rPr>
          <w:sz w:val="20"/>
          <w:szCs w:val="20"/>
          <w:color w:val="auto"/>
        </w:rPr>
      </w:pPr>
    </w:p>
    <w:p>
      <w:pPr>
        <w:sectPr>
          <w:pgSz w:w="11900" w:h="16838" w:orient="portrait"/>
          <w:cols w:equalWidth="0" w:num="2">
            <w:col w:w="4920" w:space="720"/>
            <w:col w:w="5600"/>
          </w:cols>
          <w:pgMar w:left="320" w:top="123" w:right="339" w:bottom="1440" w:gutter="0" w:footer="0" w:header="0"/>
          <w:type w:val="continuous"/>
        </w:sectPr>
      </w:pPr>
    </w:p>
    <w:p>
      <w:pPr>
        <w:spacing w:after="0" w:line="130" w:lineRule="exact"/>
        <w:rPr>
          <w:sz w:val="20"/>
          <w:szCs w:val="20"/>
          <w:color w:val="auto"/>
        </w:rPr>
      </w:pPr>
    </w:p>
    <w:p>
      <w:pPr>
        <w:jc w:val="both"/>
        <w:ind w:right="380"/>
        <w:spacing w:after="0" w:line="257" w:lineRule="auto"/>
        <w:rPr>
          <w:sz w:val="20"/>
          <w:szCs w:val="20"/>
          <w:color w:val="auto"/>
        </w:rPr>
      </w:pPr>
      <w:r>
        <w:rPr>
          <w:rFonts w:ascii="Arial" w:cs="Arial" w:eastAsia="Arial" w:hAnsi="Arial"/>
          <w:sz w:val="17"/>
          <w:szCs w:val="17"/>
          <w:color w:val="auto"/>
        </w:rPr>
        <w:t>Construction in progress represents manufacturing facilities and equipment under construction, and is stated at cost. The capitalization of these costs ceases when construction in progress is transferred to property, plant and equipment and substantially ready for its intended use. No depreciation is recorded for construction in progress. Repair and maintenance costs are charged to expenses as incurred.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Land use rights, net</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Land use rights are recorded at cost less accumulated amortization. Amortization is provided on a straight-line basis over the estimated useful lives, which are generally 50 years and represent the shorter of the estimated usage periods or the terms of the land use rights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Acquired intangible assets, net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Acquired intangible assets with definite lives are amortized on a straight-line basis over their expected useful economic lives.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06"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Company reviews long-lived assets with finite lives, including identifiable intangible assets with determinable useful lives, for impairment whenever events or changes in circumstances indicate that the carrying amount of an asset may not be recoverable. Recoverability of assets to be held and used is measured by a comparison of the carrying amount of an asset to the future net undiscounted cash flows expected to be generated by the asset. If such assets are considered to be impaired, the impairment recognized is measured by the amount by which the carrying amount of the assets exceeds the fair value of the assets. Fair value is estimated based on various valuation techniques, including the discounted value of estimated future cash flows. The evaluation of asset impairment requires the Group to make assumptions about future cash flows over the life of the asset being evaluated. These assumptions require significant judgment and actual results may differ from assumed and estimated amounts. During the years ended December 31, 2020, 2021 and 2022, the Group recognized impairment losses of $567, $2,443 and $1,798 related to long-lived assets,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Financial instruments include cash and cash equivalents, restricted cash, short-term investments, accounts receivable, notes receivable, other receivable, amounts due from/to related parties, accounts payable, short-term bank borrowings, notes payable, bonds payable, Bridge Notes and warrant liability. The Group carries its cash and cash equivalents, restricted cash, Bridge Notes and warrant liability at fair value. The carrying values of other current financial instruments approximate their fair values reported in the consolidated balance sheets due to their short-term maturity.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206"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4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Authoritative literature provides a fair value hierarchy that requires an entity to maximize the use of observable inputs and minimize the use of unobservable inputs when measuring fair value. An asset or liability categorization within the fair value hierarchy is based upon the lowest level of input that is significant to the fair value measurement as follows: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Level 1 applies to assets or liabilities for which there are quoted prices in active markets for identical assets or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2</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Level 2 applies to assets or liabilities for which there are inputs other than quoted prices included within Level 1 that are observable for the assets or liabilities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3</w:t>
      </w:r>
    </w:p>
    <w:p>
      <w:pPr>
        <w:spacing w:after="0" w:line="20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Level 3 applies to assets or liabilities for which there are unobservable inputs to the valuation methodology that are significant to the measurement of the fair value of the assets or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Goods and Services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Group’s revenue consists primarily of sales of lithium-ion batteries. The obligation of the Group is providing the battery products. Revenue is recognized at the point of time when control of the promised goods or services is transferred to the customer, in an amount that reflects the consideration the Group expects to be entitled to in exchange for the goods or services.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balances</w:t>
      </w:r>
    </w:p>
    <w:p>
      <w:pPr>
        <w:spacing w:after="0" w:line="206" w:lineRule="exact"/>
        <w:rPr>
          <w:sz w:val="20"/>
          <w:szCs w:val="20"/>
          <w:color w:val="auto"/>
        </w:rPr>
      </w:pPr>
    </w:p>
    <w:p>
      <w:pPr>
        <w:ind w:right="40"/>
        <w:spacing w:after="0" w:line="290" w:lineRule="auto"/>
        <w:rPr>
          <w:sz w:val="20"/>
          <w:szCs w:val="20"/>
          <w:color w:val="auto"/>
        </w:rPr>
      </w:pPr>
      <w:r>
        <w:rPr>
          <w:rFonts w:ascii="Arial" w:cs="Arial" w:eastAsia="Arial" w:hAnsi="Arial"/>
          <w:sz w:val="15"/>
          <w:szCs w:val="15"/>
          <w:color w:val="auto"/>
        </w:rPr>
        <w:t>Contract balances include accounts receivable and advances from customers. Accounts receivable represent cash not received from customers and are recorded when the rights to consideration is unconditional. The allowance for doubtful accounts reflects the best estimate of probable losses inherent to the accounts receivable balance. Contract liabilities, recorded in advance from customers in the consolidated balance sheet, represent payment received in advance or payment received related to a material right provided to a customer to acquire additional goods or services at a discount in a future period. During the years ended December 31, 2020, 2021 and 2022, the Group recognized $582, $1,455 and $1,151 of revenue previously included in advance from customers as of January 1, 2020, January 1, 2021 and January 1, 2022, respectively, which consist of payments received in advance related to its sales of lithium-ion batteries.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Value added taxes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The Group reports revenue net of VAT. Entities in PRC that are VAT general tax payers are allowed to offset qualified VAT paid against their output VAT liabilities.</w:t>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0" w:name="page91"/>
    <w:bookmarkEnd w:id="9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06" w:lineRule="exact"/>
        <w:rPr>
          <w:sz w:val="20"/>
          <w:szCs w:val="20"/>
          <w:color w:val="auto"/>
        </w:rPr>
      </w:pPr>
    </w:p>
    <w:p>
      <w:pPr>
        <w:jc w:val="both"/>
        <w:ind w:right="380"/>
        <w:spacing w:after="0" w:line="299" w:lineRule="auto"/>
        <w:rPr>
          <w:sz w:val="20"/>
          <w:szCs w:val="20"/>
          <w:color w:val="auto"/>
        </w:rPr>
      </w:pPr>
      <w:r>
        <w:rPr>
          <w:rFonts w:ascii="Arial" w:cs="Arial" w:eastAsia="Arial" w:hAnsi="Arial"/>
          <w:sz w:val="16"/>
          <w:szCs w:val="16"/>
          <w:color w:val="auto"/>
        </w:rPr>
        <w:t>Cost of revenues primarily consists of the cost of the products ultimately sold to customers, shipping and handling costs charged to the Group in the sales, product warranty expense, provision for obsolete inventories and other related cost that are directly attributable to the production of products.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Warranty</w:t>
      </w:r>
    </w:p>
    <w:p>
      <w:pPr>
        <w:spacing w:after="0" w:line="20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Group provides product warranty, which entails repair or replacement of non-conforming items, in conjunction with the sales of products. The warranty liability recorded at each balance sheet date reflects management’s best estimates of its product warranty based on historical information and other currently available evidence.</w:t>
      </w:r>
    </w:p>
    <w:p>
      <w:pPr>
        <w:spacing w:after="0" w:line="121" w:lineRule="exact"/>
        <w:rPr>
          <w:sz w:val="20"/>
          <w:szCs w:val="20"/>
          <w:color w:val="auto"/>
        </w:rPr>
      </w:pPr>
    </w:p>
    <w:p>
      <w:pPr>
        <w:jc w:val="both"/>
        <w:ind w:right="360"/>
        <w:spacing w:after="0" w:line="307" w:lineRule="auto"/>
        <w:rPr>
          <w:sz w:val="20"/>
          <w:szCs w:val="20"/>
          <w:color w:val="auto"/>
        </w:rPr>
      </w:pPr>
      <w:r>
        <w:rPr>
          <w:rFonts w:ascii="Arial" w:cs="Arial" w:eastAsia="Arial" w:hAnsi="Arial"/>
          <w:sz w:val="15"/>
          <w:szCs w:val="15"/>
          <w:color w:val="auto"/>
        </w:rPr>
        <w:t>The Group’s product warranty generally ranges from one to eight years. The Group establishes a reserve for the estimated cost of the product warranty at the time revenue is recognized. The portion of the warranty that is expected to incur within the next 12 months is recorded in accrued expenses and other current liabilities, while the remaining balance is recorded in other non-current liabilities on the consolidated balance sheets. Product warranty is recorded as a cost of revenues.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06"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Research and development expenses primarily consist of salaries and benefits for research and development personnel, raw materials, office rental expense, general expenses and depreciation expenses associated with research and development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Subsidy income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Government subsidies represent government grants received from local government authorities.</w:t>
      </w:r>
    </w:p>
    <w:p>
      <w:pPr>
        <w:spacing w:after="0" w:line="206"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Government subsidies related to the investment in production facilities is initially recorded as other current or other non-current liabilities and is amortized on a straight-line basis to offset the cost of revenues over the life of the relevant production assets or amortized on an effective interest method over the term of the loan.</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Group amortized the deferred subsidy at $166, $269 and $538 during the years ended December 31, 2020, 2021 and 2022, respectively. As of December 31, 2021 and 2022, the carrying amount of the current portion of the deferred subsidy income was $324 and $542, and the non-current portion was $2,286 and $3,066,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0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Current income taxes are provided for in accordance with the laws of the relevant tax authorities. Deferred income taxes are recognized when temporary differences exist between the tax bases of assets and liabilities and their reported amounts in the consolidated financial statements. Net operating loss carry forwards and credits are applied using enacted statutory tax rates applicable to future years. Deferred tax assets are reduced by a valuation allowance when, in the opinion of management, it is more-likely-than-not that a portion of or all of the deferred tax assets will not be realized.</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Group accounts for uncertain tax positions by reporting a liability for unrecognized tax benefits resulting from uncertain tax positions taken or expected to be taken in a tax return. Tax benefits are recognized from uncertain tax positions when the Group believes that it is more likely than not that the tax position will be sustained on examination by the taxing authorities based on the technical merits of the position. The Group recognizes interest and penalties, if any, related to unrecognized tax benefits in income tax expense.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Share-based payment transactions with employees are measured based on the grant date fair value of the equity instrument and recognized as compensation expense on a straight-line basis over the requisite service period, with a corresponding impact reflected in additional paid-in capital.</w:t>
      </w:r>
    </w:p>
    <w:p>
      <w:pPr>
        <w:spacing w:after="0" w:line="166" w:lineRule="exact"/>
        <w:rPr>
          <w:sz w:val="20"/>
          <w:szCs w:val="20"/>
          <w:color w:val="auto"/>
        </w:rPr>
      </w:pPr>
    </w:p>
    <w:p>
      <w:pPr>
        <w:jc w:val="both"/>
        <w:ind w:right="40"/>
        <w:spacing w:after="0" w:line="251" w:lineRule="auto"/>
        <w:rPr>
          <w:sz w:val="20"/>
          <w:szCs w:val="20"/>
          <w:color w:val="auto"/>
        </w:rPr>
      </w:pPr>
      <w:r>
        <w:rPr>
          <w:rFonts w:ascii="Arial" w:cs="Arial" w:eastAsia="Arial" w:hAnsi="Arial"/>
          <w:sz w:val="17"/>
          <w:szCs w:val="17"/>
          <w:color w:val="auto"/>
        </w:rPr>
        <w:t>For share-based awards granted with performance condition, the compensation cost is recognized when it is probable that the performance condition will be achieved. The Company reassesses the probability of achieving the performance condition at the end of each reporting date and records a cumulative catch-up adjustment for any changes to its assessment. For performance-based awards with a market condition, such as awards based on total shareholder return (“TSR”), compensation expense is recognized on a straight-line basis over the estimated service period of the award, regardless of whether the market condition is satisfied. Forfeitures are recognized as they occur.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Liability-classified awards are remeasured at their fair-value-based measurement as of each reporting date until settlement.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31"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On January 1, 2022, the Company adopted ASU No. 2016-02, Leases (Topic 842) (“ASC 842”), using the modified retrospective transition method resulting in the recording of operating lease right-of-use (ROU) assets of $18,826 and operating lease liabilities of $18,776 upon adoption. Prior period amounts have not been adjusted and continue to be reported in accordance with the previous accounting guidance. The adoption of the new guidance did not have a material effect on the consolidated statements of operations. As of December 31, 2022, the Company recorded operating lease right-of-use (ROU) assets of $16,368 and operating lease liabilities of $16,281, including current portion in the amount of $1,934, which was recorded under accrued expenses and other current liabilities on the balance sheet.</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Company determines if an arrangement is a lease or contains a lease at lease inception. Operating leases are required to be recorded in the statement of financial position as right-of-use assets and lease liabilities, initially measured at the present value of the lease payments. The Company has elected the package of practical expedients, which allows the Company not to reassess (1) whether any expired or existing contracts as of the adoption date are or contain a lease, (2) lease classification for any expired or existing leases as of the adoption date and (3) initial direct costs for any expired or existing leases as of the adoption date. The Company also elected the practical expedient not to separate lease and non-lease components of contracts. Lastly, for lease assets other than real estate, such as printing machines and electronic appliances, the Company elected the short-term lease exemption as their lease terms are 12 months or less.</w:t>
      </w:r>
    </w:p>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As the rate implicit in the lease is not readily determinable, the Company estimates its incremental borrowing rate based on the information available at the commencement date in determining the present value of lease payments. The incremental borrowing rate is estimated in a portfolio approach to approximate the interest rate on a collateralized basis with similar terms and payments in a similar economic environment. Lease expense is recorded on a straight-line basis over the lease term.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206"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The Company accounts for warrants in accordance with the guidance contained in ASC 815-40 under which the warrants do not meet the criteria for equity treatment and must be recorded as liabilities. As the Private Warrants (as defined below Note 15) meet the definition of a derivative as contemplated in ASC 815, the Company classifies the Private Warrants as liabilities. This liability is subject to re-measurement at each balance sheet date until exercised, and any change in fair value is recognized in the statements of operations. The Private Warrants are valued using a Monte Carlo simulation model on the basis of the quoted market price of the Company’s publicly-traded warrants.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206"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Comprehensive loss includes net loss and foreign currency translation adjustments. Comprehensive loss is reported in the consolidated statements of comprehensive loss.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206"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Basic loss per share is computed by dividing net loss attributable to common stock, considering the accretions to redemption value of any preferred shares, by the weighted average number of common stock outstanding during the year using the two-class method. Under the two-class method, any net loss is allocated between Common Stock and other participating securities based on their participating rights. Net loss is not allocated to participating securities when the participating securities do not have a contractual obligation to share losses.</w:t>
      </w:r>
    </w:p>
    <w:p>
      <w:pPr>
        <w:spacing w:after="0" w:line="142"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The Company’s preferred shares that existed before its Merger, were participating securities as they participated in undistributed earnings on an as-if-converted basis. The preferred shares had no contractual obligation to fund or otherwise absorb the Company’s losses. Accordingly, any undistributed net loss was allocated on a pro rata basis to the common stock and preferred shares; whereas any undistributed net loss is allocated to ordinary shares only. All preferred shares that existed prior to the Merger were converted into common stock pursuant to the Merger and as of December 31, 2022, the Company does not have any preferred shares in issue.</w:t>
      </w:r>
    </w:p>
    <w:p>
      <w:pPr>
        <w:spacing w:after="0" w:line="122"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Diluted loss per share is calculated by dividing net loss attributable to Common Stock, as adjusted for the accretion and allocation of net loss related to preferred shares, if any, by the weighted average number of Common Stock and dilutive Common equivalent stock outstanding during the period. Common equivalent stock consist of shares issuable upon the conversion of any preferred shares and convertible bonds using the if-converted method, and Common Stock issuable upon the vesting of non-vested shares or exercise of outstanding share options (using the treasury stock method). Common equivalent stock are calculated based on the most advantageous conversion rate or exercise price from the standpoint of the security holder. Common equivalent stock are not included in the denominator of the diluted earnings per share calculation when inclusion of such shares would be anti-dilutive.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currencies</w:t>
      </w:r>
    </w:p>
    <w:p>
      <w:pPr>
        <w:spacing w:after="0" w:line="206"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The functional currency of the Company and all subsidiaries located in the U.S. is the United States dollar (“U.S. dollar”). For the Company’s subsidiaries located in the PRC, the functional currency is the Chinese Renminbi (“RMB”); the Company’s UK subsidiary, MP UK, the functional currency is the Great British Pound (“Pound”); the Company’s Germany subsidiary, MV GmbH, the functional currency is the Euro, and the Company’s Singapore subsidiary, MV Singapore, the functional currency is the Singapore Dollar (“SGD”).</w:t>
      </w:r>
    </w:p>
    <w:p>
      <w:pPr>
        <w:spacing w:after="0" w:line="142"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preparing the consolidated financial statements of each individual group subsidiary, transactions in currencies other than the subsidiary’s functional currency (foreign currencies) are converted into the functional currency at the rates of exchange prevailing on the dates of the transactions. At the end of each reporting period, monetary items denominated in foreign currencies are translated at the rates prevailing at that date. Non-monetary items that are measured in terms of historical cost in a foreign currency are not retranslated.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Exchange differences on the monetary items are recognized in the consolidated statements of operations in the period in which they arise.</w:t>
      </w:r>
    </w:p>
    <w:p>
      <w:pPr>
        <w:spacing w:after="0" w:line="206"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For the purposes of presenting the consolidated financial statements, the assets and liabilities of the Group’s foreign operations are translated into the reporting currency of the Group (i.e. US$) at the prevailing exchange rate at the end of the reporting period, and their income and expenses are translated at the average exchange rates for the year. Translation adjustments are reported as cumulative translation adjustments and are shown as a component of other comprehensive loss.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206"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RMB is not a freely convertible currency. The State Administration for Foreign Exchange, under the authority of the People’s Bank of China, controls the conversion of RMB into other currencies. The value of the RMB is subject to changes in central government policies and to international economic and political developments affecting supply and demand in the China Foreign Exchange Trading System market. Cash and cash equivalents and restricted cash of the Group included aggregate amounts of $102,782 and $98,021 as of December 31, 2021 and 2022, respectively, which were denominated in RMB.</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06"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Financial instruments that potentially expose the Group to concentrations of credit risk consist primarily of cash and cash equivalents, restricted cash, accounts receivable, notes receivable and short-term investments. The Group places its cash and cash equivalents with financial institutions with high credit ratings and quality. The Group conducts credit evaluations of customers and generally does not require collateral or other security from its customers.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net revenues from customers that accounted for 10% or more of the Group’s net revenues for 2020, 2021 and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20" w:type="dxa"/>
            <w:vAlign w:val="bottom"/>
          </w:tcPr>
          <w:p>
            <w:pPr>
              <w:spacing w:after="0"/>
              <w:rPr>
                <w:sz w:val="17"/>
                <w:szCs w:val="17"/>
                <w:color w:val="auto"/>
              </w:rPr>
            </w:pPr>
          </w:p>
        </w:tc>
        <w:tc>
          <w:tcPr>
            <w:tcW w:w="1220" w:type="dxa"/>
            <w:vAlign w:val="bottom"/>
          </w:tcPr>
          <w:p>
            <w:pPr>
              <w:jc w:val="center"/>
              <w:ind w:left="156"/>
              <w:spacing w:after="0"/>
              <w:rPr>
                <w:sz w:val="20"/>
                <w:szCs w:val="20"/>
                <w:color w:val="auto"/>
              </w:rPr>
            </w:pPr>
            <w:r>
              <w:rPr>
                <w:rFonts w:ascii="Arial" w:cs="Arial" w:eastAsia="Arial" w:hAnsi="Arial"/>
                <w:sz w:val="17"/>
                <w:szCs w:val="17"/>
                <w:b w:val="1"/>
                <w:bCs w:val="1"/>
                <w:color w:val="auto"/>
                <w:w w:val="88"/>
              </w:rPr>
              <w:t>December 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1600" w:type="dxa"/>
            <w:vAlign w:val="bottom"/>
          </w:tcPr>
          <w:p>
            <w:pPr>
              <w:jc w:val="center"/>
              <w:spacing w:after="0"/>
              <w:rPr>
                <w:sz w:val="20"/>
                <w:szCs w:val="20"/>
                <w:color w:val="auto"/>
              </w:rPr>
            </w:pPr>
            <w:r>
              <w:rPr>
                <w:rFonts w:ascii="Arial" w:cs="Arial" w:eastAsia="Arial" w:hAnsi="Arial"/>
                <w:sz w:val="17"/>
                <w:szCs w:val="17"/>
                <w:b w:val="1"/>
                <w:bCs w:val="1"/>
                <w:color w:val="auto"/>
                <w:w w:val="88"/>
              </w:rPr>
              <w:t>December 31,</w:t>
            </w:r>
          </w:p>
        </w:tc>
      </w:tr>
      <w:tr>
        <w:trPr>
          <w:trHeight w:val="217"/>
        </w:trPr>
        <w:tc>
          <w:tcPr>
            <w:tcW w:w="7640" w:type="dxa"/>
            <w:vAlign w:val="bottom"/>
            <w:gridSpan w:val="2"/>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ind w:right="55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600" w:type="dxa"/>
            <w:vAlign w:val="bottom"/>
          </w:tcPr>
          <w:p>
            <w:pPr>
              <w:jc w:val="right"/>
              <w:ind w:right="536"/>
              <w:spacing w:after="0"/>
              <w:rPr>
                <w:sz w:val="20"/>
                <w:szCs w:val="20"/>
                <w:color w:val="auto"/>
              </w:rPr>
            </w:pPr>
            <w:r>
              <w:rPr>
                <w:rFonts w:ascii="Arial" w:cs="Arial" w:eastAsia="Arial" w:hAnsi="Arial"/>
                <w:sz w:val="17"/>
                <w:szCs w:val="17"/>
                <w:b w:val="1"/>
                <w:bCs w:val="1"/>
                <w:color w:val="auto"/>
              </w:rPr>
              <w:t>2022</w:t>
            </w:r>
          </w:p>
        </w:tc>
      </w:tr>
      <w:tr>
        <w:trPr>
          <w:trHeight w:val="25"/>
        </w:trPr>
        <w:tc>
          <w:tcPr>
            <w:tcW w:w="64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1"/>
        </w:trPr>
        <w:tc>
          <w:tcPr>
            <w:tcW w:w="7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Percentage of revenue contributed by Customer A</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8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*Revenue from such customer represented less than 10% of the Group's revenue during the respective periods.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accounts receivable from customers that accounted for 10% or more of the Group’s accounts receivable: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940" w:type="dxa"/>
            <w:vAlign w:val="bottom"/>
          </w:tcPr>
          <w:p>
            <w:pPr>
              <w:spacing w:after="0"/>
              <w:rPr>
                <w:sz w:val="17"/>
                <w:szCs w:val="17"/>
                <w:color w:val="auto"/>
              </w:rPr>
            </w:pPr>
          </w:p>
        </w:tc>
        <w:tc>
          <w:tcPr>
            <w:tcW w:w="1800" w:type="dxa"/>
            <w:vAlign w:val="bottom"/>
          </w:tcPr>
          <w:p>
            <w:pPr>
              <w:jc w:val="right"/>
              <w:ind w:right="416"/>
              <w:spacing w:after="0"/>
              <w:rPr>
                <w:sz w:val="20"/>
                <w:szCs w:val="20"/>
                <w:color w:val="auto"/>
              </w:rPr>
            </w:pPr>
            <w:r>
              <w:rPr>
                <w:rFonts w:ascii="Arial" w:cs="Arial" w:eastAsia="Arial" w:hAnsi="Arial"/>
                <w:sz w:val="17"/>
                <w:szCs w:val="17"/>
                <w:b w:val="1"/>
                <w:bCs w:val="1"/>
                <w:color w:val="auto"/>
              </w:rPr>
              <w:t>December 31,</w:t>
            </w:r>
          </w:p>
        </w:tc>
        <w:tc>
          <w:tcPr>
            <w:tcW w:w="1500" w:type="dxa"/>
            <w:vAlign w:val="bottom"/>
          </w:tcPr>
          <w:p>
            <w:pPr>
              <w:jc w:val="right"/>
              <w:ind w:right="216"/>
              <w:spacing w:after="0"/>
              <w:rPr>
                <w:sz w:val="20"/>
                <w:szCs w:val="20"/>
                <w:color w:val="auto"/>
              </w:rPr>
            </w:pPr>
            <w:r>
              <w:rPr>
                <w:rFonts w:ascii="Arial" w:cs="Arial" w:eastAsia="Arial" w:hAnsi="Arial"/>
                <w:sz w:val="17"/>
                <w:szCs w:val="17"/>
                <w:b w:val="1"/>
                <w:bCs w:val="1"/>
                <w:color w:val="auto"/>
              </w:rPr>
              <w:t>December 31,</w:t>
            </w:r>
          </w:p>
        </w:tc>
      </w:tr>
      <w:tr>
        <w:trPr>
          <w:trHeight w:val="217"/>
        </w:trPr>
        <w:tc>
          <w:tcPr>
            <w:tcW w:w="7940" w:type="dxa"/>
            <w:vAlign w:val="bottom"/>
          </w:tcPr>
          <w:p>
            <w:pPr>
              <w:spacing w:after="0"/>
              <w:rPr>
                <w:sz w:val="18"/>
                <w:szCs w:val="18"/>
                <w:color w:val="auto"/>
              </w:rPr>
            </w:pPr>
          </w:p>
        </w:tc>
        <w:tc>
          <w:tcPr>
            <w:tcW w:w="1800" w:type="dxa"/>
            <w:vAlign w:val="bottom"/>
          </w:tcPr>
          <w:p>
            <w:pPr>
              <w:jc w:val="right"/>
              <w:ind w:right="736"/>
              <w:spacing w:after="0"/>
              <w:rPr>
                <w:sz w:val="20"/>
                <w:szCs w:val="20"/>
                <w:color w:val="auto"/>
              </w:rPr>
            </w:pPr>
            <w:r>
              <w:rPr>
                <w:rFonts w:ascii="Arial" w:cs="Arial" w:eastAsia="Arial" w:hAnsi="Arial"/>
                <w:sz w:val="17"/>
                <w:szCs w:val="17"/>
                <w:b w:val="1"/>
                <w:bCs w:val="1"/>
                <w:color w:val="auto"/>
              </w:rPr>
              <w:t>2021</w:t>
            </w:r>
          </w:p>
        </w:tc>
        <w:tc>
          <w:tcPr>
            <w:tcW w:w="1500" w:type="dxa"/>
            <w:vAlign w:val="bottom"/>
          </w:tcPr>
          <w:p>
            <w:pPr>
              <w:jc w:val="right"/>
              <w:ind w:right="536"/>
              <w:spacing w:after="0"/>
              <w:rPr>
                <w:sz w:val="20"/>
                <w:szCs w:val="20"/>
                <w:color w:val="auto"/>
              </w:rPr>
            </w:pPr>
            <w:r>
              <w:rPr>
                <w:rFonts w:ascii="Arial" w:cs="Arial" w:eastAsia="Arial" w:hAnsi="Arial"/>
                <w:sz w:val="17"/>
                <w:szCs w:val="17"/>
                <w:b w:val="1"/>
                <w:bCs w:val="1"/>
                <w:color w:val="auto"/>
              </w:rPr>
              <w:t>2022</w:t>
            </w:r>
          </w:p>
        </w:tc>
      </w:tr>
      <w:tr>
        <w:trPr>
          <w:trHeight w:val="25"/>
        </w:trPr>
        <w:tc>
          <w:tcPr>
            <w:tcW w:w="7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Percentage of accounts receivable from Customer A</w:t>
            </w:r>
          </w:p>
        </w:tc>
        <w:tc>
          <w:tcPr>
            <w:tcW w:w="18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r>
      <w:tr>
        <w:trPr>
          <w:trHeight w:val="251"/>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Percentage of accounts receivable from Customer B</w:t>
            </w:r>
          </w:p>
        </w:tc>
        <w:tc>
          <w:tcPr>
            <w:tcW w:w="18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18 %</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from such customers represented less than 10% of the Group's accounts receivable during the respective years.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Supplier Concentration</w:t>
      </w:r>
    </w:p>
    <w:p>
      <w:pPr>
        <w:spacing w:after="0" w:line="206" w:lineRule="exact"/>
        <w:rPr>
          <w:sz w:val="20"/>
          <w:szCs w:val="20"/>
          <w:color w:val="auto"/>
        </w:rPr>
      </w:pPr>
    </w:p>
    <w:p>
      <w:pPr>
        <w:ind w:right="200"/>
        <w:spacing w:after="0" w:line="307" w:lineRule="auto"/>
        <w:rPr>
          <w:sz w:val="20"/>
          <w:szCs w:val="20"/>
          <w:color w:val="auto"/>
        </w:rPr>
      </w:pPr>
      <w:r>
        <w:rPr>
          <w:rFonts w:ascii="Arial" w:cs="Arial" w:eastAsia="Arial" w:hAnsi="Arial"/>
          <w:sz w:val="15"/>
          <w:szCs w:val="15"/>
          <w:color w:val="auto"/>
        </w:rPr>
        <w:t>The Group relies on third parties for the supply of raw materials. In instances where these parties fail to perform their obligations, the Group may find alternative suppliers in the open market. For the years ended December 31, 2020, 2021 and 2022, 12%, 12% and 18% of our raw materials were purchased through company C, respectively, although numerous alternate sources of supply are readily available on comparable terms for the raw materials supplied by company C.</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Newly adopted accounting pronouncements</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February 2016, the FASB issued ASU No. 2016-02, Leases (Topic 842). The guidance supersedes existing guidance on accounting for leases with the main difference being that operating leases are to be recorded in the statement of financial position as right-of-use assets and lease liabilities, initially measured at the present value of the lease payments. For operating leases with a term of 12 months or less, a lessee is permitted to make an accounting policy election not to recognize lease assets and liabilities. For public companies, the guidance is effective for fiscal years beginning after December 15, 2018, including interim periods within those fiscal years. Early application of the guidance is permitted. In July 2018, ASU 2016-02 was updated with ASU 2018-11, Targeted Improvements to ASC 842, which provides entities with relief from the costs of implementing certain aspects of the new leasing standard. Specifically, under the amendments in ASU 2018-11, (1) entities may elect not to recast the comparative periods presented when transitioning to ASC 842 and (2) lessors may elect not to separate lease and non-lease components when certain conditions are met. Before ASU 2018-11 was issued, transition to the new lease standard required application of the new guidance at the beginning of the earliest comparative period presented in the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SIGNIFICANT ACCOUNTING POLICIES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Newly adopted accounting pronouncements - continued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an EGC, the Company adopted this standard on January 1, 2022, and elected not to recast the comparative periods presented. The adoption did not have a material impact on the Company's consolidated statements of operations or consolidated statements of cash flows, and the adoption of Topic 842 did not result in a cumulative-effect adjustment to retained earnings. Further information is disclosed in Note 17 – Leases.</w:t>
      </w:r>
    </w:p>
    <w:p>
      <w:pPr>
        <w:spacing w:after="0" w:line="15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In June 2016, the FASB issued ASU 2016-13, Financial Instruments — 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loans, debt securities, trade receivables, net investments in leases, off balance sheet credit exposures, reinsurance receivables, and any other financial assets not excluded from the scope that have the contractual right to receive cash. This ASU is effective for fiscal years, and interim periods within those fiscal years, beginning after December 15, 2019. As an EGC, the Company adopted this standard on January 1, 2022, using a modified retrospective transition method and did not restate the comparable periods, which resulted in a cumulative-effect adjustment to decrease the opening balance of retained earnings on January 1, 2022 by $866. The adoption did not have a material impact on the Company’s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August 2020, the FASB issued ASU 2020-06, “Debt with Conversion and Other Options (Subtopic 470-20) and Derivatives and Hedging-Contracts in Entity’s Own Equity (Subtopic 815-40)-Accounting for Convertible Instruments and Contracts in an Entity’s Own Equity.” The ASU simplifies accounting for convertible instruments by removing major separation models required under current GAAP. Consequently, more convertible debt instruments will be reported as a single liability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net income per share calculation in certain areas. For SEC filers, excluding smaller reporting companies, ASU 2020-06 is effective for fiscal years beginning after December 15, 2021 including interim periods within those fiscal years. Early adoption is permitted, but no earlier than fiscal years beginning after December 15, 2020. For all other entities, ASU 2020-06 is effective for fiscal years beginning after December 15, 2023, including interim periods within those fiscal years. The Company is currently evaluating the impact that ASU 2020-06 may have on the consolidated financial statements and related disclosures.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REVERSE RECAPITALIZATION</w:t>
      </w:r>
    </w:p>
    <w:p>
      <w:pPr>
        <w:spacing w:after="0" w:line="210" w:lineRule="exact"/>
        <w:rPr>
          <w:sz w:val="20"/>
          <w:szCs w:val="20"/>
          <w:color w:val="auto"/>
        </w:rPr>
      </w:pPr>
    </w:p>
    <w:p>
      <w:pPr>
        <w:ind w:right="100"/>
        <w:spacing w:after="0" w:line="275" w:lineRule="auto"/>
        <w:rPr>
          <w:sz w:val="20"/>
          <w:szCs w:val="20"/>
          <w:color w:val="auto"/>
        </w:rPr>
      </w:pPr>
      <w:r>
        <w:rPr>
          <w:rFonts w:ascii="Arial" w:cs="Arial" w:eastAsia="Arial" w:hAnsi="Arial"/>
          <w:sz w:val="15"/>
          <w:szCs w:val="15"/>
          <w:color w:val="auto"/>
        </w:rPr>
        <w:t>On July 23, 2021, Tuscan merged with Microvast, Inc., with Microvast, Inc. surviving from the Merger. As a result of the Merger, Tuscan was renamed “Microvast Holdings, Inc.” On the Closing Date, pursuant to the terms of the Merger Agreement, the Framework Agreement</w:t>
      </w:r>
      <w:r>
        <w:rPr>
          <w:rFonts w:ascii="Arial" w:cs="Arial" w:eastAsia="Arial" w:hAnsi="Arial"/>
          <w:sz w:val="19"/>
          <w:szCs w:val="19"/>
          <w:color w:val="auto"/>
          <w:vertAlign w:val="superscript"/>
        </w:rPr>
        <w:t>1</w:t>
      </w:r>
      <w:r>
        <w:rPr>
          <w:rFonts w:ascii="Arial" w:cs="Arial" w:eastAsia="Arial" w:hAnsi="Arial"/>
          <w:sz w:val="15"/>
          <w:szCs w:val="15"/>
          <w:color w:val="auto"/>
        </w:rPr>
        <w:t xml:space="preserve"> and Subscription Agreements entered into with the holders of an aggregate of $57,500 outstanding Bridge Notes issued by Microvast, Inc. (the “Bridge Notes”, refer to Note 14) and the investors in the PIPE Financing:</w:t>
      </w:r>
    </w:p>
    <w:p>
      <w:pPr>
        <w:spacing w:after="0" w:line="82" w:lineRule="exact"/>
        <w:rPr>
          <w:sz w:val="20"/>
          <w:szCs w:val="20"/>
          <w:color w:val="auto"/>
        </w:rPr>
      </w:pPr>
    </w:p>
    <w:p>
      <w:pPr>
        <w:jc w:val="both"/>
        <w:ind w:left="600" w:hanging="298"/>
        <w:spacing w:after="0" w:line="257" w:lineRule="auto"/>
        <w:tabs>
          <w:tab w:leader="none" w:pos="5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issued 209,999,991 shares of Common Stock of the Company (“Common Stock”) to the former owners of Microvast, Inc. pursuant to the Merger Agreement, which number is inclusive of the shares being issued to the certain MPS convertible loan investors (the “CL Investors”, refer to Note 14) and MPS minority investors pursuant to the Framework Agreement;</w:t>
      </w:r>
    </w:p>
    <w:p>
      <w:pPr>
        <w:spacing w:after="0" w:line="112" w:lineRule="exact"/>
        <w:rPr>
          <w:rFonts w:ascii="Arial" w:cs="Arial" w:eastAsia="Arial" w:hAnsi="Arial"/>
          <w:sz w:val="17"/>
          <w:szCs w:val="17"/>
          <w:color w:val="auto"/>
        </w:rPr>
      </w:pPr>
    </w:p>
    <w:p>
      <w:pPr>
        <w:ind w:left="600" w:hanging="298"/>
        <w:spacing w:after="0"/>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issued 6,736,106 shares of Common Stock to the holders of the Bridge Notes;</w:t>
      </w:r>
    </w:p>
    <w:p>
      <w:pPr>
        <w:spacing w:after="0" w:line="143" w:lineRule="exact"/>
        <w:rPr>
          <w:rFonts w:ascii="Arial" w:cs="Arial" w:eastAsia="Arial" w:hAnsi="Arial"/>
          <w:sz w:val="17"/>
          <w:szCs w:val="17"/>
          <w:color w:val="auto"/>
        </w:rPr>
      </w:pPr>
    </w:p>
    <w:p>
      <w:pPr>
        <w:ind w:left="600" w:hanging="298"/>
        <w:spacing w:after="0" w:line="268" w:lineRule="auto"/>
        <w:tabs>
          <w:tab w:leader="none" w:pos="5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issued 48,250,000 shares of Common Stock to the PIPE investors for a purchase price of $10.00 per share and an aggregate purchase price of $482,500;</w:t>
      </w:r>
    </w:p>
    <w:p>
      <w:pPr>
        <w:spacing w:after="0" w:line="90" w:lineRule="exact"/>
        <w:rPr>
          <w:rFonts w:ascii="Arial" w:cs="Arial" w:eastAsia="Arial" w:hAnsi="Arial"/>
          <w:sz w:val="17"/>
          <w:szCs w:val="17"/>
          <w:color w:val="auto"/>
        </w:rPr>
      </w:pPr>
    </w:p>
    <w:p>
      <w:pPr>
        <w:jc w:val="both"/>
        <w:ind w:left="600" w:hanging="298"/>
        <w:spacing w:after="0" w:line="257" w:lineRule="auto"/>
        <w:tabs>
          <w:tab w:leader="none" w:pos="5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 issued 150,000 private placement units to Tuscan Holdings Acquisition LLC (the “Sponsor”) upon conversion of Notes payable by the Company in the amount of $1,500; such private placement units consist of (i) 150,000 shares of Common Stock and (ii) warrants to purchase 150,000 shares of Common Stock at an exercise price of $11.50 per share;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REVERSE RECAPITALIZATION - continued</w:t>
      </w:r>
    </w:p>
    <w:p>
      <w:pPr>
        <w:spacing w:after="0" w:line="200" w:lineRule="exact"/>
        <w:rPr>
          <w:sz w:val="20"/>
          <w:szCs w:val="20"/>
          <w:color w:val="auto"/>
        </w:rPr>
      </w:pPr>
    </w:p>
    <w:p>
      <w:pPr>
        <w:spacing w:after="0" w:line="31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Pursuant to the Merger Agreement, the former owners of Microvast, Inc. (“Microvast Holders”) and the MPS minority investors will have the ability to earn, in the aggregate, an additional 19,999,988 shares of Common Stock (“Earn-Out Shares”) if the daily volume weighted average price of the Common Stock is greater than or equal to $18.00 for any 20 trading days within a 30 trading day period (or a change of control of the Company occurs that results in the holders of Common Stock receiving a per share price equal to or in excess of $18.00), during the period commencing on the Closing Date and ending on the third anniversary of the Closing Date. In accordance with ASC 815-40, the Earn-Out Shares were indexed to the Common Stock and were classified as equity.</w:t>
      </w:r>
    </w:p>
    <w:p>
      <w:pPr>
        <w:spacing w:after="0" w:line="166"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Each of the options to purchase Microvast, Inc.’s common stock that was outstanding before the Merger was converted into options to acquire Common Stock by computing the number of Common Stock and converting the exercise price based on the exchange ratio of 160.3 (the “Common Exchange Ratio”). Refer to Note 22.</w:t>
      </w:r>
    </w:p>
    <w:p>
      <w:pPr>
        <w:spacing w:after="0" w:line="121"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In connection with the Merger Agreement, Tuscan, MPS, the CL Investors (refer to Note 14), certain MPS minority investors, and certain other parties entered into a framework agreement (the “Framework Agreement”), pursuant to which, (1) the CL Investors waived their convertible loans issued on November 2, 2018, by MPS, in exchange for 6,719,845 shares of Common Stock of the Company and (2) the MPS minority investors waived their rights in MPS’s equity in exchange for 17,253,182 shares of Common Stock of the Company (refer to Note 19).</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Each capped non-vested share unit of Microvast, Inc. that was outstanding before the Merger was converted into a non-vested share unit of the Company by computing the number of shares and converting the capped price based on the Common Exchange Ratio. Refer to Note 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760" w:type="dxa"/>
            <w:vAlign w:val="bottom"/>
          </w:tcPr>
          <w:p>
            <w:pPr>
              <w:spacing w:after="0"/>
              <w:rPr>
                <w:sz w:val="20"/>
                <w:szCs w:val="20"/>
                <w:color w:val="auto"/>
              </w:rPr>
            </w:pPr>
            <w:r>
              <w:rPr>
                <w:rFonts w:ascii="Arial" w:cs="Arial" w:eastAsia="Arial" w:hAnsi="Arial"/>
                <w:sz w:val="17"/>
                <w:szCs w:val="17"/>
                <w:color w:val="auto"/>
                <w:w w:val="93"/>
              </w:rPr>
              <w:t>As of the Closing Date and following the completion of the Merger, the ownership interests of the Company’s stockholders were as follows:</w:t>
            </w:r>
          </w:p>
        </w:tc>
        <w:tc>
          <w:tcPr>
            <w:tcW w:w="1480" w:type="dxa"/>
            <w:vAlign w:val="bottom"/>
          </w:tcPr>
          <w:p>
            <w:pPr>
              <w:spacing w:after="0"/>
              <w:rPr>
                <w:sz w:val="18"/>
                <w:szCs w:val="18"/>
                <w:color w:val="auto"/>
              </w:rPr>
            </w:pPr>
          </w:p>
        </w:tc>
      </w:tr>
      <w:tr>
        <w:trPr>
          <w:trHeight w:val="458"/>
        </w:trPr>
        <w:tc>
          <w:tcPr>
            <w:tcW w:w="976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Shares</w:t>
            </w:r>
          </w:p>
        </w:tc>
      </w:tr>
      <w:tr>
        <w:trPr>
          <w:trHeight w:val="237"/>
        </w:trPr>
        <w:tc>
          <w:tcPr>
            <w:tcW w:w="9760" w:type="dxa"/>
            <w:vAlign w:val="bottom"/>
            <w:shd w:val="clear" w:color="auto" w:fill="CCEEFF"/>
          </w:tcPr>
          <w:p>
            <w:pPr>
              <w:ind w:left="20"/>
              <w:spacing w:after="0" w:line="237" w:lineRule="exact"/>
              <w:rPr>
                <w:sz w:val="20"/>
                <w:szCs w:val="20"/>
                <w:color w:val="auto"/>
              </w:rPr>
            </w:pPr>
            <w:r>
              <w:rPr>
                <w:rFonts w:ascii="Arial" w:cs="Arial" w:eastAsia="Arial" w:hAnsi="Arial"/>
                <w:sz w:val="17"/>
                <w:szCs w:val="17"/>
                <w:color w:val="auto"/>
              </w:rPr>
              <w:t>Existing Microvast Equity Holders</w:t>
            </w:r>
            <w:r>
              <w:rPr>
                <w:rFonts w:ascii="Arial" w:cs="Arial" w:eastAsia="Arial" w:hAnsi="Arial"/>
                <w:sz w:val="21"/>
                <w:szCs w:val="21"/>
                <w:color w:val="auto"/>
                <w:vertAlign w:val="superscript"/>
              </w:rPr>
              <w:t>(a)</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209,999,991</w:t>
            </w:r>
          </w:p>
        </w:tc>
      </w:tr>
      <w:tr>
        <w:trPr>
          <w:trHeight w:val="232"/>
        </w:trPr>
        <w:tc>
          <w:tcPr>
            <w:tcW w:w="9760" w:type="dxa"/>
            <w:vAlign w:val="bottom"/>
          </w:tcPr>
          <w:p>
            <w:pPr>
              <w:ind w:left="20"/>
              <w:spacing w:after="0"/>
              <w:rPr>
                <w:sz w:val="20"/>
                <w:szCs w:val="20"/>
                <w:color w:val="auto"/>
              </w:rPr>
            </w:pPr>
            <w:r>
              <w:rPr>
                <w:rFonts w:ascii="Arial" w:cs="Arial" w:eastAsia="Arial" w:hAnsi="Arial"/>
                <w:sz w:val="17"/>
                <w:szCs w:val="17"/>
                <w:color w:val="auto"/>
              </w:rPr>
              <w:t>Existing Microvast Bridge Notes Holders</w:t>
            </w:r>
          </w:p>
        </w:tc>
        <w:tc>
          <w:tcPr>
            <w:tcW w:w="1480" w:type="dxa"/>
            <w:vAlign w:val="bottom"/>
          </w:tcPr>
          <w:p>
            <w:pPr>
              <w:jc w:val="right"/>
              <w:spacing w:after="0"/>
              <w:rPr>
                <w:sz w:val="20"/>
                <w:szCs w:val="20"/>
                <w:color w:val="auto"/>
              </w:rPr>
            </w:pPr>
            <w:r>
              <w:rPr>
                <w:rFonts w:ascii="Arial" w:cs="Arial" w:eastAsia="Arial" w:hAnsi="Arial"/>
                <w:sz w:val="17"/>
                <w:szCs w:val="17"/>
                <w:color w:val="auto"/>
              </w:rPr>
              <w:t>6,736,106</w:t>
            </w:r>
          </w:p>
        </w:tc>
      </w:tr>
      <w:tr>
        <w:trPr>
          <w:trHeight w:val="245"/>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Tuscan public stockholders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27,493,140</w:t>
            </w:r>
          </w:p>
        </w:tc>
      </w:tr>
      <w:tr>
        <w:trPr>
          <w:trHeight w:val="238"/>
        </w:trPr>
        <w:tc>
          <w:tcPr>
            <w:tcW w:w="9760" w:type="dxa"/>
            <w:vAlign w:val="bottom"/>
          </w:tcPr>
          <w:p>
            <w:pPr>
              <w:ind w:left="20"/>
              <w:spacing w:after="0" w:line="239" w:lineRule="exact"/>
              <w:rPr>
                <w:sz w:val="20"/>
                <w:szCs w:val="20"/>
                <w:color w:val="auto"/>
              </w:rPr>
            </w:pPr>
            <w:r>
              <w:rPr>
                <w:rFonts w:ascii="Arial" w:cs="Arial" w:eastAsia="Arial" w:hAnsi="Arial"/>
                <w:sz w:val="17"/>
                <w:szCs w:val="17"/>
                <w:color w:val="auto"/>
              </w:rPr>
              <w:t>Sponsor Group</w:t>
            </w:r>
            <w:r>
              <w:rPr>
                <w:rFonts w:ascii="Arial" w:cs="Arial" w:eastAsia="Arial" w:hAnsi="Arial"/>
                <w:sz w:val="21"/>
                <w:szCs w:val="21"/>
                <w:color w:val="auto"/>
                <w:vertAlign w:val="superscript"/>
              </w:rPr>
              <w:t>(b)(c)</w:t>
            </w:r>
          </w:p>
        </w:tc>
        <w:tc>
          <w:tcPr>
            <w:tcW w:w="1480" w:type="dxa"/>
            <w:vAlign w:val="bottom"/>
          </w:tcPr>
          <w:p>
            <w:pPr>
              <w:jc w:val="right"/>
              <w:spacing w:after="0"/>
              <w:rPr>
                <w:sz w:val="20"/>
                <w:szCs w:val="20"/>
                <w:color w:val="auto"/>
              </w:rPr>
            </w:pPr>
            <w:r>
              <w:rPr>
                <w:rFonts w:ascii="Arial" w:cs="Arial" w:eastAsia="Arial" w:hAnsi="Arial"/>
                <w:sz w:val="17"/>
                <w:szCs w:val="17"/>
                <w:color w:val="auto"/>
              </w:rPr>
              <w:t>7,608,589</w:t>
            </w:r>
          </w:p>
        </w:tc>
      </w:tr>
      <w:tr>
        <w:trPr>
          <w:trHeight w:val="238"/>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EarlyBirdCapital</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428,411</w:t>
            </w:r>
          </w:p>
        </w:tc>
      </w:tr>
      <w:tr>
        <w:trPr>
          <w:trHeight w:val="232"/>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PIPE investors immediately after Merger</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48,250,000</w:t>
            </w:r>
          </w:p>
        </w:tc>
      </w:tr>
      <w:tr>
        <w:trPr>
          <w:trHeight w:val="262"/>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Common Stock</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300,516,237</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460" w:right="660" w:hanging="443"/>
        <w:spacing w:after="0" w:line="252"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Excludes the Earn-Out Shares, but is inclusive of the shares being issued pursuant to the Framework Agreement to the CL Investors and MPS minority investors.</w:t>
      </w:r>
    </w:p>
    <w:p>
      <w:pPr>
        <w:spacing w:after="0" w:line="116" w:lineRule="exact"/>
        <w:rPr>
          <w:rFonts w:ascii="Arial" w:cs="Arial" w:eastAsia="Arial" w:hAnsi="Arial"/>
          <w:sz w:val="17"/>
          <w:szCs w:val="17"/>
          <w:color w:val="auto"/>
        </w:rPr>
      </w:pPr>
    </w:p>
    <w:p>
      <w:pPr>
        <w:ind w:left="460" w:hanging="443"/>
        <w:spacing w:after="0"/>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Sponsor Group includes Common Stock owned by the Sponsor, Stefan M. Selig, Richard O. Rieger and Amy Butte.</w:t>
      </w:r>
    </w:p>
    <w:p>
      <w:pPr>
        <w:spacing w:after="0" w:line="155" w:lineRule="exact"/>
        <w:rPr>
          <w:rFonts w:ascii="Arial" w:cs="Arial" w:eastAsia="Arial" w:hAnsi="Arial"/>
          <w:sz w:val="17"/>
          <w:szCs w:val="17"/>
          <w:color w:val="auto"/>
        </w:rPr>
      </w:pPr>
    </w:p>
    <w:p>
      <w:pPr>
        <w:ind w:left="460" w:hanging="443"/>
        <w:spacing w:after="0"/>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1,687,500 shares that may be subject to cancellation in accordance with the amended escrow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REVERSE RECAPITALIZATION - continued</w:t>
      </w:r>
    </w:p>
    <w:p>
      <w:pPr>
        <w:spacing w:after="0" w:line="200" w:lineRule="exact"/>
        <w:rPr>
          <w:sz w:val="20"/>
          <w:szCs w:val="20"/>
          <w:color w:val="auto"/>
        </w:rPr>
      </w:pPr>
    </w:p>
    <w:p>
      <w:pPr>
        <w:spacing w:after="0" w:line="31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Merger is accounted for as a reverse recapitalization under U.S. GAAP. This determination is primarily based on (1) Microvast, Inc.’s stockholders comprising a relative majority of the voting power of the Company and having the ability to nominate the members of the Board, (2) Microvast, Inc.’s operations prior to the acquisition comprising the only ongoing operations of the Company, and (3) Microvast, Inc.’s senior management comprising a majority of the senior management of the Company. Under this method of accounting, Tuscan is treated as the “acquired” company for financial reporting purposes. Accordingly, the financial statements of the Company represent a continuation of the financial statements of Microvast, Inc. with the Merger being treated as the equivalent of Microvast, Inc. issuing stock for the net assets of Tuscan, accompanied by a recapitalization. The net assets of Tuscan are stated at historical costs, with no goodwill or other intangible assets recorded and are consolidated with Microvast Inc.’s financial statements on the Closing Date. Operations prior to the Merger are presented as those of Microvast, Inc. The shares and net loss per share available to holders of the Company’s Common Stock, prior to the Merger, have been retroactively restated as shares reflecting the Common Exchange Ratio established in the Merger Agreement.</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connection with the Merger, the Company raised net proceeds of approximately $705,129, including $482,500 of cash in connection with the PIPE financing and the contribution of $281,726 of cash held in Tuscan’s trust account from its initial public offering, net of redemptions of Tuscan public stockholders of $922 and $58,175 transaction costs.</w:t>
      </w:r>
    </w:p>
    <w:p>
      <w:pPr>
        <w:spacing w:after="0" w:line="175" w:lineRule="exact"/>
        <w:rPr>
          <w:sz w:val="20"/>
          <w:szCs w:val="20"/>
          <w:color w:val="auto"/>
        </w:rPr>
      </w:pPr>
    </w:p>
    <w:p>
      <w:pPr>
        <w:ind w:right="40"/>
        <w:spacing w:after="0" w:line="293" w:lineRule="auto"/>
        <w:rPr>
          <w:sz w:val="20"/>
          <w:szCs w:val="20"/>
          <w:color w:val="auto"/>
        </w:rPr>
      </w:pPr>
      <w:r>
        <w:rPr>
          <w:rFonts w:ascii="Arial" w:cs="Arial" w:eastAsia="Arial" w:hAnsi="Arial"/>
          <w:sz w:val="15"/>
          <w:szCs w:val="15"/>
          <w:color w:val="auto"/>
        </w:rPr>
        <w:t>In connection with the Merger, the Sponsor and related parties entered into the amended escrow agreement, pursuant to which 1,687,500 shares owned by the Sponsor Group (“Escrow Shares”) are subject to cancellation on conditions that: (i) 50% of 1,687,500 shares shall be cancelled if the last sale price of the Common Stock does not equal or exceed $12.00 per share for any 20 trading days within any 30-trading day period prior to the fifth anniversary of the Closing, and (ii) 50% of 1,687,500 shares shall be cancelled if the last sale price of the Common Stock does not equal or exceed $15.00 per share for any 20 trading days within any 30-trading day period prior to the fifth anniversary of the Closing. In accordance with ASC 815-40, the Escrow Shares were indexed to the Common Stock and were classified as equity.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20" w:type="dxa"/>
            <w:vAlign w:val="bottom"/>
          </w:tcPr>
          <w:p>
            <w:pPr>
              <w:spacing w:after="0"/>
              <w:rPr>
                <w:sz w:val="20"/>
                <w:szCs w:val="20"/>
                <w:color w:val="auto"/>
              </w:rPr>
            </w:pPr>
            <w:r>
              <w:rPr>
                <w:rFonts w:ascii="Arial" w:cs="Arial" w:eastAsia="Arial" w:hAnsi="Arial"/>
                <w:sz w:val="17"/>
                <w:szCs w:val="17"/>
                <w:b w:val="1"/>
                <w:bCs w:val="1"/>
                <w:color w:val="auto"/>
              </w:rPr>
              <w:t>4. ACCOUNTS RECEIVABLE</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6620" w:type="dxa"/>
            <w:vAlign w:val="bottom"/>
          </w:tcPr>
          <w:p>
            <w:pPr>
              <w:spacing w:after="0"/>
              <w:rPr>
                <w:sz w:val="20"/>
                <w:szCs w:val="20"/>
                <w:color w:val="auto"/>
              </w:rPr>
            </w:pPr>
            <w:r>
              <w:rPr>
                <w:rFonts w:ascii="Arial" w:cs="Arial" w:eastAsia="Arial" w:hAnsi="Arial"/>
                <w:sz w:val="17"/>
                <w:szCs w:val="17"/>
                <w:color w:val="auto"/>
              </w:rPr>
              <w:t>Accounts receivable consisted of the following:</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180" w:type="dxa"/>
            <w:vAlign w:val="bottom"/>
          </w:tcPr>
          <w:p>
            <w:pPr>
              <w:spacing w:after="0"/>
              <w:rPr>
                <w:sz w:val="24"/>
                <w:szCs w:val="24"/>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c>
          <w:tcPr>
            <w:tcW w:w="0" w:type="dxa"/>
            <w:vAlign w:val="bottom"/>
          </w:tcPr>
          <w:p>
            <w:pPr>
              <w:spacing w:after="0"/>
              <w:rPr>
                <w:sz w:val="1"/>
                <w:szCs w:val="1"/>
                <w:color w:val="auto"/>
              </w:rPr>
            </w:pPr>
          </w:p>
        </w:tc>
      </w:tr>
      <w:tr>
        <w:trPr>
          <w:trHeight w:val="217"/>
        </w:trPr>
        <w:tc>
          <w:tcPr>
            <w:tcW w:w="6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5"/>
        </w:trPr>
        <w:tc>
          <w:tcPr>
            <w:tcW w:w="6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123,711</w:t>
            </w:r>
          </w:p>
        </w:tc>
        <w:tc>
          <w:tcPr>
            <w:tcW w:w="0" w:type="dxa"/>
            <w:vAlign w:val="bottom"/>
          </w:tcPr>
          <w:p>
            <w:pPr>
              <w:spacing w:after="0"/>
              <w:rPr>
                <w:sz w:val="1"/>
                <w:szCs w:val="1"/>
                <w:color w:val="auto"/>
              </w:rPr>
            </w:pPr>
          </w:p>
        </w:tc>
      </w:tr>
      <w:tr>
        <w:trPr>
          <w:trHeight w:val="232"/>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Allowance for doubtful accounts</w:t>
            </w:r>
          </w:p>
        </w:tc>
        <w:tc>
          <w:tcPr>
            <w:tcW w:w="98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(5,005)</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(4,407)</w:t>
            </w:r>
          </w:p>
        </w:tc>
        <w:tc>
          <w:tcPr>
            <w:tcW w:w="0" w:type="dxa"/>
            <w:vAlign w:val="bottom"/>
          </w:tcPr>
          <w:p>
            <w:pPr>
              <w:spacing w:after="0"/>
              <w:rPr>
                <w:sz w:val="1"/>
                <w:szCs w:val="1"/>
                <w:color w:val="auto"/>
              </w:rPr>
            </w:pPr>
          </w:p>
        </w:tc>
      </w:tr>
      <w:tr>
        <w:trPr>
          <w:trHeight w:val="262"/>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88,717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119,304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Movement of allowance for doubtful accounts was as follows:</w:t>
            </w:r>
          </w:p>
        </w:tc>
        <w:tc>
          <w:tcPr>
            <w:tcW w:w="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6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Year Ended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6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6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the period</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5,537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5,005</w:t>
            </w:r>
          </w:p>
        </w:tc>
        <w:tc>
          <w:tcPr>
            <w:tcW w:w="0" w:type="dxa"/>
            <w:vAlign w:val="bottom"/>
          </w:tcPr>
          <w:p>
            <w:pPr>
              <w:spacing w:after="0"/>
              <w:rPr>
                <w:sz w:val="1"/>
                <w:szCs w:val="1"/>
                <w:color w:val="auto"/>
              </w:rPr>
            </w:pPr>
          </w:p>
        </w:tc>
      </w:tr>
      <w:tr>
        <w:trPr>
          <w:trHeight w:val="201"/>
        </w:trPr>
        <w:tc>
          <w:tcPr>
            <w:tcW w:w="6620" w:type="dxa"/>
            <w:vAlign w:val="bottom"/>
          </w:tcPr>
          <w:p>
            <w:pPr>
              <w:ind w:left="20"/>
              <w:spacing w:after="0"/>
              <w:rPr>
                <w:sz w:val="20"/>
                <w:szCs w:val="20"/>
                <w:color w:val="auto"/>
              </w:rPr>
            </w:pPr>
            <w:r>
              <w:rPr>
                <w:rFonts w:ascii="Arial" w:cs="Arial" w:eastAsia="Arial" w:hAnsi="Arial"/>
                <w:sz w:val="17"/>
                <w:szCs w:val="17"/>
                <w:color w:val="auto"/>
                <w:w w:val="96"/>
              </w:rPr>
              <w:t>Cumulative-effect adjustment upon adoption of ASU2016-13, Financial instruments- Credit</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Arial" w:cs="Arial" w:eastAsia="Arial" w:hAnsi="Arial"/>
                <w:sz w:val="17"/>
                <w:szCs w:val="17"/>
                <w:color w:val="auto"/>
              </w:rPr>
              <w:t>losses (Topic 326)</w:t>
            </w:r>
          </w:p>
        </w:tc>
        <w:tc>
          <w:tcPr>
            <w:tcW w:w="9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866</w:t>
            </w:r>
          </w:p>
        </w:tc>
        <w:tc>
          <w:tcPr>
            <w:tcW w:w="0" w:type="dxa"/>
            <w:vAlign w:val="bottom"/>
          </w:tcPr>
          <w:p>
            <w:pPr>
              <w:spacing w:after="0"/>
              <w:rPr>
                <w:sz w:val="1"/>
                <w:szCs w:val="1"/>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(Reserve)/Charge to expenses</w:t>
            </w:r>
          </w:p>
        </w:tc>
        <w:tc>
          <w:tcPr>
            <w:tcW w:w="9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w:t>
            </w:r>
          </w:p>
        </w:tc>
        <w:tc>
          <w:tcPr>
            <w:tcW w:w="0" w:type="dxa"/>
            <w:vAlign w:val="bottom"/>
          </w:tcPr>
          <w:p>
            <w:pPr>
              <w:spacing w:after="0"/>
              <w:rPr>
                <w:sz w:val="1"/>
                <w:szCs w:val="1"/>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Write off</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(2,631)</w:t>
            </w:r>
          </w:p>
        </w:tc>
        <w:tc>
          <w:tcPr>
            <w:tcW w:w="0" w:type="dxa"/>
            <w:vAlign w:val="bottom"/>
          </w:tcPr>
          <w:p>
            <w:pPr>
              <w:spacing w:after="0"/>
              <w:rPr>
                <w:sz w:val="1"/>
                <w:szCs w:val="1"/>
                <w:color w:val="auto"/>
              </w:rPr>
            </w:pPr>
          </w:p>
        </w:tc>
      </w:tr>
      <w:tr>
        <w:trPr>
          <w:trHeight w:val="238"/>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Exchange difference</w:t>
            </w:r>
          </w:p>
        </w:tc>
        <w:tc>
          <w:tcPr>
            <w:tcW w:w="9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0" w:type="dxa"/>
            <w:vAlign w:val="bottom"/>
          </w:tcPr>
          <w:p>
            <w:pPr>
              <w:spacing w:after="0"/>
              <w:rPr>
                <w:sz w:val="1"/>
                <w:szCs w:val="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7"/>
                <w:szCs w:val="17"/>
                <w:color w:val="auto"/>
              </w:rPr>
              <w:t>Balance at end of the period</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8"/>
              </w:rPr>
              <w:t>5,047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5,005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4,407</w:t>
            </w:r>
          </w:p>
        </w:tc>
        <w:tc>
          <w:tcPr>
            <w:tcW w:w="0" w:type="dxa"/>
            <w:vAlign w:val="bottom"/>
          </w:tcPr>
          <w:p>
            <w:pPr>
              <w:spacing w:after="0"/>
              <w:rPr>
                <w:sz w:val="1"/>
                <w:szCs w:val="1"/>
                <w:color w:val="auto"/>
              </w:rPr>
            </w:pPr>
          </w:p>
        </w:tc>
      </w:tr>
      <w:tr>
        <w:trPr>
          <w:trHeight w:val="841"/>
        </w:trPr>
        <w:tc>
          <w:tcPr>
            <w:tcW w:w="6620" w:type="dxa"/>
            <w:vAlign w:val="bottom"/>
          </w:tcPr>
          <w:p>
            <w:pPr>
              <w:ind w:left="5460"/>
              <w:spacing w:after="0"/>
              <w:rPr>
                <w:sz w:val="20"/>
                <w:szCs w:val="20"/>
                <w:color w:val="auto"/>
              </w:rPr>
            </w:pPr>
            <w:r>
              <w:rPr>
                <w:rFonts w:ascii="Arial" w:cs="Arial" w:eastAsia="Arial" w:hAnsi="Arial"/>
                <w:sz w:val="17"/>
                <w:szCs w:val="17"/>
                <w:color w:val="auto"/>
              </w:rPr>
              <w:t>F-23</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66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0" w:type="dxa"/>
            <w:vAlign w:val="bottom"/>
          </w:tcPr>
          <w:p>
            <w:pPr>
              <w:spacing w:after="0"/>
              <w:rPr>
                <w:sz w:val="20"/>
                <w:szCs w:val="20"/>
                <w:color w:val="auto"/>
              </w:rPr>
            </w:pPr>
            <w:r>
              <w:rPr>
                <w:rFonts w:ascii="Arial" w:cs="Arial" w:eastAsia="Arial" w:hAnsi="Arial"/>
                <w:sz w:val="17"/>
                <w:szCs w:val="17"/>
                <w:b w:val="1"/>
                <w:bCs w:val="1"/>
                <w:color w:val="auto"/>
              </w:rPr>
              <w:t>5. INVENTORIES, NET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02"/>
        </w:trPr>
        <w:tc>
          <w:tcPr>
            <w:tcW w:w="8200" w:type="dxa"/>
            <w:vAlign w:val="bottom"/>
          </w:tcPr>
          <w:p>
            <w:pPr>
              <w:spacing w:after="0"/>
              <w:rPr>
                <w:sz w:val="20"/>
                <w:szCs w:val="20"/>
                <w:color w:val="auto"/>
              </w:rPr>
            </w:pPr>
            <w:r>
              <w:rPr>
                <w:rFonts w:ascii="Arial" w:cs="Arial" w:eastAsia="Arial" w:hAnsi="Arial"/>
                <w:sz w:val="17"/>
                <w:szCs w:val="17"/>
                <w:color w:val="auto"/>
              </w:rPr>
              <w:t>Inventories consisted of the following:</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6"/>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5"/>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 in process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20,760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48,747</w:t>
            </w:r>
          </w:p>
        </w:tc>
      </w:tr>
      <w:tr>
        <w:trPr>
          <w:trHeight w:val="245"/>
        </w:trPr>
        <w:tc>
          <w:tcPr>
            <w:tcW w:w="8200" w:type="dxa"/>
            <w:vAlign w:val="bottom"/>
          </w:tcPr>
          <w:p>
            <w:pPr>
              <w:ind w:left="20"/>
              <w:spacing w:after="0"/>
              <w:rPr>
                <w:sz w:val="20"/>
                <w:szCs w:val="20"/>
                <w:color w:val="auto"/>
              </w:rPr>
            </w:pPr>
            <w:r>
              <w:rPr>
                <w:rFonts w:ascii="Arial" w:cs="Arial" w:eastAsia="Arial" w:hAnsi="Arial"/>
                <w:sz w:val="17"/>
                <w:szCs w:val="17"/>
                <w:color w:val="auto"/>
              </w:rPr>
              <w:t>Raw materials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25,266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29,331</w:t>
            </w:r>
          </w:p>
        </w:tc>
      </w:tr>
      <w:tr>
        <w:trPr>
          <w:trHeight w:val="25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7,398</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6,174</w:t>
            </w:r>
          </w:p>
        </w:tc>
      </w:tr>
      <w:tr>
        <w:trPr>
          <w:trHeight w:val="237"/>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53,424</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84,252</w:t>
            </w:r>
          </w:p>
        </w:tc>
      </w:tr>
      <w:tr>
        <w:trPr>
          <w:trHeight w:val="20"/>
        </w:trPr>
        <w:tc>
          <w:tcPr>
            <w:tcW w:w="8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Provision for obsolete inventory of $1,343, $18,295 and $4,789 were recognized for the years ended December 31, 2020, 2021 and 2022, respectively, primarily related to inventory becoming obsolete as a result of technology development or product upgrade.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0" w:type="dxa"/>
            <w:vAlign w:val="bottom"/>
          </w:tcPr>
          <w:p>
            <w:pPr>
              <w:spacing w:after="0"/>
              <w:rPr>
                <w:sz w:val="20"/>
                <w:szCs w:val="20"/>
                <w:color w:val="auto"/>
              </w:rPr>
            </w:pPr>
            <w:r>
              <w:rPr>
                <w:rFonts w:ascii="Arial" w:cs="Arial" w:eastAsia="Arial" w:hAnsi="Arial"/>
                <w:sz w:val="17"/>
                <w:szCs w:val="17"/>
                <w:b w:val="1"/>
                <w:bCs w:val="1"/>
                <w:color w:val="auto"/>
              </w:rPr>
              <w:t>6. PREPAID EXPENSES AND OTHER CURRENT ASSETS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180" w:type="dxa"/>
            <w:vAlign w:val="bottom"/>
          </w:tcPr>
          <w:p>
            <w:pPr>
              <w:spacing w:after="0"/>
              <w:rPr>
                <w:sz w:val="24"/>
                <w:szCs w:val="24"/>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5"/>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Advances to suppliers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5,075</w:t>
            </w:r>
          </w:p>
        </w:tc>
        <w:tc>
          <w:tcPr>
            <w:tcW w:w="0" w:type="dxa"/>
            <w:vAlign w:val="bottom"/>
          </w:tcPr>
          <w:p>
            <w:pPr>
              <w:spacing w:after="0"/>
              <w:rPr>
                <w:sz w:val="1"/>
                <w:szCs w:val="1"/>
                <w:color w:val="auto"/>
              </w:rPr>
            </w:pP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4,687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3,374</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VAT receivables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2,408</w:t>
            </w:r>
          </w:p>
        </w:tc>
        <w:tc>
          <w:tcPr>
            <w:tcW w:w="0" w:type="dxa"/>
            <w:vAlign w:val="bottom"/>
          </w:tcPr>
          <w:p>
            <w:pPr>
              <w:spacing w:after="0"/>
              <w:rPr>
                <w:sz w:val="1"/>
                <w:szCs w:val="1"/>
                <w:color w:val="auto"/>
              </w:rPr>
            </w:pP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Deposits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925</w:t>
            </w:r>
          </w:p>
        </w:tc>
        <w:tc>
          <w:tcPr>
            <w:tcW w:w="0" w:type="dxa"/>
            <w:vAlign w:val="bottom"/>
          </w:tcPr>
          <w:p>
            <w:pPr>
              <w:spacing w:after="0"/>
              <w:rPr>
                <w:sz w:val="1"/>
                <w:szCs w:val="1"/>
                <w:color w:val="auto"/>
              </w:rPr>
            </w:pPr>
          </w:p>
        </w:tc>
      </w:tr>
      <w:tr>
        <w:trPr>
          <w:trHeight w:val="23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receivables</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17,127</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12,093</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7"/>
                <w:szCs w:val="17"/>
                <w:color w:val="auto"/>
                <w:w w:val="96"/>
              </w:rPr>
              <w:t>The balance of the VAT receivables represented the amount available for future deduction against VAT payable.</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200" w:type="dxa"/>
            <w:vAlign w:val="bottom"/>
          </w:tcPr>
          <w:p>
            <w:pPr>
              <w:spacing w:after="0"/>
              <w:rPr>
                <w:sz w:val="20"/>
                <w:szCs w:val="20"/>
                <w:color w:val="auto"/>
              </w:rPr>
            </w:pPr>
            <w:r>
              <w:rPr>
                <w:rFonts w:ascii="Arial" w:cs="Arial" w:eastAsia="Arial" w:hAnsi="Arial"/>
                <w:sz w:val="17"/>
                <w:szCs w:val="17"/>
                <w:b w:val="1"/>
                <w:bCs w:val="1"/>
                <w:color w:val="auto"/>
              </w:rPr>
              <w:t>7. PROPERTY, PLANT AND EQUIPMENT, NET</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8200" w:type="dxa"/>
            <w:vAlign w:val="bottom"/>
          </w:tcPr>
          <w:p>
            <w:pPr>
              <w:spacing w:after="0"/>
              <w:rPr>
                <w:sz w:val="20"/>
                <w:szCs w:val="20"/>
                <w:color w:val="auto"/>
              </w:rPr>
            </w:pPr>
            <w:r>
              <w:rPr>
                <w:rFonts w:ascii="Arial" w:cs="Arial" w:eastAsia="Arial" w:hAnsi="Arial"/>
                <w:sz w:val="17"/>
                <w:szCs w:val="17"/>
                <w:color w:val="auto"/>
              </w:rPr>
              <w:t>Property, plant and equipment, net consisted of the following:</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180" w:type="dxa"/>
            <w:vAlign w:val="bottom"/>
          </w:tcPr>
          <w:p>
            <w:pPr>
              <w:spacing w:after="0"/>
              <w:rPr>
                <w:sz w:val="24"/>
                <w:szCs w:val="24"/>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5"/>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Machineries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140,160</w:t>
            </w:r>
          </w:p>
        </w:tc>
        <w:tc>
          <w:tcPr>
            <w:tcW w:w="0" w:type="dxa"/>
            <w:vAlign w:val="bottom"/>
          </w:tcPr>
          <w:p>
            <w:pPr>
              <w:spacing w:after="0"/>
              <w:rPr>
                <w:sz w:val="1"/>
                <w:szCs w:val="1"/>
                <w:color w:val="auto"/>
              </w:rPr>
            </w:pP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Buildings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41,920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44,680</w:t>
            </w:r>
          </w:p>
        </w:tc>
        <w:tc>
          <w:tcPr>
            <w:tcW w:w="0" w:type="dxa"/>
            <w:vAlign w:val="bottom"/>
          </w:tcPr>
          <w:p>
            <w:pPr>
              <w:spacing w:after="0"/>
              <w:rPr>
                <w:sz w:val="1"/>
                <w:szCs w:val="1"/>
                <w:color w:val="auto"/>
              </w:rPr>
            </w:pP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30,035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28,625</w:t>
            </w:r>
          </w:p>
        </w:tc>
        <w:tc>
          <w:tcPr>
            <w:tcW w:w="0" w:type="dxa"/>
            <w:vAlign w:val="bottom"/>
          </w:tcPr>
          <w:p>
            <w:pPr>
              <w:spacing w:after="0"/>
              <w:rPr>
                <w:sz w:val="1"/>
                <w:szCs w:val="1"/>
                <w:color w:val="auto"/>
              </w:rPr>
            </w:pP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Fixtures and electronic equipment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13,848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16,193</w:t>
            </w:r>
          </w:p>
        </w:tc>
        <w:tc>
          <w:tcPr>
            <w:tcW w:w="0" w:type="dxa"/>
            <w:vAlign w:val="bottom"/>
          </w:tcPr>
          <w:p>
            <w:pPr>
              <w:spacing w:after="0"/>
              <w:rPr>
                <w:sz w:val="1"/>
                <w:szCs w:val="1"/>
                <w:color w:val="auto"/>
              </w:rPr>
            </w:pPr>
          </w:p>
        </w:tc>
      </w:tr>
      <w:tr>
        <w:trPr>
          <w:trHeight w:val="238"/>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Motor vehicles</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8,507</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10,842</w:t>
            </w:r>
          </w:p>
        </w:tc>
        <w:tc>
          <w:tcPr>
            <w:tcW w:w="0" w:type="dxa"/>
            <w:vAlign w:val="bottom"/>
          </w:tcPr>
          <w:p>
            <w:pPr>
              <w:spacing w:after="0"/>
              <w:rPr>
                <w:sz w:val="1"/>
                <w:szCs w:val="1"/>
                <w:color w:val="auto"/>
              </w:rPr>
            </w:pPr>
          </w:p>
        </w:tc>
      </w:tr>
      <w:tr>
        <w:trPr>
          <w:trHeight w:val="231"/>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244,829</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240,500</w:t>
            </w:r>
          </w:p>
        </w:tc>
        <w:tc>
          <w:tcPr>
            <w:tcW w:w="0" w:type="dxa"/>
            <w:vAlign w:val="bottom"/>
          </w:tcPr>
          <w:p>
            <w:pPr>
              <w:spacing w:after="0"/>
              <w:rPr>
                <w:sz w:val="1"/>
                <w:szCs w:val="1"/>
                <w:color w:val="auto"/>
              </w:rPr>
            </w:pPr>
          </w:p>
        </w:tc>
      </w:tr>
      <w:tr>
        <w:trPr>
          <w:trHeight w:val="237"/>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(88,745)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(100,902)</w:t>
            </w:r>
          </w:p>
        </w:tc>
        <w:tc>
          <w:tcPr>
            <w:tcW w:w="0" w:type="dxa"/>
            <w:vAlign w:val="bottom"/>
          </w:tcPr>
          <w:p>
            <w:pPr>
              <w:spacing w:after="0"/>
              <w:rPr>
                <w:sz w:val="1"/>
                <w:szCs w:val="1"/>
                <w:color w:val="auto"/>
              </w:rPr>
            </w:pPr>
          </w:p>
        </w:tc>
      </w:tr>
      <w:tr>
        <w:trPr>
          <w:trHeight w:val="23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Construction in progress</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96,973</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195,542</w:t>
            </w:r>
          </w:p>
        </w:tc>
        <w:tc>
          <w:tcPr>
            <w:tcW w:w="0" w:type="dxa"/>
            <w:vAlign w:val="bottom"/>
          </w:tcPr>
          <w:p>
            <w:pPr>
              <w:spacing w:after="0"/>
              <w:rPr>
                <w:sz w:val="1"/>
                <w:szCs w:val="1"/>
                <w:color w:val="auto"/>
              </w:rPr>
            </w:pPr>
          </w:p>
        </w:tc>
      </w:tr>
      <w:tr>
        <w:trPr>
          <w:trHeight w:val="26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253,057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335,140</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The Group recorded depreciation expenses of $16,097, $19,975 and $19,811 for the years ended December 31, 2020, 2021 and 2022, respectively. $567, $2,443 and $1,798 impairment losses were recognized for the years ended December 31, 2020, 2021 and 2022, respectively.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0" w:type="dxa"/>
            <w:vAlign w:val="bottom"/>
          </w:tcPr>
          <w:p>
            <w:pPr>
              <w:spacing w:after="0"/>
              <w:rPr>
                <w:sz w:val="20"/>
                <w:szCs w:val="20"/>
                <w:color w:val="auto"/>
              </w:rPr>
            </w:pPr>
            <w:r>
              <w:rPr>
                <w:rFonts w:ascii="Arial" w:cs="Arial" w:eastAsia="Arial" w:hAnsi="Arial"/>
                <w:sz w:val="17"/>
                <w:szCs w:val="17"/>
                <w:b w:val="1"/>
                <w:bCs w:val="1"/>
                <w:color w:val="auto"/>
              </w:rPr>
              <w:t>8. LAND USE RIGHTS, NET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02"/>
        </w:trPr>
        <w:tc>
          <w:tcPr>
            <w:tcW w:w="8200" w:type="dxa"/>
            <w:vAlign w:val="bottom"/>
          </w:tcPr>
          <w:p>
            <w:pPr>
              <w:spacing w:after="0"/>
              <w:rPr>
                <w:sz w:val="20"/>
                <w:szCs w:val="20"/>
                <w:color w:val="auto"/>
              </w:rPr>
            </w:pPr>
            <w:r>
              <w:rPr>
                <w:rFonts w:ascii="Arial" w:cs="Arial" w:eastAsia="Arial" w:hAnsi="Arial"/>
                <w:sz w:val="17"/>
                <w:szCs w:val="17"/>
                <w:color w:val="auto"/>
              </w:rPr>
              <w:t>Land use rights consisted of the following:</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6"/>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180" w:type="dxa"/>
            <w:vAlign w:val="bottom"/>
          </w:tcPr>
          <w:p>
            <w:pPr>
              <w:spacing w:after="0"/>
              <w:rPr>
                <w:sz w:val="24"/>
                <w:szCs w:val="24"/>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8"/>
              </w:rPr>
              <w:t>December 31,</w:t>
            </w: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5"/>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land use rights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6"/>
              </w:rPr>
              <w:t>16,390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6"/>
              </w:rPr>
              <w:t>15,143</w:t>
            </w:r>
          </w:p>
        </w:tc>
      </w:tr>
      <w:tr>
        <w:trPr>
          <w:trHeight w:val="23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amortization</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780"/>
              <w:spacing w:after="0"/>
              <w:rPr>
                <w:sz w:val="20"/>
                <w:szCs w:val="20"/>
                <w:color w:val="auto"/>
              </w:rPr>
            </w:pPr>
            <w:r>
              <w:rPr>
                <w:rFonts w:ascii="Arial" w:cs="Arial" w:eastAsia="Arial" w:hAnsi="Arial"/>
                <w:sz w:val="17"/>
                <w:szCs w:val="17"/>
                <w:color w:val="auto"/>
                <w:w w:val="92"/>
              </w:rPr>
              <w:t>(2,382)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89"/>
              </w:rPr>
              <w:t>(2,504)</w:t>
            </w:r>
          </w:p>
        </w:tc>
      </w:tr>
      <w:tr>
        <w:trPr>
          <w:trHeight w:val="26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Land use rights,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b w:val="1"/>
                <w:bCs w:val="1"/>
                <w:color w:val="auto"/>
                <w:w w:val="96"/>
              </w:rPr>
              <w:t>14,008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b w:val="1"/>
                <w:bCs w:val="1"/>
                <w:color w:val="auto"/>
                <w:w w:val="96"/>
              </w:rPr>
              <w:t>12,639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The land use rights were acquired for the use of the Group’s production facilities. Land use rights are amortized on a straight-line basis for 50 years or shorter of the estimated usage periods or the terms of the land use rights agreements. The Group recorded amortization expenses of $303, $325 and $310 for the years ended December 31, 2020, 2021 and 2022, respectively. Future amortization expense is $310 per year for each of the next five years through December 31, 2027 and thereafter.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0" w:type="dxa"/>
            <w:vAlign w:val="bottom"/>
          </w:tcPr>
          <w:p>
            <w:pPr>
              <w:spacing w:after="0"/>
              <w:rPr>
                <w:sz w:val="20"/>
                <w:szCs w:val="20"/>
                <w:color w:val="auto"/>
              </w:rPr>
            </w:pPr>
            <w:r>
              <w:rPr>
                <w:rFonts w:ascii="Arial" w:cs="Arial" w:eastAsia="Arial" w:hAnsi="Arial"/>
                <w:sz w:val="17"/>
                <w:szCs w:val="17"/>
                <w:b w:val="1"/>
                <w:bCs w:val="1"/>
                <w:color w:val="auto"/>
              </w:rPr>
              <w:t>9. ACQUIRED INTANGIBLE ASSETS, NET</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36"/>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180" w:type="dxa"/>
            <w:vAlign w:val="bottom"/>
          </w:tcPr>
          <w:p>
            <w:pPr>
              <w:spacing w:after="0"/>
              <w:rPr>
                <w:sz w:val="24"/>
                <w:szCs w:val="24"/>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8"/>
              </w:rPr>
              <w:t>December 31,</w:t>
            </w: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5"/>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acquired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center"/>
              <w:ind w:left="716"/>
              <w:spacing w:after="0"/>
              <w:rPr>
                <w:sz w:val="20"/>
                <w:szCs w:val="20"/>
                <w:color w:val="auto"/>
              </w:rPr>
            </w:pPr>
            <w:r>
              <w:rPr>
                <w:rFonts w:ascii="Arial" w:cs="Arial" w:eastAsia="Arial" w:hAnsi="Arial"/>
                <w:sz w:val="17"/>
                <w:szCs w:val="17"/>
                <w:color w:val="auto"/>
                <w:w w:val="89"/>
              </w:rPr>
              <w:t>4,104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center"/>
              <w:ind w:left="716"/>
              <w:spacing w:after="0"/>
              <w:rPr>
                <w:sz w:val="20"/>
                <w:szCs w:val="20"/>
                <w:color w:val="auto"/>
              </w:rPr>
            </w:pPr>
            <w:r>
              <w:rPr>
                <w:rFonts w:ascii="Arial" w:cs="Arial" w:eastAsia="Arial" w:hAnsi="Arial"/>
                <w:sz w:val="17"/>
                <w:szCs w:val="17"/>
                <w:color w:val="auto"/>
                <w:w w:val="89"/>
              </w:rPr>
              <w:t>3,493</w:t>
            </w:r>
          </w:p>
        </w:tc>
      </w:tr>
      <w:tr>
        <w:trPr>
          <w:trHeight w:val="23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amortization</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676"/>
              <w:spacing w:after="0"/>
              <w:rPr>
                <w:sz w:val="20"/>
                <w:szCs w:val="20"/>
                <w:color w:val="auto"/>
              </w:rPr>
            </w:pPr>
            <w:r>
              <w:rPr>
                <w:rFonts w:ascii="Arial" w:cs="Arial" w:eastAsia="Arial" w:hAnsi="Arial"/>
                <w:sz w:val="17"/>
                <w:szCs w:val="17"/>
                <w:color w:val="auto"/>
                <w:w w:val="92"/>
              </w:rPr>
              <w:t>(2,222)</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left="696"/>
              <w:spacing w:after="0"/>
              <w:rPr>
                <w:sz w:val="20"/>
                <w:szCs w:val="20"/>
                <w:color w:val="auto"/>
              </w:rPr>
            </w:pPr>
            <w:r>
              <w:rPr>
                <w:rFonts w:ascii="Arial" w:cs="Arial" w:eastAsia="Arial" w:hAnsi="Arial"/>
                <w:sz w:val="17"/>
                <w:szCs w:val="17"/>
                <w:color w:val="auto"/>
                <w:w w:val="89"/>
              </w:rPr>
              <w:t>(1,857)</w:t>
            </w:r>
          </w:p>
        </w:tc>
      </w:tr>
      <w:tr>
        <w:trPr>
          <w:trHeight w:val="26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Acquired intangible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center"/>
              <w:ind w:left="716"/>
              <w:spacing w:after="0"/>
              <w:rPr>
                <w:sz w:val="20"/>
                <w:szCs w:val="20"/>
                <w:color w:val="auto"/>
              </w:rPr>
            </w:pPr>
            <w:r>
              <w:rPr>
                <w:rFonts w:ascii="Arial" w:cs="Arial" w:eastAsia="Arial" w:hAnsi="Arial"/>
                <w:sz w:val="17"/>
                <w:szCs w:val="17"/>
                <w:b w:val="1"/>
                <w:bCs w:val="1"/>
                <w:color w:val="auto"/>
                <w:w w:val="89"/>
              </w:rPr>
              <w:t>1,882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center"/>
              <w:ind w:left="716"/>
              <w:spacing w:after="0"/>
              <w:rPr>
                <w:sz w:val="20"/>
                <w:szCs w:val="20"/>
                <w:color w:val="auto"/>
              </w:rPr>
            </w:pPr>
            <w:r>
              <w:rPr>
                <w:rFonts w:ascii="Arial" w:cs="Arial" w:eastAsia="Arial" w:hAnsi="Arial"/>
                <w:sz w:val="17"/>
                <w:szCs w:val="17"/>
                <w:b w:val="1"/>
                <w:bCs w:val="1"/>
                <w:color w:val="auto"/>
                <w:w w:val="89"/>
              </w:rPr>
              <w:t>1,636</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The Group recorded amortization expense of $392, $413 and $244 for the years ended December 31, 2020, 2021 and 2022, respectively. No impairment losses were recognized for the years ended December 31, 2020, 2021 and 2022.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annual amortization expense for each of the five succeeding fiscal years and thereafter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726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r>
      <w:tr>
        <w:trPr>
          <w:trHeight w:val="232"/>
        </w:trPr>
        <w:tc>
          <w:tcPr>
            <w:tcW w:w="3080" w:type="dxa"/>
            <w:vAlign w:val="bottom"/>
          </w:tcPr>
          <w:p>
            <w:pPr>
              <w:ind w:left="20"/>
              <w:spacing w:after="0"/>
              <w:rPr>
                <w:sz w:val="20"/>
                <w:szCs w:val="20"/>
                <w:color w:val="auto"/>
              </w:rPr>
            </w:pPr>
            <w:r>
              <w:rPr>
                <w:rFonts w:ascii="Arial" w:cs="Arial" w:eastAsia="Arial" w:hAnsi="Arial"/>
                <w:sz w:val="17"/>
                <w:szCs w:val="17"/>
                <w:color w:val="auto"/>
              </w:rPr>
              <w:t>2024</w:t>
            </w:r>
          </w:p>
        </w:tc>
        <w:tc>
          <w:tcPr>
            <w:tcW w:w="6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237</w:t>
            </w:r>
          </w:p>
        </w:tc>
      </w:tr>
      <w:tr>
        <w:trPr>
          <w:trHeight w:val="245"/>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6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r>
      <w:tr>
        <w:trPr>
          <w:trHeight w:val="232"/>
        </w:trPr>
        <w:tc>
          <w:tcPr>
            <w:tcW w:w="3080" w:type="dxa"/>
            <w:vAlign w:val="bottom"/>
          </w:tcPr>
          <w:p>
            <w:pPr>
              <w:ind w:left="20"/>
              <w:spacing w:after="0"/>
              <w:rPr>
                <w:sz w:val="20"/>
                <w:szCs w:val="20"/>
                <w:color w:val="auto"/>
              </w:rPr>
            </w:pPr>
            <w:r>
              <w:rPr>
                <w:rFonts w:ascii="Arial" w:cs="Arial" w:eastAsia="Arial" w:hAnsi="Arial"/>
                <w:sz w:val="17"/>
                <w:szCs w:val="17"/>
                <w:color w:val="auto"/>
              </w:rPr>
              <w:t>2026</w:t>
            </w:r>
          </w:p>
        </w:tc>
        <w:tc>
          <w:tcPr>
            <w:tcW w:w="6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231</w:t>
            </w:r>
          </w:p>
        </w:tc>
      </w:tr>
      <w:tr>
        <w:trPr>
          <w:trHeight w:val="245"/>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66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r>
      <w:tr>
        <w:trPr>
          <w:trHeight w:val="232"/>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66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461</w:t>
            </w:r>
          </w:p>
        </w:tc>
      </w:tr>
      <w:tr>
        <w:trPr>
          <w:trHeight w:val="25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6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1,636</w:t>
            </w:r>
          </w:p>
        </w:tc>
      </w:tr>
      <w:tr>
        <w:trPr>
          <w:trHeight w:val="20"/>
        </w:trPr>
        <w:tc>
          <w:tcPr>
            <w:tcW w:w="30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24"/>
        </w:trPr>
        <w:tc>
          <w:tcPr>
            <w:tcW w:w="3080" w:type="dxa"/>
            <w:vAlign w:val="bottom"/>
          </w:tcPr>
          <w:p>
            <w:pPr>
              <w:spacing w:after="0"/>
              <w:rPr>
                <w:sz w:val="24"/>
                <w:szCs w:val="24"/>
                <w:color w:val="auto"/>
              </w:rPr>
            </w:pPr>
          </w:p>
        </w:tc>
        <w:tc>
          <w:tcPr>
            <w:tcW w:w="7260" w:type="dxa"/>
            <w:vAlign w:val="bottom"/>
            <w:gridSpan w:val="2"/>
          </w:tcPr>
          <w:p>
            <w:pPr>
              <w:jc w:val="right"/>
              <w:ind w:right="4476"/>
              <w:spacing w:after="0"/>
              <w:rPr>
                <w:sz w:val="20"/>
                <w:szCs w:val="20"/>
                <w:color w:val="auto"/>
              </w:rPr>
            </w:pPr>
            <w:r>
              <w:rPr>
                <w:rFonts w:ascii="Arial" w:cs="Arial" w:eastAsia="Arial" w:hAnsi="Arial"/>
                <w:sz w:val="17"/>
                <w:szCs w:val="17"/>
                <w:color w:val="auto"/>
              </w:rPr>
              <w:t>F-25</w:t>
            </w:r>
          </w:p>
        </w:tc>
        <w:tc>
          <w:tcPr>
            <w:tcW w:w="900" w:type="dxa"/>
            <w:vAlign w:val="bottom"/>
          </w:tcPr>
          <w:p>
            <w:pPr>
              <w:spacing w:after="0"/>
              <w:rPr>
                <w:sz w:val="24"/>
                <w:szCs w:val="24"/>
                <w:color w:val="auto"/>
              </w:rPr>
            </w:pPr>
          </w:p>
        </w:tc>
      </w:tr>
      <w:tr>
        <w:trPr>
          <w:trHeight w:val="93"/>
        </w:trPr>
        <w:tc>
          <w:tcPr>
            <w:tcW w:w="3080" w:type="dxa"/>
            <w:vAlign w:val="bottom"/>
            <w:tcBorders>
              <w:bottom w:val="single" w:sz="8" w:color="9A9A9A"/>
            </w:tcBorders>
          </w:tcPr>
          <w:p>
            <w:pPr>
              <w:spacing w:after="0"/>
              <w:rPr>
                <w:sz w:val="8"/>
                <w:szCs w:val="8"/>
                <w:color w:val="auto"/>
              </w:rPr>
            </w:pPr>
          </w:p>
        </w:tc>
        <w:tc>
          <w:tcPr>
            <w:tcW w:w="66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0" w:type="dxa"/>
            <w:vAlign w:val="bottom"/>
          </w:tcPr>
          <w:p>
            <w:pPr>
              <w:spacing w:after="0"/>
              <w:rPr>
                <w:sz w:val="20"/>
                <w:szCs w:val="20"/>
                <w:color w:val="auto"/>
              </w:rPr>
            </w:pPr>
            <w:r>
              <w:rPr>
                <w:rFonts w:ascii="Arial" w:cs="Arial" w:eastAsia="Arial" w:hAnsi="Arial"/>
                <w:sz w:val="17"/>
                <w:szCs w:val="17"/>
                <w:b w:val="1"/>
                <w:bCs w:val="1"/>
                <w:color w:val="auto"/>
              </w:rPr>
              <w:t>10. ACCRUED EXPENSES AND OTHER 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36"/>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5"/>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warranty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20,922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13,044</w:t>
            </w: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Payables for purchase of property, plant and equipment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18,500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29,183</w:t>
            </w: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10,636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8,608</w:t>
            </w: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Accrued payroll and welfare</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3,476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4,716</w:t>
            </w: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2,641</w:t>
            </w: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Interest payable</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1,836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298</w:t>
            </w: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 current</w:t>
            </w: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w:t>
            </w:r>
          </w:p>
        </w:tc>
      </w:tr>
      <w:tr>
        <w:trPr>
          <w:trHeight w:val="23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tax payable</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6,296</w:t>
            </w:r>
          </w:p>
        </w:tc>
      </w:tr>
      <w:tr>
        <w:trPr>
          <w:trHeight w:val="26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58,740</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66,720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20" w:type="dxa"/>
            <w:vAlign w:val="bottom"/>
          </w:tcPr>
          <w:p>
            <w:pPr>
              <w:spacing w:after="0"/>
              <w:rPr>
                <w:sz w:val="20"/>
                <w:szCs w:val="20"/>
                <w:color w:val="auto"/>
              </w:rPr>
            </w:pPr>
            <w:r>
              <w:rPr>
                <w:rFonts w:ascii="Arial" w:cs="Arial" w:eastAsia="Arial" w:hAnsi="Arial"/>
                <w:sz w:val="17"/>
                <w:szCs w:val="17"/>
                <w:b w:val="1"/>
                <w:bCs w:val="1"/>
                <w:color w:val="auto"/>
              </w:rPr>
              <w:t>11. PRODUCT WARRANTY</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02"/>
        </w:trPr>
        <w:tc>
          <w:tcPr>
            <w:tcW w:w="6620" w:type="dxa"/>
            <w:vAlign w:val="bottom"/>
          </w:tcPr>
          <w:p>
            <w:pPr>
              <w:spacing w:after="0"/>
              <w:rPr>
                <w:sz w:val="20"/>
                <w:szCs w:val="20"/>
                <w:color w:val="auto"/>
              </w:rPr>
            </w:pPr>
            <w:r>
              <w:rPr>
                <w:rFonts w:ascii="Arial" w:cs="Arial" w:eastAsia="Arial" w:hAnsi="Arial"/>
                <w:sz w:val="17"/>
                <w:szCs w:val="17"/>
                <w:color w:val="auto"/>
              </w:rPr>
              <w:t>Movement of product warranty was as follows: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6"/>
        </w:trPr>
        <w:tc>
          <w:tcPr>
            <w:tcW w:w="6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Year Ended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6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
        </w:trPr>
        <w:tc>
          <w:tcPr>
            <w:tcW w:w="6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5"/>
        </w:trPr>
        <w:tc>
          <w:tcPr>
            <w:tcW w:w="66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the year</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18,416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19,356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58,458</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Provided during the year</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3,477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52,932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14,097</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Utilized during the year</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(2,537)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(13,830)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(26,916)</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Exchange difference</w:t>
            </w:r>
          </w:p>
        </w:tc>
        <w:tc>
          <w:tcPr>
            <w:tcW w:w="940" w:type="dxa"/>
            <w:vAlign w:val="bottom"/>
          </w:tcPr>
          <w:p>
            <w:pPr>
              <w:jc w:val="right"/>
              <w:ind w:right="756"/>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(3,579)</w:t>
            </w:r>
          </w:p>
        </w:tc>
      </w:tr>
      <w:tr>
        <w:trPr>
          <w:trHeight w:val="262"/>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end of the year</w:t>
            </w:r>
          </w:p>
        </w:tc>
        <w:tc>
          <w:tcPr>
            <w:tcW w:w="94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8"/>
              </w:rPr>
              <w:t>19,356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58,458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42,060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6620" w:type="dxa"/>
            <w:vAlign w:val="bottom"/>
          </w:tcPr>
          <w:p>
            <w:pPr>
              <w:ind w:left="20"/>
              <w:spacing w:after="0"/>
              <w:rPr>
                <w:sz w:val="20"/>
                <w:szCs w:val="20"/>
                <w:color w:val="auto"/>
              </w:rPr>
            </w:pPr>
            <w:r>
              <w:rPr>
                <w:rFonts w:ascii="Arial" w:cs="Arial" w:eastAsia="Arial" w:hAnsi="Arial"/>
                <w:sz w:val="17"/>
                <w:szCs w:val="17"/>
                <w:color w:val="auto"/>
              </w:rPr>
              <w:t>Product warranty – current</w:t>
            </w:r>
          </w:p>
        </w:tc>
        <w:tc>
          <w:tcPr>
            <w:tcW w:w="940" w:type="dxa"/>
            <w:vAlign w:val="bottom"/>
          </w:tcPr>
          <w:p>
            <w:pPr>
              <w:jc w:val="right"/>
              <w:ind w:right="756"/>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4,296</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20,922</w:t>
            </w:r>
          </w:p>
        </w:tc>
        <w:tc>
          <w:tcPr>
            <w:tcW w:w="80" w:type="dxa"/>
            <w:vAlign w:val="bottom"/>
          </w:tcPr>
          <w:p>
            <w:pPr>
              <w:spacing w:after="0"/>
              <w:rPr>
                <w:sz w:val="17"/>
                <w:szCs w:val="17"/>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13,044</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warranty – non-current</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15,060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37,536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29,016</w:t>
            </w:r>
          </w:p>
        </w:tc>
      </w:tr>
    </w:tbl>
    <w:p>
      <w:pPr>
        <w:spacing w:after="0" w:line="264"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Warranty provisions are based upon historical experience. Changes in provisions related to pre-existing legacy products were made based on actual claims and intensive testing and analysis on the legacy products. In 2021, as a result of the increases in the repairing cost and frequency of claims with respect to a legacy product sold in 2017 and 2018, the Company conducted intensive experiments and a root cause analysis, which was completed in October 2021. The Company concluded that a component purchased from a supplier was not meeting the Company’s performance standards. As a result, the Company determined that the impacted legacy products sold would need to be replaced before the expiration of the warranty term. This reassessment resulted in a change in estimate for additional accrual in 2021 of $46,485 relating to those legacy products. As the component was not incorporated into other products, no additional accrual was made to other existing products sold.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BANK BORROWINGS</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On September 27, 2022, the Group entered into a $111 million (RMB800 million) loan facilities agreement with a group of lenders led by a PRC Bank (the "2022 Facility Agreement"). The 2022 Facility Agreement has an effective drawdown period until June 9, 2023 and the interest rate is prime plus 115 basis points where prime is based on Loan Prime Rate published by the National Inter-bank Funding Center of the PRC. The interest is payable on a quarterly basis. The loan facilities can only be used for the construction project of manufacturing capacity expansion at the Group’s facility located in Huzhou, China. The 2022 Facility Agreement contains certain customary restrictive covenants, including but not limited to disposal of assets and dividend distribution without the consent of the lender, and certain customary events of default.</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2022, the Group had outstanding borrowings of $43,496 under the 2022 Facility Agreement and the table below is the repayment schedule.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00" w:type="dxa"/>
            <w:vAlign w:val="bottom"/>
            <w:gridSpan w:val="2"/>
          </w:tcPr>
          <w:p>
            <w:pPr>
              <w:ind w:left="20"/>
              <w:spacing w:after="0"/>
              <w:rPr>
                <w:sz w:val="20"/>
                <w:szCs w:val="20"/>
                <w:color w:val="auto"/>
              </w:rPr>
            </w:pPr>
            <w:r>
              <w:rPr>
                <w:rFonts w:ascii="Arial" w:cs="Arial" w:eastAsia="Arial" w:hAnsi="Arial"/>
                <w:sz w:val="17"/>
                <w:szCs w:val="17"/>
                <w:b w:val="1"/>
                <w:bCs w:val="1"/>
                <w:color w:val="auto"/>
              </w:rPr>
              <w:t>Repayment Date</w:t>
            </w:r>
          </w:p>
        </w:tc>
        <w:tc>
          <w:tcPr>
            <w:tcW w:w="37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Repayment Amount</w:t>
            </w:r>
          </w:p>
        </w:tc>
      </w:tr>
      <w:tr>
        <w:trPr>
          <w:trHeight w:val="25"/>
        </w:trPr>
        <w:tc>
          <w:tcPr>
            <w:tcW w:w="7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4"/>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June 10, 2023</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$4,349</w:t>
            </w: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(RMB30 million)</w:t>
            </w:r>
          </w:p>
        </w:tc>
      </w:tr>
      <w:tr>
        <w:trPr>
          <w:trHeight w:val="226"/>
        </w:trPr>
        <w:tc>
          <w:tcPr>
            <w:tcW w:w="7500" w:type="dxa"/>
            <w:vAlign w:val="bottom"/>
            <w:gridSpan w:val="2"/>
          </w:tcPr>
          <w:p>
            <w:pPr>
              <w:ind w:left="20"/>
              <w:spacing w:after="0"/>
              <w:rPr>
                <w:sz w:val="20"/>
                <w:szCs w:val="20"/>
                <w:color w:val="auto"/>
              </w:rPr>
            </w:pPr>
            <w:r>
              <w:rPr>
                <w:rFonts w:ascii="Arial" w:cs="Arial" w:eastAsia="Arial" w:hAnsi="Arial"/>
                <w:sz w:val="17"/>
                <w:szCs w:val="17"/>
                <w:color w:val="auto"/>
              </w:rPr>
              <w:t>December 10, 2023</w:t>
            </w:r>
          </w:p>
        </w:tc>
        <w:tc>
          <w:tcPr>
            <w:tcW w:w="3740" w:type="dxa"/>
            <w:vAlign w:val="bottom"/>
            <w:gridSpan w:val="2"/>
          </w:tcPr>
          <w:p>
            <w:pPr>
              <w:jc w:val="center"/>
              <w:spacing w:after="0"/>
              <w:rPr>
                <w:sz w:val="20"/>
                <w:szCs w:val="20"/>
                <w:color w:val="auto"/>
              </w:rPr>
            </w:pPr>
            <w:r>
              <w:rPr>
                <w:rFonts w:ascii="Arial" w:cs="Arial" w:eastAsia="Arial" w:hAnsi="Arial"/>
                <w:sz w:val="17"/>
                <w:szCs w:val="17"/>
                <w:color w:val="auto"/>
                <w:w w:val="94"/>
              </w:rPr>
              <w:t>$10,149 (RMB70 million)</w:t>
            </w:r>
          </w:p>
        </w:tc>
      </w:tr>
      <w:tr>
        <w:trPr>
          <w:trHeight w:val="25"/>
        </w:trPr>
        <w:tc>
          <w:tcPr>
            <w:tcW w:w="7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1"/>
        </w:trPr>
        <w:tc>
          <w:tcPr>
            <w:tcW w:w="7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June 10, 2024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$14,499</w:t>
            </w:r>
          </w:p>
        </w:tc>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(RMB100 million)</w:t>
            </w:r>
          </w:p>
        </w:tc>
      </w:tr>
      <w:tr>
        <w:trPr>
          <w:trHeight w:val="226"/>
        </w:trPr>
        <w:tc>
          <w:tcPr>
            <w:tcW w:w="7500" w:type="dxa"/>
            <w:vAlign w:val="bottom"/>
            <w:gridSpan w:val="2"/>
          </w:tcPr>
          <w:p>
            <w:pPr>
              <w:ind w:left="20"/>
              <w:spacing w:after="0"/>
              <w:rPr>
                <w:sz w:val="20"/>
                <w:szCs w:val="20"/>
                <w:color w:val="auto"/>
              </w:rPr>
            </w:pPr>
            <w:r>
              <w:rPr>
                <w:rFonts w:ascii="Arial" w:cs="Arial" w:eastAsia="Arial" w:hAnsi="Arial"/>
                <w:sz w:val="17"/>
                <w:szCs w:val="17"/>
                <w:color w:val="auto"/>
              </w:rPr>
              <w:t>December 10, 2024</w:t>
            </w:r>
          </w:p>
        </w:tc>
        <w:tc>
          <w:tcPr>
            <w:tcW w:w="1520" w:type="dxa"/>
            <w:vAlign w:val="bottom"/>
          </w:tcPr>
          <w:p>
            <w:pPr>
              <w:jc w:val="right"/>
              <w:spacing w:after="0"/>
              <w:rPr>
                <w:sz w:val="20"/>
                <w:szCs w:val="20"/>
                <w:color w:val="auto"/>
              </w:rPr>
            </w:pPr>
            <w:r>
              <w:rPr>
                <w:rFonts w:ascii="Arial" w:cs="Arial" w:eastAsia="Arial" w:hAnsi="Arial"/>
                <w:sz w:val="17"/>
                <w:szCs w:val="17"/>
                <w:color w:val="auto"/>
              </w:rPr>
              <w:t>$14,499</w:t>
            </w:r>
          </w:p>
        </w:tc>
        <w:tc>
          <w:tcPr>
            <w:tcW w:w="2220" w:type="dxa"/>
            <w:vAlign w:val="bottom"/>
          </w:tcPr>
          <w:p>
            <w:pPr>
              <w:ind w:left="20"/>
              <w:spacing w:after="0"/>
              <w:rPr>
                <w:sz w:val="20"/>
                <w:szCs w:val="20"/>
                <w:color w:val="auto"/>
              </w:rPr>
            </w:pPr>
            <w:r>
              <w:rPr>
                <w:rFonts w:ascii="Arial" w:cs="Arial" w:eastAsia="Arial" w:hAnsi="Arial"/>
                <w:sz w:val="17"/>
                <w:szCs w:val="17"/>
                <w:color w:val="auto"/>
              </w:rPr>
              <w:t>(RMB100 million)</w:t>
            </w:r>
          </w:p>
        </w:tc>
      </w:tr>
    </w:tbl>
    <w:p>
      <w:pPr>
        <w:spacing w:after="0" w:line="3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amount of interest expenses capitalized, which was recorded in the construction in progress and the property, plant and equipment, was $ nil and $492 as of December 31, 2021 and 2022, respectively.</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Group has also entered into short-term loan agreements and bank facilities with Chinese banks. The original terms of the loans from Chinese banks are within 12 months and the interest rates range from 4.50% to 4.75% per annum.</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20"/>
                <w:szCs w:val="20"/>
                <w:color w:val="auto"/>
              </w:rPr>
            </w:pPr>
            <w:r>
              <w:rPr>
                <w:rFonts w:ascii="Arial" w:cs="Arial" w:eastAsia="Arial" w:hAnsi="Arial"/>
                <w:sz w:val="17"/>
                <w:szCs w:val="17"/>
                <w:color w:val="auto"/>
              </w:rPr>
              <w:t>Changes in bank borrowings were as follows:</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36"/>
        </w:trPr>
        <w:tc>
          <w:tcPr>
            <w:tcW w:w="4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9"/>
              </w:rPr>
              <w:t>Year Ended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7"/>
        </w:trPr>
        <w:tc>
          <w:tcPr>
            <w:tcW w:w="4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6"/>
              </w:rPr>
              <w:t>December 31,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
        </w:trPr>
        <w:tc>
          <w:tcPr>
            <w:tcW w:w="42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5"/>
        </w:trPr>
        <w:tc>
          <w:tcPr>
            <w:tcW w:w="426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7"/>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2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11,922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12,184</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13,301</w:t>
            </w:r>
          </w:p>
        </w:tc>
      </w:tr>
      <w:tr>
        <w:trPr>
          <w:trHeight w:val="232"/>
        </w:trPr>
        <w:tc>
          <w:tcPr>
            <w:tcW w:w="4260" w:type="dxa"/>
            <w:vAlign w:val="bottom"/>
          </w:tcPr>
          <w:p>
            <w:pPr>
              <w:ind w:left="20"/>
              <w:spacing w:after="0"/>
              <w:rPr>
                <w:sz w:val="20"/>
                <w:szCs w:val="20"/>
                <w:color w:val="auto"/>
              </w:rPr>
            </w:pPr>
            <w:r>
              <w:rPr>
                <w:rFonts w:ascii="Arial" w:cs="Arial" w:eastAsia="Arial" w:hAnsi="Arial"/>
                <w:sz w:val="17"/>
                <w:szCs w:val="17"/>
                <w:color w:val="auto"/>
              </w:rPr>
              <w:t>Proceeds from bank borrowings</w:t>
            </w: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17,308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38,926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58,708</w:t>
            </w:r>
          </w:p>
        </w:tc>
      </w:tr>
      <w:tr>
        <w:trPr>
          <w:trHeight w:val="245"/>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of principal</w:t>
            </w:r>
          </w:p>
        </w:tc>
        <w:tc>
          <w:tcPr>
            <w:tcW w:w="2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(17,815)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(37,568)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(24,482)</w:t>
            </w:r>
          </w:p>
        </w:tc>
      </w:tr>
      <w:tr>
        <w:trPr>
          <w:trHeight w:val="232"/>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Exchange difference</w:t>
            </w:r>
          </w:p>
        </w:tc>
        <w:tc>
          <w:tcPr>
            <w:tcW w:w="23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769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(241)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(1,132)</w:t>
            </w:r>
          </w:p>
        </w:tc>
      </w:tr>
      <w:tr>
        <w:trPr>
          <w:trHeight w:val="257"/>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w:t>
            </w:r>
          </w:p>
        </w:tc>
        <w:tc>
          <w:tcPr>
            <w:tcW w:w="27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12,184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13,301</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46,395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481"/>
        </w:trPr>
        <w:tc>
          <w:tcPr>
            <w:tcW w:w="42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gridSpan w:val="5"/>
          </w:tcPr>
          <w:p>
            <w:pPr>
              <w:jc w:val="right"/>
              <w:ind w:right="520"/>
              <w:spacing w:after="0"/>
              <w:rPr>
                <w:sz w:val="20"/>
                <w:szCs w:val="20"/>
                <w:color w:val="auto"/>
              </w:rPr>
            </w:pPr>
            <w:r>
              <w:rPr>
                <w:rFonts w:ascii="Arial" w:cs="Arial" w:eastAsia="Arial" w:hAnsi="Arial"/>
                <w:sz w:val="17"/>
                <w:szCs w:val="17"/>
                <w:b w:val="1"/>
                <w:bCs w:val="1"/>
                <w:color w:val="auto"/>
                <w:w w:val="88"/>
              </w:rPr>
              <w:t>December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ind w:right="236"/>
              <w:spacing w:after="0"/>
              <w:rPr>
                <w:sz w:val="20"/>
                <w:szCs w:val="20"/>
                <w:color w:val="auto"/>
              </w:rPr>
            </w:pPr>
            <w:r>
              <w:rPr>
                <w:rFonts w:ascii="Arial" w:cs="Arial" w:eastAsia="Arial" w:hAnsi="Arial"/>
                <w:sz w:val="17"/>
                <w:szCs w:val="17"/>
                <w:b w:val="1"/>
                <w:bCs w:val="1"/>
                <w:color w:val="auto"/>
                <w:w w:val="90"/>
              </w:rPr>
              <w:t>December 31,</w:t>
            </w:r>
          </w:p>
        </w:tc>
      </w:tr>
      <w:tr>
        <w:trPr>
          <w:trHeight w:val="217"/>
        </w:trPr>
        <w:tc>
          <w:tcPr>
            <w:tcW w:w="4260" w:type="dxa"/>
            <w:vAlign w:val="bottom"/>
          </w:tcPr>
          <w:p>
            <w:pPr>
              <w:ind w:left="20"/>
              <w:spacing w:after="0"/>
              <w:rPr>
                <w:sz w:val="20"/>
                <w:szCs w:val="20"/>
                <w:color w:val="auto"/>
              </w:rPr>
            </w:pPr>
            <w:r>
              <w:rPr>
                <w:rFonts w:ascii="Arial" w:cs="Arial" w:eastAsia="Arial" w:hAnsi="Arial"/>
                <w:sz w:val="17"/>
                <w:szCs w:val="17"/>
                <w:color w:val="auto"/>
              </w:rPr>
              <w:t>Balance of bank borrowings includes:</w:t>
            </w: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65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556"/>
              <w:spacing w:after="0"/>
              <w:rPr>
                <w:sz w:val="20"/>
                <w:szCs w:val="20"/>
                <w:color w:val="auto"/>
              </w:rPr>
            </w:pPr>
            <w:r>
              <w:rPr>
                <w:rFonts w:ascii="Arial" w:cs="Arial" w:eastAsia="Arial" w:hAnsi="Arial"/>
                <w:sz w:val="17"/>
                <w:szCs w:val="17"/>
                <w:b w:val="1"/>
                <w:bCs w:val="1"/>
                <w:color w:val="auto"/>
              </w:rPr>
              <w:t>2022</w:t>
            </w:r>
          </w:p>
        </w:tc>
      </w:tr>
      <w:tr>
        <w:trPr>
          <w:trHeight w:val="25"/>
        </w:trPr>
        <w:tc>
          <w:tcPr>
            <w:tcW w:w="42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23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13,301</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17,398</w:t>
            </w:r>
          </w:p>
        </w:tc>
      </w:tr>
      <w:tr>
        <w:trPr>
          <w:trHeight w:val="226"/>
        </w:trPr>
        <w:tc>
          <w:tcPr>
            <w:tcW w:w="4260" w:type="dxa"/>
            <w:vAlign w:val="bottom"/>
          </w:tcPr>
          <w:p>
            <w:pPr>
              <w:ind w:left="20"/>
              <w:spacing w:after="0"/>
              <w:rPr>
                <w:sz w:val="20"/>
                <w:szCs w:val="20"/>
                <w:color w:val="auto"/>
              </w:rPr>
            </w:pPr>
            <w:r>
              <w:rPr>
                <w:rFonts w:ascii="Arial" w:cs="Arial" w:eastAsia="Arial" w:hAnsi="Arial"/>
                <w:sz w:val="17"/>
                <w:szCs w:val="17"/>
                <w:color w:val="auto"/>
              </w:rPr>
              <w:t>Non-current</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28,997</w:t>
            </w:r>
          </w:p>
        </w:tc>
      </w:tr>
      <w:tr>
        <w:trPr>
          <w:trHeight w:val="25"/>
        </w:trPr>
        <w:tc>
          <w:tcPr>
            <w:tcW w:w="426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303"/>
        </w:trPr>
        <w:tc>
          <w:tcPr>
            <w:tcW w:w="4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2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13,301</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46,395</w:t>
            </w:r>
          </w:p>
        </w:tc>
      </w:tr>
      <w:tr>
        <w:trPr>
          <w:trHeight w:val="824"/>
        </w:trPr>
        <w:tc>
          <w:tcPr>
            <w:tcW w:w="4260" w:type="dxa"/>
            <w:vAlign w:val="bottom"/>
            <w:tcBorders>
              <w:top w:val="single" w:sz="8" w:color="CCEEFF"/>
            </w:tcBorders>
          </w:tcPr>
          <w:p>
            <w:pPr>
              <w:spacing w:after="0"/>
              <w:rPr>
                <w:sz w:val="24"/>
                <w:szCs w:val="24"/>
                <w:color w:val="auto"/>
              </w:rPr>
            </w:pPr>
          </w:p>
        </w:tc>
        <w:tc>
          <w:tcPr>
            <w:tcW w:w="2700" w:type="dxa"/>
            <w:vAlign w:val="bottom"/>
            <w:tcBorders>
              <w:top w:val="single" w:sz="8" w:color="CCEEFF"/>
            </w:tcBorders>
            <w:gridSpan w:val="2"/>
          </w:tcPr>
          <w:p>
            <w:pPr>
              <w:jc w:val="right"/>
              <w:ind w:right="1180"/>
              <w:spacing w:after="0"/>
              <w:rPr>
                <w:sz w:val="20"/>
                <w:szCs w:val="20"/>
                <w:color w:val="auto"/>
              </w:rPr>
            </w:pPr>
            <w:r>
              <w:rPr>
                <w:rFonts w:ascii="Arial" w:cs="Arial" w:eastAsia="Arial" w:hAnsi="Arial"/>
                <w:sz w:val="17"/>
                <w:szCs w:val="17"/>
                <w:color w:val="auto"/>
              </w:rPr>
              <w:t>F-27</w:t>
            </w:r>
          </w:p>
        </w:tc>
        <w:tc>
          <w:tcPr>
            <w:tcW w:w="74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93"/>
        </w:trPr>
        <w:tc>
          <w:tcPr>
            <w:tcW w:w="426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BANK BORROWINGS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color w:val="auto"/>
        </w:rPr>
        <w:t>Certain assets of the Group have been pledged to secure the above banking facilities granted to the Group. The aggregate carrying amount of the assets pledged by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Group as of December 31, 2021 and December 31, 2022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180" w:type="dxa"/>
            <w:vAlign w:val="bottom"/>
          </w:tcPr>
          <w:p>
            <w:pPr>
              <w:spacing w:after="0"/>
              <w:rPr>
                <w:sz w:val="17"/>
                <w:szCs w:val="17"/>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5"/>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27,245</w:t>
            </w:r>
          </w:p>
        </w:tc>
        <w:tc>
          <w:tcPr>
            <w:tcW w:w="0" w:type="dxa"/>
            <w:vAlign w:val="bottom"/>
          </w:tcPr>
          <w:p>
            <w:pPr>
              <w:spacing w:after="0"/>
              <w:rPr>
                <w:sz w:val="1"/>
                <w:szCs w:val="1"/>
                <w:color w:val="auto"/>
              </w:rPr>
            </w:pP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Machineries and equipment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 use rights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12,639</w:t>
            </w:r>
          </w:p>
        </w:tc>
        <w:tc>
          <w:tcPr>
            <w:tcW w:w="0" w:type="dxa"/>
            <w:vAlign w:val="bottom"/>
          </w:tcPr>
          <w:p>
            <w:pPr>
              <w:spacing w:after="0"/>
              <w:rPr>
                <w:sz w:val="1"/>
                <w:szCs w:val="1"/>
                <w:color w:val="auto"/>
              </w:rPr>
            </w:pPr>
          </w:p>
        </w:tc>
      </w:tr>
      <w:tr>
        <w:trPr>
          <w:trHeight w:val="237"/>
        </w:trPr>
        <w:tc>
          <w:tcPr>
            <w:tcW w:w="820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43,207</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39,884</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7"/>
                <w:szCs w:val="17"/>
                <w:b w:val="1"/>
                <w:bCs w:val="1"/>
                <w:color w:val="auto"/>
              </w:rPr>
              <w:t>13. OTHER NON-CURRENT LIABILITIES</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180" w:type="dxa"/>
            <w:vAlign w:val="bottom"/>
          </w:tcPr>
          <w:p>
            <w:pPr>
              <w:spacing w:after="0"/>
              <w:rPr>
                <w:sz w:val="24"/>
                <w:szCs w:val="24"/>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5"/>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warranty - 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37,536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29,016</w:t>
            </w:r>
          </w:p>
        </w:tc>
        <w:tc>
          <w:tcPr>
            <w:tcW w:w="0" w:type="dxa"/>
            <w:vAlign w:val="bottom"/>
          </w:tcPr>
          <w:p>
            <w:pPr>
              <w:spacing w:after="0"/>
              <w:rPr>
                <w:sz w:val="1"/>
                <w:szCs w:val="1"/>
                <w:color w:val="auto"/>
              </w:rPr>
            </w:pPr>
          </w:p>
        </w:tc>
      </w:tr>
      <w:tr>
        <w:trPr>
          <w:trHeight w:val="245"/>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subsidy income- non-current</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3,066</w:t>
            </w:r>
          </w:p>
        </w:tc>
        <w:tc>
          <w:tcPr>
            <w:tcW w:w="0" w:type="dxa"/>
            <w:vAlign w:val="bottom"/>
          </w:tcPr>
          <w:p>
            <w:pPr>
              <w:spacing w:after="0"/>
              <w:rPr>
                <w:sz w:val="1"/>
                <w:szCs w:val="1"/>
                <w:color w:val="auto"/>
              </w:rPr>
            </w:pPr>
          </w:p>
        </w:tc>
      </w:tr>
      <w:tr>
        <w:trPr>
          <w:trHeight w:val="26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39,822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32,082</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14. BONDS PAYABLE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8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180" w:type="dxa"/>
            <w:vAlign w:val="bottom"/>
          </w:tcPr>
          <w:p>
            <w:pPr>
              <w:spacing w:after="0"/>
              <w:rPr>
                <w:sz w:val="24"/>
                <w:szCs w:val="24"/>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17"/>
        </w:trPr>
        <w:tc>
          <w:tcPr>
            <w:tcW w:w="8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6"/>
              <w:spacing w:after="0"/>
              <w:rPr>
                <w:sz w:val="20"/>
                <w:szCs w:val="20"/>
                <w:color w:val="auto"/>
              </w:rPr>
            </w:pPr>
            <w:r>
              <w:rPr>
                <w:rFonts w:ascii="Arial" w:cs="Arial" w:eastAsia="Arial" w:hAnsi="Arial"/>
                <w:sz w:val="17"/>
                <w:szCs w:val="17"/>
                <w:b w:val="1"/>
                <w:bCs w:val="1"/>
                <w:color w:val="auto"/>
                <w:w w:val="84"/>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76"/>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5"/>
        </w:trPr>
        <w:tc>
          <w:tcPr>
            <w:tcW w:w="8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bonds payable</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Huzhou Saiyuan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73,147</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43,888</w:t>
            </w:r>
          </w:p>
        </w:tc>
        <w:tc>
          <w:tcPr>
            <w:tcW w:w="0" w:type="dxa"/>
            <w:vAlign w:val="bottom"/>
          </w:tcPr>
          <w:p>
            <w:pPr>
              <w:spacing w:after="0"/>
              <w:rPr>
                <w:sz w:val="1"/>
                <w:szCs w:val="1"/>
                <w:color w:val="auto"/>
              </w:rPr>
            </w:pPr>
          </w:p>
        </w:tc>
      </w:tr>
      <w:tr>
        <w:trPr>
          <w:trHeight w:val="26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73,147</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43,888</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Convertible Bonds issued to Huzhou Saiyuan</w:t>
      </w:r>
    </w:p>
    <w:p>
      <w:pPr>
        <w:spacing w:after="0" w:line="206" w:lineRule="exact"/>
        <w:rPr>
          <w:sz w:val="20"/>
          <w:szCs w:val="20"/>
          <w:color w:val="auto"/>
        </w:rPr>
      </w:pPr>
    </w:p>
    <w:p>
      <w:pPr>
        <w:jc w:val="both"/>
        <w:ind w:right="80"/>
        <w:spacing w:after="0" w:line="280" w:lineRule="auto"/>
        <w:rPr>
          <w:sz w:val="20"/>
          <w:szCs w:val="20"/>
          <w:color w:val="auto"/>
        </w:rPr>
      </w:pPr>
      <w:r>
        <w:rPr>
          <w:rFonts w:ascii="Arial" w:cs="Arial" w:eastAsia="Arial" w:hAnsi="Arial"/>
          <w:sz w:val="16"/>
          <w:szCs w:val="16"/>
          <w:color w:val="auto"/>
        </w:rPr>
        <w:t>On December 29, 2018, MPS signed an agreement with Huzhou Saiyuan, an entity established by the local government, to issue convertible bonds to Huzhou Saiyuan for a total consideration of $87,776 (RMB600 million). The Company pledged its 12.39% equity holding over MPS to Huzhou Saiyuan to facilitate the issuance of the convertible bonds. As of December 31, 2022, the principal outstanding on the convertible bonds was $43,888 (RMB300 million).</w:t>
      </w:r>
    </w:p>
    <w:p>
      <w:pPr>
        <w:spacing w:after="0" w:line="159"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If the subscribed bonds are not repaid by the maturity date, Huzhou Saiyuan has the right to dispose of the equity interests pledged by the Company in proportion to the amount of matured bonds, or convert the bond to the equity interests of MPS within 60 days after the maturity date. If Huzhou Saiyuan decides to convert the bonds to equity interests of MPS, the equity interests pledged would be released and the convertible bonds should be converted to the equity interest of MPS based on the entity value of MPS at $950,000.</w:t>
      </w:r>
    </w:p>
    <w:p>
      <w:pPr>
        <w:spacing w:after="0" w:line="180"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On September 28, 2020, MPS signed a supplemental agreement extending the repayment terms of the convertible bonds to Huzhou Saiyuan. In September 2022, MPS entered into supplement agreements with Huzhou Saiyuan to change the repayment schedule as follows: (i) $14,629 (RMB100 million) will be repaid, together with interest accrued, on or before November 10, 2022, (ii) $14,630 (RMB100 million) will be repaid, together with interest accrued, on or before December 31, 2022, and</w:t>
      </w:r>
    </w:p>
    <w:p>
      <w:pPr>
        <w:ind w:right="120"/>
        <w:spacing w:after="0" w:line="249" w:lineRule="auto"/>
        <w:tabs>
          <w:tab w:leader="none" w:pos="29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remaining $43,888 (RMB300 million) will be repaid, together with interest accrued, on or before January 31, 2027. The applicable interest rate will be increased to 12% if the Group is in default on the repayment of the bonds at the respective due dates. The remaining terms and conditions of the convertible bonds are unchanged.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BONDS PAYABLE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Convertible Bonds issued to third-party investors</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On November 2, 2018, MPS signed a convertible bond agreement with the CL Investors, pursuant to which the CL Investors agreed to provide a non-interest bearing loan in an aggregate amount of $58,516 (RMB400 million) or up to $73,147 (RMB500 million) to MPS, and the CL Investors had the right to convert the bonds into a number of Series D2 preferred shares of the Company (the “Series D2 Preferred”) once approvals from the PRC and US government were obtained. As of December 31, 2020, $29,915 (RMB204.5 million) was subscribed by the CL Investors. On July 23, 2021, upon the completion of the Merger between Microvast, Inc. and Tuscan, the convertible bonds were settled and converted into 6,719,845 shares of Common Stock of the combined company. Refer to Note 3.</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Convertible Notes at Fair Value (the “Bridge Notes”)</w:t>
      </w:r>
    </w:p>
    <w:p>
      <w:pPr>
        <w:spacing w:after="0" w:line="206"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On January 4, 2021, the Company entered into a note purchase agreement to issue $57,500 convertible promissory notes to certain investors, fully due and payable on the third anniversary of the initial closing date. The notes bore no interest, provided, however, if a liquidity event (“Liquidity Event”) had not occurred prior to June 30, 2022, an interest rate of 6% would be applied retrospectively from the date of initial closing. The conversion of the Bridge Notes were contingent upon the occurrence of a PIPE financing, a Liquidity Event or a new financing after June 30, 2022 but before the maturity date (“Next Financing”).</w:t>
      </w:r>
    </w:p>
    <w:p>
      <w:pPr>
        <w:spacing w:after="0" w:line="148" w:lineRule="exact"/>
        <w:rPr>
          <w:sz w:val="20"/>
          <w:szCs w:val="20"/>
          <w:color w:val="auto"/>
        </w:rPr>
      </w:pPr>
    </w:p>
    <w:p>
      <w:pPr>
        <w:ind w:right="540"/>
        <w:spacing w:after="0" w:line="268" w:lineRule="auto"/>
        <w:rPr>
          <w:sz w:val="20"/>
          <w:szCs w:val="20"/>
          <w:color w:val="auto"/>
        </w:rPr>
      </w:pPr>
      <w:r>
        <w:rPr>
          <w:rFonts w:ascii="Arial" w:cs="Arial" w:eastAsia="Arial" w:hAnsi="Arial"/>
          <w:sz w:val="17"/>
          <w:szCs w:val="17"/>
          <w:color w:val="auto"/>
        </w:rPr>
        <w:t>The fair value option was elected for measurement of the Bridge Notes. Changes in fair value at a loss of $9,861 was recorded in the consolidated statements of operations for the year ended December 31, 2021.</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July 23, 2021, upon the completion of the Merger between Microvast, Inc. and Tuscan, the Bridge Notes were converted into 6,736,106 shares of Common Stock of the combined company.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WARRANTS</w:t>
      </w:r>
    </w:p>
    <w:p>
      <w:pPr>
        <w:spacing w:after="0" w:line="210"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Upon the Merger, the Company assumed 27,600,000 publicly-traded warrants (“Public Warrants”) which were issued in connection with Tuscan’s initial public offering. The Company also assumed 837,000 private placement warrants issued to the Sponsor and EarlyBirdCapital, Inc. (“EarlyBirdCapital”) (“Private Warrants” and together with the Public Warrants, the “Warrants”) upon the Merger, all of which were issued in connection with Tuscan’s initial public offering (other than 150,000 Private Warrants that were issued in connection with the closing of the Merger). The Warrants entitle the holder to purchase one share of the Company’s Common Stock at an exercise price of $11.50 per share. During the year ended December 31, 2022, none of the Public Warrants or the Private Warrants have been exercised.</w:t>
      </w:r>
    </w:p>
    <w:p>
      <w:pPr>
        <w:spacing w:after="0" w:line="184"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Public Warrants became exercisable 30 days after the completion of the Merger. No Warrants were exercisable for cash until the Company registered Common Stock issuable upon exercise of the Warrants with the SEC. Since the registration of Common Stock was not completed within 90 days following the Merger, warrant holders were able to exercise the Warrants on a net-share settlement basis until the registration statement became effective on June 8, 2022. The Public Warrants will expire five years after the completion of the Merger or earlier upon redemption or liquidation.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Once the Public Warrants became exercisable, the Company may redeem the Public Warrants:</w:t>
      </w:r>
    </w:p>
    <w:p>
      <w:pPr>
        <w:spacing w:after="0" w:line="169" w:lineRule="exact"/>
        <w:rPr>
          <w:sz w:val="20"/>
          <w:szCs w:val="20"/>
          <w:color w:val="auto"/>
        </w:rPr>
      </w:pPr>
    </w:p>
    <w:p>
      <w:pPr>
        <w:ind w:left="900" w:hanging="297"/>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whole and not in part;</w:t>
      </w:r>
    </w:p>
    <w:p>
      <w:pPr>
        <w:spacing w:after="0" w:line="155" w:lineRule="exact"/>
        <w:rPr>
          <w:rFonts w:ascii="Arial" w:cs="Arial" w:eastAsia="Arial" w:hAnsi="Arial"/>
          <w:sz w:val="17"/>
          <w:szCs w:val="17"/>
          <w:color w:val="auto"/>
        </w:rPr>
      </w:pPr>
    </w:p>
    <w:p>
      <w:pPr>
        <w:ind w:left="900" w:hanging="297"/>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at a price of $0.01 per warrant;</w:t>
      </w:r>
    </w:p>
    <w:p>
      <w:pPr>
        <w:spacing w:after="0" w:line="156" w:lineRule="exact"/>
        <w:rPr>
          <w:rFonts w:ascii="Arial" w:cs="Arial" w:eastAsia="Arial" w:hAnsi="Arial"/>
          <w:sz w:val="17"/>
          <w:szCs w:val="17"/>
          <w:color w:val="auto"/>
        </w:rPr>
      </w:pPr>
    </w:p>
    <w:p>
      <w:pPr>
        <w:ind w:left="900" w:hanging="297"/>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w:t>
      </w:r>
    </w:p>
    <w:p>
      <w:pPr>
        <w:spacing w:after="0" w:line="155" w:lineRule="exact"/>
        <w:rPr>
          <w:rFonts w:ascii="Arial" w:cs="Arial" w:eastAsia="Arial" w:hAnsi="Arial"/>
          <w:sz w:val="17"/>
          <w:szCs w:val="17"/>
          <w:color w:val="auto"/>
        </w:rPr>
      </w:pPr>
    </w:p>
    <w:p>
      <w:pPr>
        <w:ind w:left="900" w:right="440" w:hanging="297"/>
        <w:spacing w:after="0" w:line="268" w:lineRule="auto"/>
        <w:tabs>
          <w:tab w:leader="none" w:pos="8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and only if, the reported last sale price of the Company’s Common Stock equals or exceeds $18.00 per share for any 20-trading days within a 30-trading day period ending on the third business day prior to the notice of redemption to the warrant holders; and</w:t>
      </w:r>
    </w:p>
    <w:p>
      <w:pPr>
        <w:spacing w:after="0" w:line="115" w:lineRule="exact"/>
        <w:rPr>
          <w:rFonts w:ascii="Arial" w:cs="Arial" w:eastAsia="Arial" w:hAnsi="Arial"/>
          <w:sz w:val="17"/>
          <w:szCs w:val="17"/>
          <w:color w:val="auto"/>
        </w:rPr>
      </w:pPr>
    </w:p>
    <w:p>
      <w:pPr>
        <w:ind w:left="900" w:hanging="297"/>
        <w:spacing w:after="0"/>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and only if, there is a current registration statement in effect with respect to the shares of Common Stock underlying the warrants.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WARRANTS - continued</w:t>
      </w:r>
    </w:p>
    <w:p>
      <w:pPr>
        <w:spacing w:after="0" w:line="200" w:lineRule="exact"/>
        <w:rPr>
          <w:sz w:val="20"/>
          <w:szCs w:val="20"/>
          <w:color w:val="auto"/>
        </w:rPr>
      </w:pPr>
    </w:p>
    <w:p>
      <w:pPr>
        <w:spacing w:after="0" w:line="31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net-share settlement basis.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Public Warrant was determined to be equity classified in accordance with ASC 815, Derivatives and Hedging.</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Private Warrants are identical to the Public Warrants, except that the Private Warrants will be exercisable for cash or on a net-share settlement basis, at the holder’s option, and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In addition, so long as the Private Warrants are held by EarlyBirdCapital and its designee, the Private Warrants will expire five years from the effective date of the Merger.</w:t>
      </w:r>
    </w:p>
    <w:p>
      <w:pPr>
        <w:spacing w:after="0" w:line="183" w:lineRule="exact"/>
        <w:rPr>
          <w:sz w:val="20"/>
          <w:szCs w:val="20"/>
          <w:color w:val="auto"/>
        </w:rPr>
      </w:pPr>
    </w:p>
    <w:p>
      <w:pPr>
        <w:jc w:val="both"/>
        <w:ind w:right="40"/>
        <w:spacing w:after="0" w:line="257" w:lineRule="auto"/>
        <w:rPr>
          <w:sz w:val="20"/>
          <w:szCs w:val="20"/>
          <w:color w:val="auto"/>
        </w:rPr>
      </w:pPr>
      <w:r>
        <w:rPr>
          <w:rFonts w:ascii="Arial" w:cs="Arial" w:eastAsia="Arial" w:hAnsi="Arial"/>
          <w:sz w:val="17"/>
          <w:szCs w:val="17"/>
          <w:color w:val="auto"/>
        </w:rPr>
        <w:t>The exercise price and number of shares of Common Stock issuable upon exercise of the Warrants may be adjusted in certain circumstances including in the event of a stock dividend, or recapitalization, reorganization, merger or consolidation. However, the Warrants will not be adjusted for issuance of Common Stock at a price below its exercise price. Additionally, in no event will the Company be required to net cash settle the Warrants.</w:t>
      </w:r>
    </w:p>
    <w:p>
      <w:pPr>
        <w:spacing w:after="0" w:line="175" w:lineRule="exact"/>
        <w:rPr>
          <w:sz w:val="20"/>
          <w:szCs w:val="20"/>
          <w:color w:val="auto"/>
        </w:rPr>
      </w:pPr>
    </w:p>
    <w:p>
      <w:pPr>
        <w:ind w:right="600"/>
        <w:spacing w:after="0" w:line="299" w:lineRule="auto"/>
        <w:rPr>
          <w:sz w:val="20"/>
          <w:szCs w:val="20"/>
          <w:color w:val="auto"/>
        </w:rPr>
      </w:pPr>
      <w:r>
        <w:rPr>
          <w:rFonts w:ascii="Arial" w:cs="Arial" w:eastAsia="Arial" w:hAnsi="Arial"/>
          <w:sz w:val="16"/>
          <w:szCs w:val="16"/>
          <w:color w:val="auto"/>
        </w:rPr>
        <w:t>The Private Warrant liability was measured at fair value, resulting in gains of $2,469 and $979 for the years ended December 31, 2021and December 31, 2022, respectively. This was classified within changes in fair value of warrant liability in the consolidated statements of operations.</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Private Warrants were valued using the following assumptions under the Monte Carlo Model that assumes optimal exercise of the Company’s redemption option at the earliest possible date: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256"/>
              <w:spacing w:after="0"/>
              <w:rPr>
                <w:sz w:val="20"/>
                <w:szCs w:val="20"/>
                <w:color w:val="auto"/>
              </w:rPr>
            </w:pPr>
            <w:r>
              <w:rPr>
                <w:rFonts w:ascii="Arial" w:cs="Arial" w:eastAsia="Arial" w:hAnsi="Arial"/>
                <w:sz w:val="17"/>
                <w:szCs w:val="17"/>
                <w:b w:val="1"/>
                <w:bCs w:val="1"/>
                <w:color w:val="auto"/>
                <w:w w:val="97"/>
              </w:rPr>
              <w:t>December 31,</w:t>
            </w:r>
          </w:p>
        </w:tc>
      </w:tr>
      <w:tr>
        <w:trPr>
          <w:trHeight w:val="217"/>
        </w:trPr>
        <w:tc>
          <w:tcPr>
            <w:tcW w:w="9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576"/>
              <w:spacing w:after="0"/>
              <w:rPr>
                <w:sz w:val="20"/>
                <w:szCs w:val="20"/>
                <w:color w:val="auto"/>
              </w:rPr>
            </w:pPr>
            <w:r>
              <w:rPr>
                <w:rFonts w:ascii="Arial" w:cs="Arial" w:eastAsia="Arial" w:hAnsi="Arial"/>
                <w:sz w:val="17"/>
                <w:szCs w:val="17"/>
                <w:b w:val="1"/>
                <w:bCs w:val="1"/>
                <w:color w:val="auto"/>
              </w:rPr>
              <w:t>2022</w:t>
            </w:r>
          </w:p>
        </w:tc>
      </w:tr>
      <w:tr>
        <w:trPr>
          <w:trHeight w:val="25"/>
        </w:trPr>
        <w:tc>
          <w:tcPr>
            <w:tcW w:w="9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Market price of public stock</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1.53</w:t>
            </w:r>
          </w:p>
        </w:tc>
      </w:tr>
      <w:tr>
        <w:trPr>
          <w:trHeight w:val="232"/>
        </w:trPr>
        <w:tc>
          <w:tcPr>
            <w:tcW w:w="9560" w:type="dxa"/>
            <w:vAlign w:val="bottom"/>
          </w:tcPr>
          <w:p>
            <w:pPr>
              <w:ind w:left="20"/>
              <w:spacing w:after="0"/>
              <w:rPr>
                <w:sz w:val="20"/>
                <w:szCs w:val="20"/>
                <w:color w:val="auto"/>
              </w:rPr>
            </w:pPr>
            <w:r>
              <w:rPr>
                <w:rFonts w:ascii="Arial" w:cs="Arial" w:eastAsia="Arial" w:hAnsi="Arial"/>
                <w:sz w:val="17"/>
                <w:szCs w:val="17"/>
                <w:color w:val="auto"/>
              </w:rPr>
              <w:t>Exercise price</w:t>
            </w: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116"/>
              <w:spacing w:after="0"/>
              <w:rPr>
                <w:sz w:val="20"/>
                <w:szCs w:val="20"/>
                <w:color w:val="auto"/>
              </w:rPr>
            </w:pPr>
            <w:r>
              <w:rPr>
                <w:rFonts w:ascii="Arial" w:cs="Arial" w:eastAsia="Arial" w:hAnsi="Arial"/>
                <w:sz w:val="17"/>
                <w:szCs w:val="17"/>
                <w:color w:val="auto"/>
              </w:rPr>
              <w:t>11.50</w:t>
            </w:r>
          </w:p>
        </w:tc>
      </w:tr>
      <w:tr>
        <w:trPr>
          <w:trHeight w:val="245"/>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(years)</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3.57</w:t>
            </w:r>
          </w:p>
        </w:tc>
      </w:tr>
      <w:tr>
        <w:trPr>
          <w:trHeight w:val="232"/>
        </w:trPr>
        <w:tc>
          <w:tcPr>
            <w:tcW w:w="956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69.80 %</w:t>
            </w:r>
          </w:p>
        </w:tc>
      </w:tr>
      <w:tr>
        <w:trPr>
          <w:trHeight w:val="245"/>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4.06 %</w:t>
            </w:r>
          </w:p>
        </w:tc>
      </w:tr>
      <w:tr>
        <w:trPr>
          <w:trHeight w:val="226"/>
        </w:trPr>
        <w:tc>
          <w:tcPr>
            <w:tcW w:w="9560" w:type="dxa"/>
            <w:vAlign w:val="bottom"/>
          </w:tcPr>
          <w:p>
            <w:pPr>
              <w:ind w:left="20"/>
              <w:spacing w:after="0"/>
              <w:rPr>
                <w:sz w:val="20"/>
                <w:szCs w:val="20"/>
                <w:color w:val="auto"/>
              </w:rPr>
            </w:pPr>
            <w:r>
              <w:rPr>
                <w:rFonts w:ascii="Arial" w:cs="Arial" w:eastAsia="Arial" w:hAnsi="Arial"/>
                <w:sz w:val="17"/>
                <w:szCs w:val="17"/>
                <w:color w:val="auto"/>
              </w:rPr>
              <w:t>Dividend rate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0.00 %</w:t>
            </w:r>
          </w:p>
        </w:tc>
      </w:tr>
    </w:tbl>
    <w:p>
      <w:pPr>
        <w:spacing w:after="0" w:line="289"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market price of public stock is the quoted market price of the Company’s Common Stock as of the valuation date. The exercise price is extracted from the warrant agreements. The expected term is derived from the exercisable years based on the warrant agreements. The expected volatility is a blend of implied volatility from the Company’s own public warrant pricing and the average volatility of peer companies. The risk-free interest rate was estimated based on the market yield of US Government Bond with maturity close to the expected term of the warrants. The dividend yield was estimated by the Company based on its expected dividend policy over the expected term of the warrants.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FAIR VALUE MEASUREMENT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Measured or disclosed at fair value on a recurring basis</w:t>
      </w:r>
    </w:p>
    <w:p>
      <w:pPr>
        <w:spacing w:after="0" w:line="20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The Group measured its financial assets and liabilities, including cash and cash equivalents, restricted cash, Bridge Notes and warrant liability at fair value on a recurring basis as of December 31, 2021 and 2022. Cash and cash equivalents and restricted cash are classified within Level 1 of the fair value hierarchy because they are valued based on the quoted market price in an active market. The fair value of the warrant liability and Bridge Notes are based on significant unobservable inputs, which represent Level 3 measurements within the fair value hierarchy. In determining the fair value of the warrant liability, the Company used the Monte Carlo Model that assumes optimal exercise of the Company’s redemption option at the earliest possible date. See Note 15.</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FAIR VALUE MEASUREMENT</w:t>
      </w:r>
    </w:p>
    <w:p>
      <w:pPr>
        <w:spacing w:after="0" w:line="200" w:lineRule="exact"/>
        <w:rPr>
          <w:sz w:val="20"/>
          <w:szCs w:val="20"/>
          <w:color w:val="auto"/>
        </w:rPr>
      </w:pPr>
    </w:p>
    <w:p>
      <w:pPr>
        <w:spacing w:after="0" w:line="311"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As of December 31, 2021 and 2022, information about inputs for the fair value measurements of the Group’s assets and liabilities that are measured at fair value on a recurring basis in periods subsequent to their initial recognition is as follow: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gridSpan w:val="7"/>
          </w:tcPr>
          <w:p>
            <w:pPr>
              <w:jc w:val="right"/>
              <w:ind w:right="116"/>
              <w:spacing w:after="0"/>
              <w:rPr>
                <w:sz w:val="20"/>
                <w:szCs w:val="20"/>
                <w:color w:val="auto"/>
              </w:rPr>
            </w:pPr>
            <w:r>
              <w:rPr>
                <w:rFonts w:ascii="Arial" w:cs="Arial" w:eastAsia="Arial" w:hAnsi="Arial"/>
                <w:sz w:val="17"/>
                <w:szCs w:val="17"/>
                <w:b w:val="1"/>
                <w:bCs w:val="1"/>
                <w:color w:val="auto"/>
              </w:rPr>
              <w:t>Fair Value Measurement as of December 31, 2021</w:t>
            </w:r>
          </w:p>
        </w:tc>
        <w:tc>
          <w:tcPr>
            <w:tcW w:w="1120" w:type="dxa"/>
            <w:vAlign w:val="bottom"/>
            <w:tcBorders>
              <w:bottom w:val="single" w:sz="8" w:color="auto"/>
            </w:tcBorders>
          </w:tcPr>
          <w:p>
            <w:pPr>
              <w:spacing w:after="0"/>
              <w:rPr>
                <w:sz w:val="19"/>
                <w:szCs w:val="19"/>
                <w:color w:val="auto"/>
              </w:rPr>
            </w:pPr>
          </w:p>
        </w:tc>
      </w:tr>
      <w:tr>
        <w:trPr>
          <w:trHeight w:val="208"/>
        </w:trPr>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Quoted Prices in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Active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Significant</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7"/>
              </w:rPr>
              <w:t>Market for</w:t>
            </w:r>
          </w:p>
        </w:tc>
        <w:tc>
          <w:tcPr>
            <w:tcW w:w="15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0"/>
              </w:rPr>
              <w:t>Significant Other</w:t>
            </w:r>
          </w:p>
        </w:tc>
        <w:tc>
          <w:tcPr>
            <w:tcW w:w="15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Unobservable</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Identical Assets</w:t>
            </w:r>
          </w:p>
        </w:tc>
        <w:tc>
          <w:tcPr>
            <w:tcW w:w="15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Observable Inputs</w:t>
            </w:r>
          </w:p>
        </w:tc>
        <w:tc>
          <w:tcPr>
            <w:tcW w:w="15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0"/>
              </w:rPr>
              <w:t>Inputs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92"/>
              </w:rPr>
              <w:t>(Level 1)</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(Level 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(Level 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Total</w:t>
            </w:r>
          </w:p>
        </w:tc>
      </w:tr>
      <w:tr>
        <w:trPr>
          <w:trHeight w:val="23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480,931</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480,931</w:t>
            </w:r>
          </w:p>
        </w:tc>
      </w:tr>
      <w:tr>
        <w:trPr>
          <w:trHeight w:val="232"/>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Restricted cash</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55,178</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ind w:left="1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55,178</w:t>
            </w:r>
          </w:p>
        </w:tc>
      </w:tr>
      <w:tr>
        <w:trPr>
          <w:trHeight w:val="231"/>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financial asset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536,109</w:t>
            </w:r>
          </w:p>
        </w:tc>
        <w:tc>
          <w:tcPr>
            <w:tcW w:w="8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536,109</w:t>
            </w:r>
          </w:p>
        </w:tc>
      </w:tr>
      <w:tr>
        <w:trPr>
          <w:trHeight w:val="231"/>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Warrant liability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ind w:left="1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1,105</w:t>
            </w:r>
          </w:p>
        </w:tc>
      </w:tr>
      <w:tr>
        <w:trPr>
          <w:trHeight w:val="231"/>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financial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1,105</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1,105</w:t>
            </w:r>
          </w:p>
        </w:tc>
      </w:tr>
      <w:tr>
        <w:trPr>
          <w:trHeight w:val="545"/>
        </w:trPr>
        <w:tc>
          <w:tcPr>
            <w:tcW w:w="4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7"/>
          </w:tcPr>
          <w:p>
            <w:pPr>
              <w:jc w:val="right"/>
              <w:ind w:right="116"/>
              <w:spacing w:after="0"/>
              <w:rPr>
                <w:sz w:val="20"/>
                <w:szCs w:val="20"/>
                <w:color w:val="auto"/>
              </w:rPr>
            </w:pPr>
            <w:r>
              <w:rPr>
                <w:rFonts w:ascii="Arial" w:cs="Arial" w:eastAsia="Arial" w:hAnsi="Arial"/>
                <w:sz w:val="17"/>
                <w:szCs w:val="17"/>
                <w:b w:val="1"/>
                <w:bCs w:val="1"/>
                <w:color w:val="auto"/>
              </w:rPr>
              <w:t>Fair Value Measurement as of December 31, 2022</w:t>
            </w:r>
          </w:p>
        </w:tc>
        <w:tc>
          <w:tcPr>
            <w:tcW w:w="1120" w:type="dxa"/>
            <w:vAlign w:val="bottom"/>
            <w:tcBorders>
              <w:bottom w:val="single" w:sz="8" w:color="auto"/>
            </w:tcBorders>
          </w:tcPr>
          <w:p>
            <w:pPr>
              <w:spacing w:after="0"/>
              <w:rPr>
                <w:sz w:val="24"/>
                <w:szCs w:val="24"/>
                <w:color w:val="auto"/>
              </w:rPr>
            </w:pPr>
          </w:p>
        </w:tc>
      </w:tr>
      <w:tr>
        <w:trPr>
          <w:trHeight w:val="208"/>
        </w:trPr>
        <w:tc>
          <w:tcPr>
            <w:tcW w:w="4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Quoted Prices in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1"/>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Active</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Significant</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7"/>
              </w:rPr>
              <w:t>Market for</w:t>
            </w: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Significant Other</w:t>
            </w:r>
          </w:p>
        </w:tc>
        <w:tc>
          <w:tcPr>
            <w:tcW w:w="15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7"/>
              </w:rPr>
              <w:t>Unobservable</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1"/>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Identical Assets</w:t>
            </w: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0"/>
              </w:rPr>
              <w:t>Observable Inputs</w:t>
            </w:r>
          </w:p>
        </w:tc>
        <w:tc>
          <w:tcPr>
            <w:tcW w:w="15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4"/>
              </w:rPr>
              <w:t>Inputs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92"/>
              </w:rPr>
              <w:t>(Level 1)</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(Level 2)</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(Level 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7"/>
                <w:szCs w:val="17"/>
                <w:b w:val="1"/>
                <w:bCs w:val="1"/>
                <w:color w:val="auto"/>
              </w:rPr>
              <w:t>Total</w:t>
            </w:r>
          </w:p>
        </w:tc>
      </w:tr>
      <w:tr>
        <w:trPr>
          <w:trHeight w:val="23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231,420</w:t>
            </w:r>
          </w:p>
        </w:tc>
        <w:tc>
          <w:tcPr>
            <w:tcW w:w="8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231,420</w:t>
            </w:r>
          </w:p>
        </w:tc>
      </w:tr>
      <w:tr>
        <w:trPr>
          <w:trHeight w:val="232"/>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Restricted cash</w:t>
            </w: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71,197</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ind w:left="1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71,197</w:t>
            </w:r>
          </w:p>
        </w:tc>
      </w:tr>
      <w:tr>
        <w:trPr>
          <w:trHeight w:val="297"/>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financial asset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302,617</w:t>
            </w:r>
          </w:p>
        </w:tc>
        <w:tc>
          <w:tcPr>
            <w:tcW w:w="8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7"/>
                <w:szCs w:val="17"/>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302,617</w:t>
            </w:r>
          </w:p>
        </w:tc>
      </w:tr>
      <w:tr>
        <w:trPr>
          <w:trHeight w:val="202"/>
        </w:trPr>
        <w:tc>
          <w:tcPr>
            <w:tcW w:w="50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Warrant liability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w:t>
            </w: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 financial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7"/>
                <w:szCs w:val="17"/>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6"/>
              <w:spacing w:after="0"/>
              <w:rPr>
                <w:sz w:val="20"/>
                <w:szCs w:val="20"/>
                <w:color w:val="auto"/>
              </w:rPr>
            </w:pPr>
            <w:r>
              <w:rPr>
                <w:rFonts w:ascii="Arial" w:cs="Arial" w:eastAsia="Arial" w:hAnsi="Arial"/>
                <w:sz w:val="17"/>
                <w:szCs w:val="17"/>
                <w:b w:val="1"/>
                <w:bCs w:val="1"/>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Measured or disclosed at fair value on a recurring basis-continued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beginning and ending balances for Level 3 Bridge Notes during the year ended December 31,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(In thousands)</w:t>
            </w:r>
          </w:p>
        </w:tc>
        <w:tc>
          <w:tcPr>
            <w:tcW w:w="56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w w:val="92"/>
              </w:rPr>
              <w:t>Bridge Notes</w:t>
            </w:r>
          </w:p>
        </w:tc>
      </w:tr>
      <w:tr>
        <w:trPr>
          <w:trHeight w:val="237"/>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January 1, 2021</w:t>
            </w:r>
          </w:p>
        </w:tc>
        <w:tc>
          <w:tcPr>
            <w:tcW w:w="5960" w:type="dxa"/>
            <w:vAlign w:val="bottom"/>
            <w:gridSpan w:val="3"/>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4000" w:type="dxa"/>
            <w:vAlign w:val="bottom"/>
          </w:tcPr>
          <w:p>
            <w:pPr>
              <w:ind w:left="20"/>
              <w:spacing w:after="0"/>
              <w:rPr>
                <w:sz w:val="20"/>
                <w:szCs w:val="20"/>
                <w:color w:val="auto"/>
              </w:rPr>
            </w:pPr>
            <w:r>
              <w:rPr>
                <w:rFonts w:ascii="Arial" w:cs="Arial" w:eastAsia="Arial" w:hAnsi="Arial"/>
                <w:sz w:val="17"/>
                <w:szCs w:val="17"/>
                <w:color w:val="auto"/>
              </w:rPr>
              <w:t>Issuance of Bridge Notes</w:t>
            </w:r>
          </w:p>
        </w:tc>
        <w:tc>
          <w:tcPr>
            <w:tcW w:w="5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57,500</w:t>
            </w:r>
          </w:p>
        </w:tc>
      </w:tr>
      <w:tr>
        <w:trPr>
          <w:trHeight w:val="245"/>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of Bridge Notes</w:t>
            </w:r>
          </w:p>
        </w:tc>
        <w:tc>
          <w:tcPr>
            <w:tcW w:w="5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9,861</w:t>
            </w:r>
          </w:p>
        </w:tc>
      </w:tr>
      <w:tr>
        <w:trPr>
          <w:trHeight w:val="232"/>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Conversion as of Merger</w:t>
            </w:r>
          </w:p>
        </w:tc>
        <w:tc>
          <w:tcPr>
            <w:tcW w:w="56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(67,361)</w:t>
            </w:r>
          </w:p>
        </w:tc>
      </w:tr>
      <w:tr>
        <w:trPr>
          <w:trHeight w:val="231"/>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2021</w:t>
            </w:r>
          </w:p>
        </w:tc>
        <w:tc>
          <w:tcPr>
            <w:tcW w:w="5760" w:type="dxa"/>
            <w:vAlign w:val="bottom"/>
            <w:gridSpan w:val="2"/>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b w:val="1"/>
                <w:bCs w:val="1"/>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r>
      <w:tr>
        <w:trPr>
          <w:trHeight w:val="852"/>
        </w:trPr>
        <w:tc>
          <w:tcPr>
            <w:tcW w:w="4000" w:type="dxa"/>
            <w:vAlign w:val="bottom"/>
          </w:tcPr>
          <w:p>
            <w:pPr>
              <w:spacing w:after="0"/>
              <w:rPr>
                <w:sz w:val="24"/>
                <w:szCs w:val="24"/>
                <w:color w:val="auto"/>
              </w:rPr>
            </w:pPr>
          </w:p>
        </w:tc>
        <w:tc>
          <w:tcPr>
            <w:tcW w:w="5960" w:type="dxa"/>
            <w:vAlign w:val="bottom"/>
            <w:gridSpan w:val="3"/>
          </w:tcPr>
          <w:p>
            <w:pPr>
              <w:jc w:val="right"/>
              <w:ind w:right="4096"/>
              <w:spacing w:after="0"/>
              <w:rPr>
                <w:sz w:val="20"/>
                <w:szCs w:val="20"/>
                <w:color w:val="auto"/>
              </w:rPr>
            </w:pPr>
            <w:r>
              <w:rPr>
                <w:rFonts w:ascii="Arial" w:cs="Arial" w:eastAsia="Arial" w:hAnsi="Arial"/>
                <w:sz w:val="17"/>
                <w:szCs w:val="17"/>
                <w:color w:val="auto"/>
              </w:rPr>
              <w:t>F-31</w:t>
            </w:r>
          </w:p>
        </w:tc>
        <w:tc>
          <w:tcPr>
            <w:tcW w:w="1280" w:type="dxa"/>
            <w:vAlign w:val="bottom"/>
          </w:tcPr>
          <w:p>
            <w:pPr>
              <w:spacing w:after="0"/>
              <w:rPr>
                <w:sz w:val="24"/>
                <w:szCs w:val="24"/>
                <w:color w:val="auto"/>
              </w:rPr>
            </w:pPr>
          </w:p>
        </w:tc>
      </w:tr>
      <w:tr>
        <w:trPr>
          <w:trHeight w:val="93"/>
        </w:trPr>
        <w:tc>
          <w:tcPr>
            <w:tcW w:w="4000" w:type="dxa"/>
            <w:vAlign w:val="bottom"/>
            <w:tcBorders>
              <w:bottom w:val="single" w:sz="8" w:color="9A9A9A"/>
            </w:tcBorders>
          </w:tcPr>
          <w:p>
            <w:pPr>
              <w:spacing w:after="0"/>
              <w:rPr>
                <w:sz w:val="8"/>
                <w:szCs w:val="8"/>
                <w:color w:val="auto"/>
              </w:rPr>
            </w:pPr>
          </w:p>
        </w:tc>
        <w:tc>
          <w:tcPr>
            <w:tcW w:w="56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FAIR VALUE MEASUREMENT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beginning and ending balances for Level 3 warrant liability during the year ended December 31, 2021 and 2022:</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7"/>
                <w:szCs w:val="17"/>
                <w:b w:val="1"/>
                <w:bCs w:val="1"/>
                <w:color w:val="auto"/>
              </w:rPr>
              <w:t>Year Ended December 31,</w:t>
            </w:r>
          </w:p>
        </w:tc>
      </w:tr>
      <w:tr>
        <w:trPr>
          <w:trHeight w:val="231"/>
        </w:trPr>
        <w:tc>
          <w:tcPr>
            <w:tcW w:w="8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7"/>
                <w:szCs w:val="17"/>
                <w:b w:val="1"/>
                <w:bCs w:val="1"/>
                <w:color w:val="auto"/>
              </w:rPr>
              <w:t>2021</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1"/>
        </w:trPr>
        <w:tc>
          <w:tcPr>
            <w:tcW w:w="8140" w:type="dxa"/>
            <w:vAlign w:val="bottom"/>
          </w:tcPr>
          <w:p>
            <w:pPr>
              <w:ind w:left="20"/>
              <w:spacing w:after="0"/>
              <w:rPr>
                <w:sz w:val="20"/>
                <w:szCs w:val="20"/>
                <w:color w:val="auto"/>
              </w:rPr>
            </w:pPr>
            <w:r>
              <w:rPr>
                <w:rFonts w:ascii="Arial" w:cs="Arial" w:eastAsia="Arial" w:hAnsi="Arial"/>
                <w:sz w:val="17"/>
                <w:szCs w:val="17"/>
                <w:color w:val="auto"/>
              </w:rPr>
              <w:t>Balance at the beginning of the year</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1,105</w:t>
            </w:r>
          </w:p>
        </w:tc>
      </w:tr>
      <w:tr>
        <w:trPr>
          <w:trHeight w:val="245"/>
        </w:trPr>
        <w:tc>
          <w:tcPr>
            <w:tcW w:w="8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Assumed warrant liability upon Merger</w:t>
            </w: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Changes in fair value</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(2,469)</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(979)</w:t>
            </w:r>
          </w:p>
        </w:tc>
      </w:tr>
      <w:tr>
        <w:trPr>
          <w:trHeight w:val="262"/>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end of the year</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1,105</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Measured or disclosed at fair value on a nonrecurring basis</w:t>
      </w:r>
    </w:p>
    <w:p>
      <w:pPr>
        <w:spacing w:after="0" w:line="206" w:lineRule="exact"/>
        <w:rPr>
          <w:sz w:val="20"/>
          <w:szCs w:val="20"/>
          <w:color w:val="auto"/>
        </w:rPr>
      </w:pPr>
    </w:p>
    <w:p>
      <w:pPr>
        <w:ind w:right="500"/>
        <w:spacing w:after="0" w:line="268" w:lineRule="auto"/>
        <w:rPr>
          <w:sz w:val="20"/>
          <w:szCs w:val="20"/>
          <w:color w:val="auto"/>
        </w:rPr>
      </w:pPr>
      <w:r>
        <w:rPr>
          <w:rFonts w:ascii="Arial" w:cs="Arial" w:eastAsia="Arial" w:hAnsi="Arial"/>
          <w:sz w:val="17"/>
          <w:szCs w:val="17"/>
          <w:color w:val="auto"/>
        </w:rPr>
        <w:t>The Group measured the long-lived assets using the income approach—discounted cash flow method, when events or changes in circumstances indicate that the carrying amount of an asset may no longer be recoverable.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LEASES</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Group has operating leases for office spaces and warehouses. Certain leases include termination options, which are factored into the Group's determination of lease payments when appropriate.</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Operating lease cost for the year ended December 31, 2022 was $3,030, which excluded cost of short-term contracts. Short-term lease cost for the year ended December 31, 2022 was $373.</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2022, the weighted average remaining lease term was 11.8 years and weighted average discount rate was 4.9% for the Group's operating leases.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80" w:type="dxa"/>
            <w:vAlign w:val="bottom"/>
          </w:tcPr>
          <w:p>
            <w:pPr>
              <w:spacing w:after="0"/>
              <w:rPr>
                <w:sz w:val="20"/>
                <w:szCs w:val="20"/>
                <w:color w:val="auto"/>
              </w:rPr>
            </w:pPr>
            <w:r>
              <w:rPr>
                <w:rFonts w:ascii="Arial" w:cs="Arial" w:eastAsia="Arial" w:hAnsi="Arial"/>
                <w:sz w:val="17"/>
                <w:szCs w:val="17"/>
                <w:color w:val="auto"/>
              </w:rPr>
              <w:t>Supplemental cash flow information of the leases were as follows:</w:t>
            </w: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436"/>
        </w:trPr>
        <w:tc>
          <w:tcPr>
            <w:tcW w:w="8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jc w:val="center"/>
              <w:ind w:right="76"/>
              <w:spacing w:after="0"/>
              <w:rPr>
                <w:sz w:val="20"/>
                <w:szCs w:val="20"/>
                <w:color w:val="auto"/>
              </w:rPr>
            </w:pPr>
            <w:r>
              <w:rPr>
                <w:rFonts w:ascii="Arial" w:cs="Arial" w:eastAsia="Arial" w:hAnsi="Arial"/>
                <w:sz w:val="17"/>
                <w:szCs w:val="17"/>
                <w:b w:val="1"/>
                <w:bCs w:val="1"/>
                <w:color w:val="auto"/>
                <w:w w:val="89"/>
              </w:rPr>
              <w:t>Year Ended December 31,</w:t>
            </w:r>
          </w:p>
        </w:tc>
      </w:tr>
      <w:tr>
        <w:trPr>
          <w:trHeight w:val="217"/>
        </w:trPr>
        <w:tc>
          <w:tcPr>
            <w:tcW w:w="8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center"/>
              <w:ind w:right="56"/>
              <w:spacing w:after="0"/>
              <w:rPr>
                <w:sz w:val="20"/>
                <w:szCs w:val="20"/>
                <w:color w:val="auto"/>
              </w:rPr>
            </w:pPr>
            <w:r>
              <w:rPr>
                <w:rFonts w:ascii="Arial" w:cs="Arial" w:eastAsia="Arial" w:hAnsi="Arial"/>
                <w:sz w:val="17"/>
                <w:szCs w:val="17"/>
                <w:b w:val="1"/>
                <w:bCs w:val="1"/>
                <w:color w:val="auto"/>
                <w:w w:val="84"/>
              </w:rPr>
              <w:t>2022</w:t>
            </w:r>
          </w:p>
        </w:tc>
      </w:tr>
      <w:tr>
        <w:trPr>
          <w:trHeight w:val="25"/>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2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payments for operating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3,063</w:t>
            </w:r>
          </w:p>
        </w:tc>
      </w:tr>
      <w:tr>
        <w:trPr>
          <w:trHeight w:val="226"/>
        </w:trPr>
        <w:tc>
          <w:tcPr>
            <w:tcW w:w="8980" w:type="dxa"/>
            <w:vAlign w:val="bottom"/>
          </w:tcPr>
          <w:p>
            <w:pPr>
              <w:ind w:left="20"/>
              <w:spacing w:after="0"/>
              <w:rPr>
                <w:sz w:val="20"/>
                <w:szCs w:val="20"/>
                <w:color w:val="auto"/>
              </w:rPr>
            </w:pPr>
            <w:r>
              <w:rPr>
                <w:rFonts w:ascii="Arial" w:cs="Arial" w:eastAsia="Arial" w:hAnsi="Arial"/>
                <w:sz w:val="17"/>
                <w:szCs w:val="17"/>
                <w:color w:val="auto"/>
              </w:rPr>
              <w:t>Right-of-use assets obtained in exchange for new operating lease liabilities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100" w:type="dxa"/>
            <w:vAlign w:val="bottom"/>
          </w:tcPr>
          <w:p>
            <w:pPr>
              <w:jc w:val="right"/>
              <w:spacing w:after="0"/>
              <w:rPr>
                <w:sz w:val="20"/>
                <w:szCs w:val="20"/>
                <w:color w:val="auto"/>
              </w:rPr>
            </w:pPr>
            <w:r>
              <w:rPr>
                <w:rFonts w:ascii="Arial" w:cs="Arial" w:eastAsia="Arial" w:hAnsi="Arial"/>
                <w:sz w:val="17"/>
                <w:szCs w:val="17"/>
                <w:color w:val="auto"/>
              </w:rPr>
              <w:t>548</w:t>
            </w:r>
          </w:p>
        </w:tc>
      </w:tr>
      <w:tr>
        <w:trPr>
          <w:trHeight w:val="527"/>
        </w:trPr>
        <w:tc>
          <w:tcPr>
            <w:tcW w:w="8980" w:type="dxa"/>
            <w:vAlign w:val="bottom"/>
          </w:tcPr>
          <w:p>
            <w:pPr>
              <w:spacing w:after="0"/>
              <w:rPr>
                <w:sz w:val="20"/>
                <w:szCs w:val="20"/>
                <w:color w:val="auto"/>
              </w:rPr>
            </w:pPr>
            <w:r>
              <w:rPr>
                <w:rFonts w:ascii="Arial" w:cs="Arial" w:eastAsia="Arial" w:hAnsi="Arial"/>
                <w:sz w:val="17"/>
                <w:szCs w:val="17"/>
                <w:color w:val="auto"/>
              </w:rPr>
              <w:t>The following is a maturity analysis of the annual undiscounted cash flows for lease liabilities as of December 31, 2022:</w:t>
            </w: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51"/>
        </w:trPr>
        <w:tc>
          <w:tcPr>
            <w:tcW w:w="8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00" w:type="dxa"/>
            <w:vAlign w:val="bottom"/>
          </w:tcPr>
          <w:p>
            <w:pPr>
              <w:jc w:val="center"/>
              <w:ind w:right="56"/>
              <w:spacing w:after="0"/>
              <w:rPr>
                <w:sz w:val="20"/>
                <w:szCs w:val="20"/>
                <w:color w:val="auto"/>
              </w:rPr>
            </w:pPr>
            <w:r>
              <w:rPr>
                <w:rFonts w:ascii="Arial" w:cs="Arial" w:eastAsia="Arial" w:hAnsi="Arial"/>
                <w:sz w:val="17"/>
                <w:szCs w:val="17"/>
                <w:b w:val="1"/>
                <w:bCs w:val="1"/>
                <w:color w:val="auto"/>
                <w:w w:val="87"/>
              </w:rPr>
              <w:t>As of December 31, 2022</w:t>
            </w:r>
          </w:p>
        </w:tc>
      </w:tr>
      <w:tr>
        <w:trPr>
          <w:trHeight w:val="25"/>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2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2,662</w:t>
            </w:r>
          </w:p>
        </w:tc>
      </w:tr>
      <w:tr>
        <w:trPr>
          <w:trHeight w:val="226"/>
        </w:trPr>
        <w:tc>
          <w:tcPr>
            <w:tcW w:w="898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2,050</w:t>
            </w:r>
          </w:p>
        </w:tc>
      </w:tr>
      <w:tr>
        <w:trPr>
          <w:trHeight w:val="25"/>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1"/>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1,549</w:t>
            </w:r>
          </w:p>
        </w:tc>
      </w:tr>
      <w:tr>
        <w:trPr>
          <w:trHeight w:val="226"/>
        </w:trPr>
        <w:tc>
          <w:tcPr>
            <w:tcW w:w="8980" w:type="dxa"/>
            <w:vAlign w:val="bottom"/>
          </w:tcPr>
          <w:p>
            <w:pPr>
              <w:ind w:left="20"/>
              <w:spacing w:after="0"/>
              <w:rPr>
                <w:sz w:val="20"/>
                <w:szCs w:val="20"/>
                <w:color w:val="auto"/>
              </w:rPr>
            </w:pPr>
            <w:r>
              <w:rPr>
                <w:rFonts w:ascii="Arial" w:cs="Arial" w:eastAsia="Arial" w:hAnsi="Arial"/>
                <w:sz w:val="17"/>
                <w:szCs w:val="17"/>
                <w:color w:val="auto"/>
              </w:rPr>
              <w:t>2026</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1,497</w:t>
            </w:r>
          </w:p>
        </w:tc>
      </w:tr>
      <w:tr>
        <w:trPr>
          <w:trHeight w:val="25"/>
        </w:trPr>
        <w:tc>
          <w:tcPr>
            <w:tcW w:w="8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1"/>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1,497</w:t>
            </w:r>
          </w:p>
        </w:tc>
      </w:tr>
      <w:tr>
        <w:trPr>
          <w:trHeight w:val="226"/>
        </w:trPr>
        <w:tc>
          <w:tcPr>
            <w:tcW w:w="898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12,098</w:t>
            </w:r>
          </w:p>
        </w:tc>
      </w:tr>
      <w:tr>
        <w:trPr>
          <w:trHeight w:val="25"/>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future lease payments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21,353</w:t>
            </w:r>
          </w:p>
        </w:tc>
      </w:tr>
      <w:tr>
        <w:trPr>
          <w:trHeight w:val="218"/>
        </w:trPr>
        <w:tc>
          <w:tcPr>
            <w:tcW w:w="8980" w:type="dxa"/>
            <w:vAlign w:val="bottom"/>
          </w:tcPr>
          <w:p>
            <w:pPr>
              <w:ind w:left="20"/>
              <w:spacing w:after="0"/>
              <w:rPr>
                <w:sz w:val="20"/>
                <w:szCs w:val="20"/>
                <w:color w:val="auto"/>
              </w:rPr>
            </w:pPr>
            <w:r>
              <w:rPr>
                <w:rFonts w:ascii="Arial" w:cs="Arial" w:eastAsia="Arial" w:hAnsi="Arial"/>
                <w:sz w:val="17"/>
                <w:szCs w:val="17"/>
                <w:color w:val="auto"/>
              </w:rPr>
              <w:t>Less: Imputed interest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(5,072)</w:t>
            </w:r>
          </w:p>
        </w:tc>
      </w:tr>
      <w:tr>
        <w:trPr>
          <w:trHeight w:val="25"/>
        </w:trPr>
        <w:tc>
          <w:tcPr>
            <w:tcW w:w="8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6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16,281</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760" w:type="dxa"/>
            <w:vAlign w:val="bottom"/>
          </w:tcPr>
          <w:p>
            <w:pPr>
              <w:jc w:val="center"/>
              <w:ind w:left="1396"/>
              <w:spacing w:after="0"/>
              <w:rPr>
                <w:sz w:val="20"/>
                <w:szCs w:val="20"/>
                <w:color w:val="auto"/>
              </w:rPr>
            </w:pPr>
            <w:r>
              <w:rPr>
                <w:rFonts w:ascii="Arial" w:cs="Arial" w:eastAsia="Arial" w:hAnsi="Arial"/>
                <w:sz w:val="17"/>
                <w:szCs w:val="17"/>
                <w:b w:val="1"/>
                <w:bCs w:val="1"/>
                <w:color w:val="auto"/>
              </w:rPr>
              <w:t>MICROVAST HOLDINGS, INC.</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9760" w:type="dxa"/>
            <w:vAlign w:val="bottom"/>
          </w:tcPr>
          <w:p>
            <w:pPr>
              <w:jc w:val="center"/>
              <w:ind w:left="1416"/>
              <w:spacing w:after="0"/>
              <w:rPr>
                <w:sz w:val="20"/>
                <w:szCs w:val="20"/>
                <w:color w:val="auto"/>
              </w:rPr>
            </w:pPr>
            <w:r>
              <w:rPr>
                <w:rFonts w:ascii="Arial" w:cs="Arial" w:eastAsia="Arial" w:hAnsi="Arial"/>
                <w:sz w:val="17"/>
                <w:szCs w:val="17"/>
                <w:b w:val="1"/>
                <w:bCs w:val="1"/>
                <w:color w:val="auto"/>
                <w:w w:val="99"/>
              </w:rPr>
              <w:t>NOTES TO THE CONSOLIDATED FINANCIAL STATEMENTS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1"/>
        </w:trPr>
        <w:tc>
          <w:tcPr>
            <w:tcW w:w="9760" w:type="dxa"/>
            <w:vAlign w:val="bottom"/>
          </w:tcPr>
          <w:p>
            <w:pPr>
              <w:jc w:val="center"/>
              <w:ind w:left="1416"/>
              <w:spacing w:after="0"/>
              <w:rPr>
                <w:sz w:val="20"/>
                <w:szCs w:val="20"/>
                <w:color w:val="auto"/>
              </w:rPr>
            </w:pPr>
            <w:r>
              <w:rPr>
                <w:rFonts w:ascii="Arial" w:cs="Arial" w:eastAsia="Arial" w:hAnsi="Arial"/>
                <w:sz w:val="17"/>
                <w:szCs w:val="17"/>
                <w:b w:val="1"/>
                <w:bCs w:val="1"/>
                <w:color w:val="auto"/>
                <w:w w:val="95"/>
              </w:rPr>
              <w:t>FOR THE YEARS ENDED DECEMBER 31, 2020, 2021 AND 2022</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7"/>
        </w:trPr>
        <w:tc>
          <w:tcPr>
            <w:tcW w:w="9760" w:type="dxa"/>
            <w:vAlign w:val="bottom"/>
          </w:tcPr>
          <w:p>
            <w:pPr>
              <w:jc w:val="center"/>
              <w:ind w:left="1396"/>
              <w:spacing w:after="0"/>
              <w:rPr>
                <w:sz w:val="20"/>
                <w:szCs w:val="20"/>
                <w:color w:val="auto"/>
              </w:rPr>
            </w:pPr>
            <w:r>
              <w:rPr>
                <w:rFonts w:ascii="Arial" w:cs="Arial" w:eastAsia="Arial" w:hAnsi="Arial"/>
                <w:sz w:val="17"/>
                <w:szCs w:val="17"/>
                <w:b w:val="1"/>
                <w:bCs w:val="1"/>
                <w:color w:val="auto"/>
                <w:w w:val="87"/>
              </w:rPr>
              <w:t>(In thousands of U.S. dollars, except share and per share data, or as otherwise noted)</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02"/>
        </w:trPr>
        <w:tc>
          <w:tcPr>
            <w:tcW w:w="9760" w:type="dxa"/>
            <w:vAlign w:val="bottom"/>
          </w:tcPr>
          <w:p>
            <w:pPr>
              <w:spacing w:after="0"/>
              <w:rPr>
                <w:sz w:val="20"/>
                <w:szCs w:val="20"/>
                <w:color w:val="auto"/>
              </w:rPr>
            </w:pPr>
            <w:r>
              <w:rPr>
                <w:rFonts w:ascii="Arial" w:cs="Arial" w:eastAsia="Arial" w:hAnsi="Arial"/>
                <w:sz w:val="17"/>
                <w:szCs w:val="17"/>
                <w:b w:val="1"/>
                <w:bCs w:val="1"/>
                <w:color w:val="auto"/>
              </w:rPr>
              <w:t>17. LEASES - continued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02"/>
        </w:trPr>
        <w:tc>
          <w:tcPr>
            <w:tcW w:w="9760" w:type="dxa"/>
            <w:vAlign w:val="bottom"/>
          </w:tcPr>
          <w:p>
            <w:pPr>
              <w:spacing w:after="0"/>
              <w:rPr>
                <w:sz w:val="20"/>
                <w:szCs w:val="20"/>
                <w:color w:val="auto"/>
              </w:rPr>
            </w:pPr>
            <w:r>
              <w:rPr>
                <w:rFonts w:ascii="Arial" w:cs="Arial" w:eastAsia="Arial" w:hAnsi="Arial"/>
                <w:sz w:val="17"/>
                <w:szCs w:val="17"/>
                <w:color w:val="auto"/>
                <w:w w:val="96"/>
              </w:rPr>
              <w:t>Future minimum payments under non-cancellable operating leases related to offices consisted of the following at December 31, 2021:</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48"/>
        </w:trPr>
        <w:tc>
          <w:tcPr>
            <w:tcW w:w="9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r>
      <w:tr>
        <w:trPr>
          <w:trHeight w:val="217"/>
        </w:trPr>
        <w:tc>
          <w:tcPr>
            <w:tcW w:w="97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2021</w:t>
            </w:r>
          </w:p>
        </w:tc>
      </w:tr>
      <w:tr>
        <w:trPr>
          <w:trHeight w:val="231"/>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3,763</w:t>
            </w:r>
          </w:p>
        </w:tc>
      </w:tr>
      <w:tr>
        <w:trPr>
          <w:trHeight w:val="232"/>
        </w:trPr>
        <w:tc>
          <w:tcPr>
            <w:tcW w:w="9760" w:type="dxa"/>
            <w:vAlign w:val="bottom"/>
          </w:tcPr>
          <w:p>
            <w:pPr>
              <w:ind w:left="20"/>
              <w:spacing w:after="0"/>
              <w:rPr>
                <w:sz w:val="20"/>
                <w:szCs w:val="20"/>
                <w:color w:val="auto"/>
              </w:rPr>
            </w:pPr>
            <w:r>
              <w:rPr>
                <w:rFonts w:ascii="Arial" w:cs="Arial" w:eastAsia="Arial" w:hAnsi="Arial"/>
                <w:sz w:val="17"/>
                <w:szCs w:val="17"/>
                <w:color w:val="auto"/>
              </w:rPr>
              <w:t>2023</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3,151</w:t>
            </w:r>
          </w:p>
        </w:tc>
      </w:tr>
      <w:tr>
        <w:trPr>
          <w:trHeight w:val="245"/>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2,345</w:t>
            </w:r>
          </w:p>
        </w:tc>
      </w:tr>
      <w:tr>
        <w:trPr>
          <w:trHeight w:val="232"/>
        </w:trPr>
        <w:tc>
          <w:tcPr>
            <w:tcW w:w="9760" w:type="dxa"/>
            <w:vAlign w:val="bottom"/>
          </w:tcPr>
          <w:p>
            <w:pPr>
              <w:ind w:left="20"/>
              <w:spacing w:after="0"/>
              <w:rPr>
                <w:sz w:val="20"/>
                <w:szCs w:val="20"/>
                <w:color w:val="auto"/>
              </w:rPr>
            </w:pPr>
            <w:r>
              <w:rPr>
                <w:rFonts w:ascii="Arial" w:cs="Arial" w:eastAsia="Arial" w:hAnsi="Arial"/>
                <w:sz w:val="17"/>
                <w:szCs w:val="17"/>
                <w:color w:val="auto"/>
              </w:rPr>
              <w:t>2025</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1,879</w:t>
            </w:r>
          </w:p>
        </w:tc>
      </w:tr>
      <w:tr>
        <w:trPr>
          <w:trHeight w:val="245"/>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w:t>
            </w:r>
          </w:p>
        </w:tc>
      </w:tr>
      <w:tr>
        <w:trPr>
          <w:trHeight w:val="232"/>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17,109</w:t>
            </w:r>
          </w:p>
        </w:tc>
      </w:tr>
      <w:tr>
        <w:trPr>
          <w:trHeight w:val="231"/>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30,126</w:t>
            </w:r>
          </w:p>
        </w:tc>
      </w:tr>
    </w:tbl>
    <w:p>
      <w:pPr>
        <w:spacing w:after="0" w:line="272" w:lineRule="exact"/>
        <w:rPr>
          <w:sz w:val="20"/>
          <w:szCs w:val="20"/>
          <w:color w:val="auto"/>
        </w:rPr>
      </w:pPr>
    </w:p>
    <w:p>
      <w:pPr>
        <w:ind w:left="260" w:hanging="260"/>
        <w:spacing w:after="0"/>
        <w:tabs>
          <w:tab w:leader="none" w:pos="26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06"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US</w:t>
      </w:r>
    </w:p>
    <w:p>
      <w:pPr>
        <w:spacing w:after="0" w:line="210" w:lineRule="exact"/>
        <w:rPr>
          <w:sz w:val="20"/>
          <w:szCs w:val="20"/>
          <w:color w:val="auto"/>
        </w:rPr>
      </w:pPr>
    </w:p>
    <w:p>
      <w:pPr>
        <w:ind w:right="660"/>
        <w:spacing w:after="0" w:line="268" w:lineRule="auto"/>
        <w:rPr>
          <w:sz w:val="20"/>
          <w:szCs w:val="20"/>
          <w:color w:val="auto"/>
        </w:rPr>
      </w:pPr>
      <w:r>
        <w:rPr>
          <w:rFonts w:ascii="Arial" w:cs="Arial" w:eastAsia="Arial" w:hAnsi="Arial"/>
          <w:sz w:val="17"/>
          <w:szCs w:val="17"/>
          <w:color w:val="auto"/>
        </w:rPr>
        <w:t>The Company is incorporated in the U.S. and is subject to the U.S. state and federal income tax. Net operating losses incurred in taxable years beginning after December 31, 2017 are permitted to be carried forward indefinitely but may not be carried back.</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March 27, 2020, the Coronavirus Aid, Relief and Economic Security Act (the “CARES Act”) was enacted and signed into law in the United States. The CARES Act includes measures to assist companies, including temporary changes to income and non-income-based tax laws. The CARES Act contains several corporate income tax provisions, including making remaining alternative minimum tax (AMT) credits immediately refundable; providing a 5-year carryback of net operating losses (NOLs) generated in tax years 2018, 2019, and 2020 and suspending the 80 percent taxable income limitation through 2020. Any portion of an NOL that arises in a tax year between 2018-2021 that is not previously absorbed is subject to the 80 percent limitation in tax years beginning after 2020. The CARES Act did not have a material impact on the Company’s tax provision for the years ended December 31, 2020, 2021 and 2022.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PRC</w:t>
      </w:r>
    </w:p>
    <w:p>
      <w:pPr>
        <w:spacing w:after="0" w:line="21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Under the Enterprise Income Tax Law of the PRC (the “EIT Law”), PRC enterprise income tax is generally calculated at 25% of the Company’s subsidiaries located in the PRC as determined in accordance with the EIT Law, except for certain subsidiaries which enjoy tax rates substantially lower than 25% due to incentive policies.</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MPS was recognized as a “New and High Tech Enterprise” (“NHTE”) by the relevant PRC government authorities in 2018 and 2021. Therefore, MPS, as the NHTE, is entitled to an income tax rate of 15% for 2020, 2021 and 2022.</w:t>
      </w:r>
    </w:p>
    <w:p>
      <w:pPr>
        <w:spacing w:after="0" w:line="166"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Huzhou Hongwei New Energy Automobile Co., Ltd. (“Hongwei”) was recognized as a NHTE by the relevant PRC government authorities in 2020 and it is entitled to an income tax rate of 15% for 2020, 2021 and 2022.</w:t>
      </w:r>
    </w:p>
    <w:p>
      <w:pPr>
        <w:spacing w:after="0" w:line="16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The withholding tax rate of 10% under the EIT Law is imposed on dividends declared to foreign investors with respect to profit earned by PRC subsidiaries from January 1, 2008 onward. Deferred tax liability was not provided with respect to undistributed profits of relevant PRC subsidiaries for the years ended December 31, 2020, 2021 and 2022, as the Group concluded that profits generated by the relevant PRC subsidiaries are considered to be permanently reinvested, because the Group does not have any present plan to pay any cash dividends on its ordinary shares in the foreseeable future and intends to retain all of its available funds and any future earnings for use in the operation and expansion of its business.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INCOME TAXES - continued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UK</w:t>
      </w:r>
    </w:p>
    <w:p>
      <w:pPr>
        <w:spacing w:after="0" w:line="210"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UK corporation tax is calculated at an average tax rate of 19% for the years ended December 31, 2020, 2021 and 2022, respectively. The estimated assessable profit generated by the Company’s subsidiary located in UK would be subject to corporation tax at such rate, in accordance with the Corporation Tax Acts. The Company did not have taxable profit and no corporation tax expense was recorded for the years ended December 31, 2020, 2021 and 2022.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Germany</w:t>
      </w:r>
    </w:p>
    <w:p>
      <w:pPr>
        <w:spacing w:after="0" w:line="210"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German enterprise income tax, which is a combination of corporate income tax and trade tax, is calculated at an average tax rate of 31.9%, 29.1% and 27.9% for the years ended December 31, 2020, 2021 and 2022, respectively, for the Company’s subsidiary located in Germany in accordance with relevant tax rules and regulations in Germany.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A provision for income tax of $1, $ nil, and $33 has been recognized for the years ended December 31, 2020, 2021 and 2022,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Loss before provision for income taxes for the years ended December 31, 2020, 2021 and 2022 was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r>
      <w:tr>
        <w:trPr>
          <w:trHeight w:val="236"/>
        </w:trPr>
        <w:tc>
          <w:tcPr>
            <w:tcW w:w="66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Domestic(USA)</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(98,821)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(116,353)</w:t>
            </w:r>
          </w:p>
        </w:tc>
      </w:tr>
      <w:tr>
        <w:trPr>
          <w:trHeight w:val="245"/>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(107,662)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(41,814)</w:t>
            </w:r>
          </w:p>
        </w:tc>
      </w:tr>
      <w:tr>
        <w:trPr>
          <w:trHeight w:val="262"/>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Loss before income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(33,624)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(206,483)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(158,167)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The current and deferred components of the income tax expense in the consolidated statements of operations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20" w:type="dxa"/>
            <w:vAlign w:val="bottom"/>
          </w:tcPr>
          <w:p>
            <w:pPr>
              <w:spacing w:after="0"/>
              <w:rPr>
                <w:sz w:val="17"/>
                <w:szCs w:val="17"/>
                <w:color w:val="auto"/>
              </w:rPr>
            </w:pPr>
          </w:p>
        </w:tc>
        <w:tc>
          <w:tcPr>
            <w:tcW w:w="1240" w:type="dxa"/>
            <w:vAlign w:val="bottom"/>
          </w:tcPr>
          <w:p>
            <w:pPr>
              <w:jc w:val="center"/>
              <w:ind w:left="176"/>
              <w:spacing w:after="0"/>
              <w:rPr>
                <w:sz w:val="20"/>
                <w:szCs w:val="20"/>
                <w:color w:val="auto"/>
              </w:rPr>
            </w:pPr>
            <w:r>
              <w:rPr>
                <w:rFonts w:ascii="Arial" w:cs="Arial" w:eastAsia="Arial" w:hAnsi="Arial"/>
                <w:sz w:val="17"/>
                <w:szCs w:val="17"/>
                <w:b w:val="1"/>
                <w:bCs w:val="1"/>
                <w:color w:val="auto"/>
                <w:w w:val="88"/>
              </w:rPr>
              <w:t>December 31,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left="156"/>
              <w:spacing w:after="0"/>
              <w:rPr>
                <w:sz w:val="20"/>
                <w:szCs w:val="20"/>
                <w:color w:val="auto"/>
              </w:rPr>
            </w:pPr>
            <w:r>
              <w:rPr>
                <w:rFonts w:ascii="Arial" w:cs="Arial" w:eastAsia="Arial" w:hAnsi="Arial"/>
                <w:sz w:val="17"/>
                <w:szCs w:val="17"/>
                <w:b w:val="1"/>
                <w:bCs w:val="1"/>
                <w:color w:val="auto"/>
                <w:w w:val="86"/>
              </w:rPr>
              <w:t>December 31,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r>
      <w:tr>
        <w:trPr>
          <w:trHeight w:val="217"/>
        </w:trPr>
        <w:tc>
          <w:tcPr>
            <w:tcW w:w="6620" w:type="dxa"/>
            <w:vAlign w:val="bottom"/>
          </w:tcPr>
          <w:p>
            <w:pPr>
              <w:spacing w:after="0"/>
              <w:rPr>
                <w:sz w:val="18"/>
                <w:szCs w:val="18"/>
                <w:color w:val="auto"/>
              </w:rPr>
            </w:pPr>
          </w:p>
        </w:tc>
        <w:tc>
          <w:tcPr>
            <w:tcW w:w="1240" w:type="dxa"/>
            <w:vAlign w:val="bottom"/>
          </w:tcPr>
          <w:p>
            <w:pPr>
              <w:jc w:val="right"/>
              <w:ind w:right="236"/>
              <w:spacing w:after="0"/>
              <w:rPr>
                <w:sz w:val="20"/>
                <w:szCs w:val="20"/>
                <w:color w:val="auto"/>
              </w:rPr>
            </w:pPr>
            <w:r>
              <w:rPr>
                <w:rFonts w:ascii="Arial" w:cs="Arial" w:eastAsia="Arial" w:hAnsi="Arial"/>
                <w:sz w:val="17"/>
                <w:szCs w:val="17"/>
                <w:b w:val="1"/>
                <w:bCs w:val="1"/>
                <w:color w:val="auto"/>
              </w:rPr>
              <w:t>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256"/>
              <w:spacing w:after="0"/>
              <w:rPr>
                <w:sz w:val="20"/>
                <w:szCs w:val="20"/>
                <w:color w:val="auto"/>
              </w:rPr>
            </w:pPr>
            <w:r>
              <w:rPr>
                <w:rFonts w:ascii="Arial" w:cs="Arial" w:eastAsia="Arial" w:hAnsi="Arial"/>
                <w:sz w:val="17"/>
                <w:szCs w:val="17"/>
                <w:b w:val="1"/>
                <w:bCs w:val="1"/>
                <w:color w:val="auto"/>
              </w:rPr>
              <w:t>2021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5"/>
        </w:trPr>
        <w:tc>
          <w:tcPr>
            <w:tcW w:w="66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tax expense</w:t>
            </w:r>
          </w:p>
        </w:tc>
        <w:tc>
          <w:tcPr>
            <w:tcW w:w="124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32"/>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tax expense</w:t>
            </w: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5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provision for income taxes</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7"/>
                <w:szCs w:val="17"/>
                <w:b w:val="1"/>
                <w:bCs w:val="1"/>
                <w:color w:val="auto"/>
                <w:w w:val="84"/>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7"/>
                <w:szCs w:val="17"/>
                <w:b w:val="1"/>
                <w:bCs w:val="1"/>
                <w:color w:val="auto"/>
                <w:w w:val="84"/>
              </w:rPr>
              <w:t>$</w:t>
            </w:r>
          </w:p>
        </w:tc>
        <w:tc>
          <w:tcPr>
            <w:tcW w:w="5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3"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the Group’s deferred tax assets are as follows: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1845" cy="159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845" cy="159385"/>
                    </a:xfrm>
                    <a:prstGeom prst="rect">
                      <a:avLst/>
                    </a:prstGeom>
                    <a:noFill/>
                  </pic:spPr>
                </pic:pic>
              </a:graphicData>
            </a:graphic>
          </wp:anchor>
        </w:drawing>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Net operating loss carry-forwards</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Allowance for doubtful accounts and inventory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1845" cy="159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845" cy="159385"/>
                    </a:xfrm>
                    <a:prstGeom prst="rect">
                      <a:avLst/>
                    </a:prstGeom>
                    <a:noFill/>
                  </pic:spPr>
                </pic:pic>
              </a:graphicData>
            </a:graphic>
          </wp:anchor>
        </w:drawing>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Product warranty</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Impairment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1845" cy="159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845" cy="159385"/>
                    </a:xfrm>
                    <a:prstGeom prst="rect">
                      <a:avLst/>
                    </a:prstGeom>
                    <a:noFill/>
                  </pic:spPr>
                </pic:pic>
              </a:graphicData>
            </a:graphic>
          </wp:anchor>
        </w:drawing>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Deferred income</w:t>
      </w:r>
    </w:p>
    <w:p>
      <w:pPr>
        <w:spacing w:after="0" w:line="5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Accrued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1845" cy="159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845" cy="159385"/>
                    </a:xfrm>
                    <a:prstGeom prst="rect">
                      <a:avLst/>
                    </a:prstGeom>
                    <a:noFill/>
                  </pic:spPr>
                </pic:pic>
              </a:graphicData>
            </a:graphic>
          </wp:anchor>
        </w:drawing>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Others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Less: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7141845" cy="1752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845" cy="17526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Net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r>
      <w:tr>
        <w:trPr>
          <w:trHeight w:val="217"/>
        </w:trPr>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5"/>
        </w:trPr>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69"/>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38,858</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54,459</w:t>
            </w:r>
          </w:p>
        </w:tc>
      </w:tr>
      <w:tr>
        <w:trPr>
          <w:trHeight w:val="251"/>
        </w:trPr>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3,311</w:t>
            </w:r>
          </w:p>
        </w:tc>
      </w:tr>
      <w:tr>
        <w:trPr>
          <w:trHeight w:val="251"/>
        </w:trPr>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8,769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6,309</w:t>
            </w:r>
          </w:p>
        </w:tc>
      </w:tr>
      <w:tr>
        <w:trPr>
          <w:trHeight w:val="251"/>
        </w:trPr>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1,367</w:t>
            </w:r>
          </w:p>
        </w:tc>
      </w:tr>
      <w:tr>
        <w:trPr>
          <w:trHeight w:val="251"/>
        </w:trPr>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392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334</w:t>
            </w:r>
          </w:p>
        </w:tc>
      </w:tr>
      <w:tr>
        <w:trPr>
          <w:trHeight w:val="251"/>
        </w:trPr>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51"/>
        </w:trPr>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920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838</w:t>
            </w:r>
          </w:p>
        </w:tc>
      </w:tr>
      <w:tr>
        <w:trPr>
          <w:trHeight w:val="257"/>
        </w:trPr>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(55,100)</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(66,853)</w:t>
            </w:r>
          </w:p>
        </w:tc>
      </w:tr>
      <w:tr>
        <w:trPr>
          <w:trHeight w:val="231"/>
        </w:trPr>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
        </w:trPr>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480" w:space="720"/>
            <w:col w:w="3040"/>
          </w:cols>
          <w:pgMar w:left="320" w:top="123" w:right="33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69215</wp:posOffset>
            </wp:positionV>
            <wp:extent cx="7167245"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INCOME TAXES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The movements of valuation allowance for the years end December 31, 2020, 2021 and 2022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r>
      <w:tr>
        <w:trPr>
          <w:trHeight w:val="217"/>
        </w:trPr>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5"/>
        </w:trPr>
        <w:tc>
          <w:tcPr>
            <w:tcW w:w="6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beginning of the year</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55,100</w:t>
            </w:r>
          </w:p>
        </w:tc>
      </w:tr>
      <w:tr>
        <w:trPr>
          <w:trHeight w:val="245"/>
        </w:trPr>
        <w:tc>
          <w:tcPr>
            <w:tcW w:w="6620" w:type="dxa"/>
            <w:vAlign w:val="bottom"/>
          </w:tcPr>
          <w:p>
            <w:pPr>
              <w:ind w:left="20"/>
              <w:spacing w:after="0"/>
              <w:rPr>
                <w:sz w:val="20"/>
                <w:szCs w:val="20"/>
                <w:color w:val="auto"/>
              </w:rPr>
            </w:pPr>
            <w:r>
              <w:rPr>
                <w:rFonts w:ascii="Arial" w:cs="Arial" w:eastAsia="Arial" w:hAnsi="Arial"/>
                <w:sz w:val="17"/>
                <w:szCs w:val="17"/>
                <w:color w:val="auto"/>
              </w:rPr>
              <w:t>Additions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17,912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11,838</w:t>
            </w:r>
          </w:p>
        </w:tc>
      </w:tr>
      <w:tr>
        <w:trPr>
          <w:trHeight w:val="25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Reversal</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r>
      <w:tr>
        <w:trPr>
          <w:trHeight w:val="237"/>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Balance at end of the year</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37,287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55,100</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66,853</w:t>
            </w: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Reconciliation between the income tax expense computed by applying the U.S. federal corporate income tax rate of 21% to loss before income tax and actual provision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156"/>
              <w:spacing w:after="0"/>
              <w:rPr>
                <w:sz w:val="20"/>
                <w:szCs w:val="20"/>
                <w:color w:val="auto"/>
              </w:rPr>
            </w:pPr>
            <w:r>
              <w:rPr>
                <w:rFonts w:ascii="Arial" w:cs="Arial" w:eastAsia="Arial" w:hAnsi="Arial"/>
                <w:sz w:val="17"/>
                <w:szCs w:val="17"/>
                <w:b w:val="1"/>
                <w:bCs w:val="1"/>
                <w:color w:val="auto"/>
                <w:w w:val="94"/>
              </w:rPr>
              <w:t>December 31,</w:t>
            </w:r>
          </w:p>
        </w:tc>
      </w:tr>
      <w:tr>
        <w:trPr>
          <w:trHeight w:val="217"/>
        </w:trPr>
        <w:tc>
          <w:tcPr>
            <w:tcW w:w="6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5"/>
        </w:trPr>
        <w:tc>
          <w:tcPr>
            <w:tcW w:w="6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(206,483)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(158,167)</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Tax credit at the U.S. federal corporate income tax rate of 21%</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(7,061)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(43,361)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(33,214)</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effect of permanent differences – share-based compensation</w:t>
            </w: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20,098</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Tax effect of permanent differences – others</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(1,411)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(4,295)</w:t>
            </w:r>
          </w:p>
        </w:tc>
      </w:tr>
      <w:tr>
        <w:trPr>
          <w:trHeight w:val="25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Tax effect of income tax rate difference in other jurisdictions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1,657</w:t>
            </w:r>
          </w:p>
        </w:tc>
      </w:tr>
      <w:tr>
        <w:trPr>
          <w:trHeight w:val="245"/>
        </w:trPr>
        <w:tc>
          <w:tcPr>
            <w:tcW w:w="6620" w:type="dxa"/>
            <w:vAlign w:val="bottom"/>
          </w:tcPr>
          <w:p>
            <w:pPr>
              <w:ind w:left="20"/>
              <w:spacing w:after="0"/>
              <w:rPr>
                <w:sz w:val="20"/>
                <w:szCs w:val="20"/>
                <w:color w:val="auto"/>
              </w:rPr>
            </w:pPr>
            <w:r>
              <w:rPr>
                <w:rFonts w:ascii="Arial" w:cs="Arial" w:eastAsia="Arial" w:hAnsi="Arial"/>
                <w:sz w:val="17"/>
                <w:szCs w:val="17"/>
                <w:color w:val="auto"/>
              </w:rPr>
              <w:t>Changes in valuation allowance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21,077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15,754</w:t>
            </w:r>
          </w:p>
        </w:tc>
      </w:tr>
      <w:tr>
        <w:trPr>
          <w:trHeight w:val="25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Others</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37"/>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Income tax expense</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33</w:t>
            </w:r>
          </w:p>
        </w:tc>
      </w:tr>
      <w:tr>
        <w:trPr>
          <w:trHeight w:val="20"/>
        </w:trPr>
        <w:tc>
          <w:tcPr>
            <w:tcW w:w="6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As of December 31, 2022, the Group had $324,850 operating loss carried forward. The operating loss carried forward for the Company’s PRC subsidiaries amounted to $257,498, which will expire on various dates from 2023 to 2032. For the remaining operating loss, $67,352 will be carried forward indefinitely. The Group determined the valuation allowance on an entity by entity basis and assesses the available positive and negative evidence to estimate if sufficient future taxable income will be generated to utilize the existing deferred tax assets. The valuation allowance is primarily related to entities with net operating loss carry-forwards for which the Group does not believe it will ultimately be realized.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NONCONTROLLING INTERESTS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Noncontrolling interests of MPS</w:t>
      </w:r>
    </w:p>
    <w:p>
      <w:pPr>
        <w:spacing w:after="0" w:line="206"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color w:val="auto"/>
        </w:rPr>
        <w:t>In March 2017, Microvast, Inc. sold 17.39% equity interest of its wholly-owned subsidiary, MPS, to eight third-party investors (the “Investors”) for a total cash consideration of $400,000, which was received in 2017.</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In February 2018, Microvast, Inc. signed a series of repurchase and redemption agreements with six out of eight of these who requested to redeem in aggregate 14.05% equity interests in MPS (“Exiting Investors”), at a redemption value equal to the initial capital contribution plus 6.00% simple annual interest. To facilitate the repurchase and redemption transaction, MPS and the Exiting Investors entered into certain property mortgage agreements on May 30, 2018. As a result, the Group reclassified the outstanding balance of noncontrolling interest as liability (included in accrued expenses and other current liabilities and other non-current liabilities line items as payable to exiting investors) and measured at amortized cost.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NONCONTROLLING INTERESTS - continued</w:t>
      </w:r>
    </w:p>
    <w:p>
      <w:pPr>
        <w:spacing w:after="0" w:line="200" w:lineRule="exact"/>
        <w:rPr>
          <w:sz w:val="20"/>
          <w:szCs w:val="20"/>
          <w:color w:val="auto"/>
        </w:rPr>
      </w:pPr>
    </w:p>
    <w:p>
      <w:pPr>
        <w:spacing w:after="0" w:line="311"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color w:val="auto"/>
        </w:rPr>
        <w:t>Pursuant to an extension agreement signed in September 2020, $30,000 was paid to the Exiting Investors in March 2021, and the remaining repayments were deferred to 2023 and thereafter, depending on the successful completion of a financing by the Company in 2022 or 2023. On August 31, 2021, an early repayment agreement was entered into between MPS and the Exiting Investors, pursuant to which the remaining amount was fully repaid to the Exiting Investors as of December 31, 2021.</w:t>
      </w:r>
    </w:p>
    <w:p>
      <w:pPr>
        <w:spacing w:after="0" w:line="141" w:lineRule="exact"/>
        <w:rPr>
          <w:sz w:val="20"/>
          <w:szCs w:val="20"/>
          <w:color w:val="auto"/>
        </w:rPr>
      </w:pPr>
    </w:p>
    <w:p>
      <w:pPr>
        <w:ind w:right="480"/>
        <w:spacing w:after="0" w:line="299" w:lineRule="auto"/>
        <w:rPr>
          <w:sz w:val="20"/>
          <w:szCs w:val="20"/>
          <w:color w:val="auto"/>
        </w:rPr>
      </w:pPr>
      <w:r>
        <w:rPr>
          <w:rFonts w:ascii="Arial" w:cs="Arial" w:eastAsia="Arial" w:hAnsi="Arial"/>
          <w:sz w:val="16"/>
          <w:szCs w:val="16"/>
          <w:color w:val="auto"/>
        </w:rPr>
        <w:t>On July 23, 2021, upon the completion of the Merger between Microvast, Inc. and Tuscan, the equity interest held by the investors who remained noncontrolling shareholders of MPS were converted into 17,253,182 shares of Common Stock of the combined company as disclosed in Note 3.</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Noncontrolling interests of Microvast Inc.</w:t>
      </w:r>
    </w:p>
    <w:p>
      <w:pPr>
        <w:spacing w:after="0" w:line="20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On December 19, 2022, Microvast Inc. and a third party set up a company named Microvast Precision Works Co., Ltd ("MPW"). The Company holds a 70% shareholding in MPW, and the third party holds 30%. The total registered capital of MPW is $7,246 which the shareholders will fund pro-rata to their shareholding. As of December 31, 2022, no investment was paid by any of parties and MPW had no operation.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COMMON STOCK</w:t>
      </w:r>
    </w:p>
    <w:p>
      <w:pPr>
        <w:spacing w:after="0" w:line="210"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The Company has authorized 800,000,000 shares to be issued at $0.0001 par value, with 750,000,000 shares designated as Common Stock and 50,000,000 shares of redeemable convertible preferred stock.</w:t>
      </w:r>
    </w:p>
    <w:p>
      <w:pPr>
        <w:spacing w:after="0" w:line="166" w:lineRule="exact"/>
        <w:rPr>
          <w:sz w:val="20"/>
          <w:szCs w:val="20"/>
          <w:color w:val="auto"/>
        </w:rPr>
      </w:pPr>
    </w:p>
    <w:p>
      <w:pPr>
        <w:ind w:right="300"/>
        <w:spacing w:after="0" w:line="253" w:lineRule="auto"/>
        <w:rPr>
          <w:sz w:val="20"/>
          <w:szCs w:val="20"/>
          <w:color w:val="auto"/>
        </w:rPr>
      </w:pPr>
      <w:r>
        <w:rPr>
          <w:rFonts w:ascii="Arial" w:cs="Arial" w:eastAsia="Arial" w:hAnsi="Arial"/>
          <w:sz w:val="17"/>
          <w:szCs w:val="17"/>
          <w:color w:val="auto"/>
        </w:rPr>
        <w:t>Immediately following the Merger, there were 300,516,237 shares of Common Stock issued with a par value of $0.0001 as disclosed in Note 3. The holder of each share of Common Stock is entitled to one vote.The Company has retroactively adjusted the shares issued and outstanding prior to July 23, 2021 to give effect to the Common Exchange Ratio of 160.3 established in the Merger Agreement. As of December 31, 2022, there were 309,316,011 shares of Common Stock issued and 307,628,511 shares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PREFERRED SHARES</w:t>
      </w:r>
    </w:p>
    <w:p>
      <w:pPr>
        <w:spacing w:after="0" w:line="210"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On July 23, 2021, upon the completion of the Merger between Microvast, Inc. and Tuscan, all preferred shares were converted into Common Stock of the combined company at the Common Exchange Ratio of 160.3 as disclosed in Note 3.</w:t>
      </w:r>
    </w:p>
    <w:p>
      <w:pPr>
        <w:spacing w:after="0" w:line="166"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The changes in the balance of Series C1 Preferred shares (“Series C1 Preferred”), Series C2 Preferred shares (“Series C2 Preferred”), Series D1 Preferred shares ('Series D1 Preferred') and redeemable noncontrolling interests included in the mezzanine equity for the years ended December 31, 2020 and 2021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7"/>
                <w:szCs w:val="17"/>
                <w:b w:val="1"/>
                <w:bCs w:val="1"/>
                <w:color w:val="auto"/>
                <w:w w:val="87"/>
              </w:rPr>
              <w:t>Redeemable</w:t>
            </w:r>
          </w:p>
        </w:tc>
      </w:tr>
      <w:tr>
        <w:trPr>
          <w:trHeight w:val="201"/>
        </w:trPr>
        <w:tc>
          <w:tcPr>
            <w:tcW w:w="4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ind w:left="180"/>
              <w:spacing w:after="0"/>
              <w:rPr>
                <w:sz w:val="20"/>
                <w:szCs w:val="20"/>
                <w:color w:val="auto"/>
              </w:rPr>
            </w:pPr>
            <w:r>
              <w:rPr>
                <w:rFonts w:ascii="Arial" w:cs="Arial" w:eastAsia="Arial" w:hAnsi="Arial"/>
                <w:sz w:val="17"/>
                <w:szCs w:val="17"/>
                <w:b w:val="1"/>
                <w:bCs w:val="1"/>
                <w:color w:val="auto"/>
              </w:rPr>
              <w:t>Series C1</w:t>
            </w:r>
          </w:p>
        </w:tc>
        <w:tc>
          <w:tcPr>
            <w:tcW w:w="280" w:type="dxa"/>
            <w:vAlign w:val="bottom"/>
          </w:tcPr>
          <w:p>
            <w:pPr>
              <w:spacing w:after="0"/>
              <w:rPr>
                <w:sz w:val="17"/>
                <w:szCs w:val="17"/>
                <w:color w:val="auto"/>
              </w:rPr>
            </w:pPr>
          </w:p>
        </w:tc>
        <w:tc>
          <w:tcPr>
            <w:tcW w:w="1400" w:type="dxa"/>
            <w:vAlign w:val="bottom"/>
            <w:gridSpan w:val="2"/>
          </w:tcPr>
          <w:p>
            <w:pPr>
              <w:ind w:left="160"/>
              <w:spacing w:after="0"/>
              <w:rPr>
                <w:sz w:val="20"/>
                <w:szCs w:val="20"/>
                <w:color w:val="auto"/>
              </w:rPr>
            </w:pPr>
            <w:r>
              <w:rPr>
                <w:rFonts w:ascii="Arial" w:cs="Arial" w:eastAsia="Arial" w:hAnsi="Arial"/>
                <w:sz w:val="17"/>
                <w:szCs w:val="17"/>
                <w:b w:val="1"/>
                <w:bCs w:val="1"/>
                <w:color w:val="auto"/>
              </w:rPr>
              <w:t>Series C2</w:t>
            </w:r>
          </w:p>
        </w:tc>
        <w:tc>
          <w:tcPr>
            <w:tcW w:w="260" w:type="dxa"/>
            <w:vAlign w:val="bottom"/>
          </w:tcPr>
          <w:p>
            <w:pPr>
              <w:spacing w:after="0"/>
              <w:rPr>
                <w:sz w:val="17"/>
                <w:szCs w:val="17"/>
                <w:color w:val="auto"/>
              </w:rPr>
            </w:pPr>
          </w:p>
        </w:tc>
        <w:tc>
          <w:tcPr>
            <w:tcW w:w="1400" w:type="dxa"/>
            <w:vAlign w:val="bottom"/>
            <w:gridSpan w:val="2"/>
          </w:tcPr>
          <w:p>
            <w:pPr>
              <w:ind w:left="200"/>
              <w:spacing w:after="0"/>
              <w:rPr>
                <w:sz w:val="20"/>
                <w:szCs w:val="20"/>
                <w:color w:val="auto"/>
              </w:rPr>
            </w:pPr>
            <w:r>
              <w:rPr>
                <w:rFonts w:ascii="Arial" w:cs="Arial" w:eastAsia="Arial" w:hAnsi="Arial"/>
                <w:sz w:val="17"/>
                <w:szCs w:val="17"/>
                <w:b w:val="1"/>
                <w:bCs w:val="1"/>
                <w:color w:val="auto"/>
              </w:rPr>
              <w:t>Series D1</w:t>
            </w:r>
          </w:p>
        </w:tc>
        <w:tc>
          <w:tcPr>
            <w:tcW w:w="180" w:type="dxa"/>
            <w:vAlign w:val="bottom"/>
          </w:tcPr>
          <w:p>
            <w:pPr>
              <w:spacing w:after="0"/>
              <w:rPr>
                <w:sz w:val="17"/>
                <w:szCs w:val="17"/>
                <w:color w:val="auto"/>
              </w:rPr>
            </w:pPr>
          </w:p>
        </w:tc>
        <w:tc>
          <w:tcPr>
            <w:tcW w:w="1400" w:type="dxa"/>
            <w:vAlign w:val="bottom"/>
          </w:tcPr>
          <w:p>
            <w:pPr>
              <w:jc w:val="center"/>
              <w:ind w:right="116"/>
              <w:spacing w:after="0"/>
              <w:rPr>
                <w:sz w:val="20"/>
                <w:szCs w:val="20"/>
                <w:color w:val="auto"/>
              </w:rPr>
            </w:pPr>
            <w:r>
              <w:rPr>
                <w:rFonts w:ascii="Arial" w:cs="Arial" w:eastAsia="Arial" w:hAnsi="Arial"/>
                <w:sz w:val="17"/>
                <w:szCs w:val="17"/>
                <w:b w:val="1"/>
                <w:bCs w:val="1"/>
                <w:color w:val="auto"/>
                <w:w w:val="87"/>
              </w:rPr>
              <w:t>noncontrolling</w:t>
            </w:r>
          </w:p>
        </w:tc>
      </w:tr>
      <w:tr>
        <w:trPr>
          <w:trHeight w:val="236"/>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26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7"/>
                <w:szCs w:val="17"/>
                <w:b w:val="1"/>
                <w:bCs w:val="1"/>
                <w:color w:val="auto"/>
              </w:rPr>
              <w:t>Preferred</w:t>
            </w:r>
          </w:p>
        </w:tc>
        <w:tc>
          <w:tcPr>
            <w:tcW w:w="28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7"/>
                <w:szCs w:val="17"/>
                <w:b w:val="1"/>
                <w:bCs w:val="1"/>
                <w:color w:val="auto"/>
              </w:rPr>
              <w:t>Preferred</w:t>
            </w:r>
          </w:p>
        </w:tc>
        <w:tc>
          <w:tcPr>
            <w:tcW w:w="26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7"/>
                <w:szCs w:val="17"/>
                <w:b w:val="1"/>
                <w:bCs w:val="1"/>
                <w:color w:val="auto"/>
              </w:rPr>
              <w:t>Preferred</w:t>
            </w:r>
          </w:p>
        </w:tc>
        <w:tc>
          <w:tcPr>
            <w:tcW w:w="180" w:type="dxa"/>
            <w:vAlign w:val="bottom"/>
          </w:tcPr>
          <w:p>
            <w:pPr>
              <w:spacing w:after="0"/>
              <w:rPr>
                <w:sz w:val="20"/>
                <w:szCs w:val="20"/>
                <w:color w:val="auto"/>
              </w:rPr>
            </w:pPr>
          </w:p>
        </w:tc>
        <w:tc>
          <w:tcPr>
            <w:tcW w:w="1400" w:type="dxa"/>
            <w:vAlign w:val="bottom"/>
          </w:tcPr>
          <w:p>
            <w:pPr>
              <w:jc w:val="center"/>
              <w:ind w:right="76"/>
              <w:spacing w:after="0"/>
              <w:rPr>
                <w:sz w:val="20"/>
                <w:szCs w:val="20"/>
                <w:color w:val="auto"/>
              </w:rPr>
            </w:pPr>
            <w:r>
              <w:rPr>
                <w:rFonts w:ascii="Arial" w:cs="Arial" w:eastAsia="Arial" w:hAnsi="Arial"/>
                <w:sz w:val="17"/>
                <w:szCs w:val="17"/>
                <w:b w:val="1"/>
                <w:bCs w:val="1"/>
                <w:color w:val="auto"/>
                <w:w w:val="84"/>
              </w:rPr>
              <w:t>interests</w:t>
            </w:r>
          </w:p>
        </w:tc>
      </w:tr>
      <w:tr>
        <w:trPr>
          <w:trHeight w:val="245"/>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Ending balance as of January 1, 2020</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76,684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127,935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80,561</w:t>
            </w:r>
          </w:p>
        </w:tc>
      </w:tr>
      <w:tr>
        <w:trPr>
          <w:trHeight w:val="232"/>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Accretion</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3,897</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18,648</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10,259</w:t>
            </w:r>
          </w:p>
        </w:tc>
      </w:tr>
      <w:tr>
        <w:trPr>
          <w:trHeight w:val="237"/>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Ending balance as of December 31, 2020</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80,581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81,966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146,583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90,820</w:t>
            </w:r>
          </w:p>
        </w:tc>
      </w:tr>
      <w:tr>
        <w:trPr>
          <w:trHeight w:val="232"/>
        </w:trPr>
        <w:tc>
          <w:tcPr>
            <w:tcW w:w="4660" w:type="dxa"/>
            <w:vAlign w:val="bottom"/>
          </w:tcPr>
          <w:p>
            <w:pPr>
              <w:ind w:left="20"/>
              <w:spacing w:after="0"/>
              <w:rPr>
                <w:sz w:val="20"/>
                <w:szCs w:val="20"/>
                <w:color w:val="auto"/>
              </w:rPr>
            </w:pPr>
            <w:r>
              <w:rPr>
                <w:rFonts w:ascii="Arial" w:cs="Arial" w:eastAsia="Arial" w:hAnsi="Arial"/>
                <w:sz w:val="17"/>
                <w:szCs w:val="17"/>
                <w:color w:val="auto"/>
              </w:rPr>
              <w:t>Accretion from January 1 to July 23</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2,257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5,132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10,708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5,841</w:t>
            </w:r>
          </w:p>
        </w:tc>
      </w:tr>
      <w:tr>
        <w:trPr>
          <w:trHeight w:val="245"/>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Conversion as of Merger</w:t>
            </w: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(82,838)</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(87,098)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(157,291)</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(96,661)</w:t>
            </w:r>
          </w:p>
        </w:tc>
      </w:tr>
      <w:tr>
        <w:trPr>
          <w:trHeight w:val="225"/>
        </w:trPr>
        <w:tc>
          <w:tcPr>
            <w:tcW w:w="4660" w:type="dxa"/>
            <w:vAlign w:val="bottom"/>
          </w:tcPr>
          <w:p>
            <w:pPr>
              <w:ind w:left="20"/>
              <w:spacing w:after="0"/>
              <w:rPr>
                <w:sz w:val="20"/>
                <w:szCs w:val="20"/>
                <w:color w:val="auto"/>
              </w:rPr>
            </w:pPr>
            <w:r>
              <w:rPr>
                <w:rFonts w:ascii="Arial" w:cs="Arial" w:eastAsia="Arial" w:hAnsi="Arial"/>
                <w:sz w:val="17"/>
                <w:szCs w:val="17"/>
                <w:b w:val="1"/>
                <w:bCs w:val="1"/>
                <w:color w:val="auto"/>
              </w:rPr>
              <w:t>Ending balance as of December 31, 2021</w:t>
            </w: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840"/>
        </w:trPr>
        <w:tc>
          <w:tcPr>
            <w:tcW w:w="4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ind w:left="540"/>
              <w:spacing w:after="0"/>
              <w:rPr>
                <w:sz w:val="20"/>
                <w:szCs w:val="20"/>
                <w:color w:val="auto"/>
              </w:rPr>
            </w:pPr>
            <w:r>
              <w:rPr>
                <w:rFonts w:ascii="Arial" w:cs="Arial" w:eastAsia="Arial" w:hAnsi="Arial"/>
                <w:sz w:val="17"/>
                <w:szCs w:val="17"/>
                <w:color w:val="auto"/>
              </w:rPr>
              <w:t>F-36</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06"/>
        </w:trPr>
        <w:tc>
          <w:tcPr>
            <w:tcW w:w="4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2020, 2021 AND 2022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SHARE-BASED PAYMENT</w:t>
      </w:r>
    </w:p>
    <w:p>
      <w:pPr>
        <w:spacing w:after="0" w:line="210" w:lineRule="exact"/>
        <w:rPr>
          <w:sz w:val="20"/>
          <w:szCs w:val="20"/>
          <w:color w:val="auto"/>
        </w:rPr>
      </w:pPr>
    </w:p>
    <w:p>
      <w:pPr>
        <w:ind w:right="140"/>
        <w:spacing w:after="0" w:line="286" w:lineRule="auto"/>
        <w:rPr>
          <w:sz w:val="20"/>
          <w:szCs w:val="20"/>
          <w:color w:val="auto"/>
        </w:rPr>
      </w:pPr>
      <w:r>
        <w:rPr>
          <w:rFonts w:ascii="Arial" w:cs="Arial" w:eastAsia="Arial" w:hAnsi="Arial"/>
          <w:sz w:val="15"/>
          <w:szCs w:val="15"/>
          <w:color w:val="auto"/>
        </w:rPr>
        <w:t>In 2012, Microvast, Inc. adopted a Share Incentive Plan (the “2012 Plan”). The 2012 Plan permits the grant of options to purchase common stock, share appreciation rights, non-vested shares and non-vested share units. The maximum aggregate number of shares of common stock that may be issued pursuant to all awards under the share incentive plan is 17 percent of the total issued and outstanding company shares on a fully-diluted basis. The share options, non-vested shares and non-vested share units granted to the employees or nonemployees shall vest and become non-forfeitable with respect to one-third of the total number of the non-vested share and non-vested share units immediately upon the occurrence of initial public offering, sale or transfer of all or substantially all of the business, operations or assets of Microvast, Inc. or its subsidiaries, taken as a whole, to a third party, or such other sale or transfer of common stock in Microvast, Inc. as determined, in each case, by Microvast, Inc. pursuant to legal documents and other obligations binding upon it (the “Initial Vesting Date”), and on each of the first and second anniversaries of the Initial Vesting Date; provided that through each applicable vesting date, the employee or nonemployee is employed. The Merger in 2021 did not constitute the satisfaction of a performance condition that would trigger the vesting of equity awards as stipulated in the 2012 Plan.</w:t>
      </w:r>
    </w:p>
    <w:p>
      <w:pPr>
        <w:spacing w:after="0" w:line="159"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In connection with the Merger, all outstanding share awards granted under the 2012 Plan, 209,906 options and 143,652 capped non-vested share units, were converted into 33,647,927 options and 23,027,399 capped non-vested share units of the Company, respectively, using the Common Exchange Ratio of 160.3 as described in Note</w:t>
      </w:r>
    </w:p>
    <w:p>
      <w:pPr>
        <w:spacing w:after="0" w:line="1" w:lineRule="exact"/>
        <w:rPr>
          <w:sz w:val="20"/>
          <w:szCs w:val="20"/>
          <w:color w:val="auto"/>
        </w:rPr>
      </w:pPr>
    </w:p>
    <w:p>
      <w:pPr>
        <w:ind w:right="140"/>
        <w:spacing w:after="0" w:line="287" w:lineRule="auto"/>
        <w:tabs>
          <w:tab w:leader="none" w:pos="167" w:val="left"/>
        </w:tabs>
        <w:numPr>
          <w:ilvl w:val="0"/>
          <w:numId w:val="42"/>
        </w:numPr>
        <w:rPr>
          <w:rFonts w:ascii="Arial" w:cs="Arial" w:eastAsia="Arial" w:hAnsi="Arial"/>
          <w:sz w:val="15"/>
          <w:szCs w:val="15"/>
          <w:color w:val="auto"/>
        </w:rPr>
      </w:pPr>
      <w:r>
        <w:rPr>
          <w:rFonts w:ascii="Arial" w:cs="Arial" w:eastAsia="Arial" w:hAnsi="Arial"/>
          <w:sz w:val="15"/>
          <w:szCs w:val="15"/>
          <w:color w:val="auto"/>
        </w:rPr>
        <w:t>Upon conversion, the Company modified the terms of the equity awards by removing the performance condition of the occurrence of an initial public offering and similar transaction under the 2012 Plan, and adopted a new vesting schedule of one-third of the total number on each of the first, second and third anniversaries of the Closing Date (the “Modification”). The Modification was considered a Type III modification under the Accounting for Share-Based Payments (Topic 718), in which the original awards were canceled, and the modified awards were considered granted on the modification date. Post-modification share-based compensation expense related to these new awards will be recognized over the remaining service period using modification date fair values. Following the Merger, no further awards will be granted under the 2012 Plan. All stock award activity was retroactively restated to reflect the conversion.</w:t>
      </w:r>
    </w:p>
    <w:p>
      <w:pPr>
        <w:spacing w:after="0" w:line="156"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On July 21, 2021, the stockholders of the Company approved the Microvast Holdings, Inc. 2021 Equity Incentive Plan (the “2021 Plan”), effective upon the Closing Date. The 2021 Plan provides for the grant of incentive and non-qualified stock option, restricted stock units, restricted share awards, stock appreciation awards, and cash-based awards to employees, directors, and consultants of the Company. Options awarded under the 2021 Plan expire no more than 10 years from the date of grant. The 2021 Plan reserves 5% of the fully-diluted shares of Common Stock outstanding immediately following the Closing Date (not including the shares underlying awards modified from the 2012 Plan) for issuance in accordance with the 2021 Plan’s terms. As of December 31, 2022, 16,490,228 shares of Common Stock was available for grant under the 2021 Plan.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On April 14, 2022, the Company's former Chief Financial Officer's ("Former CFO") employment with the Company was terminated. Simultaneously, a transition services agreement was entered into between the Company and the Former CFO for the provision of advisory services to the Company with an initial term of 18 months commencing on the date of the Former CFO's termination of employment. Upon the Former CFO's termination of employment, all 1,122,100 stock options and 2,860,713 capped non-vested share units held by the Former CFO immediately vested in full and a $4,897 cash payment was made to the Former CFO related to the settlement of capped non-vested share units. The Former CFO's stock options remain exercisable until three months following the termination of his transition services agreement with the Company. Because he continues to provide advisory services to the Company, the Former CFO is an eligible person rendering services under the 2012 Plan, and the accelerated vesting and extended exercise period of his stock options were in accordance with the terms and conditions of the Former CFO's employment agreement and stock option award agreement. As such, the changes are not considered a modification under ASC 718. During the year ended December 31, 2022, $16,778 of share-based compensation expense was recognized in connection with the vesting of the Former CFO's awards.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2019, 2020 AND 2021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SHARE-BASED PAYMENT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Share options</w:t>
      </w:r>
    </w:p>
    <w:p>
      <w:pPr>
        <w:spacing w:after="0" w:line="206"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April 14, 2022 and June 7, 2022, the Company granted 1,800,000 and 600,000 stock options to two new executive officers and two employees, subject to service conditions, respectively. The service conditions require the participant’s continued employment with the Company through the applicable vesting dates.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July 7, 2022, the Company granted 500,000 stock options to an employee with an exercise price of $2.42. The vesting of these options is subject to a service condition of continued employment with the Company through the applicable vesting dates and performance condition which requires the achievement of certain performance criteria as defined in the award agreement. The criteria is probable to achieve and therefore related expenses were recognized.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2022, the Company recorded share-based compensation expense of $60,020 related to the option awards.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grant date fair value of the stock options was determined using the Black Scholes model with the following assumptions: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460" w:type="dxa"/>
            <w:vAlign w:val="bottom"/>
          </w:tcPr>
          <w:p>
            <w:pPr>
              <w:spacing w:after="0"/>
              <w:rPr>
                <w:sz w:val="17"/>
                <w:szCs w:val="17"/>
                <w:color w:val="auto"/>
              </w:rPr>
            </w:pPr>
          </w:p>
        </w:tc>
        <w:tc>
          <w:tcPr>
            <w:tcW w:w="1780" w:type="dxa"/>
            <w:vAlign w:val="bottom"/>
          </w:tcPr>
          <w:p>
            <w:pPr>
              <w:jc w:val="right"/>
              <w:ind w:right="376"/>
              <w:spacing w:after="0"/>
              <w:rPr>
                <w:sz w:val="20"/>
                <w:szCs w:val="20"/>
                <w:color w:val="auto"/>
              </w:rPr>
            </w:pPr>
            <w:r>
              <w:rPr>
                <w:rFonts w:ascii="Arial" w:cs="Arial" w:eastAsia="Arial" w:hAnsi="Arial"/>
                <w:sz w:val="17"/>
                <w:szCs w:val="17"/>
                <w:b w:val="1"/>
                <w:bCs w:val="1"/>
                <w:color w:val="auto"/>
              </w:rPr>
              <w:t>Year Ended</w:t>
            </w:r>
          </w:p>
        </w:tc>
      </w:tr>
      <w:tr>
        <w:trPr>
          <w:trHeight w:val="217"/>
        </w:trPr>
        <w:tc>
          <w:tcPr>
            <w:tcW w:w="9460" w:type="dxa"/>
            <w:vAlign w:val="bottom"/>
          </w:tcPr>
          <w:p>
            <w:pPr>
              <w:spacing w:after="0"/>
              <w:rPr>
                <w:sz w:val="18"/>
                <w:szCs w:val="18"/>
                <w:color w:val="auto"/>
              </w:rPr>
            </w:pPr>
          </w:p>
        </w:tc>
        <w:tc>
          <w:tcPr>
            <w:tcW w:w="1780" w:type="dxa"/>
            <w:vAlign w:val="bottom"/>
          </w:tcPr>
          <w:p>
            <w:pPr>
              <w:jc w:val="right"/>
              <w:ind w:right="116"/>
              <w:spacing w:after="0"/>
              <w:rPr>
                <w:sz w:val="20"/>
                <w:szCs w:val="20"/>
                <w:color w:val="auto"/>
              </w:rPr>
            </w:pPr>
            <w:r>
              <w:rPr>
                <w:rFonts w:ascii="Arial" w:cs="Arial" w:eastAsia="Arial" w:hAnsi="Arial"/>
                <w:sz w:val="17"/>
                <w:szCs w:val="17"/>
                <w:b w:val="1"/>
                <w:bCs w:val="1"/>
                <w:color w:val="auto"/>
              </w:rPr>
              <w:t>December 31, 2022</w:t>
            </w:r>
          </w:p>
        </w:tc>
      </w:tr>
      <w:tr>
        <w:trPr>
          <w:trHeight w:val="25"/>
        </w:trPr>
        <w:tc>
          <w:tcPr>
            <w:tcW w:w="94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 price</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$2.42-$5.69</w:t>
            </w:r>
          </w:p>
        </w:tc>
      </w:tr>
      <w:tr>
        <w:trPr>
          <w:trHeight w:val="245"/>
        </w:trPr>
        <w:tc>
          <w:tcPr>
            <w:tcW w:w="9460" w:type="dxa"/>
            <w:vAlign w:val="bottom"/>
          </w:tcPr>
          <w:p>
            <w:pPr>
              <w:ind w:left="20"/>
              <w:spacing w:after="0"/>
              <w:rPr>
                <w:sz w:val="20"/>
                <w:szCs w:val="20"/>
                <w:color w:val="auto"/>
              </w:rPr>
            </w:pPr>
            <w:r>
              <w:rPr>
                <w:rFonts w:ascii="Arial" w:cs="Arial" w:eastAsia="Arial" w:hAnsi="Arial"/>
                <w:sz w:val="17"/>
                <w:szCs w:val="17"/>
                <w:color w:val="auto"/>
              </w:rPr>
              <w:t>Expected terms (years)</w:t>
            </w:r>
          </w:p>
        </w:tc>
        <w:tc>
          <w:tcPr>
            <w:tcW w:w="1780" w:type="dxa"/>
            <w:vAlign w:val="bottom"/>
          </w:tcPr>
          <w:p>
            <w:pPr>
              <w:jc w:val="right"/>
              <w:spacing w:after="0"/>
              <w:rPr>
                <w:sz w:val="20"/>
                <w:szCs w:val="20"/>
                <w:color w:val="auto"/>
              </w:rPr>
            </w:pPr>
            <w:r>
              <w:rPr>
                <w:rFonts w:ascii="Arial" w:cs="Arial" w:eastAsia="Arial" w:hAnsi="Arial"/>
                <w:sz w:val="17"/>
                <w:szCs w:val="17"/>
                <w:color w:val="auto"/>
              </w:rPr>
              <w:t>6.00</w:t>
            </w:r>
          </w:p>
        </w:tc>
      </w:tr>
      <w:tr>
        <w:trPr>
          <w:trHeight w:val="257"/>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56.16%-57.84%</w:t>
            </w:r>
          </w:p>
        </w:tc>
      </w:tr>
      <w:tr>
        <w:trPr>
          <w:trHeight w:val="245"/>
        </w:trPr>
        <w:tc>
          <w:tcPr>
            <w:tcW w:w="94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780" w:type="dxa"/>
            <w:vAlign w:val="bottom"/>
          </w:tcPr>
          <w:p>
            <w:pPr>
              <w:jc w:val="right"/>
              <w:spacing w:after="0"/>
              <w:rPr>
                <w:sz w:val="20"/>
                <w:szCs w:val="20"/>
                <w:color w:val="auto"/>
              </w:rPr>
            </w:pPr>
            <w:r>
              <w:rPr>
                <w:rFonts w:ascii="Arial" w:cs="Arial" w:eastAsia="Arial" w:hAnsi="Arial"/>
                <w:sz w:val="17"/>
                <w:szCs w:val="17"/>
                <w:color w:val="auto"/>
              </w:rPr>
              <w:t>2.79%-3.02%</w:t>
            </w:r>
          </w:p>
        </w:tc>
      </w:tr>
      <w:tr>
        <w:trPr>
          <w:trHeight w:val="245"/>
        </w:trPr>
        <w:tc>
          <w:tcPr>
            <w:tcW w:w="9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 yields</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0.00 %</w:t>
            </w:r>
          </w:p>
        </w:tc>
      </w:tr>
      <w:tr>
        <w:trPr>
          <w:trHeight w:val="238"/>
        </w:trPr>
        <w:tc>
          <w:tcPr>
            <w:tcW w:w="9460" w:type="dxa"/>
            <w:vAlign w:val="bottom"/>
          </w:tcPr>
          <w:p>
            <w:pPr>
              <w:ind w:left="20"/>
              <w:spacing w:after="0"/>
              <w:rPr>
                <w:sz w:val="20"/>
                <w:szCs w:val="20"/>
                <w:color w:val="auto"/>
              </w:rPr>
            </w:pPr>
            <w:r>
              <w:rPr>
                <w:rFonts w:ascii="Arial" w:cs="Arial" w:eastAsia="Arial" w:hAnsi="Arial"/>
                <w:sz w:val="17"/>
                <w:szCs w:val="17"/>
                <w:color w:val="auto"/>
              </w:rPr>
              <w:t>Weighted average fair value of options granted</w:t>
            </w:r>
          </w:p>
        </w:tc>
        <w:tc>
          <w:tcPr>
            <w:tcW w:w="1780" w:type="dxa"/>
            <w:vAlign w:val="bottom"/>
          </w:tcPr>
          <w:p>
            <w:pPr>
              <w:jc w:val="right"/>
              <w:spacing w:after="0"/>
              <w:rPr>
                <w:sz w:val="20"/>
                <w:szCs w:val="20"/>
                <w:color w:val="auto"/>
              </w:rPr>
            </w:pPr>
            <w:r>
              <w:rPr>
                <w:rFonts w:ascii="Arial" w:cs="Arial" w:eastAsia="Arial" w:hAnsi="Arial"/>
                <w:sz w:val="17"/>
                <w:szCs w:val="17"/>
                <w:color w:val="auto"/>
              </w:rPr>
              <w:t>$1.33-$3.19</w:t>
            </w:r>
          </w:p>
        </w:tc>
      </w:tr>
    </w:tbl>
    <w:p>
      <w:pPr>
        <w:spacing w:after="0" w:line="276"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exercise prices for each award were extracted from the option agreements. The expected terms for each award were derived using the simplified method, and is estimated to occur at the midpoint of the vesting date and the expiration date. The volatility of the underlying common stock during the lives of the options was estimated based on the historical stock price volatility of comparable listed companies over a period comparable to the expected term of the options. Risk-free interest rate was estimated based on the market yield of US Government Bonds with maturity close to the expected term of the options. The dividend yield was estimated by the Company based on its expected dividend policy over the expected term of the options.</w:t>
      </w:r>
    </w:p>
    <w:p>
      <w:pPr>
        <w:spacing w:after="0" w:line="16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During the year ended December 31, 2021, the modification date fair value of the stock options was determined using the Binomial-Lattice Model with the following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6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480" w:type="dxa"/>
            <w:vAlign w:val="bottom"/>
          </w:tcPr>
          <w:p>
            <w:pPr>
              <w:jc w:val="right"/>
              <w:ind w:right="476"/>
              <w:spacing w:after="0"/>
              <w:rPr>
                <w:sz w:val="20"/>
                <w:szCs w:val="20"/>
                <w:color w:val="auto"/>
              </w:rPr>
            </w:pPr>
            <w:r>
              <w:rPr>
                <w:rFonts w:ascii="Arial" w:cs="Arial" w:eastAsia="Arial" w:hAnsi="Arial"/>
                <w:sz w:val="17"/>
                <w:szCs w:val="17"/>
                <w:b w:val="1"/>
                <w:bCs w:val="1"/>
                <w:color w:val="auto"/>
              </w:rPr>
              <w:t>After</w:t>
            </w:r>
          </w:p>
        </w:tc>
      </w:tr>
      <w:tr>
        <w:trPr>
          <w:trHeight w:val="217"/>
        </w:trPr>
        <w:tc>
          <w:tcPr>
            <w:tcW w:w="436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480" w:type="dxa"/>
            <w:vAlign w:val="bottom"/>
          </w:tcPr>
          <w:p>
            <w:pPr>
              <w:jc w:val="right"/>
              <w:ind w:right="196"/>
              <w:spacing w:after="0"/>
              <w:rPr>
                <w:sz w:val="20"/>
                <w:szCs w:val="20"/>
                <w:color w:val="auto"/>
              </w:rPr>
            </w:pPr>
            <w:r>
              <w:rPr>
                <w:rFonts w:ascii="Arial" w:cs="Arial" w:eastAsia="Arial" w:hAnsi="Arial"/>
                <w:sz w:val="17"/>
                <w:szCs w:val="17"/>
                <w:b w:val="1"/>
                <w:bCs w:val="1"/>
                <w:color w:val="auto"/>
              </w:rPr>
              <w:t>modification</w:t>
            </w:r>
          </w:p>
        </w:tc>
      </w:tr>
      <w:tr>
        <w:trPr>
          <w:trHeight w:val="25"/>
        </w:trPr>
        <w:tc>
          <w:tcPr>
            <w:tcW w:w="436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 price</w:t>
            </w:r>
          </w:p>
        </w:tc>
        <w:tc>
          <w:tcPr>
            <w:tcW w:w="6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$4.37-$6.28</w:t>
            </w:r>
          </w:p>
        </w:tc>
      </w:tr>
      <w:tr>
        <w:trPr>
          <w:trHeight w:val="226"/>
        </w:trPr>
        <w:tc>
          <w:tcPr>
            <w:tcW w:w="4360" w:type="dxa"/>
            <w:vAlign w:val="bottom"/>
          </w:tcPr>
          <w:p>
            <w:pPr>
              <w:ind w:left="20"/>
              <w:spacing w:after="0"/>
              <w:rPr>
                <w:sz w:val="20"/>
                <w:szCs w:val="20"/>
                <w:color w:val="auto"/>
              </w:rPr>
            </w:pPr>
            <w:r>
              <w:rPr>
                <w:rFonts w:ascii="Arial" w:cs="Arial" w:eastAsia="Arial" w:hAnsi="Arial"/>
                <w:sz w:val="17"/>
                <w:szCs w:val="17"/>
                <w:color w:val="auto"/>
              </w:rPr>
              <w:t>Expected terms (years)</w:t>
            </w:r>
          </w:p>
        </w:tc>
        <w:tc>
          <w:tcPr>
            <w:tcW w:w="6880" w:type="dxa"/>
            <w:vAlign w:val="bottom"/>
            <w:gridSpan w:val="2"/>
          </w:tcPr>
          <w:p>
            <w:pPr>
              <w:jc w:val="right"/>
              <w:spacing w:after="0"/>
              <w:rPr>
                <w:sz w:val="20"/>
                <w:szCs w:val="20"/>
                <w:color w:val="auto"/>
              </w:rPr>
            </w:pPr>
            <w:r>
              <w:rPr>
                <w:rFonts w:ascii="Arial" w:cs="Arial" w:eastAsia="Arial" w:hAnsi="Arial"/>
                <w:sz w:val="17"/>
                <w:szCs w:val="17"/>
                <w:color w:val="auto"/>
              </w:rPr>
              <w:t>4.5-9.4</w:t>
            </w:r>
          </w:p>
        </w:tc>
      </w:tr>
      <w:tr>
        <w:trPr>
          <w:trHeight w:val="25"/>
        </w:trPr>
        <w:tc>
          <w:tcPr>
            <w:tcW w:w="43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6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47.6%-53.1%</w:t>
            </w:r>
          </w:p>
        </w:tc>
      </w:tr>
      <w:tr>
        <w:trPr>
          <w:trHeight w:val="226"/>
        </w:trPr>
        <w:tc>
          <w:tcPr>
            <w:tcW w:w="436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6880" w:type="dxa"/>
            <w:vAlign w:val="bottom"/>
            <w:gridSpan w:val="2"/>
          </w:tcPr>
          <w:p>
            <w:pPr>
              <w:jc w:val="right"/>
              <w:spacing w:after="0"/>
              <w:rPr>
                <w:sz w:val="20"/>
                <w:szCs w:val="20"/>
                <w:color w:val="auto"/>
              </w:rPr>
            </w:pPr>
            <w:r>
              <w:rPr>
                <w:rFonts w:ascii="Arial" w:cs="Arial" w:eastAsia="Arial" w:hAnsi="Arial"/>
                <w:sz w:val="17"/>
                <w:szCs w:val="17"/>
                <w:color w:val="auto"/>
              </w:rPr>
              <w:t>1.26%-1.87%</w:t>
            </w:r>
          </w:p>
        </w:tc>
      </w:tr>
      <w:tr>
        <w:trPr>
          <w:trHeight w:val="25"/>
        </w:trPr>
        <w:tc>
          <w:tcPr>
            <w:tcW w:w="43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1"/>
        </w:trPr>
        <w:tc>
          <w:tcPr>
            <w:tcW w:w="4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 yield</w:t>
            </w:r>
          </w:p>
        </w:tc>
        <w:tc>
          <w:tcPr>
            <w:tcW w:w="6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0.00%</w:t>
            </w:r>
          </w:p>
        </w:tc>
      </w:tr>
      <w:tr>
        <w:trPr>
          <w:trHeight w:val="226"/>
        </w:trPr>
        <w:tc>
          <w:tcPr>
            <w:tcW w:w="4360" w:type="dxa"/>
            <w:vAlign w:val="bottom"/>
          </w:tcPr>
          <w:p>
            <w:pPr>
              <w:ind w:left="20"/>
              <w:spacing w:after="0"/>
              <w:rPr>
                <w:sz w:val="20"/>
                <w:szCs w:val="20"/>
                <w:color w:val="auto"/>
              </w:rPr>
            </w:pPr>
            <w:r>
              <w:rPr>
                <w:rFonts w:ascii="Arial" w:cs="Arial" w:eastAsia="Arial" w:hAnsi="Arial"/>
                <w:sz w:val="17"/>
                <w:szCs w:val="17"/>
                <w:color w:val="auto"/>
              </w:rPr>
              <w:t>Weighted average fair value of options modified</w:t>
            </w:r>
          </w:p>
        </w:tc>
        <w:tc>
          <w:tcPr>
            <w:tcW w:w="6880" w:type="dxa"/>
            <w:vAlign w:val="bottom"/>
            <w:gridSpan w:val="2"/>
          </w:tcPr>
          <w:p>
            <w:pPr>
              <w:jc w:val="right"/>
              <w:spacing w:after="0"/>
              <w:rPr>
                <w:sz w:val="20"/>
                <w:szCs w:val="20"/>
                <w:color w:val="auto"/>
              </w:rPr>
            </w:pPr>
            <w:r>
              <w:rPr>
                <w:rFonts w:ascii="Arial" w:cs="Arial" w:eastAsia="Arial" w:hAnsi="Arial"/>
                <w:sz w:val="17"/>
                <w:szCs w:val="17"/>
                <w:color w:val="auto"/>
              </w:rPr>
              <w:t>$4.70-$5.36</w:t>
            </w:r>
          </w:p>
        </w:tc>
      </w:tr>
      <w:tr>
        <w:trPr>
          <w:trHeight w:val="879"/>
        </w:trPr>
        <w:tc>
          <w:tcPr>
            <w:tcW w:w="4360" w:type="dxa"/>
            <w:vAlign w:val="bottom"/>
          </w:tcPr>
          <w:p>
            <w:pPr>
              <w:spacing w:after="0"/>
              <w:rPr>
                <w:sz w:val="24"/>
                <w:szCs w:val="24"/>
                <w:color w:val="auto"/>
              </w:rPr>
            </w:pPr>
          </w:p>
        </w:tc>
        <w:tc>
          <w:tcPr>
            <w:tcW w:w="6880" w:type="dxa"/>
            <w:vAlign w:val="bottom"/>
            <w:gridSpan w:val="2"/>
          </w:tcPr>
          <w:p>
            <w:pPr>
              <w:jc w:val="right"/>
              <w:ind w:right="5376"/>
              <w:spacing w:after="0"/>
              <w:rPr>
                <w:sz w:val="20"/>
                <w:szCs w:val="20"/>
                <w:color w:val="auto"/>
              </w:rPr>
            </w:pPr>
            <w:r>
              <w:rPr>
                <w:rFonts w:ascii="Arial" w:cs="Arial" w:eastAsia="Arial" w:hAnsi="Arial"/>
                <w:sz w:val="17"/>
                <w:szCs w:val="17"/>
                <w:color w:val="auto"/>
              </w:rPr>
              <w:t>F-38</w:t>
            </w:r>
          </w:p>
        </w:tc>
      </w:tr>
      <w:tr>
        <w:trPr>
          <w:trHeight w:val="93"/>
        </w:trPr>
        <w:tc>
          <w:tcPr>
            <w:tcW w:w="4360" w:type="dxa"/>
            <w:vAlign w:val="bottom"/>
            <w:tcBorders>
              <w:bottom w:val="single" w:sz="8" w:color="9A9A9A"/>
            </w:tcBorders>
          </w:tcPr>
          <w:p>
            <w:pPr>
              <w:spacing w:after="0"/>
              <w:rPr>
                <w:sz w:val="8"/>
                <w:szCs w:val="8"/>
                <w:color w:val="auto"/>
              </w:rPr>
            </w:pPr>
          </w:p>
        </w:tc>
        <w:tc>
          <w:tcPr>
            <w:tcW w:w="54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2019, 2020 AND 2021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SHARE-BASED PAYMENT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Share options - Continued</w:t>
      </w:r>
    </w:p>
    <w:p>
      <w:pPr>
        <w:spacing w:after="0" w:line="20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Exercise price was extracted from option agreements. Expected lives was derived from option agreements. The volatility of the underlying common shares during the lives of the options was estimated based on the historical stock price volatility of comparable listed companies over a period comparable to the expected term of the options and the implied volatility of the Company. Risk-free interest rate was estimated based on the market yield of US Government Bond with maturity close to the expected term of the options, plus country risk spread. The dividend yield was estimated by the Company based on its expected dividend policy over the expected term of the options.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Share options activity for the years ended December 31, 2022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Weighted Average</w:t>
            </w:r>
          </w:p>
        </w:tc>
        <w:tc>
          <w:tcPr>
            <w:tcW w:w="15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Weighted Average</w:t>
            </w: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87"/>
              </w:rPr>
              <w:t>Weighted Average</w:t>
            </w:r>
          </w:p>
        </w:tc>
      </w:tr>
      <w:tr>
        <w:trPr>
          <w:trHeight w:val="188"/>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140"/>
              <w:spacing w:after="0" w:line="189" w:lineRule="exact"/>
              <w:rPr>
                <w:sz w:val="20"/>
                <w:szCs w:val="20"/>
                <w:color w:val="auto"/>
              </w:rPr>
            </w:pPr>
            <w:r>
              <w:rPr>
                <w:rFonts w:ascii="Arial" w:cs="Arial" w:eastAsia="Arial" w:hAnsi="Arial"/>
                <w:sz w:val="17"/>
                <w:szCs w:val="17"/>
                <w:b w:val="1"/>
                <w:bCs w:val="1"/>
                <w:color w:val="auto"/>
                <w:w w:val="85"/>
              </w:rPr>
              <w:t>Exercise</w:t>
            </w:r>
          </w:p>
        </w:tc>
        <w:tc>
          <w:tcPr>
            <w:tcW w:w="1560" w:type="dxa"/>
            <w:vAlign w:val="bottom"/>
            <w:gridSpan w:val="2"/>
          </w:tcPr>
          <w:p>
            <w:pPr>
              <w:jc w:val="center"/>
              <w:ind w:right="120"/>
              <w:spacing w:after="0" w:line="189" w:lineRule="exact"/>
              <w:rPr>
                <w:sz w:val="20"/>
                <w:szCs w:val="20"/>
                <w:color w:val="auto"/>
              </w:rPr>
            </w:pPr>
            <w:r>
              <w:rPr>
                <w:rFonts w:ascii="Arial" w:cs="Arial" w:eastAsia="Arial" w:hAnsi="Arial"/>
                <w:sz w:val="17"/>
                <w:szCs w:val="17"/>
                <w:b w:val="1"/>
                <w:bCs w:val="1"/>
                <w:color w:val="auto"/>
                <w:w w:val="91"/>
              </w:rPr>
              <w:t>Grant Date</w:t>
            </w:r>
          </w:p>
        </w:tc>
        <w:tc>
          <w:tcPr>
            <w:tcW w:w="14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89"/>
              </w:rPr>
              <w:t>Remaining</w:t>
            </w:r>
          </w:p>
        </w:tc>
      </w:tr>
      <w:tr>
        <w:trPr>
          <w:trHeight w:val="217"/>
        </w:trPr>
        <w:tc>
          <w:tcPr>
            <w:tcW w:w="5060" w:type="dxa"/>
            <w:vAlign w:val="bottom"/>
            <w:gridSpan w:val="2"/>
          </w:tcPr>
          <w:p>
            <w:pPr>
              <w:ind w:left="20"/>
              <w:spacing w:after="0"/>
              <w:rPr>
                <w:sz w:val="20"/>
                <w:szCs w:val="20"/>
                <w:color w:val="auto"/>
              </w:rPr>
            </w:pPr>
            <w:r>
              <w:rPr>
                <w:rFonts w:ascii="Arial" w:cs="Arial" w:eastAsia="Arial" w:hAnsi="Arial"/>
                <w:sz w:val="17"/>
                <w:szCs w:val="17"/>
                <w:b w:val="1"/>
                <w:bCs w:val="1"/>
                <w:color w:val="auto"/>
              </w:rPr>
              <w:t>Share options life</w:t>
            </w:r>
          </w:p>
        </w:tc>
        <w:tc>
          <w:tcPr>
            <w:tcW w:w="1560" w:type="dxa"/>
            <w:vAlign w:val="bottom"/>
            <w:gridSpan w:val="2"/>
          </w:tcPr>
          <w:p>
            <w:pPr>
              <w:ind w:left="100"/>
              <w:spacing w:after="0"/>
              <w:rPr>
                <w:sz w:val="20"/>
                <w:szCs w:val="20"/>
                <w:color w:val="auto"/>
              </w:rPr>
            </w:pPr>
            <w:r>
              <w:rPr>
                <w:rFonts w:ascii="Arial" w:cs="Arial" w:eastAsia="Arial" w:hAnsi="Arial"/>
                <w:sz w:val="17"/>
                <w:szCs w:val="17"/>
                <w:b w:val="1"/>
                <w:bCs w:val="1"/>
                <w:color w:val="auto"/>
                <w:w w:val="98"/>
              </w:rPr>
              <w:t>Number of Shares</w:t>
            </w: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0"/>
              </w:rPr>
              <w:t>Price (US$)</w:t>
            </w:r>
          </w:p>
        </w:tc>
        <w:tc>
          <w:tcPr>
            <w:tcW w:w="15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Fair Value (US $)</w:t>
            </w: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0"/>
              </w:rPr>
              <w:t>Contractual</w:t>
            </w:r>
          </w:p>
        </w:tc>
      </w:tr>
      <w:tr>
        <w:trPr>
          <w:trHeight w:val="25"/>
        </w:trPr>
        <w:tc>
          <w:tcPr>
            <w:tcW w:w="4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4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32"/>
        </w:trPr>
        <w:tc>
          <w:tcPr>
            <w:tcW w:w="5060" w:type="dxa"/>
            <w:vAlign w:val="bottom"/>
            <w:gridSpan w:val="2"/>
          </w:tcPr>
          <w:p>
            <w:pPr>
              <w:ind w:left="20"/>
              <w:spacing w:after="0"/>
              <w:rPr>
                <w:sz w:val="20"/>
                <w:szCs w:val="20"/>
                <w:color w:val="auto"/>
              </w:rPr>
            </w:pPr>
            <w:r>
              <w:rPr>
                <w:rFonts w:ascii="Arial" w:cs="Arial" w:eastAsia="Arial" w:hAnsi="Arial"/>
                <w:sz w:val="17"/>
                <w:szCs w:val="17"/>
                <w:color w:val="auto"/>
              </w:rPr>
              <w:t>Outstanding as of January 1, 2022</w:t>
            </w:r>
          </w:p>
        </w:tc>
        <w:tc>
          <w:tcPr>
            <w:tcW w:w="1480" w:type="dxa"/>
            <w:vAlign w:val="bottom"/>
          </w:tcPr>
          <w:p>
            <w:pPr>
              <w:jc w:val="right"/>
              <w:spacing w:after="0"/>
              <w:rPr>
                <w:sz w:val="20"/>
                <w:szCs w:val="20"/>
                <w:color w:val="auto"/>
              </w:rPr>
            </w:pPr>
            <w:r>
              <w:rPr>
                <w:rFonts w:ascii="Arial" w:cs="Arial" w:eastAsia="Arial" w:hAnsi="Arial"/>
                <w:sz w:val="17"/>
                <w:szCs w:val="17"/>
                <w:color w:val="auto"/>
              </w:rPr>
              <w:t>33,503,657</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4.95</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2,900,000</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5"/>
        </w:trPr>
        <w:tc>
          <w:tcPr>
            <w:tcW w:w="5060" w:type="dxa"/>
            <w:vAlign w:val="bottom"/>
            <w:gridSpan w:val="2"/>
          </w:tcPr>
          <w:p>
            <w:pPr>
              <w:ind w:left="20"/>
              <w:spacing w:after="0"/>
              <w:rPr>
                <w:sz w:val="20"/>
                <w:szCs w:val="20"/>
                <w:color w:val="auto"/>
              </w:rPr>
            </w:pPr>
            <w:r>
              <w:rPr>
                <w:rFonts w:ascii="Arial" w:cs="Arial" w:eastAsia="Arial" w:hAnsi="Arial"/>
                <w:sz w:val="17"/>
                <w:szCs w:val="17"/>
                <w:color w:val="auto"/>
              </w:rPr>
              <w:t>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(312,586)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4.87</w:t>
            </w: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as of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36,091,071</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6.08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4.80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w:t>
            </w:r>
          </w:p>
        </w:tc>
      </w:tr>
      <w:tr>
        <w:trPr>
          <w:trHeight w:val="232"/>
        </w:trPr>
        <w:tc>
          <w:tcPr>
            <w:tcW w:w="5060" w:type="dxa"/>
            <w:vAlign w:val="bottom"/>
            <w:gridSpan w:val="2"/>
          </w:tcPr>
          <w:p>
            <w:pPr>
              <w:ind w:left="20"/>
              <w:spacing w:after="0"/>
              <w:rPr>
                <w:sz w:val="20"/>
                <w:szCs w:val="20"/>
                <w:color w:val="auto"/>
              </w:rPr>
            </w:pPr>
            <w:r>
              <w:rPr>
                <w:rFonts w:ascii="Arial" w:cs="Arial" w:eastAsia="Arial" w:hAnsi="Arial"/>
                <w:sz w:val="17"/>
                <w:szCs w:val="17"/>
                <w:color w:val="auto"/>
              </w:rPr>
              <w:t>Expected to vest and exercisable as of December 31, 2022</w:t>
            </w:r>
          </w:p>
        </w:tc>
        <w:tc>
          <w:tcPr>
            <w:tcW w:w="1480" w:type="dxa"/>
            <w:vAlign w:val="bottom"/>
          </w:tcPr>
          <w:p>
            <w:pPr>
              <w:jc w:val="right"/>
              <w:spacing w:after="0"/>
              <w:rPr>
                <w:sz w:val="20"/>
                <w:szCs w:val="20"/>
                <w:color w:val="auto"/>
              </w:rPr>
            </w:pPr>
            <w:r>
              <w:rPr>
                <w:rFonts w:ascii="Arial" w:cs="Arial" w:eastAsia="Arial" w:hAnsi="Arial"/>
                <w:sz w:val="17"/>
                <w:szCs w:val="17"/>
                <w:color w:val="auto"/>
              </w:rPr>
              <w:t>36,091,071</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4.80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45"/>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Exercisable as of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11,875,830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r>
    </w:tbl>
    <w:p>
      <w:pPr>
        <w:spacing w:after="0" w:line="276"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total unrecognized equity-based compensation costs as of December 31, 2022 related to the stock options was $88,845, which is expected to be recognized over a weighted-average period of 1.6 years. The aggregate intrinsic value of the share options as of December 31, 2022 was $ nil.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Capped Non-vested share units</w:t>
      </w:r>
    </w:p>
    <w:p>
      <w:pPr>
        <w:spacing w:after="0" w:line="206"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The capped non-vested shares units ("CRSUs") represent rights for the holder to receive cash determined by the number of shares granted multiplied by the lower of the fair market value and the capped price, which will be settled in the form of cash payments. The CRSUs were accounted for as liability classified awards.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On June 27, 2022, the Board of Directors and Compensation Committee approved a modification of the settlement terms of 20,023,699 CRSUs under the 2021 Plan from cash settlement to share settlement (the “CRSU Modification ”). Pursuant to the CRSU Modification, on each vesting date, if the stock price is higher than the capped price, the number of shares to be issued will be calculated based on the following formula:</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Number of shares to be issued = Capped price* Number of shares vested /Vesting date stock price</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If the stock price is equal to or less than the capped price, the Company will grant a fixed number of shares on each vesting date based on the vesting schedule. All other terms of the CRSUs remain unchanged. The CRSU Modification resulted in a change of the CRSUs’ classification from liability to equity, as the predominant feature of the modified CRSUs was the granting of a fixed number of shares on each vesting date instead of a fixed monetary amount. The determination of the predominant feature was based on the estimated probability of how the awards will be settled using the Monte Carlo model.</w:t>
      </w:r>
    </w:p>
    <w:p>
      <w:pPr>
        <w:spacing w:after="0" w:line="18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At the CRSU Modification date, the Company reclassified the amounts previously recorded as a share-based compensation liability to additional paid-in capital. The modified CRSUs were accounted for as an equity award going forward from the date of the CRSU Modification with compensation expenses recognized for each tranche at the fair value measured on the modification date.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2019, 2020 AND 2021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SHARE-BASED PAYMENT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Capped Non-vested share units - Continued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At the CRSU Modification date, the Company used the Monte Carlo valuation model in determining the fair value of the CRSUs with assumptions as follows:</w:t>
      </w:r>
    </w:p>
    <w:p>
      <w:pPr>
        <w:spacing w:after="0" w:line="289" w:lineRule="exact"/>
        <w:rPr>
          <w:sz w:val="20"/>
          <w:szCs w:val="20"/>
          <w:color w:val="auto"/>
        </w:rPr>
      </w:pPr>
    </w:p>
    <w:p>
      <w:pPr>
        <w:ind w:left="9280"/>
        <w:spacing w:after="0"/>
        <w:rPr>
          <w:sz w:val="20"/>
          <w:szCs w:val="20"/>
          <w:color w:val="auto"/>
        </w:rPr>
      </w:pPr>
      <w:r>
        <w:rPr>
          <w:rFonts w:ascii="Arial" w:cs="Arial" w:eastAsia="Arial" w:hAnsi="Arial"/>
          <w:sz w:val="17"/>
          <w:szCs w:val="17"/>
          <w:b w:val="1"/>
          <w:bCs w:val="1"/>
          <w:color w:val="auto"/>
        </w:rPr>
        <w:t>Modification Date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term (years)</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0.07</w:t>
            </w:r>
          </w:p>
        </w:tc>
        <w:tc>
          <w:tcPr>
            <w:tcW w:w="1380" w:type="dxa"/>
            <w:vAlign w:val="bottom"/>
            <w:tcBorders>
              <w:top w:val="single" w:sz="8" w:color="auto"/>
              <w:bottom w:val="single" w:sz="8" w:color="CCEEFF"/>
            </w:tcBorders>
            <w:shd w:val="clear" w:color="auto" w:fill="CCEEFF"/>
          </w:tcPr>
          <w:p>
            <w:pPr>
              <w:jc w:val="right"/>
              <w:ind w:right="736"/>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2.07</w:t>
            </w:r>
          </w:p>
        </w:tc>
      </w:tr>
      <w:tr>
        <w:trPr>
          <w:trHeight w:val="226"/>
        </w:trPr>
        <w:tc>
          <w:tcPr>
            <w:tcW w:w="862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1240" w:type="dxa"/>
            <w:vAlign w:val="bottom"/>
          </w:tcPr>
          <w:p>
            <w:pPr>
              <w:jc w:val="right"/>
              <w:spacing w:after="0"/>
              <w:rPr>
                <w:sz w:val="20"/>
                <w:szCs w:val="20"/>
                <w:color w:val="auto"/>
              </w:rPr>
            </w:pPr>
            <w:r>
              <w:rPr>
                <w:rFonts w:ascii="Arial" w:cs="Arial" w:eastAsia="Arial" w:hAnsi="Arial"/>
                <w:sz w:val="17"/>
                <w:szCs w:val="17"/>
                <w:color w:val="auto"/>
              </w:rPr>
              <w:t>50.93 %</w:t>
            </w:r>
          </w:p>
        </w:tc>
        <w:tc>
          <w:tcPr>
            <w:tcW w:w="1380" w:type="dxa"/>
            <w:vAlign w:val="bottom"/>
          </w:tcPr>
          <w:p>
            <w:pPr>
              <w:ind w:left="140"/>
              <w:spacing w:after="0"/>
              <w:rPr>
                <w:sz w:val="20"/>
                <w:szCs w:val="20"/>
                <w:color w:val="auto"/>
              </w:rPr>
            </w:pPr>
            <w:r>
              <w:rPr>
                <w:rFonts w:ascii="Arial" w:cs="Arial" w:eastAsia="Arial" w:hAnsi="Arial"/>
                <w:sz w:val="17"/>
                <w:szCs w:val="17"/>
                <w:color w:val="auto"/>
              </w:rPr>
              <w:t>~ 73.89%</w:t>
            </w:r>
          </w:p>
        </w:tc>
      </w:tr>
      <w:tr>
        <w:trPr>
          <w:trHeight w:val="25"/>
        </w:trPr>
        <w:tc>
          <w:tcPr>
            <w:tcW w:w="8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1"/>
        </w:trPr>
        <w:tc>
          <w:tcPr>
            <w:tcW w:w="8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1.15 %</w:t>
            </w:r>
          </w:p>
        </w:tc>
        <w:tc>
          <w:tcPr>
            <w:tcW w:w="1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 3.05%</w:t>
            </w:r>
          </w:p>
        </w:tc>
      </w:tr>
      <w:tr>
        <w:trPr>
          <w:trHeight w:val="226"/>
        </w:trPr>
        <w:tc>
          <w:tcPr>
            <w:tcW w:w="8620" w:type="dxa"/>
            <w:vAlign w:val="bottom"/>
          </w:tcPr>
          <w:p>
            <w:pPr>
              <w:ind w:left="20"/>
              <w:spacing w:after="0"/>
              <w:rPr>
                <w:sz w:val="20"/>
                <w:szCs w:val="20"/>
                <w:color w:val="auto"/>
              </w:rPr>
            </w:pPr>
            <w:r>
              <w:rPr>
                <w:rFonts w:ascii="Arial" w:cs="Arial" w:eastAsia="Arial" w:hAnsi="Arial"/>
                <w:sz w:val="17"/>
                <w:szCs w:val="17"/>
                <w:color w:val="auto"/>
              </w:rPr>
              <w:t>Expected dividend yields</w:t>
            </w:r>
          </w:p>
        </w:tc>
        <w:tc>
          <w:tcPr>
            <w:tcW w:w="2620" w:type="dxa"/>
            <w:vAlign w:val="bottom"/>
            <w:gridSpan w:val="2"/>
          </w:tcPr>
          <w:p>
            <w:pPr>
              <w:jc w:val="right"/>
              <w:ind w:right="1016"/>
              <w:spacing w:after="0"/>
              <w:rPr>
                <w:sz w:val="20"/>
                <w:szCs w:val="20"/>
                <w:color w:val="auto"/>
              </w:rPr>
            </w:pPr>
            <w:r>
              <w:rPr>
                <w:rFonts w:ascii="Arial" w:cs="Arial" w:eastAsia="Arial" w:hAnsi="Arial"/>
                <w:sz w:val="17"/>
                <w:szCs w:val="17"/>
                <w:color w:val="auto"/>
              </w:rPr>
              <w:t>0.00%</w:t>
            </w:r>
          </w:p>
        </w:tc>
      </w:tr>
    </w:tbl>
    <w:p>
      <w:pPr>
        <w:spacing w:after="0" w:line="30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Expected term was the time left (in years) from the CRSU Modification date to the vesting date based on the terms of the applicable award agreements. The volatility of the underlying common stock was estimated based on the historical stock price volatility of comparable listed companies over a period comparable to the expected term of the awards. Risk-free interest rate was estimated based on the market yield of US Government Bonds with maturity close to the expected term of the awards. The dividend yield was estimated by the Company based on its expected dividend policy over the expected term of the awards.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2022, the Company recorded share-based compensation expense of $32,804, related to these CRSUs awards.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gridSpan w:val="2"/>
          </w:tcPr>
          <w:p>
            <w:pPr>
              <w:spacing w:after="0"/>
              <w:rPr>
                <w:sz w:val="20"/>
                <w:szCs w:val="20"/>
                <w:color w:val="auto"/>
              </w:rPr>
            </w:pPr>
            <w:r>
              <w:rPr>
                <w:rFonts w:ascii="Arial" w:cs="Arial" w:eastAsia="Arial" w:hAnsi="Arial"/>
                <w:sz w:val="17"/>
                <w:szCs w:val="17"/>
                <w:color w:val="auto"/>
              </w:rPr>
              <w:t>CRSUs' activity for the years ended December 31, 2022 was as follows: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23"/>
        </w:trPr>
        <w:tc>
          <w:tcPr>
            <w:tcW w:w="14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87"/>
              </w:rPr>
              <w:t>Weighted Average</w:t>
            </w:r>
          </w:p>
        </w:tc>
      </w:tr>
      <w:tr>
        <w:trPr>
          <w:trHeight w:val="201"/>
        </w:trPr>
        <w:tc>
          <w:tcPr>
            <w:tcW w:w="148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1"/>
              </w:rPr>
              <w:t>Number on</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6"/>
              </w:rPr>
              <w:t>Grant</w:t>
            </w:r>
          </w:p>
        </w:tc>
      </w:tr>
      <w:tr>
        <w:trPr>
          <w:trHeight w:val="201"/>
        </w:trPr>
        <w:tc>
          <w:tcPr>
            <w:tcW w:w="148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6"/>
              </w:rPr>
              <w:t>Non-Vested</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1"/>
              </w:rPr>
              <w:t>Date Fair Value</w:t>
            </w:r>
          </w:p>
        </w:tc>
      </w:tr>
      <w:tr>
        <w:trPr>
          <w:trHeight w:val="217"/>
        </w:trPr>
        <w:tc>
          <w:tcPr>
            <w:tcW w:w="14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Shares</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90"/>
              </w:rPr>
              <w:t>per Share (US$)</w:t>
            </w:r>
          </w:p>
        </w:tc>
      </w:tr>
      <w:tr>
        <w:trPr>
          <w:trHeight w:val="25"/>
        </w:trPr>
        <w:tc>
          <w:tcPr>
            <w:tcW w:w="14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6"/>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as of January 1, 2022</w:t>
            </w:r>
          </w:p>
        </w:tc>
        <w:tc>
          <w:tcPr>
            <w:tcW w:w="1500" w:type="dxa"/>
            <w:vAlign w:val="bottom"/>
            <w:shd w:val="clear" w:color="auto" w:fill="CCEEFF"/>
          </w:tcPr>
          <w:p>
            <w:pPr>
              <w:ind w:left="680"/>
              <w:spacing w:after="0"/>
              <w:rPr>
                <w:sz w:val="20"/>
                <w:szCs w:val="20"/>
                <w:color w:val="auto"/>
              </w:rPr>
            </w:pPr>
            <w:r>
              <w:rPr>
                <w:rFonts w:ascii="Arial" w:cs="Arial" w:eastAsia="Arial" w:hAnsi="Arial"/>
                <w:sz w:val="17"/>
                <w:szCs w:val="17"/>
                <w:color w:val="auto"/>
                <w:w w:val="93"/>
              </w:rPr>
              <w:t>23,027,399</w:t>
            </w:r>
          </w:p>
        </w:tc>
        <w:tc>
          <w:tcPr>
            <w:tcW w:w="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xml:space="preserve">8.74 </w:t>
            </w:r>
            <w:r>
              <w:rPr>
                <w:rFonts w:ascii="Arial" w:cs="Arial" w:eastAsia="Arial" w:hAnsi="Arial"/>
                <w:sz w:val="21"/>
                <w:szCs w:val="21"/>
                <w:color w:val="auto"/>
                <w:vertAlign w:val="superscript"/>
              </w:rPr>
              <w:t>1</w:t>
            </w:r>
          </w:p>
        </w:tc>
      </w:tr>
      <w:tr>
        <w:trPr>
          <w:trHeight w:val="232"/>
        </w:trPr>
        <w:tc>
          <w:tcPr>
            <w:tcW w:w="8100" w:type="dxa"/>
            <w:vAlign w:val="bottom"/>
            <w:gridSpan w:val="2"/>
          </w:tcPr>
          <w:p>
            <w:pPr>
              <w:ind w:left="20"/>
              <w:spacing w:after="0"/>
              <w:rPr>
                <w:sz w:val="20"/>
                <w:szCs w:val="20"/>
                <w:color w:val="auto"/>
              </w:rPr>
            </w:pPr>
            <w:r>
              <w:rPr>
                <w:rFonts w:ascii="Arial" w:cs="Arial" w:eastAsia="Arial" w:hAnsi="Arial"/>
                <w:sz w:val="17"/>
                <w:szCs w:val="17"/>
                <w:color w:val="auto"/>
              </w:rPr>
              <w:t>Vested</w:t>
            </w:r>
          </w:p>
        </w:tc>
        <w:tc>
          <w:tcPr>
            <w:tcW w:w="1500" w:type="dxa"/>
            <w:vAlign w:val="bottom"/>
          </w:tcPr>
          <w:p>
            <w:pPr>
              <w:ind w:left="680"/>
              <w:spacing w:after="0"/>
              <w:rPr>
                <w:sz w:val="20"/>
                <w:szCs w:val="20"/>
                <w:color w:val="auto"/>
              </w:rPr>
            </w:pPr>
            <w:r>
              <w:rPr>
                <w:rFonts w:ascii="Arial" w:cs="Arial" w:eastAsia="Arial" w:hAnsi="Arial"/>
                <w:sz w:val="17"/>
                <w:szCs w:val="17"/>
                <w:color w:val="auto"/>
                <w:w w:val="91"/>
              </w:rPr>
              <w:t>(9,582,930)</w:t>
            </w:r>
          </w:p>
        </w:tc>
        <w:tc>
          <w:tcPr>
            <w:tcW w:w="80" w:type="dxa"/>
            <w:vAlign w:val="bottom"/>
          </w:tcPr>
          <w:p>
            <w:pPr>
              <w:spacing w:after="0"/>
              <w:rPr>
                <w:sz w:val="20"/>
                <w:szCs w:val="20"/>
                <w:color w:val="auto"/>
              </w:rPr>
            </w:pPr>
          </w:p>
        </w:tc>
        <w:tc>
          <w:tcPr>
            <w:tcW w:w="1560" w:type="dxa"/>
            <w:vAlign w:val="bottom"/>
          </w:tcPr>
          <w:p>
            <w:pPr>
              <w:jc w:val="right"/>
              <w:ind w:right="56"/>
              <w:spacing w:after="0"/>
              <w:rPr>
                <w:sz w:val="20"/>
                <w:szCs w:val="20"/>
                <w:color w:val="auto"/>
              </w:rPr>
            </w:pPr>
            <w:r>
              <w:rPr>
                <w:rFonts w:ascii="Arial" w:cs="Arial" w:eastAsia="Arial" w:hAnsi="Arial"/>
                <w:sz w:val="17"/>
                <w:szCs w:val="17"/>
                <w:color w:val="auto"/>
              </w:rPr>
              <w:t>4.37</w:t>
            </w:r>
          </w:p>
        </w:tc>
      </w:tr>
      <w:tr>
        <w:trPr>
          <w:trHeight w:val="245"/>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as of December 31, 2022</w:t>
            </w:r>
          </w:p>
        </w:tc>
        <w:tc>
          <w:tcPr>
            <w:tcW w:w="150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w w:val="93"/>
              </w:rPr>
              <w:t>13,444,469</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2.38</w:t>
            </w:r>
          </w:p>
        </w:tc>
      </w:tr>
      <w:tr>
        <w:trPr>
          <w:trHeight w:val="489"/>
        </w:trPr>
        <w:tc>
          <w:tcPr>
            <w:tcW w:w="8100" w:type="dxa"/>
            <w:vAlign w:val="bottom"/>
            <w:gridSpan w:val="2"/>
          </w:tcPr>
          <w:p>
            <w:pPr>
              <w:spacing w:after="0"/>
              <w:rPr>
                <w:sz w:val="20"/>
                <w:szCs w:val="20"/>
                <w:color w:val="auto"/>
              </w:rPr>
            </w:pPr>
            <w:r>
              <w:rPr>
                <w:rFonts w:ascii="Arial" w:cs="Arial" w:eastAsia="Arial" w:hAnsi="Arial"/>
                <w:sz w:val="17"/>
                <w:szCs w:val="17"/>
                <w:color w:val="auto"/>
                <w:w w:val="90"/>
              </w:rPr>
              <w:t>The total unrecognized equity-based compensation costs as of December 31, 2022 related to the CRSUs was $12,448.</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64"/>
        </w:trPr>
        <w:tc>
          <w:tcPr>
            <w:tcW w:w="8100" w:type="dxa"/>
            <w:vAlign w:val="bottom"/>
            <w:gridSpan w:val="2"/>
          </w:tcPr>
          <w:p>
            <w:pPr>
              <w:spacing w:after="0"/>
              <w:rPr>
                <w:sz w:val="20"/>
                <w:szCs w:val="20"/>
                <w:color w:val="auto"/>
              </w:rPr>
            </w:pPr>
            <w:r>
              <w:rPr>
                <w:rFonts w:ascii="Arial" w:cs="Arial" w:eastAsia="Arial" w:hAnsi="Arial"/>
                <w:sz w:val="17"/>
                <w:szCs w:val="17"/>
                <w:i w:val="1"/>
                <w:iCs w:val="1"/>
                <w:color w:val="auto"/>
              </w:rPr>
              <w:t>Restricted Stock Units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Following the Merger, the Company granted 693,232 restricted stock units (“RSUs”) and 1,274,222 performance-based restricted stock unit (“PSU”) awards subject to service, performance and/or market conditions. The service condition requires the participant’s continued services or employment with the Company through the applicable vesting date, and the performance condition requires the achievement of the performance criteria defined in the award agreement. The market condition is based on the Company’s TSR. For RSU awards with performance conditions, stock-based compensation expense is only recognized if the performance conditions become probable to be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159448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51" w:lineRule="exact"/>
        <w:rPr>
          <w:sz w:val="20"/>
          <w:szCs w:val="20"/>
          <w:color w:val="auto"/>
        </w:rPr>
      </w:pPr>
    </w:p>
    <w:p>
      <w:pPr>
        <w:ind w:right="360"/>
        <w:spacing w:after="0" w:line="200" w:lineRule="auto"/>
        <w:tabs>
          <w:tab w:leader="none" w:pos="128" w:val="left"/>
        </w:tabs>
        <w:numPr>
          <w:ilvl w:val="0"/>
          <w:numId w:val="43"/>
        </w:numPr>
        <w:rPr>
          <w:rFonts w:ascii="Arial" w:cs="Arial" w:eastAsia="Arial" w:hAnsi="Arial"/>
          <w:sz w:val="26"/>
          <w:szCs w:val="26"/>
          <w:color w:val="auto"/>
          <w:vertAlign w:val="superscript"/>
        </w:rPr>
      </w:pPr>
      <w:r>
        <w:rPr>
          <w:rFonts w:ascii="Arial" w:cs="Arial" w:eastAsia="Arial" w:hAnsi="Arial"/>
          <w:sz w:val="17"/>
          <w:szCs w:val="17"/>
          <w:color w:val="auto"/>
        </w:rPr>
        <w:t>The amount represents the Modification date value per share as of July 25, 2021. As of the Modification date, the settled price was the capped price as described above.</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2019, 2020 AND 2021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SHARE-BASED PAYMENT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Restricted Stock Units - Continued</w:t>
      </w:r>
    </w:p>
    <w:p>
      <w:pPr>
        <w:spacing w:after="0" w:line="206"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The fair value of RSUs is determined by the price of Common Stock at the grant date and is amortized over the vesting period on a straight-line basis. The fair value of PSU awards that include vesting based on market conditions are estimated using the Monte Carlo valuation method. Compensation cost for PSU awards is recognized based on the grant date fair value which is recognized over the vesting period on a straight-line basis. Accordingly, the Company recorded stock-based compensation expense of $1,358 related to these RSU awards and $2,048 related to these PSU awards during the year ended December 31, 2022.</w:t>
      </w:r>
    </w:p>
    <w:p>
      <w:pPr>
        <w:spacing w:after="0" w:line="14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 following assumptions were used for the respective periods below to calculate the fair value of common shares to be issued under TSR awards on the date of grant using the Monte Carlo pricing model: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60" w:type="dxa"/>
            <w:vAlign w:val="bottom"/>
          </w:tcPr>
          <w:p>
            <w:pPr>
              <w:spacing w:after="0"/>
              <w:rPr>
                <w:sz w:val="17"/>
                <w:szCs w:val="17"/>
                <w:color w:val="auto"/>
              </w:rPr>
            </w:pPr>
          </w:p>
        </w:tc>
        <w:tc>
          <w:tcPr>
            <w:tcW w:w="3880" w:type="dxa"/>
            <w:vAlign w:val="bottom"/>
            <w:gridSpan w:val="2"/>
          </w:tcPr>
          <w:p>
            <w:pPr>
              <w:jc w:val="right"/>
              <w:spacing w:after="0"/>
              <w:rPr>
                <w:sz w:val="20"/>
                <w:szCs w:val="20"/>
                <w:color w:val="auto"/>
              </w:rPr>
            </w:pPr>
            <w:r>
              <w:rPr>
                <w:rFonts w:ascii="Arial" w:cs="Arial" w:eastAsia="Arial" w:hAnsi="Arial"/>
                <w:sz w:val="17"/>
                <w:szCs w:val="17"/>
                <w:b w:val="1"/>
                <w:bCs w:val="1"/>
                <w:color w:val="auto"/>
                <w:w w:val="90"/>
              </w:rPr>
              <w:t>Year Ended December 31, Year Ended December 31,</w:t>
            </w:r>
          </w:p>
        </w:tc>
      </w:tr>
      <w:tr>
        <w:trPr>
          <w:trHeight w:val="217"/>
        </w:trPr>
        <w:tc>
          <w:tcPr>
            <w:tcW w:w="7360" w:type="dxa"/>
            <w:vAlign w:val="bottom"/>
          </w:tcPr>
          <w:p>
            <w:pPr>
              <w:spacing w:after="0"/>
              <w:rPr>
                <w:sz w:val="18"/>
                <w:szCs w:val="18"/>
                <w:color w:val="auto"/>
              </w:rPr>
            </w:pPr>
          </w:p>
        </w:tc>
        <w:tc>
          <w:tcPr>
            <w:tcW w:w="2340" w:type="dxa"/>
            <w:vAlign w:val="bottom"/>
          </w:tcPr>
          <w:p>
            <w:pPr>
              <w:jc w:val="right"/>
              <w:ind w:right="1116"/>
              <w:spacing w:after="0"/>
              <w:rPr>
                <w:sz w:val="20"/>
                <w:szCs w:val="20"/>
                <w:color w:val="auto"/>
              </w:rPr>
            </w:pPr>
            <w:r>
              <w:rPr>
                <w:rFonts w:ascii="Arial" w:cs="Arial" w:eastAsia="Arial" w:hAnsi="Arial"/>
                <w:sz w:val="17"/>
                <w:szCs w:val="17"/>
                <w:b w:val="1"/>
                <w:bCs w:val="1"/>
                <w:color w:val="auto"/>
              </w:rPr>
              <w:t>2021</w:t>
            </w:r>
          </w:p>
        </w:tc>
        <w:tc>
          <w:tcPr>
            <w:tcW w:w="1540" w:type="dxa"/>
            <w:vAlign w:val="bottom"/>
          </w:tcPr>
          <w:p>
            <w:pPr>
              <w:jc w:val="right"/>
              <w:ind w:right="716"/>
              <w:spacing w:after="0"/>
              <w:rPr>
                <w:sz w:val="20"/>
                <w:szCs w:val="20"/>
                <w:color w:val="auto"/>
              </w:rPr>
            </w:pPr>
            <w:r>
              <w:rPr>
                <w:rFonts w:ascii="Arial" w:cs="Arial" w:eastAsia="Arial" w:hAnsi="Arial"/>
                <w:sz w:val="17"/>
                <w:szCs w:val="17"/>
                <w:b w:val="1"/>
                <w:bCs w:val="1"/>
                <w:color w:val="auto"/>
              </w:rPr>
              <w:t>2022</w:t>
            </w:r>
          </w:p>
        </w:tc>
      </w:tr>
      <w:tr>
        <w:trPr>
          <w:trHeight w:val="25"/>
        </w:trPr>
        <w:tc>
          <w:tcPr>
            <w:tcW w:w="736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(years)</w:t>
            </w:r>
          </w:p>
        </w:tc>
        <w:tc>
          <w:tcPr>
            <w:tcW w:w="234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2.18-2.35</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w:t>
            </w:r>
          </w:p>
        </w:tc>
      </w:tr>
      <w:tr>
        <w:trPr>
          <w:trHeight w:val="245"/>
        </w:trPr>
        <w:tc>
          <w:tcPr>
            <w:tcW w:w="736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2340" w:type="dxa"/>
            <w:vAlign w:val="bottom"/>
          </w:tcPr>
          <w:p>
            <w:pPr>
              <w:jc w:val="right"/>
              <w:ind w:right="336"/>
              <w:spacing w:after="0"/>
              <w:rPr>
                <w:sz w:val="20"/>
                <w:szCs w:val="20"/>
                <w:color w:val="auto"/>
              </w:rPr>
            </w:pPr>
            <w:r>
              <w:rPr>
                <w:rFonts w:ascii="Arial" w:cs="Arial" w:eastAsia="Arial" w:hAnsi="Arial"/>
                <w:sz w:val="17"/>
                <w:szCs w:val="17"/>
                <w:color w:val="auto"/>
              </w:rPr>
              <w:t>63.06%-64.31%</w:t>
            </w:r>
          </w:p>
        </w:tc>
        <w:tc>
          <w:tcPr>
            <w:tcW w:w="1540" w:type="dxa"/>
            <w:vAlign w:val="bottom"/>
          </w:tcPr>
          <w:p>
            <w:pPr>
              <w:jc w:val="right"/>
              <w:spacing w:after="0"/>
              <w:rPr>
                <w:sz w:val="20"/>
                <w:szCs w:val="20"/>
                <w:color w:val="auto"/>
              </w:rPr>
            </w:pPr>
            <w:r>
              <w:rPr>
                <w:rFonts w:ascii="Arial" w:cs="Arial" w:eastAsia="Arial" w:hAnsi="Arial"/>
                <w:sz w:val="17"/>
                <w:szCs w:val="17"/>
                <w:color w:val="auto"/>
              </w:rPr>
              <w:t>59.50 %</w:t>
            </w:r>
          </w:p>
        </w:tc>
      </w:tr>
      <w:tr>
        <w:trPr>
          <w:trHeight w:val="257"/>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34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0.31%-0.55%</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2.72 %</w:t>
            </w:r>
          </w:p>
        </w:tc>
      </w:tr>
      <w:tr>
        <w:trPr>
          <w:trHeight w:val="238"/>
        </w:trPr>
        <w:tc>
          <w:tcPr>
            <w:tcW w:w="7360" w:type="dxa"/>
            <w:vAlign w:val="bottom"/>
          </w:tcPr>
          <w:p>
            <w:pPr>
              <w:ind w:left="20"/>
              <w:spacing w:after="0"/>
              <w:rPr>
                <w:sz w:val="20"/>
                <w:szCs w:val="20"/>
                <w:color w:val="auto"/>
              </w:rPr>
            </w:pPr>
            <w:r>
              <w:rPr>
                <w:rFonts w:ascii="Arial" w:cs="Arial" w:eastAsia="Arial" w:hAnsi="Arial"/>
                <w:sz w:val="17"/>
                <w:szCs w:val="17"/>
                <w:color w:val="auto"/>
              </w:rPr>
              <w:t>Expected dividend yields</w:t>
            </w:r>
          </w:p>
        </w:tc>
        <w:tc>
          <w:tcPr>
            <w:tcW w:w="2340" w:type="dxa"/>
            <w:vAlign w:val="bottom"/>
          </w:tcPr>
          <w:p>
            <w:pPr>
              <w:jc w:val="right"/>
              <w:ind w:right="336"/>
              <w:spacing w:after="0"/>
              <w:rPr>
                <w:sz w:val="20"/>
                <w:szCs w:val="20"/>
                <w:color w:val="auto"/>
              </w:rPr>
            </w:pPr>
            <w:r>
              <w:rPr>
                <w:rFonts w:ascii="Arial" w:cs="Arial" w:eastAsia="Arial" w:hAnsi="Arial"/>
                <w:sz w:val="17"/>
                <w:szCs w:val="17"/>
                <w:color w:val="auto"/>
              </w:rPr>
              <w:t>0.00 %</w:t>
            </w:r>
          </w:p>
        </w:tc>
        <w:tc>
          <w:tcPr>
            <w:tcW w:w="1540" w:type="dxa"/>
            <w:vAlign w:val="bottom"/>
          </w:tcPr>
          <w:p>
            <w:pPr>
              <w:jc w:val="right"/>
              <w:spacing w:after="0"/>
              <w:rPr>
                <w:sz w:val="20"/>
                <w:szCs w:val="20"/>
                <w:color w:val="auto"/>
              </w:rPr>
            </w:pPr>
            <w:r>
              <w:rPr>
                <w:rFonts w:ascii="Arial" w:cs="Arial" w:eastAsia="Arial" w:hAnsi="Arial"/>
                <w:sz w:val="17"/>
                <w:szCs w:val="17"/>
                <w:color w:val="auto"/>
              </w:rPr>
              <w:t>0.00 %</w:t>
            </w:r>
          </w:p>
        </w:tc>
      </w:tr>
    </w:tbl>
    <w:p>
      <w:pPr>
        <w:spacing w:after="0" w:line="32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Expected term was derived based on the remaining time from the grant date through the end of the performance period. The volatility of the underlying common stock during the lives of the awards was estimated based on the historical stock price volatility of comparable listed companies over a period comparable to the expected term</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of the awards. Risk-free interest rate was estimated based on the market yield of US Government Bond with maturity close to the expected term of the awards. The dividend yield was estimated by the Company based on its expected dividend policy over the expected term of the awards.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20"/>
                <w:szCs w:val="20"/>
                <w:color w:val="auto"/>
              </w:rPr>
            </w:pPr>
            <w:r>
              <w:rPr>
                <w:rFonts w:ascii="Arial" w:cs="Arial" w:eastAsia="Arial" w:hAnsi="Arial"/>
                <w:sz w:val="17"/>
                <w:szCs w:val="17"/>
                <w:color w:val="auto"/>
              </w:rPr>
              <w:t>The restricted stock units activity for the years ended December 31, 2022 was as follows: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436"/>
        </w:trPr>
        <w:tc>
          <w:tcPr>
            <w:tcW w:w="8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88"/>
              </w:rPr>
              <w:t>Weighted</w:t>
            </w:r>
          </w:p>
        </w:tc>
      </w:tr>
      <w:tr>
        <w:trPr>
          <w:trHeight w:val="201"/>
        </w:trPr>
        <w:tc>
          <w:tcPr>
            <w:tcW w:w="820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1"/>
              </w:rPr>
              <w:t>Number of</w:t>
            </w: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0"/>
              </w:rPr>
              <w:t>Average Grant</w:t>
            </w:r>
          </w:p>
        </w:tc>
      </w:tr>
      <w:tr>
        <w:trPr>
          <w:trHeight w:val="201"/>
        </w:trPr>
        <w:tc>
          <w:tcPr>
            <w:tcW w:w="8200" w:type="dxa"/>
            <w:vAlign w:val="bottom"/>
          </w:tcPr>
          <w:p>
            <w:pPr>
              <w:spacing w:after="0"/>
              <w:rPr>
                <w:sz w:val="17"/>
                <w:szCs w:val="17"/>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6"/>
              </w:rPr>
              <w:t>Non-Vested</w:t>
            </w: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2"/>
              </w:rPr>
              <w:t>Date Fair Value</w:t>
            </w:r>
          </w:p>
        </w:tc>
      </w:tr>
      <w:tr>
        <w:trPr>
          <w:trHeight w:val="217"/>
        </w:trPr>
        <w:tc>
          <w:tcPr>
            <w:tcW w:w="8200" w:type="dxa"/>
            <w:vAlign w:val="bottom"/>
          </w:tcPr>
          <w:p>
            <w:pPr>
              <w:spacing w:after="0"/>
              <w:rPr>
                <w:sz w:val="18"/>
                <w:szCs w:val="18"/>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4"/>
              </w:rPr>
              <w:t>Shares</w:t>
            </w: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90"/>
              </w:rPr>
              <w:t>Per Share (US$)</w:t>
            </w:r>
          </w:p>
        </w:tc>
      </w:tr>
      <w:tr>
        <w:trPr>
          <w:trHeight w:val="25"/>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1"/>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January 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671,441</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9.08</w:t>
            </w: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Grant</w:t>
            </w:r>
          </w:p>
        </w:tc>
        <w:tc>
          <w:tcPr>
            <w:tcW w:w="1480" w:type="dxa"/>
            <w:vAlign w:val="bottom"/>
          </w:tcPr>
          <w:p>
            <w:pPr>
              <w:jc w:val="right"/>
              <w:spacing w:after="0"/>
              <w:rPr>
                <w:sz w:val="20"/>
                <w:szCs w:val="20"/>
                <w:color w:val="auto"/>
              </w:rPr>
            </w:pPr>
            <w:r>
              <w:rPr>
                <w:rFonts w:ascii="Arial" w:cs="Arial" w:eastAsia="Arial" w:hAnsi="Arial"/>
                <w:sz w:val="17"/>
                <w:szCs w:val="17"/>
                <w:color w:val="auto"/>
              </w:rPr>
              <w:t>1,239,854</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4.93</w:t>
            </w: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(110,940)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r>
      <w:tr>
        <w:trPr>
          <w:trHeight w:val="232"/>
        </w:trPr>
        <w:tc>
          <w:tcPr>
            <w:tcW w:w="820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(577,518)</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5.30</w:t>
            </w:r>
          </w:p>
        </w:tc>
      </w:tr>
      <w:tr>
        <w:trPr>
          <w:trHeight w:val="245"/>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as of December 31,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1,222,837</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6.92</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The total unrecognized equity-based compensation costs as of December 31, 2022 related to the non-vested restricted stock units was $5,113.</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2019, 2020 AND 2021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SHARE-BASED PAYMENT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Series B2 Preferred subscribed by employees</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On October 30, 2015, the Company issued 79,107 Series B2 Preferred to certain employees of the Company. The Series B2 Preferred were issued for cash consideration of $366.0 per share (“Series B2 Award”) and all the Series B2 Preferred were fully paid on the date of issuance. The Series B2 Award shall vest with respect to one-fourth of the total number immediately upon the occurrence of a qualified IPO or Initial Vesting Date, and on each of the first, second and third anniversaries of the Initial Vesting Date; provided that through each applicable vesting date, the holder of the Series B2 Award remains employed with the Company. If a holder of the Series B2 Award terminates employment before the vesting, the Company could repurchase the Series B2 Preferred for a per share price equal to the lower of the original Series B2 Preferred subscription price or 70% of the fair market value of such Series B2 Preferred. The Company’s repurchase right upon employment termination is viewed as forfeiture and the Company accounted for the Series B2 Award as a stock option.</w:t>
      </w:r>
    </w:p>
    <w:p>
      <w:pPr>
        <w:spacing w:after="0" w:line="169"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As of December 31, 2020, 53,319 Series B2 Preferred shares were legally issued and outstanding. Upon the Merger, these Series B2 Preferred were converted into 8,545,490 Common Stock, however, the Series B2 Award was not vested as the performance condition was not reached. In September 2021, the performance and service condition was exempted for the Series B2 holders and the awards were fully vested. The exemption of performance and service condition was considered a Type III modification under Topic 718, in which the original awards were canceled, and the modified awards were considered granted on the modification date. Post-modification stock-based compensation expense related to these new awards of $39,227 was recognized using modification date fair values determined based on the difference between the exercise price and the Common Stock price on the modification date. Accordingly, the deposit liability was reclassified to equity upon the vesting.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Pr>
          <w:p>
            <w:pPr>
              <w:spacing w:after="0"/>
              <w:rPr>
                <w:sz w:val="20"/>
                <w:szCs w:val="20"/>
                <w:color w:val="auto"/>
              </w:rPr>
            </w:pPr>
            <w:r>
              <w:rPr>
                <w:rFonts w:ascii="Arial" w:cs="Arial" w:eastAsia="Arial" w:hAnsi="Arial"/>
                <w:sz w:val="17"/>
                <w:szCs w:val="17"/>
                <w:color w:val="auto"/>
              </w:rPr>
              <w:t>The following summarizes the classification of share-based compensation:</w:t>
            </w: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58"/>
        </w:trPr>
        <w:tc>
          <w:tcPr>
            <w:tcW w:w="66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6"/>
          </w:tcPr>
          <w:p>
            <w:pPr>
              <w:jc w:val="right"/>
              <w:ind w:right="156"/>
              <w:spacing w:after="0"/>
              <w:rPr>
                <w:sz w:val="20"/>
                <w:szCs w:val="20"/>
                <w:color w:val="auto"/>
              </w:rPr>
            </w:pPr>
            <w:r>
              <w:rPr>
                <w:rFonts w:ascii="Arial" w:cs="Arial" w:eastAsia="Arial" w:hAnsi="Arial"/>
                <w:sz w:val="17"/>
                <w:szCs w:val="17"/>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r>
      <w:tr>
        <w:trPr>
          <w:trHeight w:val="231"/>
        </w:trPr>
        <w:tc>
          <w:tcPr>
            <w:tcW w:w="66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7"/>
                <w:szCs w:val="17"/>
                <w:color w:val="auto"/>
                <w:w w:val="84"/>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4,309</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7,712</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General and administrative expenses</w:t>
            </w:r>
          </w:p>
        </w:tc>
        <w:tc>
          <w:tcPr>
            <w:tcW w:w="1080" w:type="dxa"/>
            <w:vAlign w:val="bottom"/>
          </w:tcPr>
          <w:p>
            <w:pPr>
              <w:spacing w:after="0"/>
              <w:rPr>
                <w:sz w:val="20"/>
                <w:szCs w:val="20"/>
                <w:color w:val="auto"/>
              </w:rPr>
            </w:pP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59,492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67,261</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10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13,987</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Selling and marketing expenses</w:t>
            </w:r>
          </w:p>
        </w:tc>
        <w:tc>
          <w:tcPr>
            <w:tcW w:w="1080" w:type="dxa"/>
            <w:vAlign w:val="bottom"/>
          </w:tcPr>
          <w:p>
            <w:pPr>
              <w:spacing w:after="0"/>
              <w:rPr>
                <w:sz w:val="20"/>
                <w:szCs w:val="20"/>
                <w:color w:val="auto"/>
              </w:rPr>
            </w:pPr>
          </w:p>
        </w:tc>
        <w:tc>
          <w:tcPr>
            <w:tcW w:w="5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6,745</w:t>
            </w:r>
          </w:p>
        </w:tc>
      </w:tr>
      <w:tr>
        <w:trPr>
          <w:trHeight w:val="238"/>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10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525</w:t>
            </w:r>
          </w:p>
        </w:tc>
      </w:tr>
      <w:tr>
        <w:trPr>
          <w:trHeight w:val="237"/>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080" w:type="dxa"/>
            <w:vAlign w:val="bottom"/>
          </w:tcPr>
          <w:p>
            <w:pPr>
              <w:jc w:val="right"/>
              <w:ind w:right="896"/>
              <w:spacing w:after="0"/>
              <w:rPr>
                <w:sz w:val="20"/>
                <w:szCs w:val="20"/>
                <w:color w:val="auto"/>
              </w:rPr>
            </w:pPr>
            <w:r>
              <w:rPr>
                <w:rFonts w:ascii="Arial" w:cs="Arial" w:eastAsia="Arial" w:hAnsi="Arial"/>
                <w:sz w:val="17"/>
                <w:szCs w:val="17"/>
                <w:b w:val="1"/>
                <w:bCs w:val="1"/>
                <w:color w:val="auto"/>
                <w:w w:val="84"/>
              </w:rPr>
              <w:t>$</w:t>
            </w:r>
          </w:p>
        </w:tc>
        <w:tc>
          <w:tcPr>
            <w:tcW w:w="500" w:type="dxa"/>
            <w:vAlign w:val="bottom"/>
            <w:gridSpan w:val="2"/>
          </w:tcPr>
          <w:p>
            <w:pPr>
              <w:ind w:lef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83,131</w:t>
            </w:r>
          </w:p>
        </w:tc>
        <w:tc>
          <w:tcPr>
            <w:tcW w:w="8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96,230</w:t>
            </w:r>
          </w:p>
        </w:tc>
      </w:tr>
      <w:tr>
        <w:trPr>
          <w:trHeight w:val="20"/>
        </w:trPr>
        <w:tc>
          <w:tcPr>
            <w:tcW w:w="6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MAINLAND CHINA CONTRIBUTION PLAN</w:t>
      </w:r>
    </w:p>
    <w:p>
      <w:pPr>
        <w:spacing w:after="0" w:line="210"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Full time employees of the Group in the PRC participate in a government-mandated multiemployer defined contribution plan pursuant to which certain pension benefits, medical care, unemployment insurance, employee housing fund and other welfare benefits are provided to employees. Chinese labor regulations require the Group to accrue for these benefits based on certain percentages of the employees’ salaries. The total provisions for such employee benefits were $2,192, $2,774 and $3,370 for the years ended December 31, 2020, 2021 and 2022,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STATUTORY RESERVES AND RESTRICTED NET ASSETS</w:t>
      </w:r>
    </w:p>
    <w:p>
      <w:pPr>
        <w:spacing w:after="0" w:line="21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Relevant PRC statutory laws and regulations permit payments of dividends by the Group’s PRC subsidiaries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Company’s subsidiaries.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2019, 2020 AND 2021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STATUTORY RESERVES AND RESTRICTED NET ASSETS - continued</w:t>
      </w:r>
    </w:p>
    <w:p>
      <w:pPr>
        <w:spacing w:after="0" w:line="200" w:lineRule="exact"/>
        <w:rPr>
          <w:sz w:val="20"/>
          <w:szCs w:val="20"/>
          <w:color w:val="auto"/>
        </w:rPr>
      </w:pPr>
    </w:p>
    <w:p>
      <w:pPr>
        <w:spacing w:after="0" w:line="311"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Because the Group’s entities in the PRC can only be paid out of distributable profits reported in accordance with PRC accounting standards, the Group’s entities in the PRC are restricted from transferring a portion of their net assets to the Company. In accordance with the Regulations on Enterprises with Foreign Investment of China and their articles of association, a foreign invested enterprise established in the PRC is required to provide certain statutory reserves, namely general reserve fund, the enterprise expansion fund and staff welfare and bonus fund which are appropriated from net profit as reported in the enterprise’s PRC statutory accounts, which is included in the retained earnings account in the equity section of the consolidated balance sheets. A wholly-owned foreign invested enterprise is required to allocate at least 10% of its annual after-tax profit to the general reserve until such reserve reaches 50% of its respective registered capital based on the enterprise’s PRC statutory accounts. Appropriations to the enterprise expansion fund and staff welfare and bonus fund are at the discretion of the board of directors for all foreign invested enterprises. The aforementioned reserves can only be used for specific purposes and are not distributable as cash dividends. If any PRC subsidiary incurs debt on its own behalf in the future, the instruments governing the debt may restrict their ability to pay dividends or make other payments to the Group. Any limitation on the ability of the PRC subsidiaries to distribute dividends or other payments to their respective shareholders could materially and adversely limit the ability to grow, make investments or acquisitions that could be beneficial to pay dividends.</w:t>
      </w:r>
    </w:p>
    <w:p>
      <w:pPr>
        <w:spacing w:after="0" w:line="157" w:lineRule="exact"/>
        <w:rPr>
          <w:sz w:val="20"/>
          <w:szCs w:val="20"/>
          <w:color w:val="auto"/>
        </w:rPr>
      </w:pPr>
    </w:p>
    <w:p>
      <w:pPr>
        <w:ind w:right="440"/>
        <w:spacing w:after="0" w:line="257" w:lineRule="auto"/>
        <w:rPr>
          <w:sz w:val="20"/>
          <w:szCs w:val="20"/>
          <w:color w:val="auto"/>
        </w:rPr>
      </w:pPr>
      <w:r>
        <w:rPr>
          <w:rFonts w:ascii="Arial" w:cs="Arial" w:eastAsia="Arial" w:hAnsi="Arial"/>
          <w:sz w:val="17"/>
          <w:szCs w:val="17"/>
          <w:color w:val="auto"/>
        </w:rPr>
        <w:t>The restricted amounts include the paid-in capital and statutory reserves of the Group’s entities in the PRC. The aggregate amount of paid-in capital and statutory reserves, which is the amount of net assets of the Group’s entities in the PRC (mainland) not available for distribution, were $378,506 and $523,087 as of December 31, 2021 and 2022,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SEGMENT INFORMATION</w:t>
      </w:r>
    </w:p>
    <w:p>
      <w:pPr>
        <w:spacing w:after="0" w:line="21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Operating segments are defined as components of an enterprise engaging in businesses activities for which separate financial information is available that is regularly evaluated by the Group’s chief operating decision makers (“CODM”) in deciding how to allocate resources and assess performance. The Group’s CODM has been identified as the Chief Executive Officer (“CEO”), who reviews consolidated results including revenue, gross profit and operating profit at a consolidated level only and does not distinguish between products for the purpose of making decisions about resources allocation and performance assessment. As such, the Group concluded that it has one operating segment and one reporting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gridSpan w:val="2"/>
          </w:tcPr>
          <w:p>
            <w:pPr>
              <w:spacing w:after="0"/>
              <w:rPr>
                <w:sz w:val="20"/>
                <w:szCs w:val="20"/>
                <w:color w:val="auto"/>
              </w:rPr>
            </w:pPr>
            <w:r>
              <w:rPr>
                <w:rFonts w:ascii="Arial" w:cs="Arial" w:eastAsia="Arial" w:hAnsi="Arial"/>
                <w:sz w:val="17"/>
                <w:szCs w:val="17"/>
                <w:color w:val="auto"/>
                <w:w w:val="89"/>
              </w:rPr>
              <w:t>Long-lived assets, classified by major geographic regions are as follows: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458"/>
        </w:trPr>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Borders>
              <w:bottom w:val="single" w:sz="8" w:color="auto"/>
            </w:tcBorders>
            <w:gridSpan w:val="3"/>
          </w:tcPr>
          <w:p>
            <w:pPr>
              <w:jc w:val="center"/>
              <w:ind w:left="896"/>
              <w:spacing w:after="0"/>
              <w:rPr>
                <w:sz w:val="20"/>
                <w:szCs w:val="20"/>
                <w:color w:val="auto"/>
              </w:rPr>
            </w:pPr>
            <w:r>
              <w:rPr>
                <w:rFonts w:ascii="Arial" w:cs="Arial" w:eastAsia="Arial" w:hAnsi="Arial"/>
                <w:sz w:val="17"/>
                <w:szCs w:val="17"/>
                <w:b w:val="1"/>
                <w:bCs w:val="1"/>
                <w:color w:val="auto"/>
                <w:w w:val="88"/>
              </w:rPr>
              <w:t>December 31,</w:t>
            </w: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140" w:type="dxa"/>
            <w:vAlign w:val="bottom"/>
            <w:tcBorders>
              <w:bottom w:val="single" w:sz="8" w:color="auto"/>
            </w:tcBorders>
            <w:gridSpan w:val="3"/>
          </w:tcPr>
          <w:p>
            <w:pPr>
              <w:jc w:val="center"/>
              <w:ind w:left="916"/>
              <w:spacing w:after="0"/>
              <w:rPr>
                <w:sz w:val="20"/>
                <w:szCs w:val="20"/>
                <w:color w:val="auto"/>
              </w:rPr>
            </w:pPr>
            <w:r>
              <w:rPr>
                <w:rFonts w:ascii="Arial" w:cs="Arial" w:eastAsia="Arial" w:hAnsi="Arial"/>
                <w:sz w:val="17"/>
                <w:szCs w:val="17"/>
                <w:b w:val="1"/>
                <w:bCs w:val="1"/>
                <w:color w:val="auto"/>
                <w:w w:val="88"/>
              </w:rPr>
              <w:t>December 31,</w:t>
            </w: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31"/>
        </w:trPr>
        <w:tc>
          <w:tcPr>
            <w:tcW w:w="4900" w:type="dxa"/>
            <w:vAlign w:val="bottom"/>
            <w:gridSpan w:val="2"/>
          </w:tcPr>
          <w:p>
            <w:pPr>
              <w:ind w:left="20"/>
              <w:spacing w:after="0"/>
              <w:rPr>
                <w:sz w:val="20"/>
                <w:szCs w:val="20"/>
                <w:color w:val="auto"/>
              </w:rPr>
            </w:pPr>
            <w:r>
              <w:rPr>
                <w:rFonts w:ascii="Arial" w:cs="Arial" w:eastAsia="Arial" w:hAnsi="Arial"/>
                <w:sz w:val="17"/>
                <w:szCs w:val="17"/>
                <w:b w:val="1"/>
                <w:bCs w:val="1"/>
                <w:color w:val="auto"/>
              </w:rPr>
              <w:t>Geographic regions</w:t>
            </w:r>
          </w:p>
        </w:tc>
        <w:tc>
          <w:tcPr>
            <w:tcW w:w="2160" w:type="dxa"/>
            <w:vAlign w:val="bottom"/>
            <w:gridSpan w:val="3"/>
          </w:tcPr>
          <w:p>
            <w:pPr>
              <w:jc w:val="right"/>
              <w:ind w:right="420"/>
              <w:spacing w:after="0"/>
              <w:rPr>
                <w:sz w:val="20"/>
                <w:szCs w:val="20"/>
                <w:color w:val="auto"/>
              </w:rPr>
            </w:pPr>
            <w:r>
              <w:rPr>
                <w:rFonts w:ascii="Arial" w:cs="Arial" w:eastAsia="Arial" w:hAnsi="Arial"/>
                <w:sz w:val="17"/>
                <w:szCs w:val="17"/>
                <w:b w:val="1"/>
                <w:bCs w:val="1"/>
                <w:color w:val="auto"/>
              </w:rPr>
              <w:t>2021</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gridSpan w:val="3"/>
          </w:tcPr>
          <w:p>
            <w:pPr>
              <w:jc w:val="right"/>
              <w:ind w:right="400"/>
              <w:spacing w:after="0"/>
              <w:rPr>
                <w:sz w:val="20"/>
                <w:szCs w:val="20"/>
                <w:color w:val="auto"/>
              </w:rPr>
            </w:pPr>
            <w:r>
              <w:rPr>
                <w:rFonts w:ascii="Arial" w:cs="Arial" w:eastAsia="Arial" w:hAnsi="Arial"/>
                <w:sz w:val="17"/>
                <w:szCs w:val="17"/>
                <w:b w:val="1"/>
                <w:bCs w:val="1"/>
                <w:color w:val="auto"/>
              </w:rPr>
              <w:t>2022</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1"/>
        </w:trPr>
        <w:tc>
          <w:tcPr>
            <w:tcW w:w="4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Borders>
              <w:top w:val="single" w:sz="8" w:color="auto"/>
            </w:tcBorders>
            <w:gridSpan w:val="3"/>
          </w:tcPr>
          <w:p>
            <w:pPr>
              <w:ind w:left="440"/>
              <w:spacing w:after="0"/>
              <w:rPr>
                <w:sz w:val="20"/>
                <w:szCs w:val="20"/>
                <w:color w:val="auto"/>
              </w:rPr>
            </w:pPr>
            <w:r>
              <w:rPr>
                <w:rFonts w:ascii="Arial" w:cs="Arial" w:eastAsia="Arial" w:hAnsi="Arial"/>
                <w:sz w:val="17"/>
                <w:szCs w:val="17"/>
                <w:b w:val="1"/>
                <w:bCs w:val="1"/>
                <w:color w:val="auto"/>
              </w:rPr>
              <w:t>Amount</w:t>
            </w:r>
          </w:p>
        </w:tc>
        <w:tc>
          <w:tcPr>
            <w:tcW w:w="3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w:t>
            </w:r>
          </w:p>
        </w:tc>
        <w:tc>
          <w:tcPr>
            <w:tcW w:w="4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Borders>
              <w:top w:val="single" w:sz="8" w:color="auto"/>
            </w:tcBorders>
            <w:gridSpan w:val="3"/>
          </w:tcPr>
          <w:p>
            <w:pPr>
              <w:ind w:left="440"/>
              <w:spacing w:after="0"/>
              <w:rPr>
                <w:sz w:val="20"/>
                <w:szCs w:val="20"/>
                <w:color w:val="auto"/>
              </w:rPr>
            </w:pPr>
            <w:r>
              <w:rPr>
                <w:rFonts w:ascii="Arial" w:cs="Arial" w:eastAsia="Arial" w:hAnsi="Arial"/>
                <w:sz w:val="17"/>
                <w:szCs w:val="17"/>
                <w:b w:val="1"/>
                <w:bCs w:val="1"/>
                <w:color w:val="auto"/>
              </w:rPr>
              <w:t>Amount</w:t>
            </w:r>
          </w:p>
        </w:tc>
        <w:tc>
          <w:tcPr>
            <w:tcW w:w="800" w:type="dxa"/>
            <w:vAlign w:val="bottom"/>
            <w:tcBorders>
              <w:top w:val="single" w:sz="8" w:color="auto"/>
            </w:tcBorders>
          </w:tcPr>
          <w:p>
            <w:pPr>
              <w:jc w:val="right"/>
              <w:ind w:right="436"/>
              <w:spacing w:after="0"/>
              <w:rPr>
                <w:sz w:val="20"/>
                <w:szCs w:val="20"/>
                <w:color w:val="auto"/>
              </w:rPr>
            </w:pPr>
            <w:r>
              <w:rPr>
                <w:rFonts w:ascii="Arial" w:cs="Arial" w:eastAsia="Arial" w:hAnsi="Arial"/>
                <w:sz w:val="17"/>
                <w:szCs w:val="17"/>
                <w:b w:val="1"/>
                <w:bCs w:val="1"/>
                <w:color w:val="auto"/>
              </w:rPr>
              <w:t>%</w:t>
            </w:r>
          </w:p>
        </w:tc>
        <w:tc>
          <w:tcPr>
            <w:tcW w:w="180" w:type="dxa"/>
            <w:vAlign w:val="bottom"/>
            <w:tcBorders>
              <w:top w:val="single" w:sz="8" w:color="auto"/>
            </w:tcBorders>
          </w:tcPr>
          <w:p>
            <w:pPr>
              <w:spacing w:after="0"/>
              <w:rPr>
                <w:sz w:val="20"/>
                <w:szCs w:val="20"/>
                <w:color w:val="auto"/>
              </w:rPr>
            </w:pPr>
          </w:p>
        </w:tc>
      </w:tr>
      <w:tr>
        <w:trPr>
          <w:trHeight w:val="237"/>
        </w:trPr>
        <w:tc>
          <w:tcPr>
            <w:tcW w:w="4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PRC</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211,139</w:t>
            </w:r>
          </w:p>
        </w:tc>
        <w:tc>
          <w:tcPr>
            <w:tcW w:w="8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233,202</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4900" w:type="dxa"/>
            <w:vAlign w:val="bottom"/>
            <w:gridSpan w:val="2"/>
          </w:tcPr>
          <w:p>
            <w:pPr>
              <w:ind w:left="20"/>
              <w:spacing w:after="0"/>
              <w:rPr>
                <w:sz w:val="20"/>
                <w:szCs w:val="20"/>
                <w:color w:val="auto"/>
              </w:rPr>
            </w:pPr>
            <w:r>
              <w:rPr>
                <w:rFonts w:ascii="Arial" w:cs="Arial" w:eastAsia="Arial" w:hAnsi="Arial"/>
                <w:sz w:val="17"/>
                <w:szCs w:val="17"/>
                <w:b w:val="1"/>
                <w:bCs w:val="1"/>
                <w:color w:val="auto"/>
              </w:rPr>
              <w:t>Asia &amp; Pacific</w:t>
            </w:r>
          </w:p>
        </w:tc>
        <w:tc>
          <w:tcPr>
            <w:tcW w:w="1460" w:type="dxa"/>
            <w:vAlign w:val="bottom"/>
          </w:tcPr>
          <w:p>
            <w:pPr>
              <w:jc w:val="right"/>
              <w:spacing w:after="0"/>
              <w:rPr>
                <w:sz w:val="20"/>
                <w:szCs w:val="20"/>
                <w:color w:val="auto"/>
              </w:rPr>
            </w:pPr>
            <w:r>
              <w:rPr>
                <w:rFonts w:ascii="Arial" w:cs="Arial" w:eastAsia="Arial" w:hAnsi="Arial"/>
                <w:sz w:val="17"/>
                <w:szCs w:val="17"/>
                <w:b w:val="1"/>
                <w:bCs w:val="1"/>
                <w:color w:val="auto"/>
              </w:rPr>
              <w:t>211,139</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b w:val="1"/>
                <w:bCs w:val="1"/>
                <w:color w:val="auto"/>
              </w:rPr>
              <w:t>79 %</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233,202</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b w:val="1"/>
                <w:bCs w:val="1"/>
                <w:color w:val="auto"/>
              </w:rPr>
              <w:t>67 %</w:t>
            </w:r>
          </w:p>
        </w:tc>
      </w:tr>
      <w:tr>
        <w:trPr>
          <w:trHeight w:val="245"/>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Germany</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21,966</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19,639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4900" w:type="dxa"/>
            <w:vAlign w:val="bottom"/>
            <w:gridSpan w:val="2"/>
          </w:tcPr>
          <w:p>
            <w:pPr>
              <w:ind w:left="20"/>
              <w:spacing w:after="0"/>
              <w:rPr>
                <w:sz w:val="20"/>
                <w:szCs w:val="20"/>
                <w:color w:val="auto"/>
              </w:rPr>
            </w:pPr>
            <w:r>
              <w:rPr>
                <w:rFonts w:ascii="Arial" w:cs="Arial" w:eastAsia="Arial" w:hAnsi="Arial"/>
                <w:sz w:val="17"/>
                <w:szCs w:val="17"/>
                <w:color w:val="auto"/>
              </w:rPr>
              <w:t>United Kingdom</w:t>
            </w:r>
          </w:p>
        </w:tc>
        <w:tc>
          <w:tcPr>
            <w:tcW w:w="1460" w:type="dxa"/>
            <w:vAlign w:val="bottom"/>
          </w:tcPr>
          <w:p>
            <w:pPr>
              <w:jc w:val="right"/>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Europe</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22,033</w:t>
            </w: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8 %</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19,705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6 %</w:t>
            </w:r>
          </w:p>
        </w:tc>
      </w:tr>
      <w:tr>
        <w:trPr>
          <w:trHeight w:val="232"/>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United States</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33,893</w:t>
            </w:r>
          </w:p>
        </w:tc>
        <w:tc>
          <w:tcPr>
            <w:tcW w:w="8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13 %</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94,872</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27 %</w:t>
            </w:r>
          </w:p>
        </w:tc>
      </w:tr>
      <w:tr>
        <w:trPr>
          <w:trHeight w:val="262"/>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267,065</w:t>
            </w: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100 %</w:t>
            </w: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347,779</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100 %</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2019, 2020 AND 2021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SEGMENT INFORMATION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color w:val="auto"/>
        </w:rPr>
        <w:t>Disaggregation of revenue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Revenues, classified by major geographic regions in which the Group’s customers are located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gridSpan w:val="3"/>
          </w:tcPr>
          <w:p>
            <w:pPr>
              <w:jc w:val="center"/>
              <w:ind w:left="856"/>
              <w:spacing w:after="0"/>
              <w:rPr>
                <w:sz w:val="20"/>
                <w:szCs w:val="20"/>
                <w:color w:val="auto"/>
              </w:rPr>
            </w:pPr>
            <w:r>
              <w:rPr>
                <w:rFonts w:ascii="Arial" w:cs="Arial" w:eastAsia="Arial" w:hAnsi="Arial"/>
                <w:sz w:val="17"/>
                <w:szCs w:val="17"/>
                <w:b w:val="1"/>
                <w:bCs w:val="1"/>
                <w:color w:val="auto"/>
                <w:w w:val="89"/>
              </w:rPr>
              <w:t>Year ended</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856"/>
              <w:spacing w:after="0"/>
              <w:rPr>
                <w:sz w:val="20"/>
                <w:szCs w:val="20"/>
                <w:color w:val="auto"/>
              </w:rPr>
            </w:pPr>
            <w:r>
              <w:rPr>
                <w:rFonts w:ascii="Arial" w:cs="Arial" w:eastAsia="Arial" w:hAnsi="Arial"/>
                <w:sz w:val="17"/>
                <w:szCs w:val="17"/>
                <w:b w:val="1"/>
                <w:bCs w:val="1"/>
                <w:color w:val="auto"/>
                <w:w w:val="89"/>
              </w:rPr>
              <w:t>Year ended</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00" w:type="dxa"/>
            <w:vAlign w:val="bottom"/>
            <w:gridSpan w:val="3"/>
          </w:tcPr>
          <w:p>
            <w:pPr>
              <w:jc w:val="center"/>
              <w:ind w:left="876"/>
              <w:spacing w:after="0"/>
              <w:rPr>
                <w:sz w:val="20"/>
                <w:szCs w:val="20"/>
                <w:color w:val="auto"/>
              </w:rPr>
            </w:pPr>
            <w:r>
              <w:rPr>
                <w:rFonts w:ascii="Arial" w:cs="Arial" w:eastAsia="Arial" w:hAnsi="Arial"/>
                <w:sz w:val="17"/>
                <w:szCs w:val="17"/>
                <w:b w:val="1"/>
                <w:bCs w:val="1"/>
                <w:color w:val="auto"/>
                <w:w w:val="89"/>
              </w:rPr>
              <w:t>Year ended</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2"/>
        </w:trPr>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Borders>
              <w:bottom w:val="single" w:sz="8" w:color="auto"/>
            </w:tcBorders>
            <w:gridSpan w:val="3"/>
          </w:tcPr>
          <w:p>
            <w:pPr>
              <w:jc w:val="center"/>
              <w:ind w:left="856"/>
              <w:spacing w:after="0"/>
              <w:rPr>
                <w:sz w:val="20"/>
                <w:szCs w:val="20"/>
                <w:color w:val="auto"/>
              </w:rPr>
            </w:pPr>
            <w:r>
              <w:rPr>
                <w:rFonts w:ascii="Arial" w:cs="Arial" w:eastAsia="Arial" w:hAnsi="Arial"/>
                <w:sz w:val="17"/>
                <w:szCs w:val="17"/>
                <w:b w:val="1"/>
                <w:bCs w:val="1"/>
                <w:color w:val="auto"/>
                <w:w w:val="88"/>
              </w:rPr>
              <w:t>December 31,</w:t>
            </w: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Borders>
              <w:bottom w:val="single" w:sz="8" w:color="auto"/>
            </w:tcBorders>
            <w:gridSpan w:val="3"/>
          </w:tcPr>
          <w:p>
            <w:pPr>
              <w:jc w:val="center"/>
              <w:ind w:left="856"/>
              <w:spacing w:after="0"/>
              <w:rPr>
                <w:sz w:val="20"/>
                <w:szCs w:val="20"/>
                <w:color w:val="auto"/>
              </w:rPr>
            </w:pPr>
            <w:r>
              <w:rPr>
                <w:rFonts w:ascii="Arial" w:cs="Arial" w:eastAsia="Arial" w:hAnsi="Arial"/>
                <w:sz w:val="17"/>
                <w:szCs w:val="17"/>
                <w:b w:val="1"/>
                <w:bCs w:val="1"/>
                <w:color w:val="auto"/>
                <w:w w:val="88"/>
              </w:rPr>
              <w:t>December 31,</w:t>
            </w:r>
          </w:p>
        </w:tc>
        <w:tc>
          <w:tcPr>
            <w:tcW w:w="3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Borders>
              <w:bottom w:val="single" w:sz="8" w:color="auto"/>
            </w:tcBorders>
            <w:gridSpan w:val="3"/>
          </w:tcPr>
          <w:p>
            <w:pPr>
              <w:jc w:val="center"/>
              <w:ind w:left="876"/>
              <w:spacing w:after="0"/>
              <w:rPr>
                <w:sz w:val="20"/>
                <w:szCs w:val="20"/>
                <w:color w:val="auto"/>
              </w:rPr>
            </w:pPr>
            <w:r>
              <w:rPr>
                <w:rFonts w:ascii="Arial" w:cs="Arial" w:eastAsia="Arial" w:hAnsi="Arial"/>
                <w:sz w:val="17"/>
                <w:szCs w:val="17"/>
                <w:b w:val="1"/>
                <w:bCs w:val="1"/>
                <w:color w:val="auto"/>
                <w:w w:val="88"/>
              </w:rPr>
              <w:t>December 31,</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32"/>
        </w:trPr>
        <w:tc>
          <w:tcPr>
            <w:tcW w:w="2000" w:type="dxa"/>
            <w:vAlign w:val="bottom"/>
            <w:gridSpan w:val="2"/>
          </w:tcPr>
          <w:p>
            <w:pPr>
              <w:ind w:left="20"/>
              <w:spacing w:after="0"/>
              <w:rPr>
                <w:sz w:val="20"/>
                <w:szCs w:val="20"/>
                <w:color w:val="auto"/>
              </w:rPr>
            </w:pPr>
            <w:r>
              <w:rPr>
                <w:rFonts w:ascii="Arial" w:cs="Arial" w:eastAsia="Arial" w:hAnsi="Arial"/>
                <w:sz w:val="17"/>
                <w:szCs w:val="17"/>
                <w:b w:val="1"/>
                <w:bCs w:val="1"/>
                <w:color w:val="auto"/>
              </w:rPr>
              <w:t>Geographic regions</w:t>
            </w:r>
          </w:p>
        </w:tc>
        <w:tc>
          <w:tcPr>
            <w:tcW w:w="2080" w:type="dxa"/>
            <w:vAlign w:val="bottom"/>
            <w:gridSpan w:val="3"/>
          </w:tcPr>
          <w:p>
            <w:pPr>
              <w:jc w:val="center"/>
              <w:ind w:left="856"/>
              <w:spacing w:after="0"/>
              <w:rPr>
                <w:sz w:val="20"/>
                <w:szCs w:val="20"/>
                <w:color w:val="auto"/>
              </w:rPr>
            </w:pPr>
            <w:r>
              <w:rPr>
                <w:rFonts w:ascii="Arial" w:cs="Arial" w:eastAsia="Arial" w:hAnsi="Arial"/>
                <w:sz w:val="17"/>
                <w:szCs w:val="17"/>
                <w:b w:val="1"/>
                <w:bCs w:val="1"/>
                <w:color w:val="auto"/>
                <w:w w:val="89"/>
              </w:rPr>
              <w:t>2020</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3"/>
          </w:tcPr>
          <w:p>
            <w:pPr>
              <w:jc w:val="center"/>
              <w:ind w:left="856"/>
              <w:spacing w:after="0"/>
              <w:rPr>
                <w:sz w:val="20"/>
                <w:szCs w:val="20"/>
                <w:color w:val="auto"/>
              </w:rPr>
            </w:pPr>
            <w:r>
              <w:rPr>
                <w:rFonts w:ascii="Arial" w:cs="Arial" w:eastAsia="Arial" w:hAnsi="Arial"/>
                <w:sz w:val="17"/>
                <w:szCs w:val="17"/>
                <w:b w:val="1"/>
                <w:bCs w:val="1"/>
                <w:color w:val="auto"/>
                <w:w w:val="89"/>
              </w:rPr>
              <w:t>2021</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gridSpan w:val="3"/>
          </w:tcPr>
          <w:p>
            <w:pPr>
              <w:jc w:val="center"/>
              <w:ind w:left="876"/>
              <w:spacing w:after="0"/>
              <w:rPr>
                <w:sz w:val="20"/>
                <w:szCs w:val="20"/>
                <w:color w:val="auto"/>
              </w:rPr>
            </w:pPr>
            <w:r>
              <w:rPr>
                <w:rFonts w:ascii="Arial" w:cs="Arial" w:eastAsia="Arial" w:hAnsi="Arial"/>
                <w:sz w:val="17"/>
                <w:szCs w:val="17"/>
                <w:b w:val="1"/>
                <w:bCs w:val="1"/>
                <w:color w:val="auto"/>
                <w:w w:val="89"/>
              </w:rPr>
              <w:t>2022</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25"/>
        </w:trPr>
        <w:tc>
          <w:tcPr>
            <w:tcW w:w="19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Borders>
              <w:top w:val="single" w:sz="8" w:color="auto"/>
            </w:tcBorders>
            <w:gridSpan w:val="3"/>
          </w:tcPr>
          <w:p>
            <w:pPr>
              <w:ind w:left="400"/>
              <w:spacing w:after="0"/>
              <w:rPr>
                <w:sz w:val="20"/>
                <w:szCs w:val="20"/>
                <w:color w:val="auto"/>
              </w:rPr>
            </w:pPr>
            <w:r>
              <w:rPr>
                <w:rFonts w:ascii="Arial" w:cs="Arial" w:eastAsia="Arial" w:hAnsi="Arial"/>
                <w:sz w:val="17"/>
                <w:szCs w:val="17"/>
                <w:b w:val="1"/>
                <w:bCs w:val="1"/>
                <w:color w:val="auto"/>
              </w:rPr>
              <w:t>Amount</w:t>
            </w:r>
          </w:p>
        </w:tc>
        <w:tc>
          <w:tcPr>
            <w:tcW w:w="3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4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Borders>
              <w:top w:val="single" w:sz="8" w:color="auto"/>
            </w:tcBorders>
            <w:gridSpan w:val="3"/>
          </w:tcPr>
          <w:p>
            <w:pPr>
              <w:ind w:left="400"/>
              <w:spacing w:after="0"/>
              <w:rPr>
                <w:sz w:val="20"/>
                <w:szCs w:val="20"/>
                <w:color w:val="auto"/>
              </w:rPr>
            </w:pPr>
            <w:r>
              <w:rPr>
                <w:rFonts w:ascii="Arial" w:cs="Arial" w:eastAsia="Arial" w:hAnsi="Arial"/>
                <w:sz w:val="17"/>
                <w:szCs w:val="17"/>
                <w:b w:val="1"/>
                <w:bCs w:val="1"/>
                <w:color w:val="auto"/>
              </w:rPr>
              <w:t>Amount</w:t>
            </w:r>
          </w:p>
        </w:tc>
        <w:tc>
          <w:tcPr>
            <w:tcW w:w="3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w:t>
            </w: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100" w:type="dxa"/>
            <w:vAlign w:val="bottom"/>
            <w:tcBorders>
              <w:top w:val="single" w:sz="8" w:color="auto"/>
            </w:tcBorders>
            <w:gridSpan w:val="3"/>
          </w:tcPr>
          <w:p>
            <w:pPr>
              <w:ind w:left="420"/>
              <w:spacing w:after="0"/>
              <w:rPr>
                <w:sz w:val="20"/>
                <w:szCs w:val="20"/>
                <w:color w:val="auto"/>
              </w:rPr>
            </w:pPr>
            <w:r>
              <w:rPr>
                <w:rFonts w:ascii="Arial" w:cs="Arial" w:eastAsia="Arial" w:hAnsi="Arial"/>
                <w:sz w:val="17"/>
                <w:szCs w:val="17"/>
                <w:b w:val="1"/>
                <w:bCs w:val="1"/>
                <w:color w:val="auto"/>
              </w:rPr>
              <w:t>Amount</w:t>
            </w:r>
          </w:p>
        </w:tc>
        <w:tc>
          <w:tcPr>
            <w:tcW w:w="760" w:type="dxa"/>
            <w:vAlign w:val="bottom"/>
            <w:tcBorders>
              <w:top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w:t>
            </w:r>
          </w:p>
        </w:tc>
        <w:tc>
          <w:tcPr>
            <w:tcW w:w="180" w:type="dxa"/>
            <w:vAlign w:val="bottom"/>
            <w:tcBorders>
              <w:top w:val="single" w:sz="8" w:color="auto"/>
            </w:tcBorders>
          </w:tcPr>
          <w:p>
            <w:pPr>
              <w:spacing w:after="0"/>
              <w:rPr>
                <w:sz w:val="19"/>
                <w:szCs w:val="19"/>
                <w:color w:val="auto"/>
              </w:rPr>
            </w:pPr>
          </w:p>
        </w:tc>
      </w:tr>
      <w:tr>
        <w:trPr>
          <w:trHeight w:val="25"/>
        </w:trPr>
        <w:tc>
          <w:tcPr>
            <w:tcW w:w="1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1"/>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PRC</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66,160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93,326</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132,469</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r>
      <w:tr>
        <w:trPr>
          <w:trHeight w:val="245"/>
        </w:trPr>
        <w:tc>
          <w:tcPr>
            <w:tcW w:w="2000" w:type="dxa"/>
            <w:vAlign w:val="bottom"/>
            <w:gridSpan w:val="2"/>
          </w:tcPr>
          <w:p>
            <w:pPr>
              <w:ind w:left="20"/>
              <w:spacing w:after="0"/>
              <w:rPr>
                <w:sz w:val="20"/>
                <w:szCs w:val="20"/>
                <w:color w:val="auto"/>
              </w:rPr>
            </w:pPr>
            <w:r>
              <w:rPr>
                <w:rFonts w:ascii="Arial" w:cs="Arial" w:eastAsia="Arial" w:hAnsi="Arial"/>
                <w:sz w:val="17"/>
                <w:szCs w:val="17"/>
                <w:i w:val="1"/>
                <w:iCs w:val="1"/>
                <w:color w:val="auto"/>
              </w:rPr>
              <w:t>India</w:t>
            </w:r>
          </w:p>
        </w:tc>
        <w:tc>
          <w:tcPr>
            <w:tcW w:w="1380" w:type="dxa"/>
            <w:vAlign w:val="bottom"/>
          </w:tcPr>
          <w:p>
            <w:pPr>
              <w:jc w:val="right"/>
              <w:spacing w:after="0"/>
              <w:rPr>
                <w:sz w:val="20"/>
                <w:szCs w:val="20"/>
                <w:color w:val="auto"/>
              </w:rPr>
            </w:pPr>
            <w:r>
              <w:rPr>
                <w:rFonts w:ascii="Arial" w:cs="Arial" w:eastAsia="Arial" w:hAnsi="Arial"/>
                <w:sz w:val="17"/>
                <w:szCs w:val="17"/>
                <w:i w:val="1"/>
                <w:iCs w:val="1"/>
                <w:color w:val="auto"/>
              </w:rPr>
              <w:t>8,570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7"/>
                <w:szCs w:val="17"/>
                <w:i w:val="1"/>
                <w:iCs w:val="1"/>
                <w:color w:val="auto"/>
              </w:rPr>
              <w:t>8</w:t>
            </w:r>
          </w:p>
        </w:tc>
        <w:tc>
          <w:tcPr>
            <w:tcW w:w="18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i w:val="1"/>
                <w:iCs w:val="1"/>
                <w:color w:val="auto"/>
              </w:rPr>
              <w:t>17,805</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7"/>
                <w:szCs w:val="17"/>
                <w:i w:val="1"/>
                <w:iCs w:val="1"/>
                <w:color w:val="auto"/>
              </w:rPr>
              <w:t>12</w:t>
            </w:r>
          </w:p>
        </w:tc>
        <w:tc>
          <w:tcPr>
            <w:tcW w:w="20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i w:val="1"/>
                <w:iCs w:val="1"/>
                <w:color w:val="auto"/>
              </w:rPr>
              <w:t>47,323</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i w:val="1"/>
                <w:iCs w:val="1"/>
                <w:color w:val="auto"/>
              </w:rPr>
              <w:t>23</w:t>
            </w:r>
          </w:p>
        </w:tc>
        <w:tc>
          <w:tcPr>
            <w:tcW w:w="180" w:type="dxa"/>
            <w:vAlign w:val="bottom"/>
          </w:tcPr>
          <w:p>
            <w:pPr>
              <w:jc w:val="right"/>
              <w:spacing w:after="0"/>
              <w:rPr>
                <w:sz w:val="20"/>
                <w:szCs w:val="20"/>
                <w:color w:val="auto"/>
              </w:rPr>
            </w:pPr>
            <w:r>
              <w:rPr>
                <w:rFonts w:ascii="Arial" w:cs="Arial" w:eastAsia="Arial" w:hAnsi="Arial"/>
                <w:sz w:val="17"/>
                <w:szCs w:val="17"/>
                <w:i w:val="1"/>
                <w:iCs w:val="1"/>
                <w:color w:val="auto"/>
              </w:rPr>
              <w:t>%</w:t>
            </w:r>
          </w:p>
        </w:tc>
      </w:tr>
      <w:tr>
        <w:trPr>
          <w:trHeight w:val="257"/>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Russia</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5,671</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12,213</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305</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w:t>
            </w:r>
          </w:p>
        </w:tc>
      </w:tr>
      <w:tr>
        <w:trPr>
          <w:trHeight w:val="201"/>
        </w:trPr>
        <w:tc>
          <w:tcPr>
            <w:tcW w:w="2000" w:type="dxa"/>
            <w:vAlign w:val="bottom"/>
            <w:gridSpan w:val="2"/>
          </w:tcPr>
          <w:p>
            <w:pPr>
              <w:ind w:left="20"/>
              <w:spacing w:after="0"/>
              <w:rPr>
                <w:sz w:val="20"/>
                <w:szCs w:val="20"/>
                <w:color w:val="auto"/>
              </w:rPr>
            </w:pPr>
            <w:r>
              <w:rPr>
                <w:rFonts w:ascii="Arial" w:cs="Arial" w:eastAsia="Arial" w:hAnsi="Arial"/>
                <w:sz w:val="17"/>
                <w:szCs w:val="17"/>
                <w:i w:val="1"/>
                <w:iCs w:val="1"/>
                <w:color w:val="auto"/>
              </w:rPr>
              <w:t>Other Asia &amp; Pacific</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2000" w:type="dxa"/>
            <w:vAlign w:val="bottom"/>
            <w:gridSpan w:val="2"/>
          </w:tcPr>
          <w:p>
            <w:pPr>
              <w:ind w:left="20"/>
              <w:spacing w:after="0"/>
              <w:rPr>
                <w:sz w:val="20"/>
                <w:szCs w:val="20"/>
                <w:color w:val="auto"/>
              </w:rPr>
            </w:pPr>
            <w:r>
              <w:rPr>
                <w:rFonts w:ascii="Arial" w:cs="Arial" w:eastAsia="Arial" w:hAnsi="Arial"/>
                <w:sz w:val="17"/>
                <w:szCs w:val="17"/>
                <w:i w:val="1"/>
                <w:iCs w:val="1"/>
                <w:color w:val="auto"/>
              </w:rPr>
              <w:t>countries</w:t>
            </w:r>
          </w:p>
        </w:tc>
        <w:tc>
          <w:tcPr>
            <w:tcW w:w="1380" w:type="dxa"/>
            <w:vAlign w:val="bottom"/>
          </w:tcPr>
          <w:p>
            <w:pPr>
              <w:jc w:val="right"/>
              <w:spacing w:after="0"/>
              <w:rPr>
                <w:sz w:val="20"/>
                <w:szCs w:val="20"/>
                <w:color w:val="auto"/>
              </w:rPr>
            </w:pPr>
            <w:r>
              <w:rPr>
                <w:rFonts w:ascii="Arial" w:cs="Arial" w:eastAsia="Arial" w:hAnsi="Arial"/>
                <w:sz w:val="17"/>
                <w:szCs w:val="17"/>
                <w:i w:val="1"/>
                <w:iCs w:val="1"/>
                <w:color w:val="auto"/>
              </w:rPr>
              <w:t>2,254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i w:val="1"/>
                <w:iCs w:val="1"/>
                <w:color w:val="auto"/>
              </w:rPr>
              <w:t>2</w:t>
            </w:r>
          </w:p>
        </w:tc>
        <w:tc>
          <w:tcPr>
            <w:tcW w:w="18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i w:val="1"/>
                <w:iCs w:val="1"/>
                <w:color w:val="auto"/>
              </w:rPr>
              <w:t>8,172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i w:val="1"/>
                <w:iCs w:val="1"/>
                <w:color w:val="auto"/>
              </w:rPr>
              <w:t>5</w:t>
            </w:r>
          </w:p>
        </w:tc>
        <w:tc>
          <w:tcPr>
            <w:tcW w:w="20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i w:val="1"/>
                <w:iCs w:val="1"/>
                <w:color w:val="auto"/>
              </w:rPr>
              <w:t>4,938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i w:val="1"/>
                <w:iCs w:val="1"/>
                <w:color w:val="auto"/>
              </w:rPr>
              <w:t>2</w:t>
            </w:r>
          </w:p>
        </w:tc>
        <w:tc>
          <w:tcPr>
            <w:tcW w:w="180" w:type="dxa"/>
            <w:vAlign w:val="bottom"/>
          </w:tcPr>
          <w:p>
            <w:pPr>
              <w:jc w:val="right"/>
              <w:spacing w:after="0"/>
              <w:rPr>
                <w:sz w:val="20"/>
                <w:szCs w:val="20"/>
                <w:color w:val="auto"/>
              </w:rPr>
            </w:pPr>
            <w:r>
              <w:rPr>
                <w:rFonts w:ascii="Arial" w:cs="Arial" w:eastAsia="Arial" w:hAnsi="Arial"/>
                <w:sz w:val="17"/>
                <w:szCs w:val="17"/>
                <w:i w:val="1"/>
                <w:iCs w:val="1"/>
                <w:color w:val="auto"/>
              </w:rPr>
              <w:t>%</w:t>
            </w:r>
          </w:p>
        </w:tc>
      </w:tr>
      <w:tr>
        <w:trPr>
          <w:trHeight w:val="257"/>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Asia &amp; Pacific</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82,655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77 %</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131,516</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86 %</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185,035</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90 %</w:t>
            </w:r>
          </w:p>
        </w:tc>
      </w:tr>
      <w:tr>
        <w:trPr>
          <w:trHeight w:val="245"/>
        </w:trPr>
        <w:tc>
          <w:tcPr>
            <w:tcW w:w="2000" w:type="dxa"/>
            <w:vAlign w:val="bottom"/>
            <w:gridSpan w:val="2"/>
          </w:tcPr>
          <w:p>
            <w:pPr>
              <w:ind w:left="20"/>
              <w:spacing w:after="0"/>
              <w:rPr>
                <w:sz w:val="20"/>
                <w:szCs w:val="20"/>
                <w:color w:val="auto"/>
              </w:rPr>
            </w:pPr>
            <w:r>
              <w:rPr>
                <w:rFonts w:ascii="Arial" w:cs="Arial" w:eastAsia="Arial" w:hAnsi="Arial"/>
                <w:sz w:val="17"/>
                <w:szCs w:val="17"/>
                <w:i w:val="1"/>
                <w:iCs w:val="1"/>
                <w:color w:val="auto"/>
              </w:rPr>
              <w:t>United Kingdom</w:t>
            </w:r>
          </w:p>
        </w:tc>
        <w:tc>
          <w:tcPr>
            <w:tcW w:w="1380" w:type="dxa"/>
            <w:vAlign w:val="bottom"/>
          </w:tcPr>
          <w:p>
            <w:pPr>
              <w:jc w:val="right"/>
              <w:spacing w:after="0"/>
              <w:rPr>
                <w:sz w:val="20"/>
                <w:szCs w:val="20"/>
                <w:color w:val="auto"/>
              </w:rPr>
            </w:pPr>
            <w:r>
              <w:rPr>
                <w:rFonts w:ascii="Arial" w:cs="Arial" w:eastAsia="Arial" w:hAnsi="Arial"/>
                <w:sz w:val="17"/>
                <w:szCs w:val="17"/>
                <w:i w:val="1"/>
                <w:iCs w:val="1"/>
                <w:color w:val="auto"/>
              </w:rPr>
              <w:t>11,544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7"/>
                <w:szCs w:val="17"/>
                <w:i w:val="1"/>
                <w:iCs w:val="1"/>
                <w:color w:val="auto"/>
              </w:rPr>
              <w:t>11</w:t>
            </w:r>
          </w:p>
        </w:tc>
        <w:tc>
          <w:tcPr>
            <w:tcW w:w="18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7"/>
                <w:szCs w:val="17"/>
                <w:i w:val="1"/>
                <w:iCs w:val="1"/>
                <w:color w:val="auto"/>
              </w:rPr>
              <w:t>11,386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7"/>
                <w:szCs w:val="17"/>
                <w:i w:val="1"/>
                <w:iCs w:val="1"/>
                <w:color w:val="auto"/>
              </w:rPr>
              <w:t>7</w:t>
            </w:r>
          </w:p>
        </w:tc>
        <w:tc>
          <w:tcPr>
            <w:tcW w:w="20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7"/>
                <w:szCs w:val="17"/>
                <w:i w:val="1"/>
                <w:iCs w:val="1"/>
                <w:color w:val="auto"/>
              </w:rPr>
              <w:t>3,976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7"/>
                <w:szCs w:val="17"/>
                <w:i w:val="1"/>
                <w:iCs w:val="1"/>
                <w:color w:val="auto"/>
              </w:rPr>
              <w:t>2</w:t>
            </w:r>
          </w:p>
        </w:tc>
        <w:tc>
          <w:tcPr>
            <w:tcW w:w="180" w:type="dxa"/>
            <w:vAlign w:val="bottom"/>
          </w:tcPr>
          <w:p>
            <w:pPr>
              <w:jc w:val="right"/>
              <w:spacing w:after="0"/>
              <w:rPr>
                <w:sz w:val="20"/>
                <w:szCs w:val="20"/>
                <w:color w:val="auto"/>
              </w:rPr>
            </w:pPr>
            <w:r>
              <w:rPr>
                <w:rFonts w:ascii="Arial" w:cs="Arial" w:eastAsia="Arial" w:hAnsi="Arial"/>
                <w:sz w:val="17"/>
                <w:szCs w:val="17"/>
                <w:i w:val="1"/>
                <w:iCs w:val="1"/>
                <w:color w:val="auto"/>
              </w:rPr>
              <w:t>%</w:t>
            </w:r>
          </w:p>
        </w:tc>
      </w:tr>
      <w:tr>
        <w:trPr>
          <w:trHeight w:val="245"/>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Italy</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3,140</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6,389</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2000" w:type="dxa"/>
            <w:vAlign w:val="bottom"/>
            <w:gridSpan w:val="2"/>
          </w:tcPr>
          <w:p>
            <w:pPr>
              <w:ind w:left="20"/>
              <w:spacing w:after="0"/>
              <w:rPr>
                <w:sz w:val="20"/>
                <w:szCs w:val="20"/>
                <w:color w:val="auto"/>
              </w:rPr>
            </w:pPr>
            <w:r>
              <w:rPr>
                <w:rFonts w:ascii="Arial" w:cs="Arial" w:eastAsia="Arial" w:hAnsi="Arial"/>
                <w:sz w:val="17"/>
                <w:szCs w:val="17"/>
                <w:i w:val="1"/>
                <w:iCs w:val="1"/>
                <w:color w:val="auto"/>
              </w:rPr>
              <w:t>Other European countries</w:t>
            </w:r>
          </w:p>
        </w:tc>
        <w:tc>
          <w:tcPr>
            <w:tcW w:w="1380" w:type="dxa"/>
            <w:vAlign w:val="bottom"/>
          </w:tcPr>
          <w:p>
            <w:pPr>
              <w:jc w:val="right"/>
              <w:spacing w:after="0"/>
              <w:rPr>
                <w:sz w:val="20"/>
                <w:szCs w:val="20"/>
                <w:color w:val="auto"/>
              </w:rPr>
            </w:pPr>
            <w:r>
              <w:rPr>
                <w:rFonts w:ascii="Arial" w:cs="Arial" w:eastAsia="Arial" w:hAnsi="Arial"/>
                <w:sz w:val="17"/>
                <w:szCs w:val="17"/>
                <w:i w:val="1"/>
                <w:iCs w:val="1"/>
                <w:color w:val="auto"/>
              </w:rPr>
              <w:t>6,805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i w:val="1"/>
                <w:iCs w:val="1"/>
                <w:color w:val="auto"/>
              </w:rPr>
              <w:t>6</w:t>
            </w:r>
          </w:p>
        </w:tc>
        <w:tc>
          <w:tcPr>
            <w:tcW w:w="18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7"/>
                <w:szCs w:val="17"/>
                <w:i w:val="1"/>
                <w:iCs w:val="1"/>
                <w:color w:val="auto"/>
              </w:rPr>
              <w:t>5,016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i w:val="1"/>
                <w:iCs w:val="1"/>
                <w:color w:val="auto"/>
              </w:rPr>
              <w:t>4</w:t>
            </w:r>
          </w:p>
        </w:tc>
        <w:tc>
          <w:tcPr>
            <w:tcW w:w="200" w:type="dxa"/>
            <w:vAlign w:val="bottom"/>
          </w:tcPr>
          <w:p>
            <w:pPr>
              <w:jc w:val="right"/>
              <w:spacing w:after="0"/>
              <w:rPr>
                <w:sz w:val="20"/>
                <w:szCs w:val="20"/>
                <w:color w:val="auto"/>
              </w:rPr>
            </w:pPr>
            <w:r>
              <w:rPr>
                <w:rFonts w:ascii="Arial" w:cs="Arial" w:eastAsia="Arial" w:hAnsi="Arial"/>
                <w:sz w:val="17"/>
                <w:szCs w:val="17"/>
                <w:i w:val="1"/>
                <w:iCs w:val="1"/>
                <w:color w:val="auto"/>
              </w:rPr>
              <w:t>%</w:t>
            </w:r>
          </w:p>
        </w:tc>
        <w:tc>
          <w:tcPr>
            <w:tcW w:w="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i w:val="1"/>
                <w:iCs w:val="1"/>
                <w:color w:val="auto"/>
              </w:rPr>
              <w:t>5,444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i w:val="1"/>
                <w:iCs w:val="1"/>
                <w:color w:val="auto"/>
              </w:rPr>
              <w:t>3</w:t>
            </w:r>
          </w:p>
        </w:tc>
        <w:tc>
          <w:tcPr>
            <w:tcW w:w="180" w:type="dxa"/>
            <w:vAlign w:val="bottom"/>
          </w:tcPr>
          <w:p>
            <w:pPr>
              <w:jc w:val="right"/>
              <w:spacing w:after="0"/>
              <w:rPr>
                <w:sz w:val="20"/>
                <w:szCs w:val="20"/>
                <w:color w:val="auto"/>
              </w:rPr>
            </w:pPr>
            <w:r>
              <w:rPr>
                <w:rFonts w:ascii="Arial" w:cs="Arial" w:eastAsia="Arial" w:hAnsi="Arial"/>
                <w:sz w:val="17"/>
                <w:szCs w:val="17"/>
                <w:i w:val="1"/>
                <w:iCs w:val="1"/>
                <w:color w:val="auto"/>
              </w:rPr>
              <w:t>%</w:t>
            </w:r>
          </w:p>
        </w:tc>
      </w:tr>
      <w:tr>
        <w:trPr>
          <w:trHeight w:val="257"/>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Europe</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24,314</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23 %</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19,542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13 %</w:t>
            </w:r>
          </w:p>
        </w:tc>
        <w:tc>
          <w:tcPr>
            <w:tcW w:w="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15,809</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8 %</w:t>
            </w:r>
          </w:p>
        </w:tc>
      </w:tr>
      <w:tr>
        <w:trPr>
          <w:trHeight w:val="232"/>
        </w:trPr>
        <w:tc>
          <w:tcPr>
            <w:tcW w:w="2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United States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549</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0 %</w:t>
            </w:r>
          </w:p>
        </w:tc>
        <w:tc>
          <w:tcPr>
            <w:tcW w:w="10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918</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1 %</w:t>
            </w:r>
          </w:p>
        </w:tc>
        <w:tc>
          <w:tcPr>
            <w:tcW w:w="8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3,651</w:t>
            </w:r>
          </w:p>
        </w:tc>
        <w:tc>
          <w:tcPr>
            <w:tcW w:w="8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2 %</w:t>
            </w:r>
          </w:p>
        </w:tc>
      </w:tr>
      <w:tr>
        <w:trPr>
          <w:trHeight w:val="262"/>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107,518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151,976</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100 %</w:t>
            </w: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204,495</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100 %</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20" w:type="dxa"/>
            <w:vAlign w:val="bottom"/>
          </w:tcPr>
          <w:p>
            <w:pPr>
              <w:spacing w:after="0"/>
              <w:rPr>
                <w:sz w:val="20"/>
                <w:szCs w:val="20"/>
                <w:color w:val="auto"/>
              </w:rPr>
            </w:pPr>
            <w:r>
              <w:rPr>
                <w:rFonts w:ascii="Arial" w:cs="Arial" w:eastAsia="Arial" w:hAnsi="Arial"/>
                <w:sz w:val="17"/>
                <w:szCs w:val="17"/>
                <w:b w:val="1"/>
                <w:bCs w:val="1"/>
                <w:color w:val="auto"/>
              </w:rPr>
              <w:t>26. RELATED PARTY BALANCES AND TRANSACTIONS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58"/>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jc w:val="center"/>
              <w:ind w:right="16"/>
              <w:spacing w:after="0"/>
              <w:rPr>
                <w:sz w:val="20"/>
                <w:szCs w:val="20"/>
                <w:color w:val="auto"/>
              </w:rPr>
            </w:pPr>
            <w:r>
              <w:rPr>
                <w:rFonts w:ascii="Arial" w:cs="Arial" w:eastAsia="Arial" w:hAnsi="Arial"/>
                <w:sz w:val="17"/>
                <w:szCs w:val="17"/>
                <w:b w:val="1"/>
                <w:bCs w:val="1"/>
                <w:color w:val="auto"/>
                <w:w w:val="89"/>
              </w:rPr>
              <w:t>Relationship with the Group</w:t>
            </w: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37"/>
        </w:trPr>
        <w:tc>
          <w:tcPr>
            <w:tcW w:w="6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Ochem Chemical Co., Ltd (“Ochem”)</w:t>
            </w: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Controlled by CEO</w:t>
            </w: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226"/>
        </w:trPr>
        <w:tc>
          <w:tcPr>
            <w:tcW w:w="6620" w:type="dxa"/>
            <w:vAlign w:val="bottom"/>
          </w:tcPr>
          <w:p>
            <w:pPr>
              <w:ind w:left="20"/>
              <w:spacing w:after="0"/>
              <w:rPr>
                <w:sz w:val="20"/>
                <w:szCs w:val="20"/>
                <w:color w:val="auto"/>
              </w:rPr>
            </w:pPr>
            <w:r>
              <w:rPr>
                <w:rFonts w:ascii="Arial" w:cs="Arial" w:eastAsia="Arial" w:hAnsi="Arial"/>
                <w:sz w:val="17"/>
                <w:szCs w:val="17"/>
                <w:color w:val="auto"/>
              </w:rPr>
              <w:t>Ochemate Material Technologies Co., Ltd (“Ochemate”)</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center"/>
              <w:spacing w:after="0"/>
              <w:rPr>
                <w:sz w:val="20"/>
                <w:szCs w:val="20"/>
                <w:color w:val="auto"/>
              </w:rPr>
            </w:pPr>
            <w:r>
              <w:rPr>
                <w:rFonts w:ascii="Arial" w:cs="Arial" w:eastAsia="Arial" w:hAnsi="Arial"/>
                <w:sz w:val="17"/>
                <w:szCs w:val="17"/>
                <w:color w:val="auto"/>
                <w:w w:val="91"/>
              </w:rPr>
              <w:t>Controlled by CEO</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90"/>
        </w:trPr>
        <w:tc>
          <w:tcPr>
            <w:tcW w:w="6620" w:type="dxa"/>
            <w:vAlign w:val="bottom"/>
          </w:tcPr>
          <w:p>
            <w:pPr>
              <w:spacing w:after="0"/>
              <w:rPr>
                <w:sz w:val="20"/>
                <w:szCs w:val="20"/>
                <w:color w:val="auto"/>
              </w:rPr>
            </w:pPr>
            <w:r>
              <w:rPr>
                <w:rFonts w:ascii="Arial" w:cs="Arial" w:eastAsia="Arial" w:hAnsi="Arial"/>
                <w:sz w:val="17"/>
                <w:szCs w:val="17"/>
                <w:color w:val="auto"/>
              </w:rPr>
              <w:t>(1) Related party transaction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8"/>
        </w:trPr>
        <w:tc>
          <w:tcPr>
            <w:tcW w:w="6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296"/>
              <w:spacing w:after="0"/>
              <w:rPr>
                <w:sz w:val="20"/>
                <w:szCs w:val="20"/>
                <w:color w:val="auto"/>
              </w:rPr>
            </w:pPr>
            <w:r>
              <w:rPr>
                <w:rFonts w:ascii="Arial" w:cs="Arial" w:eastAsia="Arial" w:hAnsi="Arial"/>
                <w:sz w:val="17"/>
                <w:szCs w:val="17"/>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31"/>
        </w:trPr>
        <w:tc>
          <w:tcPr>
            <w:tcW w:w="66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7"/>
                <w:szCs w:val="17"/>
                <w:b w:val="1"/>
                <w:bCs w:val="1"/>
                <w:color w:val="auto"/>
              </w:rPr>
              <w:t>2020</w:t>
            </w:r>
          </w:p>
        </w:tc>
        <w:tc>
          <w:tcPr>
            <w:tcW w:w="4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7"/>
                <w:szCs w:val="17"/>
                <w:b w:val="1"/>
                <w:bCs w:val="1"/>
                <w:color w:val="auto"/>
              </w:rPr>
              <w:t>2022</w:t>
            </w:r>
          </w:p>
        </w:tc>
        <w:tc>
          <w:tcPr>
            <w:tcW w:w="60" w:type="dxa"/>
            <w:vAlign w:val="bottom"/>
            <w:tcBorders>
              <w:bottom w:val="single" w:sz="8" w:color="auto"/>
            </w:tcBorders>
          </w:tcPr>
          <w:p>
            <w:pPr>
              <w:spacing w:after="0"/>
              <w:rPr>
                <w:sz w:val="20"/>
                <w:szCs w:val="20"/>
                <w:color w:val="auto"/>
              </w:rPr>
            </w:pP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 sold to Ochem</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w:t>
            </w:r>
          </w:p>
        </w:tc>
        <w:tc>
          <w:tcPr>
            <w:tcW w:w="3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20"/>
                <w:szCs w:val="2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(2) Interest-free loans</w:t>
      </w:r>
    </w:p>
    <w:p>
      <w:pPr>
        <w:spacing w:after="0" w:line="206"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color w:val="auto"/>
        </w:rPr>
        <w:t>MPS received certain interest-free loans from related parties, Ochemate and Ochem, for the years ended December 31, 2020, 2021 and 2022, with accumulative amounts of $18,889, $8,426 and $ nil,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outstanding balance for the amount due from Ochem was $85 as of December 31, 2021 and $ nil as of December 31, 2022, respectively.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2019, 2020 AND 2021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20" w:type="dxa"/>
            <w:vAlign w:val="bottom"/>
          </w:tcPr>
          <w:p>
            <w:pPr>
              <w:spacing w:after="0"/>
              <w:rPr>
                <w:sz w:val="20"/>
                <w:szCs w:val="20"/>
                <w:color w:val="auto"/>
              </w:rPr>
            </w:pPr>
            <w:r>
              <w:rPr>
                <w:rFonts w:ascii="Arial" w:cs="Arial" w:eastAsia="Arial" w:hAnsi="Arial"/>
                <w:sz w:val="17"/>
                <w:szCs w:val="17"/>
                <w:b w:val="1"/>
                <w:bCs w:val="1"/>
                <w:color w:val="auto"/>
              </w:rPr>
              <w:t>27. NET LOSS PER SHARE</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02"/>
        </w:trPr>
        <w:tc>
          <w:tcPr>
            <w:tcW w:w="8200" w:type="dxa"/>
            <w:vAlign w:val="bottom"/>
            <w:gridSpan w:val="4"/>
          </w:tcPr>
          <w:p>
            <w:pPr>
              <w:spacing w:after="0"/>
              <w:rPr>
                <w:sz w:val="20"/>
                <w:szCs w:val="20"/>
                <w:color w:val="auto"/>
              </w:rPr>
            </w:pPr>
            <w:r>
              <w:rPr>
                <w:rFonts w:ascii="Arial" w:cs="Arial" w:eastAsia="Arial" w:hAnsi="Arial"/>
                <w:sz w:val="17"/>
                <w:szCs w:val="17"/>
                <w:color w:val="auto"/>
              </w:rPr>
              <w:t>The following table sets forth the computation of basic and diluted net loss per share for the years indicated: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8"/>
        </w:trPr>
        <w:tc>
          <w:tcPr>
            <w:tcW w:w="66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6"/>
          </w:tcPr>
          <w:p>
            <w:pPr>
              <w:jc w:val="right"/>
              <w:ind w:right="156"/>
              <w:spacing w:after="0"/>
              <w:rPr>
                <w:sz w:val="20"/>
                <w:szCs w:val="20"/>
                <w:color w:val="auto"/>
              </w:rPr>
            </w:pPr>
            <w:r>
              <w:rPr>
                <w:rFonts w:ascii="Arial" w:cs="Arial" w:eastAsia="Arial" w:hAnsi="Arial"/>
                <w:sz w:val="17"/>
                <w:szCs w:val="17"/>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r>
      <w:tr>
        <w:trPr>
          <w:trHeight w:val="230"/>
        </w:trPr>
        <w:tc>
          <w:tcPr>
            <w:tcW w:w="66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2022</w:t>
            </w:r>
          </w:p>
        </w:tc>
      </w:tr>
      <w:tr>
        <w:trPr>
          <w:trHeight w:val="220"/>
        </w:trPr>
        <w:tc>
          <w:tcPr>
            <w:tcW w:w="6620" w:type="dxa"/>
            <w:vAlign w:val="bottom"/>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attributable to Common Stock shareholders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(80,963)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(234,103)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(158,200)</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Weighted average Common Stock outstanding used in computing basic and diluted net loss per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6"/>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99,028,297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3"/>
              </w:rPr>
              <w:t>185,896,482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240"/>
              <w:spacing w:after="0"/>
              <w:rPr>
                <w:sz w:val="20"/>
                <w:szCs w:val="20"/>
                <w:color w:val="auto"/>
              </w:rPr>
            </w:pPr>
            <w:r>
              <w:rPr>
                <w:rFonts w:ascii="Arial" w:cs="Arial" w:eastAsia="Arial" w:hAnsi="Arial"/>
                <w:sz w:val="17"/>
                <w:szCs w:val="17"/>
                <w:color w:val="auto"/>
                <w:w w:val="93"/>
              </w:rPr>
              <w:t>303,279,188</w:t>
            </w:r>
          </w:p>
        </w:tc>
      </w:tr>
      <w:tr>
        <w:trPr>
          <w:trHeight w:val="226"/>
        </w:trPr>
        <w:tc>
          <w:tcPr>
            <w:tcW w:w="6620" w:type="dxa"/>
            <w:vAlign w:val="bottom"/>
          </w:tcPr>
          <w:p>
            <w:pPr>
              <w:ind w:left="20"/>
              <w:spacing w:after="0"/>
              <w:rPr>
                <w:sz w:val="20"/>
                <w:szCs w:val="20"/>
                <w:color w:val="auto"/>
              </w:rPr>
            </w:pPr>
            <w:r>
              <w:rPr>
                <w:rFonts w:ascii="Arial" w:cs="Arial" w:eastAsia="Arial" w:hAnsi="Arial"/>
                <w:sz w:val="17"/>
                <w:szCs w:val="17"/>
                <w:color w:val="auto"/>
              </w:rPr>
              <w:t>Basic and diluted net loss per share</w:t>
            </w: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(0.82)</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(1.26)</w:t>
            </w:r>
          </w:p>
        </w:tc>
        <w:tc>
          <w:tcPr>
            <w:tcW w:w="8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(0.52)</w:t>
            </w:r>
          </w:p>
        </w:tc>
      </w:tr>
    </w:tbl>
    <w:p>
      <w:pPr>
        <w:spacing w:after="0" w:line="28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For the years ended December 31, 2020, 2021 and 2022, the following Common Stock outstanding were excluded from the calculation of diluted net loss per share, as their inclusion would have been anti-dilutive for the years prescribed.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Pr>
          <w:p>
            <w:pPr>
              <w:spacing w:after="0"/>
              <w:rPr>
                <w:sz w:val="19"/>
                <w:szCs w:val="19"/>
                <w:color w:val="auto"/>
              </w:rPr>
            </w:pPr>
          </w:p>
        </w:tc>
        <w:tc>
          <w:tcPr>
            <w:tcW w:w="3480" w:type="dxa"/>
            <w:vAlign w:val="bottom"/>
            <w:tcBorders>
              <w:bottom w:val="single" w:sz="8" w:color="auto"/>
            </w:tcBorders>
            <w:gridSpan w:val="5"/>
          </w:tcPr>
          <w:p>
            <w:pPr>
              <w:ind w:left="1400"/>
              <w:spacing w:after="0"/>
              <w:rPr>
                <w:sz w:val="20"/>
                <w:szCs w:val="20"/>
                <w:color w:val="auto"/>
              </w:rPr>
            </w:pPr>
            <w:r>
              <w:rPr>
                <w:rFonts w:ascii="Arial" w:cs="Arial" w:eastAsia="Arial" w:hAnsi="Arial"/>
                <w:sz w:val="17"/>
                <w:szCs w:val="17"/>
                <w:b w:val="1"/>
                <w:bCs w:val="1"/>
                <w:color w:val="auto"/>
                <w:w w:val="99"/>
              </w:rPr>
              <w:t>Year ended December 31,</w:t>
            </w:r>
          </w:p>
        </w:tc>
        <w:tc>
          <w:tcPr>
            <w:tcW w:w="1140" w:type="dxa"/>
            <w:vAlign w:val="bottom"/>
            <w:tcBorders>
              <w:bottom w:val="single" w:sz="8" w:color="auto"/>
            </w:tcBorders>
          </w:tcPr>
          <w:p>
            <w:pPr>
              <w:spacing w:after="0"/>
              <w:rPr>
                <w:sz w:val="19"/>
                <w:szCs w:val="19"/>
                <w:color w:val="auto"/>
              </w:rPr>
            </w:pPr>
          </w:p>
        </w:tc>
      </w:tr>
      <w:tr>
        <w:trPr>
          <w:trHeight w:val="231"/>
        </w:trPr>
        <w:tc>
          <w:tcPr>
            <w:tcW w:w="66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issuable upon exercise of share options</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18,281,198</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33,786,356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35,244,877</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Shares issuable upon vesting of non-vested shares</w:t>
            </w:r>
          </w:p>
        </w:tc>
        <w:tc>
          <w:tcPr>
            <w:tcW w:w="1480" w:type="dxa"/>
            <w:vAlign w:val="bottom"/>
          </w:tcPr>
          <w:p>
            <w:pPr>
              <w:jc w:val="right"/>
              <w:spacing w:after="0"/>
              <w:rPr>
                <w:sz w:val="20"/>
                <w:szCs w:val="20"/>
                <w:color w:val="auto"/>
              </w:rPr>
            </w:pPr>
            <w:r>
              <w:rPr>
                <w:rFonts w:ascii="Arial" w:cs="Arial" w:eastAsia="Arial" w:hAnsi="Arial"/>
                <w:sz w:val="17"/>
                <w:szCs w:val="17"/>
                <w:color w:val="auto"/>
              </w:rPr>
              <w:t>72,122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167,268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1,399,711</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issuable upon exercise of capped non-vested shares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90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7,314,598</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Shares issuable upon exercise of warrants</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12,543,444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28,437,000</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issuable upon conversion of Series B2 Preferred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8,545,490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6,035,544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Shares issuable upon conversion of Series C1 Preferred</w:t>
            </w:r>
          </w:p>
        </w:tc>
        <w:tc>
          <w:tcPr>
            <w:tcW w:w="1480" w:type="dxa"/>
            <w:vAlign w:val="bottom"/>
          </w:tcPr>
          <w:p>
            <w:pPr>
              <w:jc w:val="right"/>
              <w:spacing w:after="0"/>
              <w:rPr>
                <w:sz w:val="20"/>
                <w:szCs w:val="20"/>
                <w:color w:val="auto"/>
              </w:rPr>
            </w:pPr>
            <w:r>
              <w:rPr>
                <w:rFonts w:ascii="Arial" w:cs="Arial" w:eastAsia="Arial" w:hAnsi="Arial"/>
                <w:sz w:val="17"/>
                <w:szCs w:val="17"/>
                <w:color w:val="auto"/>
              </w:rPr>
              <w:t>26,757,258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14,881,434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issuable upon conversion of Series C2 Preferred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20,249,450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11,262,023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Shares issuable upon conversion of Series D1 Preferred</w:t>
            </w:r>
          </w:p>
        </w:tc>
        <w:tc>
          <w:tcPr>
            <w:tcW w:w="1480" w:type="dxa"/>
            <w:vAlign w:val="bottom"/>
          </w:tcPr>
          <w:p>
            <w:pPr>
              <w:jc w:val="right"/>
              <w:spacing w:after="0"/>
              <w:rPr>
                <w:sz w:val="20"/>
                <w:szCs w:val="20"/>
                <w:color w:val="auto"/>
              </w:rPr>
            </w:pPr>
            <w:r>
              <w:rPr>
                <w:rFonts w:ascii="Arial" w:cs="Arial" w:eastAsia="Arial" w:hAnsi="Arial"/>
                <w:sz w:val="17"/>
                <w:szCs w:val="17"/>
                <w:color w:val="auto"/>
              </w:rPr>
              <w:t>22,311,516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12,408,870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issuable upon conversion of Series D2 Preferred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16,432,674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9,139,268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Shares issuable upon conversion of non-controlling interests of a subsidiary</w:t>
            </w:r>
          </w:p>
        </w:tc>
        <w:tc>
          <w:tcPr>
            <w:tcW w:w="1480" w:type="dxa"/>
            <w:vAlign w:val="bottom"/>
          </w:tcPr>
          <w:p>
            <w:pPr>
              <w:jc w:val="right"/>
              <w:spacing w:after="0"/>
              <w:rPr>
                <w:sz w:val="20"/>
                <w:szCs w:val="20"/>
                <w:color w:val="auto"/>
              </w:rPr>
            </w:pPr>
            <w:r>
              <w:rPr>
                <w:rFonts w:ascii="Arial" w:cs="Arial" w:eastAsia="Arial" w:hAnsi="Arial"/>
                <w:sz w:val="17"/>
                <w:szCs w:val="17"/>
                <w:color w:val="auto"/>
              </w:rPr>
              <w:t>17,253,182</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9,595,605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issuable upon vesting of Earn-out shares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8,821,913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19,999,988</w:t>
            </w:r>
          </w:p>
        </w:tc>
      </w:tr>
      <w:tr>
        <w:trPr>
          <w:trHeight w:val="226"/>
        </w:trPr>
        <w:tc>
          <w:tcPr>
            <w:tcW w:w="6620" w:type="dxa"/>
            <w:vAlign w:val="bottom"/>
          </w:tcPr>
          <w:p>
            <w:pPr>
              <w:ind w:left="20"/>
              <w:spacing w:after="0"/>
              <w:rPr>
                <w:sz w:val="20"/>
                <w:szCs w:val="20"/>
                <w:color w:val="auto"/>
              </w:rPr>
            </w:pPr>
            <w:r>
              <w:rPr>
                <w:rFonts w:ascii="Arial" w:cs="Arial" w:eastAsia="Arial" w:hAnsi="Arial"/>
                <w:sz w:val="17"/>
                <w:szCs w:val="17"/>
                <w:color w:val="auto"/>
              </w:rPr>
              <w:t>Shares issuable that may be subject to cancellation</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744,349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1,687,500</w:t>
            </w:r>
          </w:p>
        </w:tc>
      </w:tr>
    </w:tbl>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 COMMITMENTS AND CONTINGENCIES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Litigation</w:t>
      </w:r>
    </w:p>
    <w:p>
      <w:pPr>
        <w:spacing w:after="0" w:line="19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From time to time, the Group may become involved in litigation, claims, and proceedings. The Group evaluates the status of each legal matter and assesses the potential financial exposure. If the potential loss from any legal proceedings or litigation is considered probable and the amount can be reasonably estimated, the Group accrues a liability for the estimated loss. Significant judgment is required to determine the probability of a loss and whether the amount of the loss is reasonably estimated. As of December 31, 2021 and 2022, based on the information currently available, the Group believes that the loss contingencies that may arise as a result of currently pending legal proceedings are not reasonably likely to have a material adverse effect on the Group’s business, results of operations, financial condition, and cash flows.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106"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MICROVAST HOLDINGS, INC.</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5"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FOR THE YEARS ENDED DECEMBER 31, 2019, 2020 AND 2021</w:t>
      </w:r>
    </w:p>
    <w:p>
      <w:pPr>
        <w:spacing w:after="0" w:line="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 COMMITMENTS AND CONTINGENCIES - continued</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Capital commitments</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Capital commitments for construction of property and purchase of property, plant and equipment were $227,353 as of December 31, 2022, which is mainly for the construction of capacity expansion projects in Huzhou, PRC and Clarksville, USA.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Purchase Commitments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Purchase commitments for non-cancelable contractual obligations primarily related to purchases of inventory were $30,468 as of December 31, 2022.</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29. SUBSEQUENT EVENTS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New RSU and PSU Grants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January 31, 2023, the Company granted 1,406,150 RSUs and 1,406,150 PSUs to employees, subject to service and market conditions, respectively. The service condition requires the participant’s continued employment with the Company through the applicable vesting date(s), and the market condition is based on the Company's TSR relative to a comparator group during a specified performance period.</w:t>
      </w:r>
    </w:p>
    <w:p>
      <w:pPr>
        <w:spacing w:after="0" w:line="200" w:lineRule="exact"/>
        <w:rPr>
          <w:sz w:val="20"/>
          <w:szCs w:val="20"/>
          <w:color w:val="auto"/>
        </w:rPr>
      </w:pPr>
    </w:p>
    <w:p>
      <w:pPr>
        <w:spacing w:after="0" w:line="33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920"/>
          </w:cols>
          <w:pgMar w:left="320" w:top="123" w:right="65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INFORMATION FINANCIAL STATEMENT SCHEDULE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FINANCIAL INFORMATION OF PARENT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4"/>
                <w:szCs w:val="14"/>
                <w:color w:val="auto"/>
              </w:rPr>
            </w:pPr>
          </w:p>
        </w:tc>
        <w:tc>
          <w:tcPr>
            <w:tcW w:w="1260" w:type="dxa"/>
            <w:vAlign w:val="bottom"/>
          </w:tcPr>
          <w:p>
            <w:pPr>
              <w:jc w:val="right"/>
              <w:ind w:right="27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3"/>
        </w:trPr>
        <w:tc>
          <w:tcPr>
            <w:tcW w:w="8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3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533"/>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35"/>
        </w:trPr>
        <w:tc>
          <w:tcPr>
            <w:tcW w:w="8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82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82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8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and cash equivalents</w:t>
            </w: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357,008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99,337</w:t>
            </w:r>
          </w:p>
        </w:tc>
        <w:tc>
          <w:tcPr>
            <w:tcW w:w="0" w:type="dxa"/>
            <w:vAlign w:val="bottom"/>
          </w:tcPr>
          <w:p>
            <w:pPr>
              <w:spacing w:after="0"/>
              <w:rPr>
                <w:sz w:val="1"/>
                <w:szCs w:val="1"/>
                <w:color w:val="auto"/>
              </w:rPr>
            </w:pPr>
          </w:p>
        </w:tc>
      </w:tr>
      <w:tr>
        <w:trPr>
          <w:trHeight w:val="178"/>
        </w:trPr>
        <w:tc>
          <w:tcPr>
            <w:tcW w:w="8200" w:type="dxa"/>
            <w:vAlign w:val="bottom"/>
          </w:tcPr>
          <w:p>
            <w:pPr>
              <w:ind w:left="20"/>
              <w:spacing w:after="0"/>
              <w:rPr>
                <w:sz w:val="20"/>
                <w:szCs w:val="20"/>
                <w:color w:val="auto"/>
              </w:rPr>
            </w:pPr>
            <w:r>
              <w:rPr>
                <w:rFonts w:ascii="Arial" w:cs="Arial" w:eastAsia="Arial" w:hAnsi="Arial"/>
                <w:sz w:val="13"/>
                <w:szCs w:val="13"/>
                <w:color w:val="auto"/>
              </w:rPr>
              <w:t>Short-term investment</w:t>
            </w:r>
          </w:p>
        </w:tc>
        <w:tc>
          <w:tcPr>
            <w:tcW w:w="2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25,070</w:t>
            </w:r>
          </w:p>
        </w:tc>
        <w:tc>
          <w:tcPr>
            <w:tcW w:w="0" w:type="dxa"/>
            <w:vAlign w:val="bottom"/>
          </w:tcPr>
          <w:p>
            <w:pPr>
              <w:spacing w:after="0"/>
              <w:rPr>
                <w:sz w:val="1"/>
                <w:szCs w:val="1"/>
                <w:color w:val="auto"/>
              </w:rPr>
            </w:pPr>
          </w:p>
        </w:tc>
      </w:tr>
      <w:tr>
        <w:trPr>
          <w:trHeight w:val="23"/>
        </w:trPr>
        <w:tc>
          <w:tcPr>
            <w:tcW w:w="8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Amount due from subsidiaries</w:t>
            </w: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2,000</w:t>
            </w:r>
          </w:p>
        </w:tc>
        <w:tc>
          <w:tcPr>
            <w:tcW w:w="0" w:type="dxa"/>
            <w:vAlign w:val="bottom"/>
          </w:tcPr>
          <w:p>
            <w:pPr>
              <w:spacing w:after="0"/>
              <w:rPr>
                <w:sz w:val="1"/>
                <w:szCs w:val="1"/>
                <w:color w:val="auto"/>
              </w:rPr>
            </w:pPr>
          </w:p>
        </w:tc>
      </w:tr>
      <w:tr>
        <w:trPr>
          <w:trHeight w:val="171"/>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Total Current Assets</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357,008</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126,407</w:t>
            </w:r>
          </w:p>
        </w:tc>
        <w:tc>
          <w:tcPr>
            <w:tcW w:w="0" w:type="dxa"/>
            <w:vAlign w:val="bottom"/>
          </w:tcPr>
          <w:p>
            <w:pPr>
              <w:spacing w:after="0"/>
              <w:rPr>
                <w:sz w:val="1"/>
                <w:szCs w:val="1"/>
                <w:color w:val="auto"/>
              </w:rPr>
            </w:pPr>
          </w:p>
        </w:tc>
      </w:tr>
      <w:tr>
        <w:trPr>
          <w:trHeight w:val="23"/>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Investments in subsidiaries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690,032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592,264</w:t>
            </w:r>
          </w:p>
        </w:tc>
        <w:tc>
          <w:tcPr>
            <w:tcW w:w="0" w:type="dxa"/>
            <w:vAlign w:val="bottom"/>
          </w:tcPr>
          <w:p>
            <w:pPr>
              <w:spacing w:after="0"/>
              <w:rPr>
                <w:sz w:val="1"/>
                <w:szCs w:val="1"/>
                <w:color w:val="auto"/>
              </w:rPr>
            </w:pPr>
          </w:p>
        </w:tc>
      </w:tr>
      <w:tr>
        <w:trPr>
          <w:trHeight w:val="193"/>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Total Assets</w:t>
            </w: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1,047,040</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718,671</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200" w:type="dxa"/>
            <w:vAlign w:val="bottom"/>
          </w:tcPr>
          <w:p>
            <w:pPr>
              <w:ind w:left="20"/>
              <w:spacing w:after="0"/>
              <w:rPr>
                <w:sz w:val="20"/>
                <w:szCs w:val="20"/>
                <w:color w:val="auto"/>
              </w:rPr>
            </w:pPr>
            <w:r>
              <w:rPr>
                <w:rFonts w:ascii="Arial" w:cs="Arial" w:eastAsia="Arial" w:hAnsi="Arial"/>
                <w:sz w:val="13"/>
                <w:szCs w:val="13"/>
                <w:color w:val="auto"/>
              </w:rPr>
              <w:t>Amount due to inter-company</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359,202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105,533</w:t>
            </w:r>
          </w:p>
        </w:tc>
        <w:tc>
          <w:tcPr>
            <w:tcW w:w="0" w:type="dxa"/>
            <w:vAlign w:val="bottom"/>
          </w:tcPr>
          <w:p>
            <w:pPr>
              <w:spacing w:after="0"/>
              <w:rPr>
                <w:sz w:val="1"/>
                <w:szCs w:val="1"/>
                <w:color w:val="auto"/>
              </w:rPr>
            </w:pPr>
          </w:p>
        </w:tc>
      </w:tr>
      <w:tr>
        <w:trPr>
          <w:trHeight w:val="23"/>
        </w:trPr>
        <w:tc>
          <w:tcPr>
            <w:tcW w:w="8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Accrued expenses and other 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1"/>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Total Current Liabilities</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359,237</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105,568</w:t>
            </w:r>
          </w:p>
        </w:tc>
        <w:tc>
          <w:tcPr>
            <w:tcW w:w="0" w:type="dxa"/>
            <w:vAlign w:val="bottom"/>
          </w:tcPr>
          <w:p>
            <w:pPr>
              <w:spacing w:after="0"/>
              <w:rPr>
                <w:sz w:val="1"/>
                <w:szCs w:val="1"/>
                <w:color w:val="auto"/>
              </w:rPr>
            </w:pPr>
          </w:p>
        </w:tc>
      </w:tr>
      <w:tr>
        <w:trPr>
          <w:trHeight w:val="23"/>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Warrant liability</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93"/>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Total Liabilities</w:t>
            </w: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360,342</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105,694</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8200" w:type="dxa"/>
            <w:vAlign w:val="bottom"/>
          </w:tcPr>
          <w:p>
            <w:pPr>
              <w:ind w:left="20"/>
              <w:spacing w:after="0"/>
              <w:rPr>
                <w:sz w:val="20"/>
                <w:szCs w:val="20"/>
                <w:color w:val="auto"/>
              </w:rPr>
            </w:pPr>
            <w:r>
              <w:rPr>
                <w:rFonts w:ascii="Arial" w:cs="Arial" w:eastAsia="Arial" w:hAnsi="Arial"/>
                <w:sz w:val="13"/>
                <w:szCs w:val="13"/>
                <w:b w:val="1"/>
                <w:bCs w:val="1"/>
                <w:color w:val="auto"/>
              </w:rPr>
              <w:t>Shareholders’ Deficit</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8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94"/>
              </w:rPr>
              <w:t>Common Stock (par value of US$0.0001 per share, 750,000,000 shares authorized as of December 31, 2021 and 2022; 300,530,516 and 309,316,011</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8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shares issued, and 298,843,016 and 307,628,511 shares outstanding as of December 31, 2021 and 2022)</w:t>
            </w: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91"/>
        </w:trPr>
        <w:tc>
          <w:tcPr>
            <w:tcW w:w="8200" w:type="dxa"/>
            <w:vAlign w:val="bottom"/>
          </w:tcPr>
          <w:p>
            <w:pPr>
              <w:ind w:left="20"/>
              <w:spacing w:after="0"/>
              <w:rPr>
                <w:sz w:val="20"/>
                <w:szCs w:val="20"/>
                <w:color w:val="auto"/>
              </w:rPr>
            </w:pPr>
            <w:r>
              <w:rPr>
                <w:rFonts w:ascii="Arial" w:cs="Arial" w:eastAsia="Arial" w:hAnsi="Arial"/>
                <w:sz w:val="13"/>
                <w:szCs w:val="13"/>
                <w:color w:val="auto"/>
              </w:rPr>
              <w:t>Additional paid-in capital</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1,306,034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1,416,160</w:t>
            </w:r>
          </w:p>
        </w:tc>
        <w:tc>
          <w:tcPr>
            <w:tcW w:w="0" w:type="dxa"/>
            <w:vAlign w:val="bottom"/>
          </w:tcPr>
          <w:p>
            <w:pPr>
              <w:spacing w:after="0"/>
              <w:rPr>
                <w:sz w:val="1"/>
                <w:szCs w:val="1"/>
                <w:color w:val="auto"/>
              </w:rPr>
            </w:pPr>
          </w:p>
        </w:tc>
      </w:tr>
      <w:tr>
        <w:trPr>
          <w:trHeight w:val="23"/>
        </w:trPr>
        <w:tc>
          <w:tcPr>
            <w:tcW w:w="8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Statutory reserves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6,032</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6,032</w:t>
            </w:r>
          </w:p>
        </w:tc>
        <w:tc>
          <w:tcPr>
            <w:tcW w:w="0" w:type="dxa"/>
            <w:vAlign w:val="bottom"/>
          </w:tcPr>
          <w:p>
            <w:pPr>
              <w:spacing w:after="0"/>
              <w:rPr>
                <w:sz w:val="1"/>
                <w:szCs w:val="1"/>
                <w:color w:val="auto"/>
              </w:rPr>
            </w:pPr>
          </w:p>
        </w:tc>
      </w:tr>
      <w:tr>
        <w:trPr>
          <w:trHeight w:val="191"/>
        </w:trPr>
        <w:tc>
          <w:tcPr>
            <w:tcW w:w="8200" w:type="dxa"/>
            <w:vAlign w:val="bottom"/>
          </w:tcPr>
          <w:p>
            <w:pPr>
              <w:ind w:left="20"/>
              <w:spacing w:after="0"/>
              <w:rPr>
                <w:sz w:val="20"/>
                <w:szCs w:val="20"/>
                <w:color w:val="auto"/>
              </w:rPr>
            </w:pPr>
            <w:r>
              <w:rPr>
                <w:rFonts w:ascii="Arial" w:cs="Arial" w:eastAsia="Arial" w:hAnsi="Arial"/>
                <w:sz w:val="13"/>
                <w:szCs w:val="13"/>
                <w:color w:val="auto"/>
              </w:rPr>
              <w:t>Accumulated deficit</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(632,099)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(791,165)</w:t>
            </w:r>
          </w:p>
        </w:tc>
        <w:tc>
          <w:tcPr>
            <w:tcW w:w="0" w:type="dxa"/>
            <w:vAlign w:val="bottom"/>
          </w:tcPr>
          <w:p>
            <w:pPr>
              <w:spacing w:after="0"/>
              <w:rPr>
                <w:sz w:val="1"/>
                <w:szCs w:val="1"/>
                <w:color w:val="auto"/>
              </w:rPr>
            </w:pPr>
          </w:p>
        </w:tc>
      </w:tr>
      <w:tr>
        <w:trPr>
          <w:trHeight w:val="23"/>
        </w:trPr>
        <w:tc>
          <w:tcPr>
            <w:tcW w:w="8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other comprehensive income (loss)</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6,701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(18,081)</w:t>
            </w:r>
          </w:p>
        </w:tc>
        <w:tc>
          <w:tcPr>
            <w:tcW w:w="0" w:type="dxa"/>
            <w:vAlign w:val="bottom"/>
          </w:tcPr>
          <w:p>
            <w:pPr>
              <w:spacing w:after="0"/>
              <w:rPr>
                <w:sz w:val="1"/>
                <w:szCs w:val="1"/>
                <w:color w:val="auto"/>
              </w:rPr>
            </w:pPr>
          </w:p>
        </w:tc>
      </w:tr>
      <w:tr>
        <w:trPr>
          <w:trHeight w:val="171"/>
        </w:trPr>
        <w:tc>
          <w:tcPr>
            <w:tcW w:w="8200" w:type="dxa"/>
            <w:vAlign w:val="bottom"/>
          </w:tcPr>
          <w:p>
            <w:pPr>
              <w:ind w:left="20"/>
              <w:spacing w:after="0"/>
              <w:rPr>
                <w:sz w:val="20"/>
                <w:szCs w:val="20"/>
                <w:color w:val="auto"/>
              </w:rPr>
            </w:pPr>
            <w:r>
              <w:rPr>
                <w:rFonts w:ascii="Arial" w:cs="Arial" w:eastAsia="Arial" w:hAnsi="Arial"/>
                <w:sz w:val="13"/>
                <w:szCs w:val="13"/>
                <w:color w:val="auto"/>
              </w:rPr>
              <w:t>Total Shareholders’ Equity</w:t>
            </w: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686,698</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612,977</w:t>
            </w:r>
          </w:p>
        </w:tc>
        <w:tc>
          <w:tcPr>
            <w:tcW w:w="0" w:type="dxa"/>
            <w:vAlign w:val="bottom"/>
          </w:tcPr>
          <w:p>
            <w:pPr>
              <w:spacing w:after="0"/>
              <w:rPr>
                <w:sz w:val="1"/>
                <w:szCs w:val="1"/>
                <w:color w:val="auto"/>
              </w:rPr>
            </w:pPr>
          </w:p>
        </w:tc>
      </w:tr>
      <w:tr>
        <w:trPr>
          <w:trHeight w:val="23"/>
        </w:trPr>
        <w:tc>
          <w:tcPr>
            <w:tcW w:w="8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Liabilities and Shareholders’ Equity</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1,047,040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718,671</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INFORMATION FINANCIAL STATEMENT SCHEDULE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FINANCIAL INFORMATION OF PARENT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40"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Year Ended</w:t>
      </w:r>
    </w:p>
    <w:p>
      <w:pPr>
        <w:spacing w:after="0" w:line="22"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19685</wp:posOffset>
            </wp:positionV>
            <wp:extent cx="29330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from subsidiaries</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Gross profit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37"/>
        </w:trPr>
        <w:tc>
          <w:tcPr>
            <w:tcW w:w="662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9"/>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(2,424)</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(2,438)</w:t>
            </w:r>
          </w:p>
        </w:tc>
      </w:tr>
      <w:tr>
        <w:trPr>
          <w:trHeight w:val="231"/>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(3,340)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(2,424)</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(2,438)</w:t>
            </w: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Subsidy income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Loss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(2,917)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(2,424)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(2,438)</w:t>
            </w:r>
          </w:p>
        </w:tc>
      </w:tr>
      <w:tr>
        <w:trPr>
          <w:trHeight w:val="257"/>
        </w:trPr>
        <w:tc>
          <w:tcPr>
            <w:tcW w:w="6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Other income and expenses: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2,179</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Loss on changes in fair value of Bridge Notes</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(9,861)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on change in fair value of warrant liability</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979</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Other expense, net</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(Loss) income before provision for income taxes</w:t>
            </w:r>
          </w:p>
        </w:tc>
        <w:tc>
          <w:tcPr>
            <w:tcW w:w="3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(2,879)</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(9,747)</w:t>
            </w: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720</w:t>
            </w:r>
          </w:p>
        </w:tc>
      </w:tr>
      <w:tr>
        <w:trPr>
          <w:trHeight w:val="232"/>
        </w:trPr>
        <w:tc>
          <w:tcPr>
            <w:tcW w:w="66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investment in subsidiaries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(30,746)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(196,736)</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(158,920)</w:t>
            </w:r>
          </w:p>
        </w:tc>
      </w:tr>
      <w:tr>
        <w:trPr>
          <w:trHeight w:val="237"/>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Net loss</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(33,625)</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(206,483)</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(158,200)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4"/>
        </w:trPr>
        <w:tc>
          <w:tcPr>
            <w:tcW w:w="66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Other comprehensive loss, net of tax of nil:</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2"/>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currency translation adjustment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(24,782)</w:t>
            </w:r>
          </w:p>
        </w:tc>
      </w:tr>
      <w:tr>
        <w:trPr>
          <w:trHeight w:val="262"/>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comprehensive loss attributable to Microvast Holdings, Inc.</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(17,003)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(207,138)</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(182,982)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ADDITIONAL INFORMATION FINANCIAL STATEMENT SCHEDULE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FINANCIAL INFORMATION OF PARENT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of U.S. dollars, except share and per share data, or as otherwise noted)</w:t>
      </w:r>
    </w:p>
    <w:p>
      <w:pPr>
        <w:spacing w:after="0" w:line="240"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Year Ended</w:t>
      </w:r>
    </w:p>
    <w:p>
      <w:pPr>
        <w:spacing w:after="0" w:line="22" w:lineRule="exact"/>
        <w:rPr>
          <w:sz w:val="20"/>
          <w:szCs w:val="20"/>
          <w:color w:val="auto"/>
        </w:rPr>
      </w:pPr>
    </w:p>
    <w:p>
      <w:pPr>
        <w:jc w:val="center"/>
        <w:ind w:left="6620"/>
        <w:spacing w:after="0"/>
        <w:rPr>
          <w:sz w:val="20"/>
          <w:szCs w:val="20"/>
          <w:color w:val="auto"/>
        </w:rPr>
      </w:pPr>
      <w:r>
        <w:rPr>
          <w:rFonts w:ascii="Arial" w:cs="Arial" w:eastAsia="Arial" w:hAnsi="Arial"/>
          <w:sz w:val="17"/>
          <w:szCs w:val="17"/>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19685</wp:posOffset>
            </wp:positionV>
            <wp:extent cx="29330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2022</w:t>
            </w:r>
          </w:p>
        </w:tc>
      </w:tr>
      <w:tr>
        <w:trPr>
          <w:trHeight w:val="237"/>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operating activities</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(3,398)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(2,846)</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(4,498)</w:t>
            </w:r>
          </w:p>
        </w:tc>
      </w:tr>
      <w:tr>
        <w:trPr>
          <w:trHeight w:val="225"/>
        </w:trPr>
        <w:tc>
          <w:tcPr>
            <w:tcW w:w="662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(18,465)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Investment in subsidiaries</w:t>
            </w:r>
          </w:p>
        </w:tc>
        <w:tc>
          <w:tcPr>
            <w:tcW w:w="9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(354,014)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(255,662)</w:t>
            </w:r>
          </w:p>
        </w:tc>
      </w:tr>
      <w:tr>
        <w:trPr>
          <w:trHeight w:val="239"/>
        </w:trPr>
        <w:tc>
          <w:tcPr>
            <w:tcW w:w="66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short-term investment</w:t>
            </w:r>
          </w:p>
        </w:tc>
        <w:tc>
          <w:tcPr>
            <w:tcW w:w="9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(25,070)</w:t>
            </w:r>
          </w:p>
        </w:tc>
      </w:tr>
      <w:tr>
        <w:trPr>
          <w:trHeight w:val="231"/>
        </w:trPr>
        <w:tc>
          <w:tcPr>
            <w:tcW w:w="66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(372,479)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(280,732)</w:t>
            </w:r>
          </w:p>
        </w:tc>
      </w:tr>
      <w:tr>
        <w:trPr>
          <w:trHeight w:val="245"/>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Cash received from the trust account upon Merger, net of transaction costs</w:t>
            </w:r>
          </w:p>
        </w:tc>
        <w:tc>
          <w:tcPr>
            <w:tcW w:w="9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223,605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received from PIPE investors upon Merger</w:t>
            </w:r>
          </w:p>
        </w:tc>
        <w:tc>
          <w:tcPr>
            <w:tcW w:w="9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482,500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tcPr>
          <w:p>
            <w:pPr>
              <w:ind w:left="160"/>
              <w:spacing w:after="0"/>
              <w:rPr>
                <w:sz w:val="20"/>
                <w:szCs w:val="20"/>
                <w:color w:val="auto"/>
              </w:rPr>
            </w:pPr>
            <w:r>
              <w:rPr>
                <w:rFonts w:ascii="Arial" w:cs="Arial" w:eastAsia="Arial" w:hAnsi="Arial"/>
                <w:sz w:val="17"/>
                <w:szCs w:val="17"/>
                <w:color w:val="auto"/>
              </w:rPr>
              <w:t>Issuance of Bridge Notes</w:t>
            </w:r>
          </w:p>
        </w:tc>
        <w:tc>
          <w:tcPr>
            <w:tcW w:w="94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57,500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66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Payment to exited noncontrolling interests</w:t>
            </w:r>
          </w:p>
        </w:tc>
        <w:tc>
          <w:tcPr>
            <w:tcW w:w="9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(32,872)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Cash received from shareholders</w:t>
            </w: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27,559</w:t>
            </w: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generated from financing activities</w:t>
            </w:r>
          </w:p>
        </w:tc>
        <w:tc>
          <w:tcPr>
            <w:tcW w:w="9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730,733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27,559</w:t>
            </w:r>
          </w:p>
        </w:tc>
      </w:tr>
      <w:tr>
        <w:trPr>
          <w:trHeight w:val="231"/>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(Decrease)/increase in cash, cash equivalents and restricted cash</w:t>
            </w:r>
          </w:p>
        </w:tc>
        <w:tc>
          <w:tcPr>
            <w:tcW w:w="9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(3,778)</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355,408</w:t>
            </w:r>
          </w:p>
        </w:tc>
        <w:tc>
          <w:tcPr>
            <w:tcW w:w="8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(257,671)</w:t>
            </w:r>
          </w:p>
        </w:tc>
      </w:tr>
      <w:tr>
        <w:trPr>
          <w:trHeight w:val="23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the period</w:t>
            </w:r>
          </w:p>
        </w:tc>
        <w:tc>
          <w:tcPr>
            <w:tcW w:w="9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357,008</w:t>
            </w:r>
          </w:p>
        </w:tc>
      </w:tr>
      <w:tr>
        <w:trPr>
          <w:trHeight w:val="237"/>
        </w:trPr>
        <w:tc>
          <w:tcPr>
            <w:tcW w:w="6620" w:type="dxa"/>
            <w:vAlign w:val="bottom"/>
          </w:tcPr>
          <w:p>
            <w:pPr>
              <w:ind w:left="20"/>
              <w:spacing w:after="0"/>
              <w:rPr>
                <w:sz w:val="20"/>
                <w:szCs w:val="20"/>
                <w:color w:val="auto"/>
              </w:rPr>
            </w:pPr>
            <w:r>
              <w:rPr>
                <w:rFonts w:ascii="Arial" w:cs="Arial" w:eastAsia="Arial" w:hAnsi="Arial"/>
                <w:sz w:val="17"/>
                <w:szCs w:val="17"/>
                <w:color w:val="auto"/>
              </w:rPr>
              <w:t>Cash, cash equivalents and restricted cash at end of the period</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357,008</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99,337</w:t>
            </w:r>
          </w:p>
        </w:tc>
      </w:tr>
      <w:tr>
        <w:trPr>
          <w:trHeight w:val="20"/>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ADDITIONAL INFORMATION FINANCIAL STATEMENT SCHEDULE I</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CONDENSED FINANCIAL INFORMATION OF PARENT COMPANY</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OF THE CONDENSED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BASIS FOR PREPARATION</w:t>
      </w:r>
    </w:p>
    <w:p>
      <w:pPr>
        <w:spacing w:after="0" w:line="2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financial information of the Company has been prepared using the same accounting policies as set out in the Group’s consolidated financial statements except that the Company has used the equity method to account for investments in its subsidiaries.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On July 23, 2021, Tuscan Holdings Corp. consummated the Merger with Microvast, Inc. pursuant to the Merger agreement dated February 1, 2021, with Microvast, Inc. surviving from the Merger. As a result of the Merger, Tuscan Holdings Corp. was renamed “Microvast Holdings, Inc.” The Merger transaction is accounted for as a reverse recapitalization as Microvast, Inc. was determined to be the accounting acquirer. As such, the historical consolidated comparative information as of and for the year ended December 31, 2020 in this Schedule I relates to Microvast, Inc. The shares issued and outstanding prior to the completion of the Merger has been retroactively adjusted to give effect to the exchange ratio established in the Merger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INVESTMENTS IN SUBSIDIARIES</w:t>
      </w:r>
    </w:p>
    <w:p>
      <w:pPr>
        <w:spacing w:after="0" w:line="210"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The Company and its subsidiaries were included in the consolidated financial statements where the inter-company transactions and balances were eliminated upon consolidation. For the purpose of the Company’s stand-alone financial statements, its investments in subsidiaries were reported using the equity method of accounting. The Company’s share of income from its subsidiaries were reported as equity in earnings of subsidiaries in the accompanying parent company financial statements.</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10" w:lineRule="exact"/>
        <w:rPr>
          <w:sz w:val="20"/>
          <w:szCs w:val="20"/>
          <w:color w:val="auto"/>
        </w:rPr>
      </w:pPr>
    </w:p>
    <w:p>
      <w:pPr>
        <w:ind w:firstLine="603"/>
        <w:spacing w:after="0" w:line="269" w:lineRule="auto"/>
        <w:rPr>
          <w:sz w:val="20"/>
          <w:szCs w:val="20"/>
          <w:color w:val="auto"/>
        </w:rPr>
      </w:pPr>
      <w:r>
        <w:rPr>
          <w:rFonts w:ascii="Arial" w:cs="Arial" w:eastAsia="Arial" w:hAnsi="Arial"/>
          <w:sz w:val="16"/>
          <w:szCs w:val="16"/>
          <w:color w:val="auto"/>
        </w:rPr>
        <w:t>Under supervision and with the participation of our management, including our Chief Executive Officer and Chief Financial Officer, we evaluated the effectiveness of our disclosure controls and procedures (as defined in Rules 13a-15(e) and 15d-15(e) under the Exchange Act) as of December 31, 2022. Based upon that evaluation, our Chief Executive Officer and Chief Financial Officer concluded that as of December 31, 2022, our disclosure controls and procedures were effective to provide reasonable assurance that information we are required to disclose in reports that we file or submit under the Exchange Act is recorded, processed, summarized and reported within the time period specified in the SEC rules and forms, and that such information is accumulated and communicated to our management, including our Chief Executive Officer and Chief Financial Officer, to allow timely decisions regarding their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10" w:lineRule="exact"/>
        <w:rPr>
          <w:sz w:val="20"/>
          <w:szCs w:val="20"/>
          <w:color w:val="auto"/>
        </w:rPr>
      </w:pPr>
    </w:p>
    <w:p>
      <w:pPr>
        <w:ind w:right="40" w:firstLine="603"/>
        <w:spacing w:after="0" w:line="307"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41" w:lineRule="exact"/>
        <w:rPr>
          <w:sz w:val="20"/>
          <w:szCs w:val="20"/>
          <w:color w:val="auto"/>
        </w:rPr>
      </w:pPr>
    </w:p>
    <w:p>
      <w:pPr>
        <w:ind w:right="200" w:firstLine="603"/>
        <w:spacing w:after="0" w:line="307" w:lineRule="auto"/>
        <w:rPr>
          <w:sz w:val="20"/>
          <w:szCs w:val="20"/>
          <w:color w:val="auto"/>
        </w:rPr>
      </w:pPr>
      <w:r>
        <w:rPr>
          <w:rFonts w:ascii="Arial" w:cs="Arial" w:eastAsia="Arial" w:hAnsi="Arial"/>
          <w:sz w:val="15"/>
          <w:szCs w:val="15"/>
          <w:color w:val="auto"/>
        </w:rPr>
        <w:t>Management assessed the effectiveness of our internal control over financial reporting as December 31, 2022. In making this assessment, management used the criteria set forth by the Committee of Sponsoring Organizations of the Treadway Commission (COSO) in Internal Control-Integrated Framework. Based on our assessment and those criteria, management concluded that, as of December 31, 2022, our internal control over financial reporting is effective.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3" w:lineRule="exact"/>
        <w:rPr>
          <w:sz w:val="20"/>
          <w:szCs w:val="20"/>
          <w:color w:val="auto"/>
        </w:rPr>
      </w:pPr>
    </w:p>
    <w:p>
      <w:pPr>
        <w:ind w:right="320" w:firstLine="603"/>
        <w:spacing w:after="0" w:line="258" w:lineRule="auto"/>
        <w:rPr>
          <w:sz w:val="20"/>
          <w:szCs w:val="20"/>
          <w:color w:val="auto"/>
        </w:rPr>
      </w:pPr>
      <w:r>
        <w:rPr>
          <w:rFonts w:ascii="Arial" w:cs="Arial" w:eastAsia="Arial" w:hAnsi="Arial"/>
          <w:sz w:val="16"/>
          <w:szCs w:val="16"/>
          <w:color w:val="auto"/>
        </w:rPr>
        <w:t>In the course of preparing our consolidated financial statements as of and for the year ended December 31, 2021, we identified one material weakness and other control deficiencies in our internal control over financial reporting. As defined in the standards established by the U.S.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8" w:lineRule="exact"/>
        <w:rPr>
          <w:sz w:val="20"/>
          <w:szCs w:val="20"/>
          <w:color w:val="auto"/>
        </w:rPr>
      </w:pPr>
    </w:p>
    <w:p>
      <w:pPr>
        <w:ind w:right="80" w:firstLine="603"/>
        <w:spacing w:after="0" w:line="241" w:lineRule="auto"/>
        <w:rPr>
          <w:sz w:val="20"/>
          <w:szCs w:val="20"/>
          <w:color w:val="auto"/>
        </w:rPr>
      </w:pPr>
      <w:r>
        <w:rPr>
          <w:rFonts w:ascii="Arial" w:cs="Arial" w:eastAsia="Arial" w:hAnsi="Arial"/>
          <w:sz w:val="17"/>
          <w:szCs w:val="17"/>
          <w:color w:val="auto"/>
        </w:rPr>
        <w:t>As of December 31, 2022, based on our management’s assessment on the performance of certain remediation measures (specified below), we determined that the material weakness in our internal control over financial reporting previously identified by us in connection with the preparation of our consolidated financial statements as of and for the years ended December 31, 2021 had been remediated.</w:t>
      </w:r>
    </w:p>
    <w:p>
      <w:pPr>
        <w:spacing w:after="0" w:line="189" w:lineRule="exact"/>
        <w:rPr>
          <w:sz w:val="20"/>
          <w:szCs w:val="20"/>
          <w:color w:val="auto"/>
        </w:rPr>
      </w:pPr>
    </w:p>
    <w:p>
      <w:pPr>
        <w:ind w:right="40" w:firstLine="603"/>
        <w:spacing w:after="0" w:line="236" w:lineRule="auto"/>
        <w:rPr>
          <w:sz w:val="20"/>
          <w:szCs w:val="20"/>
          <w:color w:val="auto"/>
        </w:rPr>
      </w:pPr>
      <w:r>
        <w:rPr>
          <w:rFonts w:ascii="Arial" w:cs="Arial" w:eastAsia="Arial" w:hAnsi="Arial"/>
          <w:sz w:val="17"/>
          <w:szCs w:val="17"/>
          <w:color w:val="auto"/>
        </w:rPr>
        <w:t>The material weakness that had been identified related to our lack of sufficient skilled staff with appropriate knowledge of U.S. GAAP and SEC reporting requirements to properly address complex U.S. GAAP technical accounting issues and to prepare and review financial statements and related disclosures in accordance with U.S. GAAP and financial reporting requirements set forth by the SEC. To remedy the identified material weakness, we took a series of actions, including hiring additional competent and qualified accounting and reporting personnel with relevant knowledge and working experiences of U.S. GAAP. In addition, we developed a comprehensive accounting policies and procedures manual in accordance with U.S. GAAP available to guide the day-to-day accounting operation and reporting work of our accounting personnel.</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Effectiveness of Controls and Procedures</w:t>
      </w:r>
    </w:p>
    <w:p>
      <w:pPr>
        <w:spacing w:after="0" w:line="18" w:lineRule="exact"/>
        <w:rPr>
          <w:sz w:val="20"/>
          <w:szCs w:val="20"/>
          <w:color w:val="auto"/>
        </w:rPr>
      </w:pPr>
    </w:p>
    <w:p>
      <w:pPr>
        <w:ind w:right="60" w:firstLine="603"/>
        <w:spacing w:after="0" w:line="237" w:lineRule="auto"/>
        <w:rPr>
          <w:sz w:val="20"/>
          <w:szCs w:val="20"/>
          <w:color w:val="auto"/>
        </w:rPr>
      </w:pPr>
      <w:r>
        <w:rPr>
          <w:rFonts w:ascii="Arial" w:cs="Arial" w:eastAsia="Arial" w:hAnsi="Arial"/>
          <w:sz w:val="17"/>
          <w:szCs w:val="17"/>
          <w:color w:val="auto"/>
        </w:rPr>
        <w:t>Our management, including our Chief Executive Officer and Chief Financial Officer, believe that our disclosure controls and procedures and internal control over financial reporting are designed to provide reasonable levels of assurance of achieving their objectives and are effective at the reasonable assurance level. However, management does not expect that our disclosure controls and procedures or our internal control over financial reporting will prevent or detect all errors or all fraud. A control system, no matter how well conceived and operated, can provide only reasonable, not absolute, assurance that the objectives of the control system are met. Because of the inherent limitations in all control systems, no</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may not be detected.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Not applicable.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An issuer will not be required to comply with Item 9C until the SEC has identified it as having non-inspection year.</w:t>
      </w: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060"/>
          </w:cols>
          <w:pgMar w:left="320" w:top="123" w:right="51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Executive Officers and Board of Directors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information is as of March 10,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Age</w:t>
            </w:r>
          </w:p>
        </w:tc>
        <w:tc>
          <w:tcPr>
            <w:tcW w:w="80" w:type="dxa"/>
            <w:vAlign w:val="bottom"/>
            <w:tcBorders>
              <w:bottom w:val="single" w:sz="8" w:color="CCEEFF"/>
            </w:tcBorders>
          </w:tcPr>
          <w:p>
            <w:pPr>
              <w:spacing w:after="0"/>
              <w:rPr>
                <w:sz w:val="19"/>
                <w:szCs w:val="19"/>
                <w:color w:val="auto"/>
              </w:rPr>
            </w:pPr>
          </w:p>
        </w:tc>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Position(s)</w:t>
            </w:r>
          </w:p>
        </w:tc>
      </w:tr>
      <w:tr>
        <w:trPr>
          <w:trHeight w:val="237"/>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Yang Wu</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57</w:t>
            </w:r>
          </w:p>
        </w:tc>
        <w:tc>
          <w:tcPr>
            <w:tcW w:w="80" w:type="dxa"/>
            <w:vAlign w:val="bottom"/>
            <w:shd w:val="clear" w:color="auto" w:fill="CCEEFF"/>
          </w:tcPr>
          <w:p>
            <w:pPr>
              <w:spacing w:after="0"/>
              <w:rPr>
                <w:sz w:val="20"/>
                <w:szCs w:val="20"/>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President and Chief Executive Officer, Chairman of the Board</w:t>
            </w:r>
          </w:p>
        </w:tc>
      </w:tr>
      <w:tr>
        <w:trPr>
          <w:trHeight w:val="232"/>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Craig Webster</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51</w:t>
            </w:r>
          </w:p>
        </w:tc>
        <w:tc>
          <w:tcPr>
            <w:tcW w:w="80" w:type="dxa"/>
            <w:vAlign w:val="bottom"/>
          </w:tcPr>
          <w:p>
            <w:pPr>
              <w:spacing w:after="0"/>
              <w:rPr>
                <w:sz w:val="20"/>
                <w:szCs w:val="20"/>
                <w:color w:val="auto"/>
              </w:rPr>
            </w:pPr>
          </w:p>
        </w:tc>
        <w:tc>
          <w:tcPr>
            <w:tcW w:w="76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45"/>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Shane Smith</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55</w:t>
            </w:r>
          </w:p>
        </w:tc>
        <w:tc>
          <w:tcPr>
            <w:tcW w:w="80" w:type="dxa"/>
            <w:vAlign w:val="bottom"/>
            <w:shd w:val="clear" w:color="auto" w:fill="CCEEFF"/>
          </w:tcPr>
          <w:p>
            <w:pPr>
              <w:spacing w:after="0"/>
              <w:rPr>
                <w:sz w:val="21"/>
                <w:szCs w:val="21"/>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Operating Officer</w:t>
            </w:r>
          </w:p>
        </w:tc>
      </w:tr>
      <w:tr>
        <w:trPr>
          <w:trHeight w:val="232"/>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Wenjuan Mattis, Ph.D.</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42</w:t>
            </w:r>
          </w:p>
        </w:tc>
        <w:tc>
          <w:tcPr>
            <w:tcW w:w="80" w:type="dxa"/>
            <w:vAlign w:val="bottom"/>
          </w:tcPr>
          <w:p>
            <w:pPr>
              <w:spacing w:after="0"/>
              <w:rPr>
                <w:sz w:val="20"/>
                <w:szCs w:val="20"/>
                <w:color w:val="auto"/>
              </w:rPr>
            </w:pPr>
          </w:p>
        </w:tc>
        <w:tc>
          <w:tcPr>
            <w:tcW w:w="7680" w:type="dxa"/>
            <w:vAlign w:val="bottom"/>
          </w:tcPr>
          <w:p>
            <w:pPr>
              <w:ind w:left="20"/>
              <w:spacing w:after="0"/>
              <w:rPr>
                <w:sz w:val="20"/>
                <w:szCs w:val="20"/>
                <w:color w:val="auto"/>
              </w:rPr>
            </w:pPr>
            <w:r>
              <w:rPr>
                <w:rFonts w:ascii="Arial" w:cs="Arial" w:eastAsia="Arial" w:hAnsi="Arial"/>
                <w:sz w:val="17"/>
                <w:szCs w:val="17"/>
                <w:color w:val="auto"/>
              </w:rPr>
              <w:t>Chief Technology Officer</w:t>
            </w:r>
          </w:p>
        </w:tc>
      </w:tr>
      <w:tr>
        <w:trPr>
          <w:trHeight w:val="245"/>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Sascha Rene Kelterborn</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49</w:t>
            </w:r>
          </w:p>
        </w:tc>
        <w:tc>
          <w:tcPr>
            <w:tcW w:w="80" w:type="dxa"/>
            <w:vAlign w:val="bottom"/>
            <w:shd w:val="clear" w:color="auto" w:fill="CCEEFF"/>
          </w:tcPr>
          <w:p>
            <w:pPr>
              <w:spacing w:after="0"/>
              <w:rPr>
                <w:sz w:val="21"/>
                <w:szCs w:val="21"/>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Revenue Officer</w:t>
            </w:r>
          </w:p>
        </w:tc>
      </w:tr>
      <w:tr>
        <w:trPr>
          <w:trHeight w:val="232"/>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Zachariah Ward</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49</w:t>
            </w:r>
          </w:p>
        </w:tc>
        <w:tc>
          <w:tcPr>
            <w:tcW w:w="80" w:type="dxa"/>
            <w:vAlign w:val="bottom"/>
          </w:tcPr>
          <w:p>
            <w:pPr>
              <w:spacing w:after="0"/>
              <w:rPr>
                <w:sz w:val="20"/>
                <w:szCs w:val="20"/>
                <w:color w:val="auto"/>
              </w:rPr>
            </w:pPr>
          </w:p>
        </w:tc>
        <w:tc>
          <w:tcPr>
            <w:tcW w:w="7680" w:type="dxa"/>
            <w:vAlign w:val="bottom"/>
          </w:tcPr>
          <w:p>
            <w:pPr>
              <w:ind w:left="20"/>
              <w:spacing w:after="0"/>
              <w:rPr>
                <w:sz w:val="20"/>
                <w:szCs w:val="20"/>
                <w:color w:val="auto"/>
              </w:rPr>
            </w:pPr>
            <w:r>
              <w:rPr>
                <w:rFonts w:ascii="Arial" w:cs="Arial" w:eastAsia="Arial" w:hAnsi="Arial"/>
                <w:sz w:val="17"/>
                <w:szCs w:val="17"/>
                <w:color w:val="auto"/>
              </w:rPr>
              <w:t>President, Microvast Energy</w:t>
            </w:r>
          </w:p>
        </w:tc>
      </w:tr>
      <w:tr>
        <w:trPr>
          <w:trHeight w:val="245"/>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Lu Gao</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40</w:t>
            </w:r>
          </w:p>
        </w:tc>
        <w:tc>
          <w:tcPr>
            <w:tcW w:w="80" w:type="dxa"/>
            <w:vAlign w:val="bottom"/>
            <w:shd w:val="clear" w:color="auto" w:fill="CCEEFF"/>
          </w:tcPr>
          <w:p>
            <w:pPr>
              <w:spacing w:after="0"/>
              <w:rPr>
                <w:sz w:val="21"/>
                <w:szCs w:val="21"/>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Chief Accounting Officer</w:t>
            </w:r>
          </w:p>
        </w:tc>
      </w:tr>
      <w:tr>
        <w:trPr>
          <w:trHeight w:val="232"/>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Stephen Vogel</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74</w:t>
            </w:r>
          </w:p>
        </w:tc>
        <w:tc>
          <w:tcPr>
            <w:tcW w:w="80" w:type="dxa"/>
            <w:vAlign w:val="bottom"/>
          </w:tcPr>
          <w:p>
            <w:pPr>
              <w:spacing w:after="0"/>
              <w:rPr>
                <w:sz w:val="20"/>
                <w:szCs w:val="20"/>
                <w:color w:val="auto"/>
              </w:rPr>
            </w:pPr>
          </w:p>
        </w:tc>
        <w:tc>
          <w:tcPr>
            <w:tcW w:w="76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5"/>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Yeelong Tan Balladon</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64</w:t>
            </w:r>
          </w:p>
        </w:tc>
        <w:tc>
          <w:tcPr>
            <w:tcW w:w="80" w:type="dxa"/>
            <w:vAlign w:val="bottom"/>
            <w:shd w:val="clear" w:color="auto" w:fill="CCEEFF"/>
          </w:tcPr>
          <w:p>
            <w:pPr>
              <w:spacing w:after="0"/>
              <w:rPr>
                <w:sz w:val="21"/>
                <w:szCs w:val="21"/>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2"/>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Stanley Whittingham</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81</w:t>
            </w:r>
          </w:p>
        </w:tc>
        <w:tc>
          <w:tcPr>
            <w:tcW w:w="80" w:type="dxa"/>
            <w:vAlign w:val="bottom"/>
          </w:tcPr>
          <w:p>
            <w:pPr>
              <w:spacing w:after="0"/>
              <w:rPr>
                <w:sz w:val="20"/>
                <w:szCs w:val="20"/>
                <w:color w:val="auto"/>
              </w:rPr>
            </w:pPr>
          </w:p>
        </w:tc>
        <w:tc>
          <w:tcPr>
            <w:tcW w:w="76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5"/>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Arthur Wong</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63</w:t>
            </w:r>
          </w:p>
        </w:tc>
        <w:tc>
          <w:tcPr>
            <w:tcW w:w="80" w:type="dxa"/>
            <w:vAlign w:val="bottom"/>
            <w:shd w:val="clear" w:color="auto" w:fill="CCEEFF"/>
          </w:tcPr>
          <w:p>
            <w:pPr>
              <w:spacing w:after="0"/>
              <w:rPr>
                <w:sz w:val="21"/>
                <w:szCs w:val="21"/>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r>
        <w:trPr>
          <w:trHeight w:val="232"/>
        </w:trPr>
        <w:tc>
          <w:tcPr>
            <w:tcW w:w="2580" w:type="dxa"/>
            <w:vAlign w:val="bottom"/>
            <w:gridSpan w:val="2"/>
          </w:tcPr>
          <w:p>
            <w:pPr>
              <w:ind w:left="20"/>
              <w:spacing w:after="0"/>
              <w:rPr>
                <w:sz w:val="20"/>
                <w:szCs w:val="20"/>
                <w:color w:val="auto"/>
              </w:rPr>
            </w:pPr>
            <w:r>
              <w:rPr>
                <w:rFonts w:ascii="Arial" w:cs="Arial" w:eastAsia="Arial" w:hAnsi="Arial"/>
                <w:sz w:val="17"/>
                <w:szCs w:val="17"/>
                <w:color w:val="auto"/>
              </w:rPr>
              <w:t>Wei Ying</w:t>
            </w: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56</w:t>
            </w:r>
          </w:p>
        </w:tc>
        <w:tc>
          <w:tcPr>
            <w:tcW w:w="80" w:type="dxa"/>
            <w:vAlign w:val="bottom"/>
          </w:tcPr>
          <w:p>
            <w:pPr>
              <w:spacing w:after="0"/>
              <w:rPr>
                <w:sz w:val="20"/>
                <w:szCs w:val="20"/>
                <w:color w:val="auto"/>
              </w:rPr>
            </w:pPr>
          </w:p>
        </w:tc>
        <w:tc>
          <w:tcPr>
            <w:tcW w:w="7680" w:type="dxa"/>
            <w:vAlign w:val="bottom"/>
          </w:tcPr>
          <w:p>
            <w:pPr>
              <w:ind w:left="20"/>
              <w:spacing w:after="0"/>
              <w:rPr>
                <w:sz w:val="20"/>
                <w:szCs w:val="20"/>
                <w:color w:val="auto"/>
              </w:rPr>
            </w:pPr>
            <w:r>
              <w:rPr>
                <w:rFonts w:ascii="Arial" w:cs="Arial" w:eastAsia="Arial" w:hAnsi="Arial"/>
                <w:sz w:val="17"/>
                <w:szCs w:val="17"/>
                <w:color w:val="auto"/>
              </w:rPr>
              <w:t>Director</w:t>
            </w:r>
          </w:p>
        </w:tc>
      </w:tr>
      <w:tr>
        <w:trPr>
          <w:trHeight w:val="245"/>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Yanzhuan Zheng</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59</w:t>
            </w:r>
          </w:p>
        </w:tc>
        <w:tc>
          <w:tcPr>
            <w:tcW w:w="80" w:type="dxa"/>
            <w:vAlign w:val="bottom"/>
            <w:shd w:val="clear" w:color="auto" w:fill="CCEEFF"/>
          </w:tcPr>
          <w:p>
            <w:pPr>
              <w:spacing w:after="0"/>
              <w:rPr>
                <w:sz w:val="21"/>
                <w:szCs w:val="21"/>
                <w:color w:val="auto"/>
              </w:rPr>
            </w:pPr>
          </w:p>
        </w:tc>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Director</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Executive Officers</w:t>
      </w:r>
    </w:p>
    <w:p>
      <w:pPr>
        <w:spacing w:after="0" w:line="206" w:lineRule="exact"/>
        <w:rPr>
          <w:sz w:val="20"/>
          <w:szCs w:val="20"/>
          <w:color w:val="auto"/>
        </w:rPr>
      </w:pPr>
    </w:p>
    <w:p>
      <w:pPr>
        <w:ind w:firstLine="603"/>
        <w:spacing w:after="0" w:line="269" w:lineRule="auto"/>
        <w:rPr>
          <w:sz w:val="20"/>
          <w:szCs w:val="20"/>
          <w:color w:val="auto"/>
        </w:rPr>
      </w:pPr>
      <w:r>
        <w:rPr>
          <w:rFonts w:ascii="Arial" w:cs="Arial" w:eastAsia="Arial" w:hAnsi="Arial"/>
          <w:sz w:val="16"/>
          <w:szCs w:val="16"/>
          <w:b w:val="1"/>
          <w:bCs w:val="1"/>
          <w:i w:val="1"/>
          <w:iCs w:val="1"/>
          <w:color w:val="auto"/>
        </w:rPr>
        <w:t xml:space="preserve">Yang Wu </w:t>
      </w:r>
      <w:r>
        <w:rPr>
          <w:rFonts w:ascii="Arial" w:cs="Arial" w:eastAsia="Arial" w:hAnsi="Arial"/>
          <w:sz w:val="16"/>
          <w:szCs w:val="16"/>
          <w:color w:val="auto"/>
        </w:rPr>
        <w:t>was elected to our Board as a Class III Director on July 23, 2021, and has served as the Company's President since April 14, 2022. Mr. Wu is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founder of Microvast and has been its Chairman, Chief Executive Officer and director since its inception in October 2006. Mr. Wu was appointed as President of the Company on January 10, 2023. From 2000 to 2006, Mr. Wu served as chief executive officer at Omex Environmental Engineering Co., Ltd., a water treatment company, which he founded and was acquired by Dow Chemical Company in 2006. From 1996 to 2000, Mr. Wu served as chief executive officer and founder of Omex Engineering and Construction Inc. Prior to Omex Engineering and Construction, from 1989 to 1996, Mr. Wu was the founder of World Wide Omex, Inc., an agent for a large oilfield service company. Mr. Wu received his bachelor’s degree from Southwest Petroleum University, Chengdu.</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Wu is qualified to serve on our Board due to his deep industry expertise and his leadership experience.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Wu is a U.S. citizen and resides in the U.S.</w:t>
      </w:r>
    </w:p>
    <w:p>
      <w:pPr>
        <w:spacing w:after="0" w:line="219" w:lineRule="exact"/>
        <w:rPr>
          <w:sz w:val="20"/>
          <w:szCs w:val="20"/>
          <w:color w:val="auto"/>
        </w:rPr>
      </w:pPr>
    </w:p>
    <w:p>
      <w:pPr>
        <w:ind w:right="40" w:firstLine="603"/>
        <w:spacing w:after="0" w:line="248" w:lineRule="auto"/>
        <w:rPr>
          <w:sz w:val="20"/>
          <w:szCs w:val="20"/>
          <w:color w:val="auto"/>
        </w:rPr>
      </w:pPr>
      <w:r>
        <w:rPr>
          <w:rFonts w:ascii="Arial" w:cs="Arial" w:eastAsia="Arial" w:hAnsi="Arial"/>
          <w:sz w:val="16"/>
          <w:szCs w:val="16"/>
          <w:b w:val="1"/>
          <w:bCs w:val="1"/>
          <w:i w:val="1"/>
          <w:iCs w:val="1"/>
          <w:color w:val="auto"/>
        </w:rPr>
        <w:t xml:space="preserve">Craig Webster </w:t>
      </w:r>
      <w:r>
        <w:rPr>
          <w:rFonts w:ascii="Arial" w:cs="Arial" w:eastAsia="Arial" w:hAnsi="Arial"/>
          <w:sz w:val="16"/>
          <w:szCs w:val="16"/>
          <w:color w:val="auto"/>
        </w:rPr>
        <w:t>was appointed as our Chief Financial Officer on April 14, 2022. He served on our Board from July 23, 2021 to July 1, 2022. Prior to that,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also served as a director of Microvast, Inc. from 2012 to July 1, 2022, and served as a member of our Board until July 1, 2022. Mr. Webster joined the Ashmore Group, a dedicated Emerging Markets investment manager, in January 2005, holding positions as General Counsel from 2007 to 2010 and Global Head of its Special Situations Funds from 2013 to 2018. During his time at Ashmore, he was a member of the firm’s investment committees for its special situations funds and Latam Infrastructure Fund. He previously served as a director for BTS Group Holdings PCL (BKK: BTS) and Petron Corporation (Philippines:PCOR). Prior to the Ashmore Group, Mr. Webster worked as a lawyer specializing in cross-border M&amp;A and corporate restructurings with Weil, Gotshal &amp; Manges from 1998 to 2003. Mr. Webster began his career as a lawyer with DLA (now DLA Piper) in 1996. Mr. Webster holds a Bachelor of Arts degree in Marketing from the University of Stirling and the CPE and LPC qualifications from the College of Law (York).</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Webster is a U.K. citizen and resides in the U.S.</w:t>
      </w:r>
    </w:p>
    <w:p>
      <w:pPr>
        <w:spacing w:after="0" w:line="219" w:lineRule="exact"/>
        <w:rPr>
          <w:sz w:val="20"/>
          <w:szCs w:val="20"/>
          <w:color w:val="auto"/>
        </w:rPr>
      </w:pPr>
    </w:p>
    <w:p>
      <w:pPr>
        <w:jc w:val="both"/>
        <w:ind w:right="340" w:firstLine="603"/>
        <w:spacing w:after="0" w:line="257" w:lineRule="auto"/>
        <w:rPr>
          <w:sz w:val="20"/>
          <w:szCs w:val="20"/>
          <w:color w:val="auto"/>
        </w:rPr>
      </w:pPr>
      <w:r>
        <w:rPr>
          <w:rFonts w:ascii="Arial" w:cs="Arial" w:eastAsia="Arial" w:hAnsi="Arial"/>
          <w:sz w:val="17"/>
          <w:szCs w:val="17"/>
          <w:b w:val="1"/>
          <w:bCs w:val="1"/>
          <w:i w:val="1"/>
          <w:iCs w:val="1"/>
          <w:color w:val="auto"/>
        </w:rPr>
        <w:t xml:space="preserve">Shane Smith </w:t>
      </w:r>
      <w:r>
        <w:rPr>
          <w:rFonts w:ascii="Arial" w:cs="Arial" w:eastAsia="Arial" w:hAnsi="Arial"/>
          <w:sz w:val="17"/>
          <w:szCs w:val="17"/>
          <w:color w:val="auto"/>
        </w:rPr>
        <w:t>was appointed as our Chief Operating Officer on July 23, 2021. He served as Microvast Inc.’s Chief Operating Officer since February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that, he was Microvast Inc.’s Executive Vice President and President of MP Solutions since August 2019. Prior to joining Microvast, Inc., he was Sr. Vice-President of Product Marketing of</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TransCore, a subsidiary of Roper Technologies, from 2013–2019. From 1996–2013, Mr. Smith worked for TriQuint Semiconductor, today Qorvo, Inc., in various roles of increasing responsibility. In 2011, he was the Vice-President for Global Marketing for Mobile Devices. From 1990–1996, Mr. Smith was a submarine officer in the U.S. Navy. Mr. Smith holds a bachelor’s degree from the U.S. Naval Academy, is a certified Naval Nuclear Engineer, and also holds a Master of Science in Business from the Johns Hopkins University. He serves as a trustee of the U.S. Naval Academy Foundation.</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Smith is a U.S. citizen and resides in the U.S.</w:t>
      </w:r>
    </w:p>
    <w:p>
      <w:pPr>
        <w:spacing w:after="0" w:line="231" w:lineRule="exact"/>
        <w:rPr>
          <w:sz w:val="20"/>
          <w:szCs w:val="20"/>
          <w:color w:val="auto"/>
        </w:rPr>
      </w:pPr>
    </w:p>
    <w:p>
      <w:pPr>
        <w:ind w:right="40" w:firstLine="603"/>
        <w:spacing w:after="0" w:line="266" w:lineRule="auto"/>
        <w:rPr>
          <w:sz w:val="20"/>
          <w:szCs w:val="20"/>
          <w:color w:val="auto"/>
        </w:rPr>
      </w:pPr>
      <w:r>
        <w:rPr>
          <w:rFonts w:ascii="Arial" w:cs="Arial" w:eastAsia="Arial" w:hAnsi="Arial"/>
          <w:sz w:val="16"/>
          <w:szCs w:val="16"/>
          <w:b w:val="1"/>
          <w:bCs w:val="1"/>
          <w:i w:val="1"/>
          <w:iCs w:val="1"/>
          <w:color w:val="auto"/>
        </w:rPr>
        <w:t xml:space="preserve">Dr. Wenjuan Mattis </w:t>
      </w:r>
      <w:r>
        <w:rPr>
          <w:rFonts w:ascii="Arial" w:cs="Arial" w:eastAsia="Arial" w:hAnsi="Arial"/>
          <w:sz w:val="16"/>
          <w:szCs w:val="16"/>
          <w:color w:val="auto"/>
        </w:rPr>
        <w:t>was appointed as our Chief Technology Officer on July 23, 2021. She joined Microvast, Inc. in 2013, and she has served as Microvast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Inc.’s Chief Technology Officer since January 2018, leading the development of battery materials, cells, modules and packs from R&amp;D to production. Prior to that she served as Vice President of Technology since January 2015, and as Chief Scientist from October 2013 to December 2014. From March 2010 to October 2013, Dr. Mattis served as Senior Research Engineer at Dow Chemical Company in Midland, Michigan, where she led and participated in battery projects developing materials and cells for electrified vehicles and consumer electronics. In May 2016, Dr. Mattis was the youngest member ever elected to the board of directors of the International Meeting on Lithium Batteries association. She has also served as the Vice President of International Automotive Lithium Battery Association since June 2013. Dr. Mattis holds a Bachelor of Science degree in Mechanics and Engineering Science from Fudan University, Shanghai and a Ph.D. degree in Materials Science and Engineering from the Pennsylvania State University. Dr. Mattis has been working on the development of lithium-ion battery technology for over 16 years. She has authored 22 papers and holds 97 patents.</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Dr. Mattis is a U.S. citizen and resides in the U.S.</w:t>
      </w:r>
    </w:p>
    <w:p>
      <w:pPr>
        <w:spacing w:after="0" w:line="231" w:lineRule="exact"/>
        <w:rPr>
          <w:sz w:val="20"/>
          <w:szCs w:val="20"/>
          <w:color w:val="auto"/>
        </w:rPr>
      </w:pPr>
    </w:p>
    <w:p>
      <w:pPr>
        <w:ind w:firstLine="603"/>
        <w:spacing w:after="0" w:line="265" w:lineRule="auto"/>
        <w:rPr>
          <w:sz w:val="20"/>
          <w:szCs w:val="20"/>
          <w:color w:val="auto"/>
        </w:rPr>
      </w:pPr>
      <w:r>
        <w:rPr>
          <w:rFonts w:ascii="Arial" w:cs="Arial" w:eastAsia="Arial" w:hAnsi="Arial"/>
          <w:sz w:val="16"/>
          <w:szCs w:val="16"/>
          <w:b w:val="1"/>
          <w:bCs w:val="1"/>
          <w:i w:val="1"/>
          <w:iCs w:val="1"/>
          <w:color w:val="auto"/>
        </w:rPr>
        <w:t xml:space="preserve">Sascha Rene Kelterborn </w:t>
      </w:r>
      <w:r>
        <w:rPr>
          <w:rFonts w:ascii="Arial" w:cs="Arial" w:eastAsia="Arial" w:hAnsi="Arial"/>
          <w:sz w:val="16"/>
          <w:szCs w:val="16"/>
          <w:color w:val="auto"/>
        </w:rPr>
        <w:t>was appointed as our Chief Revenue Officer on July 23, 2021; he also served as President from April 14, 2022 to January 10,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 has been Microvast Inc.’s Chief Revenue Officer and Managing Director of Microvast EMEA since February 2021. From January 2018 until February 2021, he was Microvast Inc.’s Senior Vice President of Sales &amp; Marketing Western Globe. He has also served as Managing Director of MPS and of Microvast EMEA since June 2017. He originally joined Microvast, Inc. as Deputy Managing Director of Microvast GMBH in January 2017. Prior to joining, he served as Managing Director of Kelterborn &amp; Partner, providing consulting services to the railway, building supply and industrial sector from January 2015 to January 2017. From December 2007 until November 2014, he served in numerous positions with Vossloh AG, Werdohl, Germany, including Vice President CIS &amp; Mongolia, December 2010 to November 2014, and Vice President Sales December 2007 to November 2010. At times during his engagement with Vossloh AG, he also served in the following positions: President of Vossloh Fastening Systems America Corp., Chicago, USA; Regional Director Vossloh Middle East Business Rail LLC, Abu Dhabi, UAE; Member of the International Sales Steering Committee of the Vossloh AG; Member of the supervisory board of ZAO Vossloh Fastening Systems, Moscow, Russia; and Member of the supervisory board of Vossloh Fastening Systems, Kunshan, China. Mr. Kelterborn holds a Bachelor of Arts degree from the University of Applied Science in Kiel, Germany.</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Kelterborn is a German citizen and resides in U.S.</w:t>
      </w:r>
    </w:p>
    <w:p>
      <w:pPr>
        <w:spacing w:after="0" w:line="206" w:lineRule="exact"/>
        <w:rPr>
          <w:sz w:val="20"/>
          <w:szCs w:val="20"/>
          <w:color w:val="auto"/>
        </w:rPr>
      </w:pPr>
    </w:p>
    <w:p>
      <w:pPr>
        <w:ind w:right="180" w:firstLine="603"/>
        <w:spacing w:after="0" w:line="293" w:lineRule="auto"/>
        <w:rPr>
          <w:sz w:val="20"/>
          <w:szCs w:val="20"/>
          <w:color w:val="auto"/>
        </w:rPr>
      </w:pPr>
      <w:r>
        <w:rPr>
          <w:rFonts w:ascii="Arial" w:cs="Arial" w:eastAsia="Arial" w:hAnsi="Arial"/>
          <w:sz w:val="15"/>
          <w:szCs w:val="15"/>
          <w:b w:val="1"/>
          <w:bCs w:val="1"/>
          <w:i w:val="1"/>
          <w:iCs w:val="1"/>
          <w:color w:val="auto"/>
        </w:rPr>
        <w:t xml:space="preserve">Zachariah Ward </w:t>
      </w:r>
      <w:r>
        <w:rPr>
          <w:rFonts w:ascii="Arial" w:cs="Arial" w:eastAsia="Arial" w:hAnsi="Arial"/>
          <w:sz w:val="15"/>
          <w:szCs w:val="15"/>
          <w:color w:val="auto"/>
        </w:rPr>
        <w:t>was appointed as President, Microvast Energy on August 1, 2022. He has served as Microvast’s Senior Vice President of Energy Solutions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January 2022. Prior to joining Microvast, he served as General Manager at Chint Power Systems Americas from November 2020 to February 2021. From November 2017 to November 2020, he served as Head of North America Division at Sungrow USA. He also served in different management positions at Axis Technical Sales, Array Technologies, PanelClaw and Advanced Energy Industries. Prior to working in the renewable energy market, he held various management positions in the semiconductor equipment industry at Advanced Energy Industries and Semitool. Mr. Ward holds a bachelor’s degree from DeVry University.</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Ward is a U.S. citizen and resides in the U.S.</w:t>
      </w:r>
    </w:p>
    <w:p>
      <w:pPr>
        <w:spacing w:after="0" w:line="206" w:lineRule="exact"/>
        <w:rPr>
          <w:sz w:val="20"/>
          <w:szCs w:val="20"/>
          <w:color w:val="auto"/>
        </w:rPr>
      </w:pPr>
    </w:p>
    <w:p>
      <w:pPr>
        <w:ind w:right="100" w:firstLine="603"/>
        <w:spacing w:after="0" w:line="253" w:lineRule="auto"/>
        <w:rPr>
          <w:sz w:val="20"/>
          <w:szCs w:val="20"/>
          <w:color w:val="auto"/>
        </w:rPr>
      </w:pPr>
      <w:r>
        <w:rPr>
          <w:rFonts w:ascii="Arial" w:cs="Arial" w:eastAsia="Arial" w:hAnsi="Arial"/>
          <w:sz w:val="17"/>
          <w:szCs w:val="17"/>
          <w:b w:val="1"/>
          <w:bCs w:val="1"/>
          <w:i w:val="1"/>
          <w:iCs w:val="1"/>
          <w:color w:val="auto"/>
        </w:rPr>
        <w:t xml:space="preserve">Lu Gao </w:t>
      </w:r>
      <w:r>
        <w:rPr>
          <w:rFonts w:ascii="Arial" w:cs="Arial" w:eastAsia="Arial" w:hAnsi="Arial"/>
          <w:sz w:val="17"/>
          <w:szCs w:val="17"/>
          <w:color w:val="auto"/>
        </w:rPr>
        <w:t>was appointed as Chief Accounting Officer of the Company on July 23, 2021. She joined Microvast as its Chief Accounting Officer in March 2019.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joining Microvast, she worked for Deloitte Touche Tohmatsu Certified Public Accountants LLP from July 2005 to May 2018 in various positions, where she was the leading manager participating in auditing a number of U.S. listed companies. She holds a bachelor’s degree from Renmin University of China, with a major in accounting.</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Ms. Gao is a citizen of China and resides in China.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 xml:space="preserve">Yang Wu's </w:t>
      </w:r>
      <w:r>
        <w:rPr>
          <w:rFonts w:ascii="Arial" w:cs="Arial" w:eastAsia="Arial" w:hAnsi="Arial"/>
          <w:sz w:val="17"/>
          <w:szCs w:val="17"/>
          <w:color w:val="auto"/>
        </w:rPr>
        <w:t>biographical information is set forth above.</w:t>
      </w:r>
    </w:p>
    <w:p>
      <w:pPr>
        <w:spacing w:after="0" w:line="194" w:lineRule="exact"/>
        <w:rPr>
          <w:sz w:val="20"/>
          <w:szCs w:val="20"/>
          <w:color w:val="auto"/>
        </w:rPr>
      </w:pPr>
    </w:p>
    <w:p>
      <w:pPr>
        <w:ind w:right="80" w:firstLine="603"/>
        <w:spacing w:after="0" w:line="280" w:lineRule="auto"/>
        <w:rPr>
          <w:sz w:val="20"/>
          <w:szCs w:val="20"/>
          <w:color w:val="auto"/>
        </w:rPr>
      </w:pPr>
      <w:r>
        <w:rPr>
          <w:rFonts w:ascii="Arial" w:cs="Arial" w:eastAsia="Arial" w:hAnsi="Arial"/>
          <w:sz w:val="15"/>
          <w:szCs w:val="15"/>
          <w:b w:val="1"/>
          <w:bCs w:val="1"/>
          <w:i w:val="1"/>
          <w:iCs w:val="1"/>
          <w:color w:val="auto"/>
        </w:rPr>
        <w:t xml:space="preserve">Yanzhuan Zheng </w:t>
      </w:r>
      <w:r>
        <w:rPr>
          <w:rFonts w:ascii="Arial" w:cs="Arial" w:eastAsia="Arial" w:hAnsi="Arial"/>
          <w:sz w:val="15"/>
          <w:szCs w:val="15"/>
          <w:color w:val="auto"/>
        </w:rPr>
        <w:t>was elected to the Board as a Class III Director on July 23, 2021. Mr. Zheng served as Microvast’s Chief Financial Officer and as a director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since 2010, and on April 14, 2022, Mr. Zheng transitioned from his role as Chief Financial Officer of the Company to advisor. Prior to joining Microvast, Mr. Zheng joined Quantum Energy Partners, a Houston-based private equity firm, in 2007. Mr. Zheng began his career with Arthur Anderson LLP in 1997. Mr. Zheng holds a Master of Science degree in accounting from Texas A&amp;M University and is a Certified Public Accountant and a CFA Charter holder.</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Zheng is qualified to serve on our Board due to his extensive experience and knowledge of accounting and financial matters.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Zheng is a U.S. citizen and resides in the U.S.</w:t>
      </w:r>
    </w:p>
    <w:p>
      <w:pPr>
        <w:spacing w:after="0" w:line="206" w:lineRule="exact"/>
        <w:rPr>
          <w:sz w:val="20"/>
          <w:szCs w:val="20"/>
          <w:color w:val="auto"/>
        </w:rPr>
      </w:pPr>
    </w:p>
    <w:p>
      <w:pPr>
        <w:ind w:firstLine="603"/>
        <w:spacing w:after="0" w:line="250" w:lineRule="auto"/>
        <w:rPr>
          <w:sz w:val="20"/>
          <w:szCs w:val="20"/>
          <w:color w:val="auto"/>
        </w:rPr>
      </w:pPr>
      <w:r>
        <w:rPr>
          <w:rFonts w:ascii="Arial" w:cs="Arial" w:eastAsia="Arial" w:hAnsi="Arial"/>
          <w:sz w:val="17"/>
          <w:szCs w:val="17"/>
          <w:b w:val="1"/>
          <w:bCs w:val="1"/>
          <w:i w:val="1"/>
          <w:iCs w:val="1"/>
          <w:color w:val="auto"/>
        </w:rPr>
        <w:t xml:space="preserve">Yeelong Tan Balladon </w:t>
      </w:r>
      <w:r>
        <w:rPr>
          <w:rFonts w:ascii="Arial" w:cs="Arial" w:eastAsia="Arial" w:hAnsi="Arial"/>
          <w:sz w:val="17"/>
          <w:szCs w:val="17"/>
          <w:color w:val="auto"/>
        </w:rPr>
        <w:t>was elected to the Board as a Class III Director on July 1, 2022. Ms. Balladon has served as the lead independent trustee of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Ashmore Funds since 2010 and as lead independent trustee since 2014. The Ashmore Funds is a registered U.S. mutual funds complex dedicated to investing in emerging markets. Ms. Balladon also served as a non-executive director of Pacnet Limited from 2008–2015 and Jasper Investments from 2011 to 2015. Ms. Balladon was an associate and subsequently a partner at Freshfields Bruckhaus Deringer, an international law firm, from 1982 to 1988 and 1994 to 2009. She retired from the partnership in 2009. Ms. Balladon holds an LL.B. from the National University of Singapore and is legally professionally qualified in Singapore, England &amp; Wales and the New York Bar.</w:t>
      </w:r>
    </w:p>
    <w:p>
      <w:pPr>
        <w:spacing w:after="0" w:line="184" w:lineRule="exact"/>
        <w:rPr>
          <w:sz w:val="20"/>
          <w:szCs w:val="20"/>
          <w:color w:val="auto"/>
        </w:rPr>
      </w:pPr>
    </w:p>
    <w:p>
      <w:pPr>
        <w:ind w:right="620" w:firstLine="167"/>
        <w:spacing w:after="0" w:line="268" w:lineRule="auto"/>
        <w:rPr>
          <w:sz w:val="20"/>
          <w:szCs w:val="20"/>
          <w:color w:val="auto"/>
        </w:rPr>
      </w:pPr>
      <w:r>
        <w:rPr>
          <w:rFonts w:ascii="Arial" w:cs="Arial" w:eastAsia="Arial" w:hAnsi="Arial"/>
          <w:sz w:val="17"/>
          <w:szCs w:val="17"/>
          <w:color w:val="auto"/>
        </w:rPr>
        <w:t>Ms. Balladon is qualified to serve on our Board due to her extensive legal and financial experience in the finance, banking and M&amp;A sectors, particularly in emerging markets.</w:t>
      </w:r>
    </w:p>
    <w:p>
      <w:pPr>
        <w:spacing w:after="0" w:line="19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Ms. Balladon is a U.S. citizen and resides in the U.S.</w:t>
      </w:r>
    </w:p>
    <w:p>
      <w:pPr>
        <w:spacing w:after="0" w:line="206" w:lineRule="exact"/>
        <w:rPr>
          <w:sz w:val="20"/>
          <w:szCs w:val="20"/>
          <w:color w:val="auto"/>
        </w:rPr>
      </w:pPr>
    </w:p>
    <w:p>
      <w:pPr>
        <w:ind w:right="20" w:firstLine="603"/>
        <w:spacing w:after="0" w:line="265" w:lineRule="auto"/>
        <w:rPr>
          <w:sz w:val="20"/>
          <w:szCs w:val="20"/>
          <w:color w:val="auto"/>
        </w:rPr>
      </w:pPr>
      <w:r>
        <w:rPr>
          <w:rFonts w:ascii="Arial" w:cs="Arial" w:eastAsia="Arial" w:hAnsi="Arial"/>
          <w:sz w:val="16"/>
          <w:szCs w:val="16"/>
          <w:b w:val="1"/>
          <w:bCs w:val="1"/>
          <w:i w:val="1"/>
          <w:iCs w:val="1"/>
          <w:color w:val="auto"/>
        </w:rPr>
        <w:t xml:space="preserve">Wei Ying </w:t>
      </w:r>
      <w:r>
        <w:rPr>
          <w:rFonts w:ascii="Arial" w:cs="Arial" w:eastAsia="Arial" w:hAnsi="Arial"/>
          <w:sz w:val="16"/>
          <w:szCs w:val="16"/>
          <w:color w:val="auto"/>
        </w:rPr>
        <w:t>was elected to the Board as a Class I Director on July 23, 2021. Mr. Ying has been a director of Microvast, Inc. since June 2017. Since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Mr. Ying has been a managing partner and director of CDH Shanghai Dinghui Bai Fu Investment Management Co., Ltd., a key investment manager entity under CDH Investment, and some of its affiliates. Mr. Ying has served as a director of CHTC Fong’s Industries Company Limited (HKG: 0641) since September 2011, a director of Fountain Set (Holdings) Limited (HKG: 0420) since January 2015, a director of Giant Network Group Co., Ltd. (002558.SZ) since May 2016, a director of Zhongsheng Group Holdings Limited (OTCMKTS: ZSHGY) since December 2016, a director of Beijing East Environment Energy Technology Co., Ltd. (NEEQ: 831083) since July 2017, a director of Yunji Inc. (NASDAQ: YJ) since February 2018, and a director of Sinocelltech Group Limited (688520:Shanghai) since February 2019. Mr. Ying has also served as a director of Guolian Industry Investment Fund Management (Beijing) Co., Ltd. since February 2014, a director of Huaian Yuchu Transportation Co., Ltd. since August 2016, a director of Zhejiang Liji Electronics Co., Ltd. since December 2020, a director of Ane (Cayman) Inc. and its affiliates since August 2016, a director of Ningbo Dingcheng Investment Management Co., Ltd. since March 2018, a director of Shenzhen Tajirui Biomedical Co., Ltd. since July 2018, a director of Ningbo Dingyi Asset Management Co., Ltd. since October 2015, and a director of Shanghai Jiexin VC Investment Management Co., Ltd. since January 2017. Mr. Ying received a Bachelor’s Degree in Economics from Zheijiang Gohgshang University and a Master of Business Administration from the University of San Francisco School of Management.</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Ying is qualified to serve on our Board due to his extensive leadership experience and industry knowledge experience.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Ying is a Hong Kong citizen and resides in Hong Kong.</w:t>
      </w:r>
    </w:p>
    <w:p>
      <w:pPr>
        <w:spacing w:after="0" w:line="206"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b w:val="1"/>
          <w:bCs w:val="1"/>
          <w:i w:val="1"/>
          <w:iCs w:val="1"/>
          <w:color w:val="auto"/>
        </w:rPr>
        <w:t xml:space="preserve">Stephen A. Vogel </w:t>
      </w:r>
      <w:r>
        <w:rPr>
          <w:rFonts w:ascii="Arial" w:cs="Arial" w:eastAsia="Arial" w:hAnsi="Arial"/>
          <w:sz w:val="17"/>
          <w:szCs w:val="17"/>
          <w:color w:val="auto"/>
        </w:rPr>
        <w:t>was elected to the Board as a Class I Director on July 23, 2021. He previously served as Tuscan’s Chairman and Chief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its inception. He serves as Chairman and Chief Executive Officer of Tuscan Holdings Corp. II (“Tuscan II”), a blank check company like Tuscan that has been searching for a target business with which to consummate an initial business combination. He served as President and a Director of Twelve Seas Investment Company, a blank check company, from May 2018 until the completion of its business combination with Brooge Holdings Limited in December 2019. From December 2016 until February 2018, Mr. Vogel was Executive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Chairman of Forum Merger Corporation, a blank check company that completed its initial public offering in April 2017. Forum completed its initial business combination in February 2018 with C1 Investment Corp. and in connection with the consummation of the business combination changed its name to ConvergeOne Holdings, Inc. (NASDAQ: CVON). He has served as General Partner of Vogel Partners, LLP, a private investment firm, since 1996. Mr. Vogel began his career in 1971 as President, Chief Executive Officer and co-founder of Synergy Gas Corp., a retail propane distribution company. After selling Synergy Gas Corp. to Northwestern Corp. in 1995, Mr. Vogel co-founded EntreCapital Partners, a private equity firm that focused on companies facing operational or management challenges, and served until 1999. Additionally, he was a venture partner at EnerTech Capital Partners, an energy focused venture capital firm, from 1999 to 2002, and an operating partner at Tri-Artisan Capital Partners, LLC, an investment bank, from 2004 to 2006. Mr. Vogel also served as Chief Executive Officer of Grameen America, a not-for-profit organization that provides microloans to low-income borrowers in the U.S., from 2008 to 2013. He served on the board of Netspend (NASDAQ: NTSP), a leader for prepaid stored value platforms, from 2011 to 2013. Mr. Vogel was a member of the Board of Trustees at Montefiore Medical Center and Children’s Hospital for over 20 years and served on the Board of Trustees at Lighthouse International, a non-profit organization. Mr. Vogel is a past Trustee of the Horace Mann School and previously served on the board of directors of the National Propane Gas Association. Mr. Vogel received a Bachelor of Science degree from the Syracuse University School of Management.</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Vogel is qualified to serve on our Board due to his extensive leadership experience and financial expertise.</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Vogel is a U.S. citizen and resides in the U.S.</w:t>
      </w:r>
    </w:p>
    <w:p>
      <w:pPr>
        <w:spacing w:after="0" w:line="206" w:lineRule="exact"/>
        <w:rPr>
          <w:sz w:val="20"/>
          <w:szCs w:val="20"/>
          <w:color w:val="auto"/>
        </w:rPr>
      </w:pPr>
    </w:p>
    <w:p>
      <w:pPr>
        <w:ind w:right="200" w:firstLine="603"/>
        <w:spacing w:after="0" w:line="271" w:lineRule="auto"/>
        <w:rPr>
          <w:sz w:val="20"/>
          <w:szCs w:val="20"/>
          <w:color w:val="auto"/>
        </w:rPr>
      </w:pPr>
      <w:r>
        <w:rPr>
          <w:rFonts w:ascii="Arial" w:cs="Arial" w:eastAsia="Arial" w:hAnsi="Arial"/>
          <w:sz w:val="16"/>
          <w:szCs w:val="16"/>
          <w:b w:val="1"/>
          <w:bCs w:val="1"/>
          <w:i w:val="1"/>
          <w:iCs w:val="1"/>
          <w:color w:val="auto"/>
        </w:rPr>
        <w:t xml:space="preserve">Stanley Whittingham </w:t>
      </w:r>
      <w:r>
        <w:rPr>
          <w:rFonts w:ascii="Arial" w:cs="Arial" w:eastAsia="Arial" w:hAnsi="Arial"/>
          <w:sz w:val="16"/>
          <w:szCs w:val="16"/>
          <w:color w:val="auto"/>
        </w:rPr>
        <w:t>was elected to the Board as a Class II Director on July 23, 2021. He has been a distinguished professor of chemistry and director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Binghamton University since 1988. He has also served as a director of Magnis Energy Technologies (OTCMKTS: MNSEF)(ASE: MNS) since November 2016. Mr. Whittingham’s research interest and expertise includes elucidation of the limiting mechanisms, chemical and structural, of intercalation reactions using a variety of synthetic and characterization approaches, both in-situ and ex-situ. He was awarded the Nobel Prize in Chemistry in 2019 for his work with lithium-ion batteries. He obtained his Ph.D. in Chemistry, his Master of Arts and his Bachelor of Arts degrees from Oxford University.</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Whittingham is qualified to serve on our Board due to his extensive knowledge on lithium-ion batteries.</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Whittingham is a U.S. citizen and resides in the U.S.</w:t>
      </w:r>
    </w:p>
    <w:p>
      <w:pPr>
        <w:spacing w:after="0" w:line="206" w:lineRule="exact"/>
        <w:rPr>
          <w:sz w:val="20"/>
          <w:szCs w:val="20"/>
          <w:color w:val="auto"/>
        </w:rPr>
      </w:pPr>
    </w:p>
    <w:p>
      <w:pPr>
        <w:ind w:right="220" w:firstLine="603"/>
        <w:spacing w:after="0" w:line="267" w:lineRule="auto"/>
        <w:rPr>
          <w:sz w:val="20"/>
          <w:szCs w:val="20"/>
          <w:color w:val="auto"/>
        </w:rPr>
      </w:pPr>
      <w:r>
        <w:rPr>
          <w:rFonts w:ascii="Arial" w:cs="Arial" w:eastAsia="Arial" w:hAnsi="Arial"/>
          <w:sz w:val="16"/>
          <w:szCs w:val="16"/>
          <w:b w:val="1"/>
          <w:bCs w:val="1"/>
          <w:i w:val="1"/>
          <w:iCs w:val="1"/>
          <w:color w:val="auto"/>
        </w:rPr>
        <w:t xml:space="preserve">Arthur Wong </w:t>
      </w:r>
      <w:r>
        <w:rPr>
          <w:rFonts w:ascii="Arial" w:cs="Arial" w:eastAsia="Arial" w:hAnsi="Arial"/>
          <w:sz w:val="16"/>
          <w:szCs w:val="16"/>
          <w:color w:val="auto"/>
        </w:rPr>
        <w:t>was elected to the Board as a Class II Director on July 23, 2021. Mr. Wong currently serves as an independent director and Chairman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Audit Committee of Daqo New Energy Corp. (NYSE: DQ) and Canadian Solar Inc. (NASDAQ: CSIQ). From March 2020 to March 2022, Mr. Wong served as an independent director of Tarena International, Inc. (NASDAQ: TEDU). From 2008 to 2018, Mr. Wong served as the Chief Financial Officer for Asia New-Energy, Nobao Renewable Energy, GreenTree Inns Hotel Management Group and Beijing Radio Cultural Transmission Company Limited, sequentially. From 1982 to 2008, Mr. Wong worked for Deloitte Touche Tohmatsu in Hong Kong, San Jose and Beijing over various periods of time, with his last position as a partner in the Beijing office. Mr. Wong received a bachelor’s degree in applied economics from the University of San Francisco and a higher diploma of accountancy from Hong Kong Polytechnic University. He is a member of the American Institute of Certified Public Accountants, the Association of Chartered Certified Accountants and the Hong Kong Institute of Certified Public Accountants.</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Mr. Wong is qualified to serve on our Board due to his extensive experience and knowledge of accounting and financial matters as well as audit functions.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Mr. Wong is both a U.K. citizen and a Hong Kong citizen and resides in China.</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Composition of our Board</w:t>
      </w:r>
    </w:p>
    <w:p>
      <w:pPr>
        <w:spacing w:after="0" w:line="210" w:lineRule="exact"/>
        <w:rPr>
          <w:sz w:val="20"/>
          <w:szCs w:val="20"/>
          <w:color w:val="auto"/>
        </w:rPr>
      </w:pPr>
    </w:p>
    <w:p>
      <w:pPr>
        <w:jc w:val="both"/>
        <w:ind w:right="20" w:firstLine="167"/>
        <w:spacing w:after="0" w:line="307" w:lineRule="auto"/>
        <w:rPr>
          <w:sz w:val="20"/>
          <w:szCs w:val="20"/>
          <w:color w:val="auto"/>
        </w:rPr>
      </w:pPr>
      <w:r>
        <w:rPr>
          <w:rFonts w:ascii="Arial" w:cs="Arial" w:eastAsia="Arial" w:hAnsi="Arial"/>
          <w:sz w:val="15"/>
          <w:szCs w:val="15"/>
          <w:color w:val="auto"/>
        </w:rPr>
        <w:t>Our Board is divided into three classes, with each class serving a three-year term. The Class I directors are Stephen Vogel and Wei Ying, each of whom serves a term expiring at the annual meeting in 2022; the Class II directors are Stanley Whittingham and Arthur Wong, each of whom serves a term expiring at the annual meeting in 2023; and the Class III directors are Yang Wu, Yanzhuan Zheng and Yeelong Balladon, each of whom serves a term expiring at the annual meeting in 2024.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0" w:name="page131"/>
    <w:bookmarkEnd w:id="13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120" w:firstLine="603"/>
        <w:spacing w:after="0" w:line="268" w:lineRule="auto"/>
        <w:rPr>
          <w:sz w:val="20"/>
          <w:szCs w:val="20"/>
          <w:color w:val="auto"/>
        </w:rPr>
      </w:pPr>
      <w:r>
        <w:rPr>
          <w:rFonts w:ascii="Arial" w:cs="Arial" w:eastAsia="Arial" w:hAnsi="Arial"/>
          <w:sz w:val="17"/>
          <w:szCs w:val="17"/>
          <w:color w:val="auto"/>
        </w:rPr>
        <w:t>Pursuant to the terms of the Stockholders Agreement, Yang Wu, Yanzhuan Zheng, Stanley Whittingham and Arthur Wong were nominated by Mr. Wu as the initial Wu Directors and Stephen Vogel was nominated by the Tuscan Group as the initial Tuscan Director.</w:t>
      </w:r>
    </w:p>
    <w:p>
      <w:pPr>
        <w:spacing w:after="0" w:line="166" w:lineRule="exact"/>
        <w:rPr>
          <w:sz w:val="20"/>
          <w:szCs w:val="20"/>
          <w:color w:val="auto"/>
        </w:rPr>
      </w:pPr>
    </w:p>
    <w:p>
      <w:pPr>
        <w:ind w:right="80" w:firstLine="167"/>
        <w:spacing w:after="0" w:line="268" w:lineRule="auto"/>
        <w:rPr>
          <w:sz w:val="20"/>
          <w:szCs w:val="20"/>
          <w:color w:val="auto"/>
        </w:rPr>
      </w:pPr>
      <w:r>
        <w:rPr>
          <w:rFonts w:ascii="Arial" w:cs="Arial" w:eastAsia="Arial" w:hAnsi="Arial"/>
          <w:sz w:val="17"/>
          <w:szCs w:val="17"/>
          <w:color w:val="auto"/>
        </w:rPr>
        <w:t>Craig Webster resigned from our Board effective July 1, 2022. His resignation from the Board was in connection with his appointment as Chief Financial Officer of the Company on April 14, 2022. Yeelong Balladon was appointed as a director effective July 1, 2022.</w:t>
      </w:r>
    </w:p>
    <w:p>
      <w:pPr>
        <w:spacing w:after="0" w:line="191" w:lineRule="exact"/>
        <w:rPr>
          <w:sz w:val="20"/>
          <w:szCs w:val="20"/>
          <w:color w:val="auto"/>
        </w:rPr>
      </w:pPr>
    </w:p>
    <w:p>
      <w:pPr>
        <w:ind w:right="340" w:firstLine="603"/>
        <w:spacing w:after="0" w:line="280" w:lineRule="auto"/>
        <w:rPr>
          <w:sz w:val="20"/>
          <w:szCs w:val="20"/>
          <w:color w:val="auto"/>
        </w:rPr>
      </w:pPr>
      <w:r>
        <w:rPr>
          <w:rFonts w:ascii="Arial" w:cs="Arial" w:eastAsia="Arial" w:hAnsi="Arial"/>
          <w:sz w:val="16"/>
          <w:szCs w:val="16"/>
          <w:color w:val="auto"/>
        </w:rPr>
        <w:t>Craig Webster, Yeelong Balladon and Wei Ying each agreed to serve as directors on our Board in their personal capacity and not as a representative of Ashmore Group plc or CDH Griffin Holdings Company Limited, respectively, or any of their affiliates. Mr. Webster has been as a director of Microvast, Inc. since 2012, and he retired from the Ashmore Group in 2018. Mr. Ying has been a director of Microvast, Inc. since June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Diversity Matrix</w:t>
      </w:r>
    </w:p>
    <w:p>
      <w:pPr>
        <w:spacing w:after="0" w:line="235" w:lineRule="exact"/>
        <w:rPr>
          <w:sz w:val="20"/>
          <w:szCs w:val="20"/>
          <w:color w:val="auto"/>
        </w:rPr>
      </w:pPr>
    </w:p>
    <w:p>
      <w:pPr>
        <w:ind w:firstLine="603"/>
        <w:spacing w:after="0" w:line="257" w:lineRule="auto"/>
        <w:rPr>
          <w:sz w:val="20"/>
          <w:szCs w:val="20"/>
          <w:color w:val="auto"/>
        </w:rPr>
      </w:pPr>
      <w:r>
        <w:rPr>
          <w:rFonts w:ascii="Arial" w:cs="Arial" w:eastAsia="Arial" w:hAnsi="Arial"/>
          <w:sz w:val="17"/>
          <w:szCs w:val="17"/>
          <w:color w:val="auto"/>
        </w:rPr>
        <w:t>The following Board Diversity Matrix presents our Board diversity statistics in accordance with NASDAQ Rule 5606, as self-disclosed by our directors. Our Board satisfies the minimum objectives of NASDAQ Rule 5606(f)(3) by having at least one director who identifies as female and at least one director who identifies as a member of an underrepresented minority (as defined by NASDAQ rules).</w:t>
      </w:r>
    </w:p>
    <w:p>
      <w:pPr>
        <w:spacing w:after="0" w:line="247"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Board Diversity Matrix (as of March 16, 2023)</w:t>
      </w:r>
    </w:p>
    <w:p>
      <w:pPr>
        <w:spacing w:after="0" w:line="27" w:lineRule="exact"/>
        <w:rPr>
          <w:sz w:val="20"/>
          <w:szCs w:val="20"/>
          <w:color w:val="auto"/>
        </w:rPr>
      </w:pPr>
    </w:p>
    <w:tbl>
      <w:tblPr>
        <w:tblLayout w:type="fixed"/>
        <w:tblInd w:w="600" w:type="dxa"/>
        <w:tblCellMar>
          <w:top w:w="0" w:type="dxa"/>
          <w:left w:w="0" w:type="dxa"/>
          <w:bottom w:w="0" w:type="dxa"/>
          <w:right w:w="0" w:type="dxa"/>
        </w:tblCellMar>
      </w:tblPr>
      <w:tr>
        <w:trPr>
          <w:trHeight w:val="269"/>
        </w:trPr>
        <w:tc>
          <w:tcPr>
            <w:tcW w:w="3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Number of Directors:</w:t>
            </w:r>
          </w:p>
        </w:tc>
        <w:tc>
          <w:tcPr>
            <w:tcW w:w="1180" w:type="dxa"/>
            <w:vAlign w:val="bottom"/>
            <w:tcBorders>
              <w:top w:val="single" w:sz="8" w:color="auto"/>
              <w:bottom w:val="single" w:sz="8" w:color="CCEEFF"/>
            </w:tcBorders>
            <w:shd w:val="clear" w:color="auto" w:fill="CCEEFF"/>
          </w:tcPr>
          <w:p>
            <w:pPr>
              <w:spacing w:after="0"/>
              <w:rPr>
                <w:sz w:val="22"/>
                <w:szCs w:val="22"/>
                <w:color w:val="auto"/>
              </w:rPr>
            </w:pPr>
          </w:p>
        </w:tc>
        <w:tc>
          <w:tcPr>
            <w:tcW w:w="860" w:type="dxa"/>
            <w:vAlign w:val="bottom"/>
            <w:tcBorders>
              <w:top w:val="single" w:sz="8" w:color="auto"/>
              <w:bottom w:val="single" w:sz="8" w:color="CCEEFF"/>
            </w:tcBorders>
            <w:shd w:val="clear" w:color="auto" w:fill="CCEEFF"/>
          </w:tcPr>
          <w:p>
            <w:pPr>
              <w:spacing w:after="0"/>
              <w:rPr>
                <w:sz w:val="22"/>
                <w:szCs w:val="22"/>
                <w:color w:val="auto"/>
              </w:rPr>
            </w:pPr>
          </w:p>
        </w:tc>
        <w:tc>
          <w:tcPr>
            <w:tcW w:w="1380" w:type="dxa"/>
            <w:vAlign w:val="bottom"/>
            <w:tcBorders>
              <w:top w:val="single" w:sz="8" w:color="auto"/>
              <w:bottom w:val="single" w:sz="8" w:color="CCEEFF"/>
            </w:tcBorders>
            <w:shd w:val="clear" w:color="auto" w:fill="CCEEFF"/>
          </w:tcPr>
          <w:p>
            <w:pPr>
              <w:jc w:val="right"/>
              <w:ind w:right="1036"/>
              <w:spacing w:after="0"/>
              <w:rPr>
                <w:sz w:val="20"/>
                <w:szCs w:val="20"/>
                <w:color w:val="auto"/>
              </w:rPr>
            </w:pPr>
            <w:r>
              <w:rPr>
                <w:rFonts w:ascii="Arial" w:cs="Arial" w:eastAsia="Arial" w:hAnsi="Arial"/>
                <w:sz w:val="17"/>
                <w:szCs w:val="17"/>
                <w:b w:val="1"/>
                <w:bCs w:val="1"/>
                <w:color w:val="auto"/>
              </w:rPr>
              <w:t>7</w:t>
            </w:r>
          </w:p>
        </w:tc>
        <w:tc>
          <w:tcPr>
            <w:tcW w:w="106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02"/>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Part I: Gender Identity</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Female</w:t>
            </w:r>
          </w:p>
        </w:tc>
        <w:tc>
          <w:tcPr>
            <w:tcW w:w="860" w:type="dxa"/>
            <w:vAlign w:val="bottom"/>
            <w:tcBorders>
              <w:top w:val="single" w:sz="8" w:color="auto"/>
            </w:tcBorders>
          </w:tcPr>
          <w:p>
            <w:pPr>
              <w:jc w:val="center"/>
              <w:ind w:left="56"/>
              <w:spacing w:after="0"/>
              <w:rPr>
                <w:sz w:val="20"/>
                <w:szCs w:val="20"/>
                <w:color w:val="auto"/>
              </w:rPr>
            </w:pPr>
            <w:r>
              <w:rPr>
                <w:rFonts w:ascii="Arial" w:cs="Arial" w:eastAsia="Arial" w:hAnsi="Arial"/>
                <w:sz w:val="17"/>
                <w:szCs w:val="17"/>
                <w:b w:val="1"/>
                <w:bCs w:val="1"/>
                <w:color w:val="auto"/>
                <w:w w:val="95"/>
              </w:rPr>
              <w:t>Male</w:t>
            </w:r>
          </w:p>
        </w:tc>
        <w:tc>
          <w:tcPr>
            <w:tcW w:w="138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Non-Binary</w:t>
            </w:r>
          </w:p>
        </w:tc>
        <w:tc>
          <w:tcPr>
            <w:tcW w:w="1060" w:type="dxa"/>
            <w:vAlign w:val="bottom"/>
            <w:tcBorders>
              <w:top w:val="single" w:sz="8" w:color="auto"/>
            </w:tcBorders>
          </w:tcPr>
          <w:p>
            <w:pPr>
              <w:ind w:left="220"/>
              <w:spacing w:after="0"/>
              <w:rPr>
                <w:sz w:val="20"/>
                <w:szCs w:val="20"/>
                <w:color w:val="auto"/>
              </w:rPr>
            </w:pPr>
            <w:r>
              <w:rPr>
                <w:rFonts w:ascii="Arial" w:cs="Arial" w:eastAsia="Arial" w:hAnsi="Arial"/>
                <w:sz w:val="17"/>
                <w:szCs w:val="17"/>
                <w:b w:val="1"/>
                <w:bCs w:val="1"/>
                <w:color w:val="auto"/>
              </w:rPr>
              <w:t>Did Not</w:t>
            </w:r>
          </w:p>
        </w:tc>
      </w:tr>
      <w:tr>
        <w:trPr>
          <w:trHeight w:val="201"/>
        </w:trPr>
        <w:tc>
          <w:tcPr>
            <w:tcW w:w="3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ind w:left="200"/>
              <w:spacing w:after="0"/>
              <w:rPr>
                <w:sz w:val="20"/>
                <w:szCs w:val="20"/>
                <w:color w:val="auto"/>
              </w:rPr>
            </w:pPr>
            <w:r>
              <w:rPr>
                <w:rFonts w:ascii="Arial" w:cs="Arial" w:eastAsia="Arial" w:hAnsi="Arial"/>
                <w:sz w:val="17"/>
                <w:szCs w:val="17"/>
                <w:b w:val="1"/>
                <w:bCs w:val="1"/>
                <w:color w:val="auto"/>
              </w:rPr>
              <w:t>Disclose</w:t>
            </w:r>
          </w:p>
        </w:tc>
      </w:tr>
      <w:tr>
        <w:trPr>
          <w:trHeight w:val="217"/>
        </w:trPr>
        <w:tc>
          <w:tcPr>
            <w:tcW w:w="3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60" w:type="dxa"/>
            <w:vAlign w:val="bottom"/>
          </w:tcPr>
          <w:p>
            <w:pPr>
              <w:ind w:left="220"/>
              <w:spacing w:after="0"/>
              <w:rPr>
                <w:sz w:val="20"/>
                <w:szCs w:val="20"/>
                <w:color w:val="auto"/>
              </w:rPr>
            </w:pPr>
            <w:r>
              <w:rPr>
                <w:rFonts w:ascii="Arial" w:cs="Arial" w:eastAsia="Arial" w:hAnsi="Arial"/>
                <w:sz w:val="17"/>
                <w:szCs w:val="17"/>
                <w:b w:val="1"/>
                <w:bCs w:val="1"/>
                <w:color w:val="auto"/>
              </w:rPr>
              <w:t>Gender</w:t>
            </w:r>
          </w:p>
        </w:tc>
      </w:tr>
      <w:tr>
        <w:trPr>
          <w:trHeight w:val="25"/>
        </w:trPr>
        <w:tc>
          <w:tcPr>
            <w:tcW w:w="3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4"/>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Directors</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860" w:type="dxa"/>
            <w:vAlign w:val="bottom"/>
            <w:tcBorders>
              <w:bottom w:val="single" w:sz="8" w:color="CCEEFF"/>
            </w:tcBorders>
            <w:shd w:val="clear" w:color="auto" w:fill="CCEEFF"/>
          </w:tcPr>
          <w:p>
            <w:pPr>
              <w:jc w:val="center"/>
              <w:ind w:left="56"/>
              <w:spacing w:after="0"/>
              <w:rPr>
                <w:sz w:val="20"/>
                <w:szCs w:val="20"/>
                <w:color w:val="auto"/>
              </w:rPr>
            </w:pPr>
            <w:r>
              <w:rPr>
                <w:rFonts w:ascii="Arial" w:cs="Arial" w:eastAsia="Arial" w:hAnsi="Arial"/>
                <w:sz w:val="17"/>
                <w:szCs w:val="17"/>
                <w:color w:val="auto"/>
                <w:w w:val="84"/>
              </w:rPr>
              <w:t>6</w:t>
            </w:r>
          </w:p>
        </w:tc>
        <w:tc>
          <w:tcPr>
            <w:tcW w:w="13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26"/>
        </w:trPr>
        <w:tc>
          <w:tcPr>
            <w:tcW w:w="3200" w:type="dxa"/>
            <w:vAlign w:val="bottom"/>
          </w:tcPr>
          <w:p>
            <w:pPr>
              <w:ind w:left="20"/>
              <w:spacing w:after="0"/>
              <w:rPr>
                <w:sz w:val="20"/>
                <w:szCs w:val="20"/>
                <w:color w:val="auto"/>
              </w:rPr>
            </w:pPr>
            <w:r>
              <w:rPr>
                <w:rFonts w:ascii="Arial" w:cs="Arial" w:eastAsia="Arial" w:hAnsi="Arial"/>
                <w:sz w:val="17"/>
                <w:szCs w:val="17"/>
                <w:b w:val="1"/>
                <w:bCs w:val="1"/>
                <w:color w:val="auto"/>
              </w:rPr>
              <w:t>Part II: Demographic Background</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4"/>
        </w:trPr>
        <w:tc>
          <w:tcPr>
            <w:tcW w:w="3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African American or Black</w:t>
            </w:r>
          </w:p>
        </w:tc>
        <w:tc>
          <w:tcPr>
            <w:tcW w:w="1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26"/>
        </w:trPr>
        <w:tc>
          <w:tcPr>
            <w:tcW w:w="3200" w:type="dxa"/>
            <w:vAlign w:val="bottom"/>
          </w:tcPr>
          <w:p>
            <w:pPr>
              <w:ind w:left="480"/>
              <w:spacing w:after="0"/>
              <w:rPr>
                <w:sz w:val="20"/>
                <w:szCs w:val="20"/>
                <w:color w:val="auto"/>
              </w:rPr>
            </w:pPr>
            <w:r>
              <w:rPr>
                <w:rFonts w:ascii="Arial" w:cs="Arial" w:eastAsia="Arial" w:hAnsi="Arial"/>
                <w:sz w:val="17"/>
                <w:szCs w:val="17"/>
                <w:color w:val="auto"/>
              </w:rPr>
              <w:t>Alaskan Native or American Indian</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1"/>
        </w:trPr>
        <w:tc>
          <w:tcPr>
            <w:tcW w:w="3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Asian</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860" w:type="dxa"/>
            <w:vAlign w:val="bottom"/>
            <w:tcBorders>
              <w:bottom w:val="single" w:sz="8" w:color="CCEEFF"/>
            </w:tcBorders>
            <w:shd w:val="clear" w:color="auto" w:fill="CCEEFF"/>
          </w:tcPr>
          <w:p>
            <w:pPr>
              <w:jc w:val="center"/>
              <w:ind w:left="56"/>
              <w:spacing w:after="0"/>
              <w:rPr>
                <w:sz w:val="20"/>
                <w:szCs w:val="20"/>
                <w:color w:val="auto"/>
              </w:rPr>
            </w:pPr>
            <w:r>
              <w:rPr>
                <w:rFonts w:ascii="Arial" w:cs="Arial" w:eastAsia="Arial" w:hAnsi="Arial"/>
                <w:sz w:val="17"/>
                <w:szCs w:val="17"/>
                <w:color w:val="auto"/>
                <w:w w:val="84"/>
              </w:rPr>
              <w:t>3</w:t>
            </w:r>
          </w:p>
        </w:tc>
        <w:tc>
          <w:tcPr>
            <w:tcW w:w="1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6"/>
        </w:trPr>
        <w:tc>
          <w:tcPr>
            <w:tcW w:w="3200" w:type="dxa"/>
            <w:vAlign w:val="bottom"/>
          </w:tcPr>
          <w:p>
            <w:pPr>
              <w:ind w:left="480"/>
              <w:spacing w:after="0"/>
              <w:rPr>
                <w:sz w:val="20"/>
                <w:szCs w:val="20"/>
                <w:color w:val="auto"/>
              </w:rPr>
            </w:pPr>
            <w:r>
              <w:rPr>
                <w:rFonts w:ascii="Arial" w:cs="Arial" w:eastAsia="Arial" w:hAnsi="Arial"/>
                <w:sz w:val="17"/>
                <w:szCs w:val="17"/>
                <w:color w:val="auto"/>
              </w:rPr>
              <w:t>Hispanic or Latinx</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1"/>
        </w:trPr>
        <w:tc>
          <w:tcPr>
            <w:tcW w:w="3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Native Hawaiian or Pacific Islander</w:t>
            </w:r>
          </w:p>
        </w:tc>
        <w:tc>
          <w:tcPr>
            <w:tcW w:w="1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6"/>
        </w:trPr>
        <w:tc>
          <w:tcPr>
            <w:tcW w:w="3200" w:type="dxa"/>
            <w:vAlign w:val="bottom"/>
          </w:tcPr>
          <w:p>
            <w:pPr>
              <w:ind w:left="480"/>
              <w:spacing w:after="0"/>
              <w:rPr>
                <w:sz w:val="20"/>
                <w:szCs w:val="20"/>
                <w:color w:val="auto"/>
              </w:rPr>
            </w:pPr>
            <w:r>
              <w:rPr>
                <w:rFonts w:ascii="Arial" w:cs="Arial" w:eastAsia="Arial" w:hAnsi="Arial"/>
                <w:sz w:val="17"/>
                <w:szCs w:val="17"/>
                <w:color w:val="auto"/>
              </w:rPr>
              <w:t>White</w:t>
            </w:r>
          </w:p>
        </w:tc>
        <w:tc>
          <w:tcPr>
            <w:tcW w:w="1180" w:type="dxa"/>
            <w:vAlign w:val="bottom"/>
          </w:tcPr>
          <w:p>
            <w:pPr>
              <w:spacing w:after="0"/>
              <w:rPr>
                <w:sz w:val="19"/>
                <w:szCs w:val="19"/>
                <w:color w:val="auto"/>
              </w:rPr>
            </w:pPr>
          </w:p>
        </w:tc>
        <w:tc>
          <w:tcPr>
            <w:tcW w:w="860" w:type="dxa"/>
            <w:vAlign w:val="bottom"/>
          </w:tcPr>
          <w:p>
            <w:pPr>
              <w:jc w:val="center"/>
              <w:ind w:left="56"/>
              <w:spacing w:after="0"/>
              <w:rPr>
                <w:sz w:val="20"/>
                <w:szCs w:val="20"/>
                <w:color w:val="auto"/>
              </w:rPr>
            </w:pPr>
            <w:r>
              <w:rPr>
                <w:rFonts w:ascii="Arial" w:cs="Arial" w:eastAsia="Arial" w:hAnsi="Arial"/>
                <w:sz w:val="17"/>
                <w:szCs w:val="17"/>
                <w:color w:val="auto"/>
                <w:w w:val="84"/>
              </w:rPr>
              <w:t>3</w:t>
            </w: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1"/>
        </w:trPr>
        <w:tc>
          <w:tcPr>
            <w:tcW w:w="3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Two or More Races or Ethnicities</w:t>
            </w:r>
          </w:p>
        </w:tc>
        <w:tc>
          <w:tcPr>
            <w:tcW w:w="1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6"/>
        </w:trPr>
        <w:tc>
          <w:tcPr>
            <w:tcW w:w="3200" w:type="dxa"/>
            <w:vAlign w:val="bottom"/>
          </w:tcPr>
          <w:p>
            <w:pPr>
              <w:ind w:left="480"/>
              <w:spacing w:after="0"/>
              <w:rPr>
                <w:sz w:val="20"/>
                <w:szCs w:val="20"/>
                <w:color w:val="auto"/>
              </w:rPr>
            </w:pPr>
            <w:r>
              <w:rPr>
                <w:rFonts w:ascii="Arial" w:cs="Arial" w:eastAsia="Arial" w:hAnsi="Arial"/>
                <w:sz w:val="17"/>
                <w:szCs w:val="17"/>
                <w:color w:val="auto"/>
              </w:rPr>
              <w:t>LGBTQ+</w:t>
            </w:r>
          </w:p>
        </w:tc>
        <w:tc>
          <w:tcPr>
            <w:tcW w:w="1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15875</wp:posOffset>
            </wp:positionV>
            <wp:extent cx="4870450" cy="2870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870450" cy="287020"/>
                    </a:xfrm>
                    <a:prstGeom prst="rect">
                      <a:avLst/>
                    </a:prstGeom>
                    <a:noFill/>
                  </pic:spPr>
                </pic:pic>
              </a:graphicData>
            </a:graphic>
          </wp:anchor>
        </w:drawing>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Did Not Disclose Demographic</w:t>
      </w:r>
    </w:p>
    <w:p>
      <w:pPr>
        <w:spacing w:after="0" w:line="18"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Background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Arrangements and Family Relationships</w:t>
      </w:r>
    </w:p>
    <w:p>
      <w:pPr>
        <w:spacing w:after="0" w:line="210" w:lineRule="exact"/>
        <w:rPr>
          <w:sz w:val="20"/>
          <w:szCs w:val="20"/>
          <w:color w:val="auto"/>
        </w:rPr>
      </w:pPr>
    </w:p>
    <w:p>
      <w:pPr>
        <w:ind w:right="100" w:firstLine="603"/>
        <w:spacing w:after="0" w:line="253" w:lineRule="auto"/>
        <w:rPr>
          <w:sz w:val="20"/>
          <w:szCs w:val="20"/>
          <w:color w:val="auto"/>
        </w:rPr>
      </w:pPr>
      <w:r>
        <w:rPr>
          <w:rFonts w:ascii="Arial" w:cs="Arial" w:eastAsia="Arial" w:hAnsi="Arial"/>
          <w:sz w:val="17"/>
          <w:szCs w:val="17"/>
          <w:color w:val="auto"/>
        </w:rPr>
        <w:t>There are no arrangements or understandings between any of Yang Wu, Craig Webster, Shane Smith, Wenjuan Mattis, Ph.D., Sascha Rene Kelterborn or Lu Gao and any other persons pursuant to which such individual was appointed as an executive officer of the Company. There are no family relationships between any of Yang Wu, Craig Webster, Shane Smith, Wenjuan Mattis, Ph.D., Sascha Rene Kelterborn or Lu Gao and any director, executive officer or any person nominated or chosen by the Company to become a director or executive officer.</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Committees of the Board</w:t>
      </w:r>
    </w:p>
    <w:p>
      <w:pPr>
        <w:spacing w:after="0" w:line="210" w:lineRule="exact"/>
        <w:rPr>
          <w:sz w:val="20"/>
          <w:szCs w:val="20"/>
          <w:color w:val="auto"/>
        </w:rPr>
      </w:pPr>
    </w:p>
    <w:p>
      <w:pPr>
        <w:ind w:right="540" w:firstLine="603"/>
        <w:spacing w:after="0" w:line="268" w:lineRule="auto"/>
        <w:rPr>
          <w:sz w:val="20"/>
          <w:szCs w:val="20"/>
          <w:color w:val="auto"/>
        </w:rPr>
      </w:pPr>
      <w:r>
        <w:rPr>
          <w:rFonts w:ascii="Arial" w:cs="Arial" w:eastAsia="Arial" w:hAnsi="Arial"/>
          <w:sz w:val="17"/>
          <w:szCs w:val="17"/>
          <w:color w:val="auto"/>
        </w:rPr>
        <w:t>Our Board has an Audit Committee, Nominating &amp; Corporate Governance Committee and Compensation Committee. The Board committees act in an advisory capacity to the full Board, except that the Compensation Committee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has direct responsibility for the Chief Executive Officer and Chairman’s goals, performance and compensation along with compensation of other executive officers, and the Audit Committee is expected to have direct responsibility for appointing, replacing, compensating and overseeing the independent registered public accounting firm. Our Board has adopted a written charter for each of the standing committees that clearly establishes the committees’ respective roles and responsibilities, which is posted to our website. In addition, each committee has the authority to retain independent outside professional advisors or experts as it deems advisable or necessary, including the sole authority to retain and terminate any such advisors, to carry out its duties. The Board has determined that each member of the Audit, Nominating &amp; Corporate Governance Committee and Compensation Committees is independent under our categorical standards and that each member is free of any relationship that would interfere with his or her individual exercise of independent judgment. The Board has determined that each member of the Audit Committee meets the independence requirements under the SEC rules and the NASDAQ listing standards applicable to audit committee members. The Board has also determined that each member of the Compensation Committee meets the independence requirements under the SEC rules and the NASDAQ listing standards applicable to compensation committee members.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06" w:lineRule="exact"/>
        <w:rPr>
          <w:sz w:val="20"/>
          <w:szCs w:val="20"/>
          <w:color w:val="auto"/>
        </w:rPr>
      </w:pPr>
    </w:p>
    <w:p>
      <w:pPr>
        <w:ind w:right="40" w:firstLine="603"/>
        <w:spacing w:after="0" w:line="293" w:lineRule="auto"/>
        <w:rPr>
          <w:sz w:val="20"/>
          <w:szCs w:val="20"/>
          <w:color w:val="auto"/>
        </w:rPr>
      </w:pPr>
      <w:r>
        <w:rPr>
          <w:rFonts w:ascii="Arial" w:cs="Arial" w:eastAsia="Arial" w:hAnsi="Arial"/>
          <w:sz w:val="15"/>
          <w:szCs w:val="15"/>
          <w:color w:val="auto"/>
        </w:rPr>
        <w:t>The Audit Committee has at least three members and consists entirely of independent directors, each of whom meets the independence requirements set forth in the listing standards of the NASDAQ and Rule 10A-3 under the Exchange Act and under our categorical standards. Each member of the Audit Committee is financially literate, and at least one member of the Audit Committee has accounting and related financial management expertise and satisfies the criteria to be an “audit committee financial expert” under the rules and regulations of the SEC, as those qualifications are interpreted by our Board in its business judgment. Our Audit Committee consists of Ms. Balladon, Mr. Wong and Mr. Ying, with Mr. Wong serving as chair and as the audit committee financial expert.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Business Conduct and Ethics</w:t>
      </w:r>
    </w:p>
    <w:p>
      <w:pPr>
        <w:spacing w:after="0" w:line="210" w:lineRule="exact"/>
        <w:rPr>
          <w:sz w:val="20"/>
          <w:szCs w:val="20"/>
          <w:color w:val="auto"/>
        </w:rPr>
      </w:pPr>
    </w:p>
    <w:p>
      <w:pPr>
        <w:ind w:right="200" w:firstLine="603"/>
        <w:spacing w:after="0" w:line="268" w:lineRule="auto"/>
        <w:rPr>
          <w:sz w:val="20"/>
          <w:szCs w:val="20"/>
          <w:color w:val="auto"/>
        </w:rPr>
      </w:pPr>
      <w:r>
        <w:rPr>
          <w:rFonts w:ascii="Arial" w:cs="Arial" w:eastAsia="Arial" w:hAnsi="Arial"/>
          <w:sz w:val="17"/>
          <w:szCs w:val="17"/>
          <w:color w:val="auto"/>
        </w:rPr>
        <w:t xml:space="preserve">We have adopted a code of business conduct and ethics applicable to our directors, officers and employees. A copy of that code is available on our principal corporate website at </w:t>
      </w:r>
      <w:r>
        <w:rPr>
          <w:rFonts w:ascii="Arial" w:cs="Arial" w:eastAsia="Arial" w:hAnsi="Arial"/>
          <w:sz w:val="17"/>
          <w:szCs w:val="17"/>
          <w:i w:val="1"/>
          <w:iCs w:val="1"/>
          <w:color w:val="auto"/>
        </w:rPr>
        <w:t>https://microvast.com</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Delinquent Section 16(a) Reports</w:t>
      </w:r>
    </w:p>
    <w:p>
      <w:pPr>
        <w:spacing w:after="0" w:line="210" w:lineRule="exact"/>
        <w:rPr>
          <w:sz w:val="20"/>
          <w:szCs w:val="20"/>
          <w:color w:val="auto"/>
        </w:rPr>
      </w:pPr>
    </w:p>
    <w:p>
      <w:pPr>
        <w:ind w:firstLine="603"/>
        <w:spacing w:after="0" w:line="251" w:lineRule="auto"/>
        <w:rPr>
          <w:sz w:val="20"/>
          <w:szCs w:val="20"/>
          <w:color w:val="auto"/>
        </w:rPr>
      </w:pPr>
      <w:r>
        <w:rPr>
          <w:rFonts w:ascii="Arial" w:cs="Arial" w:eastAsia="Arial" w:hAnsi="Arial"/>
          <w:sz w:val="17"/>
          <w:szCs w:val="17"/>
          <w:color w:val="auto"/>
        </w:rPr>
        <w:t>Section 16(a) of the Securities Exchange Act of 1934 requires our directors, certain officers and any beneficial owners of more than 10% of our common stock to file reports relating to their ownership and changes in ownership of our common stock with the SEC and NASDAQ by certain deadlines. Based on a review of Section 16 filings with respect to our Company made during or with respect to the preceding year, we are not aware of any late Section 16(a) filings other than one late Form 3 report filed by Ms. Balladon and one late Form 4 report filed by each of Messrs. Zheng, Whittingham and Wong. Mses. Gao and Balladon (each reporting one transaction).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This section sets forth the compensation of our principal executive officer and our two other most highly compensated executive officers for the year ended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(our “NEOs”). Our NEOs are:</w:t>
      </w:r>
    </w:p>
    <w:p>
      <w:pPr>
        <w:spacing w:after="0" w:line="194" w:lineRule="exact"/>
        <w:rPr>
          <w:sz w:val="20"/>
          <w:szCs w:val="20"/>
          <w:color w:val="auto"/>
        </w:rPr>
      </w:pPr>
    </w:p>
    <w:p>
      <w:pPr>
        <w:ind w:left="900" w:hanging="297"/>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Yang Wu, our President and Chief Executive Officer;</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Sascha Rene Kelterborn, our Chief Revenue Officer; and</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Craig Webster, our Chief Financial Officer.</w:t>
      </w:r>
    </w:p>
    <w:p>
      <w:pPr>
        <w:spacing w:after="0" w:line="206" w:lineRule="exact"/>
        <w:rPr>
          <w:sz w:val="20"/>
          <w:szCs w:val="20"/>
          <w:color w:val="auto"/>
        </w:rPr>
      </w:pPr>
    </w:p>
    <w:p>
      <w:pPr>
        <w:ind w:right="140" w:firstLine="603"/>
        <w:spacing w:after="0" w:line="271" w:lineRule="auto"/>
        <w:rPr>
          <w:sz w:val="20"/>
          <w:szCs w:val="20"/>
          <w:color w:val="auto"/>
        </w:rPr>
      </w:pPr>
      <w:r>
        <w:rPr>
          <w:rFonts w:ascii="Arial" w:cs="Arial" w:eastAsia="Arial" w:hAnsi="Arial"/>
          <w:sz w:val="16"/>
          <w:szCs w:val="16"/>
          <w:color w:val="auto"/>
        </w:rPr>
        <w:t>As an “emerging growth company” under the JOBS Act, we are permitted to rely on exemptions from certain disclosure requirements that are applicable to other public companies that are not emerging growth companies. Accordingly, we have not included in this section a compensation discussion and analysis of our executive compensation programs or tabular compensation information other than the “Summary Compensation Table” and the “Outstanding Equity Awards at Fiscal Year-End” table below. In addition, for so long as we are an emerging growth company, we will not be required to submit certain executive compensation matters to our stockholders for advisory votes, such as “say-on-pay” and “say-on-frequency” votes.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20" w:type="dxa"/>
            <w:vAlign w:val="bottom"/>
            <w:gridSpan w:val="2"/>
          </w:tcPr>
          <w:p>
            <w:pPr>
              <w:spacing w:after="0"/>
              <w:rPr>
                <w:sz w:val="20"/>
                <w:szCs w:val="20"/>
                <w:color w:val="auto"/>
              </w:rPr>
            </w:pPr>
            <w:r>
              <w:rPr>
                <w:rFonts w:ascii="Arial" w:cs="Arial" w:eastAsia="Arial" w:hAnsi="Arial"/>
                <w:sz w:val="17"/>
                <w:szCs w:val="17"/>
                <w:b w:val="1"/>
                <w:bCs w:val="1"/>
                <w:color w:val="auto"/>
              </w:rPr>
              <w:t>Summary Compensation Table</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402"/>
        </w:trPr>
        <w:tc>
          <w:tcPr>
            <w:tcW w:w="8180" w:type="dxa"/>
            <w:vAlign w:val="bottom"/>
            <w:gridSpan w:val="11"/>
          </w:tcPr>
          <w:p>
            <w:pPr>
              <w:ind w:left="600"/>
              <w:spacing w:after="0"/>
              <w:rPr>
                <w:sz w:val="20"/>
                <w:szCs w:val="20"/>
                <w:color w:val="auto"/>
              </w:rPr>
            </w:pPr>
            <w:r>
              <w:rPr>
                <w:rFonts w:ascii="Arial" w:cs="Arial" w:eastAsia="Arial" w:hAnsi="Arial"/>
                <w:sz w:val="17"/>
                <w:szCs w:val="17"/>
                <w:color w:val="auto"/>
                <w:w w:val="90"/>
              </w:rPr>
              <w:t>The following table sets forth the compensation of our NEOs for the years ended December 31, 2021 and 2022.</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6"/>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91"/>
              </w:rPr>
              <w:t>Option</w:t>
            </w:r>
          </w:p>
        </w:tc>
        <w:tc>
          <w:tcPr>
            <w:tcW w:w="14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All other</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88"/>
              </w:rPr>
              <w:t>Total</w:t>
            </w:r>
          </w:p>
        </w:tc>
      </w:tr>
      <w:tr>
        <w:trPr>
          <w:trHeight w:val="200"/>
        </w:trPr>
        <w:tc>
          <w:tcPr>
            <w:tcW w:w="3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Salary</w:t>
            </w:r>
          </w:p>
        </w:tc>
        <w:tc>
          <w:tcPr>
            <w:tcW w:w="1220" w:type="dxa"/>
            <w:vAlign w:val="bottom"/>
            <w:gridSpan w:val="2"/>
          </w:tcPr>
          <w:p>
            <w:pPr>
              <w:ind w:left="360"/>
              <w:spacing w:after="0"/>
              <w:rPr>
                <w:sz w:val="20"/>
                <w:szCs w:val="20"/>
                <w:color w:val="auto"/>
              </w:rPr>
            </w:pPr>
            <w:r>
              <w:rPr>
                <w:rFonts w:ascii="Arial" w:cs="Arial" w:eastAsia="Arial" w:hAnsi="Arial"/>
                <w:sz w:val="17"/>
                <w:szCs w:val="17"/>
                <w:b w:val="1"/>
                <w:bCs w:val="1"/>
                <w:color w:val="auto"/>
              </w:rPr>
              <w:t>Stock</w:t>
            </w:r>
          </w:p>
        </w:tc>
        <w:tc>
          <w:tcPr>
            <w:tcW w:w="14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1"/>
              </w:rPr>
              <w:t>Awards</w:t>
            </w:r>
          </w:p>
        </w:tc>
        <w:tc>
          <w:tcPr>
            <w:tcW w:w="14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4"/>
              </w:rPr>
              <w:t>compensation</w:t>
            </w: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w w:val="88"/>
              </w:rPr>
              <w:t>Compensation</w:t>
            </w:r>
          </w:p>
        </w:tc>
      </w:tr>
      <w:tr>
        <w:trPr>
          <w:trHeight w:val="24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 and Principal Position</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Year</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96"/>
              </w:rPr>
              <w:t>Awards ($)</w:t>
            </w:r>
            <w:r>
              <w:rPr>
                <w:rFonts w:ascii="Arial" w:cs="Arial" w:eastAsia="Arial" w:hAnsi="Arial"/>
                <w:sz w:val="21"/>
                <w:szCs w:val="21"/>
                <w:color w:val="auto"/>
                <w:w w:val="96"/>
                <w:vertAlign w:val="superscript"/>
              </w:rPr>
              <w:t>(1)</w:t>
            </w:r>
          </w:p>
        </w:tc>
        <w:tc>
          <w:tcPr>
            <w:tcW w:w="8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w:t>
            </w:r>
            <w:r>
              <w:rPr>
                <w:rFonts w:ascii="Arial" w:cs="Arial" w:eastAsia="Arial" w:hAnsi="Arial"/>
                <w:sz w:val="21"/>
                <w:szCs w:val="21"/>
                <w:color w:val="auto"/>
                <w:w w:val="84"/>
                <w:vertAlign w:val="superscript"/>
              </w:rPr>
              <w:t>(2)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84"/>
              </w:rPr>
              <w:t>($)</w:t>
            </w:r>
            <w:r>
              <w:rPr>
                <w:rFonts w:ascii="Arial" w:cs="Arial" w:eastAsia="Arial" w:hAnsi="Arial"/>
                <w:sz w:val="21"/>
                <w:szCs w:val="21"/>
                <w:color w:val="auto"/>
                <w:w w:val="84"/>
                <w:vertAlign w:val="superscript"/>
              </w:rPr>
              <w:t>(3)</w:t>
            </w:r>
          </w:p>
        </w:tc>
        <w:tc>
          <w:tcPr>
            <w:tcW w:w="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w:t>
            </w:r>
          </w:p>
        </w:tc>
      </w:tr>
      <w:tr>
        <w:trPr>
          <w:trHeight w:val="211"/>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shd w:val="clear" w:color="auto" w:fill="CCEEFF"/>
              </w:rPr>
              <w:t>Yang Wu</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2022</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center"/>
              <w:ind w:left="396"/>
              <w:spacing w:after="0"/>
              <w:rPr>
                <w:sz w:val="20"/>
                <w:szCs w:val="20"/>
                <w:color w:val="auto"/>
              </w:rPr>
            </w:pPr>
            <w:r>
              <w:rPr>
                <w:rFonts w:ascii="Arial" w:cs="Arial" w:eastAsia="Arial" w:hAnsi="Arial"/>
                <w:sz w:val="17"/>
                <w:szCs w:val="17"/>
                <w:color w:val="auto"/>
                <w:w w:val="87"/>
              </w:rPr>
              <w:t>542,895</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439,997</w:t>
            </w:r>
          </w:p>
        </w:tc>
        <w:tc>
          <w:tcPr>
            <w:tcW w:w="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982,892</w:t>
            </w:r>
          </w:p>
        </w:tc>
      </w:tr>
      <w:tr>
        <w:trPr>
          <w:trHeight w:val="232"/>
        </w:trPr>
        <w:tc>
          <w:tcPr>
            <w:tcW w:w="3220" w:type="dxa"/>
            <w:vAlign w:val="bottom"/>
            <w:gridSpan w:val="2"/>
          </w:tcPr>
          <w:p>
            <w:pPr>
              <w:ind w:left="20"/>
              <w:spacing w:after="0"/>
              <w:rPr>
                <w:sz w:val="20"/>
                <w:szCs w:val="20"/>
                <w:color w:val="auto"/>
              </w:rPr>
            </w:pPr>
            <w:r>
              <w:rPr>
                <w:rFonts w:ascii="Arial" w:cs="Arial" w:eastAsia="Arial" w:hAnsi="Arial"/>
                <w:sz w:val="17"/>
                <w:szCs w:val="17"/>
                <w:i w:val="1"/>
                <w:iCs w:val="1"/>
                <w:color w:val="auto"/>
              </w:rPr>
              <w:t>President and Chief Executive Officer</w:t>
            </w:r>
          </w:p>
        </w:tc>
        <w:tc>
          <w:tcPr>
            <w:tcW w:w="1000" w:type="dxa"/>
            <w:vAlign w:val="bottom"/>
          </w:tcPr>
          <w:p>
            <w:pPr>
              <w:ind w:left="320"/>
              <w:spacing w:after="0"/>
              <w:rPr>
                <w:sz w:val="20"/>
                <w:szCs w:val="20"/>
                <w:color w:val="auto"/>
              </w:rPr>
            </w:pPr>
            <w:r>
              <w:rPr>
                <w:rFonts w:ascii="Arial" w:cs="Arial" w:eastAsia="Arial" w:hAnsi="Arial"/>
                <w:sz w:val="17"/>
                <w:szCs w:val="17"/>
                <w:color w:val="auto"/>
              </w:rPr>
              <w:t>2021</w:t>
            </w:r>
          </w:p>
        </w:tc>
        <w:tc>
          <w:tcPr>
            <w:tcW w:w="80" w:type="dxa"/>
            <w:vAlign w:val="bottom"/>
          </w:tcPr>
          <w:p>
            <w:pPr>
              <w:spacing w:after="0"/>
              <w:rPr>
                <w:sz w:val="20"/>
                <w:szCs w:val="20"/>
                <w:color w:val="auto"/>
              </w:rPr>
            </w:pPr>
          </w:p>
        </w:tc>
        <w:tc>
          <w:tcPr>
            <w:tcW w:w="1140" w:type="dxa"/>
            <w:vAlign w:val="bottom"/>
          </w:tcPr>
          <w:p>
            <w:pPr>
              <w:jc w:val="center"/>
              <w:ind w:left="396"/>
              <w:spacing w:after="0"/>
              <w:rPr>
                <w:sz w:val="20"/>
                <w:szCs w:val="20"/>
                <w:color w:val="auto"/>
              </w:rPr>
            </w:pPr>
            <w:r>
              <w:rPr>
                <w:rFonts w:ascii="Arial" w:cs="Arial" w:eastAsia="Arial" w:hAnsi="Arial"/>
                <w:sz w:val="17"/>
                <w:szCs w:val="17"/>
                <w:color w:val="auto"/>
                <w:w w:val="87"/>
              </w:rPr>
              <w:t>220,557</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439,338</w:t>
            </w:r>
          </w:p>
        </w:tc>
        <w:tc>
          <w:tcPr>
            <w:tcW w:w="80" w:type="dxa"/>
            <w:vAlign w:val="bottom"/>
          </w:tcPr>
          <w:p>
            <w:pPr>
              <w:spacing w:after="0"/>
              <w:rPr>
                <w:sz w:val="20"/>
                <w:szCs w:val="20"/>
                <w:color w:val="auto"/>
              </w:rPr>
            </w:pPr>
          </w:p>
        </w:tc>
        <w:tc>
          <w:tcPr>
            <w:tcW w:w="142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4,073</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663,968</w:t>
            </w:r>
          </w:p>
        </w:tc>
      </w:tr>
      <w:tr>
        <w:trPr>
          <w:trHeight w:val="245"/>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Sascha Rene Kelterborn</w:t>
            </w:r>
          </w:p>
        </w:tc>
        <w:tc>
          <w:tcPr>
            <w:tcW w:w="1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2022</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86"/>
              </w:rPr>
              <w:t>384,772</w:t>
            </w:r>
            <w:r>
              <w:rPr>
                <w:rFonts w:ascii="Arial" w:cs="Arial" w:eastAsia="Arial" w:hAnsi="Arial"/>
                <w:sz w:val="21"/>
                <w:szCs w:val="21"/>
                <w:color w:val="auto"/>
                <w:w w:val="86"/>
                <w:vertAlign w:val="superscript"/>
              </w:rPr>
              <w:t>(4)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159,993</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2,552,000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68,653</w:t>
            </w:r>
            <w:r>
              <w:rPr>
                <w:rFonts w:ascii="Arial" w:cs="Arial" w:eastAsia="Arial" w:hAnsi="Arial"/>
                <w:sz w:val="21"/>
                <w:szCs w:val="21"/>
                <w:color w:val="auto"/>
                <w:vertAlign w:val="superscript"/>
              </w:rPr>
              <w:t>(4)</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3,165,418</w:t>
            </w:r>
          </w:p>
        </w:tc>
      </w:tr>
      <w:tr>
        <w:trPr>
          <w:trHeight w:val="232"/>
        </w:trPr>
        <w:tc>
          <w:tcPr>
            <w:tcW w:w="3220" w:type="dxa"/>
            <w:vAlign w:val="bottom"/>
            <w:gridSpan w:val="2"/>
          </w:tcPr>
          <w:p>
            <w:pPr>
              <w:ind w:left="20"/>
              <w:spacing w:after="0"/>
              <w:rPr>
                <w:sz w:val="20"/>
                <w:szCs w:val="20"/>
                <w:color w:val="auto"/>
              </w:rPr>
            </w:pPr>
            <w:r>
              <w:rPr>
                <w:rFonts w:ascii="Arial" w:cs="Arial" w:eastAsia="Arial" w:hAnsi="Arial"/>
                <w:sz w:val="17"/>
                <w:szCs w:val="17"/>
                <w:i w:val="1"/>
                <w:iCs w:val="1"/>
                <w:color w:val="auto"/>
              </w:rPr>
              <w:t>Chief Revenue Officer</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5"/>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Craig Webster</w:t>
            </w:r>
          </w:p>
        </w:tc>
        <w:tc>
          <w:tcPr>
            <w:tcW w:w="1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2022</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86"/>
              </w:rPr>
              <w:t>309,908</w:t>
            </w:r>
            <w:r>
              <w:rPr>
                <w:rFonts w:ascii="Arial" w:cs="Arial" w:eastAsia="Arial" w:hAnsi="Arial"/>
                <w:sz w:val="21"/>
                <w:szCs w:val="21"/>
                <w:color w:val="auto"/>
                <w:w w:val="86"/>
                <w:vertAlign w:val="superscript"/>
              </w:rPr>
              <w:t>(5)</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159,993</w:t>
            </w: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13,330</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3,673,231</w:t>
            </w: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Chief Financial Officer</w:t>
      </w:r>
    </w:p>
    <w:p>
      <w:pPr>
        <w:spacing w:after="0" w:line="307" w:lineRule="exact"/>
        <w:rPr>
          <w:sz w:val="20"/>
          <w:szCs w:val="20"/>
          <w:color w:val="auto"/>
        </w:rPr>
      </w:pPr>
    </w:p>
    <w:p>
      <w:pPr>
        <w:ind w:left="300" w:right="20" w:hanging="300"/>
        <w:spacing w:after="0" w:line="250" w:lineRule="auto"/>
        <w:tabs>
          <w:tab w:leader="none" w:pos="294"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stock awards granted to our named executive officers, computed in accordance with Financial Accounting Standards Board Accounting Standards Codification Topic 718, Compensation—Stock Compensation (“FASB Topic 718”). The 2022 stock awards consist of grants of RSUs and performance stock units (“PSUs”) granted pursuant to the 2021 Plan. The terms of the 2022 RSUs and PSUs are summarized in “Elements of Executive Compensation—Equity Awards During 2022” below. The assumptions made when calculating the amounts reported are found in Note 22, “Share-Based Payment” to our audited consolidated financial statements included in Part II, Item 8 of this Annual Report. Assuming maximum level of performance, the aggregate grant date values of the RSUs and PSUs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RSUs ($)</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PSUs ($)</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Total ($)</w:t>
            </w:r>
          </w:p>
        </w:tc>
      </w:tr>
      <w:tr>
        <w:trPr>
          <w:trHeight w:val="237"/>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Yang Wu</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131,999</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494,997</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626,996</w:t>
            </w:r>
          </w:p>
        </w:tc>
      </w:tr>
      <w:tr>
        <w:trPr>
          <w:trHeight w:val="232"/>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Sascha Rene Kelterborn</w:t>
            </w:r>
          </w:p>
        </w:tc>
        <w:tc>
          <w:tcPr>
            <w:tcW w:w="1480" w:type="dxa"/>
            <w:vAlign w:val="bottom"/>
          </w:tcPr>
          <w:p>
            <w:pPr>
              <w:jc w:val="right"/>
              <w:spacing w:after="0"/>
              <w:rPr>
                <w:sz w:val="20"/>
                <w:szCs w:val="20"/>
                <w:color w:val="auto"/>
              </w:rPr>
            </w:pPr>
            <w:r>
              <w:rPr>
                <w:rFonts w:ascii="Arial" w:cs="Arial" w:eastAsia="Arial" w:hAnsi="Arial"/>
                <w:sz w:val="17"/>
                <w:szCs w:val="17"/>
                <w:color w:val="auto"/>
              </w:rPr>
              <w:t>95,998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119,992</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215,990</w:t>
            </w:r>
          </w:p>
        </w:tc>
      </w:tr>
      <w:tr>
        <w:trPr>
          <w:trHeight w:val="245"/>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Craig Webster</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95,998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119,992</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215,990</w:t>
            </w:r>
          </w:p>
        </w:tc>
      </w:tr>
    </w:tbl>
    <w:p>
      <w:pPr>
        <w:spacing w:after="0" w:line="264" w:lineRule="exact"/>
        <w:rPr>
          <w:sz w:val="20"/>
          <w:szCs w:val="20"/>
          <w:color w:val="auto"/>
        </w:rPr>
      </w:pPr>
    </w:p>
    <w:p>
      <w:pPr>
        <w:ind w:left="300" w:right="100"/>
        <w:spacing w:after="0" w:line="268" w:lineRule="auto"/>
        <w:rPr>
          <w:sz w:val="20"/>
          <w:szCs w:val="20"/>
          <w:color w:val="auto"/>
        </w:rPr>
      </w:pPr>
      <w:r>
        <w:rPr>
          <w:rFonts w:ascii="Arial" w:cs="Arial" w:eastAsia="Arial" w:hAnsi="Arial"/>
          <w:sz w:val="17"/>
          <w:szCs w:val="17"/>
          <w:color w:val="auto"/>
        </w:rPr>
        <w:t>For 2022, achievement of the performance measures for the RSUs was certified at below the threshold performance goal, resulting in all the RSUs being forfeited by our NEOs. Mr. Webster did not receive any RSUs in connection with his service as a member of the Board in 2022.</w:t>
      </w:r>
    </w:p>
    <w:p>
      <w:pPr>
        <w:spacing w:after="0" w:line="166" w:lineRule="exact"/>
        <w:rPr>
          <w:sz w:val="20"/>
          <w:szCs w:val="20"/>
          <w:color w:val="auto"/>
        </w:rPr>
      </w:pPr>
    </w:p>
    <w:p>
      <w:pPr>
        <w:ind w:left="300" w:right="60" w:hanging="300"/>
        <w:spacing w:after="0" w:line="285" w:lineRule="auto"/>
        <w:tabs>
          <w:tab w:leader="none" w:pos="236" w:val="left"/>
        </w:tabs>
        <w:numPr>
          <w:ilvl w:val="0"/>
          <w:numId w:val="46"/>
        </w:numPr>
        <w:rPr>
          <w:rFonts w:ascii="Arial" w:cs="Arial" w:eastAsia="Arial" w:hAnsi="Arial"/>
          <w:sz w:val="15"/>
          <w:szCs w:val="15"/>
          <w:color w:val="auto"/>
        </w:rPr>
      </w:pPr>
      <w:r>
        <w:rPr>
          <w:rFonts w:ascii="Arial" w:cs="Arial" w:eastAsia="Arial" w:hAnsi="Arial"/>
          <w:sz w:val="15"/>
          <w:szCs w:val="15"/>
          <w:color w:val="auto"/>
        </w:rPr>
        <w:t>Represents the grant date fair value of stock options granted to our named executive officers, computed in accordance with FASB Topic 718. The terms of the 2022 stock options are summarized in “Elements of Executive Compensation—Equity Awards During 2022” below. The assumptions made when calculating the amounts reported are found in Note 22, “Share-Based Payment” to our audited consolidated financial statements included in Part II, Item 8 of this Annual Report.</w:t>
      </w:r>
    </w:p>
    <w:p>
      <w:pPr>
        <w:ind w:left="300" w:right="540" w:hanging="300"/>
        <w:spacing w:after="0" w:line="261" w:lineRule="auto"/>
        <w:tabs>
          <w:tab w:leader="none" w:pos="294"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Mr. Kelterborn, the 2022 amount represents: home rental—$17,839; relocation expenses—$27,543; immigration assistance—$11,185; and car rental— $12,086. For Mr. Webster, the 2022 amount represents the cost of immigration assistance provided by the Company.</w:t>
      </w:r>
    </w:p>
    <w:p>
      <w:pPr>
        <w:spacing w:after="0" w:line="1" w:lineRule="exact"/>
        <w:rPr>
          <w:rFonts w:ascii="Arial" w:cs="Arial" w:eastAsia="Arial" w:hAnsi="Arial"/>
          <w:sz w:val="16"/>
          <w:szCs w:val="16"/>
          <w:color w:val="auto"/>
        </w:rPr>
      </w:pPr>
    </w:p>
    <w:p>
      <w:pPr>
        <w:ind w:left="300" w:hanging="300"/>
        <w:spacing w:after="0"/>
        <w:tabs>
          <w:tab w:leader="none" w:pos="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Amounts shown as converted from Euros to U.S. Dollars at the rate of 1 U.S. Dollar = 0.934755 Euros.</w:t>
      </w:r>
    </w:p>
    <w:p>
      <w:pPr>
        <w:spacing w:after="0" w:line="5" w:lineRule="exact"/>
        <w:rPr>
          <w:rFonts w:ascii="Arial" w:cs="Arial" w:eastAsia="Arial" w:hAnsi="Arial"/>
          <w:sz w:val="17"/>
          <w:szCs w:val="17"/>
          <w:color w:val="auto"/>
        </w:rPr>
      </w:pPr>
    </w:p>
    <w:p>
      <w:pPr>
        <w:ind w:left="300" w:hanging="300"/>
        <w:spacing w:after="0"/>
        <w:tabs>
          <w:tab w:leader="none" w:pos="3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Includes a cash retainer in the amount of $25,464, which was paid to Mr. Webster for his service as a member of the Board through July 1, 2022.</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Executive Compensation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Base Salary</w:t>
      </w:r>
    </w:p>
    <w:p>
      <w:pPr>
        <w:spacing w:after="0" w:line="206" w:lineRule="exact"/>
        <w:rPr>
          <w:sz w:val="20"/>
          <w:szCs w:val="20"/>
          <w:color w:val="auto"/>
        </w:rPr>
      </w:pPr>
    </w:p>
    <w:p>
      <w:pPr>
        <w:ind w:right="220" w:firstLine="603"/>
        <w:spacing w:after="0" w:line="253" w:lineRule="auto"/>
        <w:rPr>
          <w:sz w:val="20"/>
          <w:szCs w:val="20"/>
          <w:color w:val="auto"/>
        </w:rPr>
      </w:pPr>
      <w:r>
        <w:rPr>
          <w:rFonts w:ascii="Arial" w:cs="Arial" w:eastAsia="Arial" w:hAnsi="Arial"/>
          <w:sz w:val="17"/>
          <w:szCs w:val="17"/>
          <w:color w:val="auto"/>
        </w:rPr>
        <w:t>Base salaries are intended to provide a level of compensation sufficient to attract and retain an effective management team when considered in combination with the other components of our executive compensation program. The relative levels of base salary for our NEOs are designed to reflect each NEO’s scope of responsibility and accountability to us. On August 25, 2021, the Compensation Committee, in consultation with our independent compensation consultant, approved base salary adjustments for our NEOs. Following this adjustment, the annualized base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salaries for each of our NEOs for 2022 were: Mr. Wu—$550,000; Mr. Kelterborn—$400,000; and Mr. Webster—$400,000.</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Short-Term Incentives</w:t>
      </w:r>
    </w:p>
    <w:p>
      <w:pPr>
        <w:spacing w:after="0" w:line="206" w:lineRule="exact"/>
        <w:rPr>
          <w:sz w:val="20"/>
          <w:szCs w:val="20"/>
          <w:color w:val="auto"/>
        </w:rPr>
      </w:pPr>
    </w:p>
    <w:p>
      <w:pPr>
        <w:ind w:right="20" w:firstLine="603"/>
        <w:spacing w:after="0" w:line="298" w:lineRule="auto"/>
        <w:rPr>
          <w:sz w:val="20"/>
          <w:szCs w:val="20"/>
          <w:color w:val="auto"/>
        </w:rPr>
      </w:pPr>
      <w:r>
        <w:rPr>
          <w:rFonts w:ascii="Arial" w:cs="Arial" w:eastAsia="Arial" w:hAnsi="Arial"/>
          <w:sz w:val="15"/>
          <w:szCs w:val="15"/>
          <w:color w:val="auto"/>
        </w:rPr>
        <w:t>On March 23, 2022, in consultation with our independent compensation consultant, we established short-term incentive (“STI”) opportunities for our NEOs for 2022, which pay out in the form of an annual cash bonus based on achievement of pre-determined revenue performance levels. The 2022 STI pays out 0% of target if the threshold performance goal or below is achieved and 120% of target if the maximum performance goal or above is achieved. Payouts are linearly interpolated for performance between levels. Because the threshold performance goal was not achieved for 2022, no amounts were paid to our NEOs under the 2022 STI.</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Awards During 2022</w:t>
      </w:r>
    </w:p>
    <w:p>
      <w:pPr>
        <w:spacing w:after="0" w:line="206" w:lineRule="exact"/>
        <w:rPr>
          <w:sz w:val="20"/>
          <w:szCs w:val="20"/>
          <w:color w:val="auto"/>
        </w:rPr>
      </w:pPr>
    </w:p>
    <w:p>
      <w:pPr>
        <w:ind w:right="140" w:firstLine="603"/>
        <w:spacing w:after="0" w:line="280" w:lineRule="auto"/>
        <w:rPr>
          <w:sz w:val="20"/>
          <w:szCs w:val="20"/>
          <w:color w:val="auto"/>
        </w:rPr>
      </w:pPr>
      <w:r>
        <w:rPr>
          <w:rFonts w:ascii="Arial" w:cs="Arial" w:eastAsia="Arial" w:hAnsi="Arial"/>
          <w:sz w:val="16"/>
          <w:szCs w:val="16"/>
          <w:color w:val="auto"/>
        </w:rPr>
        <w:t>On April 28, 2022, in consultation with an independent compensation consultant, we established long-term incentive (“LTI”) opportunities for our NEOs for 2022, which pay out in the form of performance-based RSUs and PSUs based on achievement of predetermined revenue and total shareholder return (“TSR”) performance levels, respectively, over predetermined performance periods. The RSUs and PSUs are granted under the 2021 Plan.</w:t>
      </w:r>
    </w:p>
    <w:p>
      <w:pPr>
        <w:spacing w:after="0" w:line="159" w:lineRule="exact"/>
        <w:rPr>
          <w:sz w:val="20"/>
          <w:szCs w:val="20"/>
          <w:color w:val="auto"/>
        </w:rPr>
      </w:pPr>
    </w:p>
    <w:p>
      <w:pPr>
        <w:ind w:right="40" w:firstLine="603"/>
        <w:spacing w:after="0" w:line="293" w:lineRule="auto"/>
        <w:rPr>
          <w:sz w:val="20"/>
          <w:szCs w:val="20"/>
          <w:color w:val="auto"/>
        </w:rPr>
      </w:pPr>
      <w:r>
        <w:rPr>
          <w:rFonts w:ascii="Arial" w:cs="Arial" w:eastAsia="Arial" w:hAnsi="Arial"/>
          <w:sz w:val="15"/>
          <w:szCs w:val="15"/>
          <w:color w:val="auto"/>
        </w:rPr>
        <w:t>The performance-based RSU portion of the LTI is earned based on achievement of predetermined revenue and adjusted EBITDA performance measures over a performance period ending on December 31, 2022. The RSUs are earned at 0% of target if the threshold performance goal or below is achieved and 120% of target if the maximum performance goal or above is achieved, with payouts linearly interpolated for performance between levels. To promote retention, earned RSUs vest in equal annual installments on May 19, 2023, 2024, and 2025, subject to the recipient’s continued employment with or services to us or one of our affiliates on each applicable vesting date. For 2022, achievement was certified at below threshold performance goals, resulting in all the RSUs being forfeited by our NEOs.</w:t>
      </w:r>
    </w:p>
    <w:p>
      <w:pPr>
        <w:spacing w:after="0" w:line="152" w:lineRule="exact"/>
        <w:rPr>
          <w:sz w:val="20"/>
          <w:szCs w:val="20"/>
          <w:color w:val="auto"/>
        </w:rPr>
      </w:pPr>
    </w:p>
    <w:p>
      <w:pPr>
        <w:ind w:right="60" w:firstLine="603"/>
        <w:spacing w:after="0" w:line="267" w:lineRule="auto"/>
        <w:rPr>
          <w:sz w:val="20"/>
          <w:szCs w:val="20"/>
          <w:color w:val="auto"/>
        </w:rPr>
      </w:pPr>
      <w:r>
        <w:rPr>
          <w:rFonts w:ascii="Arial" w:cs="Arial" w:eastAsia="Arial" w:hAnsi="Arial"/>
          <w:sz w:val="16"/>
          <w:szCs w:val="16"/>
          <w:color w:val="auto"/>
        </w:rPr>
        <w:t>The PSU portion of the LTI is earned based on achievement of relative TSR performance measures over a performance period ending on December 31, 2024. Relative TSR is measured based on stock price appreciation (including reinvested dividends) of constituent companies in a predetermined peer group during the performance period. Companies in the peer group are ranked based on their TSR during the performance period and PSUs are earned based on the percentile rank of the Company’s TSR during the performance period relative to the TSR of the members of the comparator peer group. The PSUs are earned at 50% of target if the company TSR performance is achieved at the 25th percentile and 150% of target if the company TSR performance is achieved at the 75th percentile or higher, with payouts linearly interpolated for performance between levels, and there is 0% payout for company TSR performance below the 25th percentile. The PSUs granted by us in 2022 cliff vest, subject to the recipient’s continued employment with or services to us or one of our affiliates, on December 31, 2024, provided that the performance criteria relating to the PSUs are achieved.</w:t>
      </w:r>
    </w:p>
    <w:p>
      <w:pPr>
        <w:spacing w:after="0" w:line="170" w:lineRule="exact"/>
        <w:rPr>
          <w:sz w:val="20"/>
          <w:szCs w:val="20"/>
          <w:color w:val="auto"/>
        </w:rPr>
      </w:pPr>
    </w:p>
    <w:p>
      <w:pPr>
        <w:ind w:right="160" w:firstLine="603"/>
        <w:spacing w:after="0" w:line="253" w:lineRule="auto"/>
        <w:rPr>
          <w:sz w:val="20"/>
          <w:szCs w:val="20"/>
          <w:color w:val="auto"/>
        </w:rPr>
      </w:pPr>
      <w:r>
        <w:rPr>
          <w:rFonts w:ascii="Arial" w:cs="Arial" w:eastAsia="Arial" w:hAnsi="Arial"/>
          <w:sz w:val="17"/>
          <w:szCs w:val="17"/>
          <w:color w:val="auto"/>
        </w:rPr>
        <w:t>On April 14, 2022, in connection with their appointments to the roles of President and Chief Financial Officer, respectively, Mr. Kelterborn was granted 800,000 stock options to purchase shares of our common stock under the 2021 Plan and Mr. Webster was granted 1,000,000 stock options to purchase shares of our common stock under the 2021 Plan. The stock options granted to Messrs. Kelterborn and Webster have an exercise price of $5.69 and vest in three equal installments on each of the first, second and third anniversaries of the grant date.</w:t>
      </w:r>
    </w:p>
    <w:p>
      <w:pPr>
        <w:spacing w:after="0" w:line="180" w:lineRule="exact"/>
        <w:rPr>
          <w:sz w:val="20"/>
          <w:szCs w:val="20"/>
          <w:color w:val="auto"/>
        </w:rPr>
      </w:pPr>
    </w:p>
    <w:p>
      <w:pPr>
        <w:ind w:right="360" w:firstLine="603"/>
        <w:spacing w:after="0" w:line="299" w:lineRule="auto"/>
        <w:rPr>
          <w:sz w:val="20"/>
          <w:szCs w:val="20"/>
          <w:color w:val="auto"/>
        </w:rPr>
      </w:pPr>
      <w:r>
        <w:rPr>
          <w:rFonts w:ascii="Arial" w:cs="Arial" w:eastAsia="Arial" w:hAnsi="Arial"/>
          <w:sz w:val="16"/>
          <w:szCs w:val="16"/>
          <w:color w:val="auto"/>
        </w:rPr>
        <w:t>Except as otherwise provided in an NEO’s Employment Agreement, an NEO's RSUs, PSUs and stock options, as applicable, will be treated as follows in connection with certain terminations of employment both in connection with a change in control and not in connection with a change in control:</w:t>
      </w:r>
    </w:p>
    <w:p>
      <w:pPr>
        <w:spacing w:after="0" w:line="144" w:lineRule="exact"/>
        <w:rPr>
          <w:sz w:val="20"/>
          <w:szCs w:val="20"/>
          <w:color w:val="auto"/>
        </w:rPr>
      </w:pPr>
    </w:p>
    <w:p>
      <w:pPr>
        <w:ind w:firstLine="603"/>
        <w:spacing w:after="0" w:line="268" w:lineRule="auto"/>
        <w:rPr>
          <w:sz w:val="20"/>
          <w:szCs w:val="20"/>
          <w:color w:val="auto"/>
        </w:rPr>
      </w:pPr>
      <w:r>
        <w:rPr>
          <w:rFonts w:ascii="Arial" w:cs="Arial" w:eastAsia="Arial" w:hAnsi="Arial"/>
          <w:sz w:val="16"/>
          <w:szCs w:val="16"/>
          <w:color w:val="auto"/>
        </w:rPr>
        <w:t>Upon an NEO’s voluntary resignation or termination by the Company with Cause (as defined in the NEO’s Employment Agreement or in the absence of such provision in the Employment Agreement, as defined in the applicable award agreement), all outstanding RSUs, PSUs and stock options, whether vested or unvested, will be forfeited and canceled in full, except that with respect to stock options, if the NEO resigns with Good Reason (as defined in the NEO’s Employment Agreement or in the absence of such provision in the Employment Agreement, as defined in the stock option award agreement), a pro rata number of stock options will vest and remain exercisable until the earlier of 90 days following the NEO’s resignation with Good Reason or the expiration date of the stock options. Upon an NEO’s termination without Cause, a pro rata portion of the earned but unvested RSUs will vest, a pro rata portion of the PSUs will vest subject to certification of the applicable performance criteria and a pro rata portion of the unvested stock options will vest and remain</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4" w:name="page135"/>
    <w:bookmarkEnd w:id="13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exercisable until the earlier of 90 days following the NEO’s termination without Cause or the expiration date of the stock options.</w:t>
      </w:r>
    </w:p>
    <w:p>
      <w:pPr>
        <w:spacing w:after="0" w:line="206" w:lineRule="exact"/>
        <w:rPr>
          <w:sz w:val="20"/>
          <w:szCs w:val="20"/>
          <w:color w:val="auto"/>
        </w:rPr>
      </w:pPr>
    </w:p>
    <w:p>
      <w:pPr>
        <w:ind w:right="80" w:firstLine="603"/>
        <w:spacing w:after="0" w:line="298" w:lineRule="auto"/>
        <w:rPr>
          <w:sz w:val="20"/>
          <w:szCs w:val="20"/>
          <w:color w:val="auto"/>
        </w:rPr>
      </w:pPr>
      <w:r>
        <w:rPr>
          <w:rFonts w:ascii="Arial" w:cs="Arial" w:eastAsia="Arial" w:hAnsi="Arial"/>
          <w:sz w:val="15"/>
          <w:szCs w:val="15"/>
          <w:color w:val="auto"/>
        </w:rPr>
        <w:t>Upon an NEO’s death or Disability (as defined in the 2021 Plan) or retirement (as defined in the applicable award agreement), a pro rata portion of the earned but unvested RSUs will vest, a pro rata portion of all unvested PSUs will vest and performance will be deemed achieved at 100% of target and all unvested stock options will vest pro rata and remain exercisable until the earlier of 90 days (in the case of the NEO’s retirement) or 12 months (in the case of the NEO’s death or Disability ) following the NEO’s termination of employment or the expiration date of the stock options. None of our NEOs are currently retirement eligible.</w:t>
      </w:r>
    </w:p>
    <w:p>
      <w:pPr>
        <w:spacing w:after="0" w:line="148" w:lineRule="exact"/>
        <w:rPr>
          <w:sz w:val="20"/>
          <w:szCs w:val="20"/>
          <w:color w:val="auto"/>
        </w:rPr>
      </w:pPr>
    </w:p>
    <w:p>
      <w:pPr>
        <w:jc w:val="both"/>
        <w:ind w:firstLine="603"/>
        <w:spacing w:after="0" w:line="257" w:lineRule="auto"/>
        <w:rPr>
          <w:sz w:val="20"/>
          <w:szCs w:val="20"/>
          <w:color w:val="auto"/>
        </w:rPr>
      </w:pPr>
      <w:r>
        <w:rPr>
          <w:rFonts w:ascii="Arial" w:cs="Arial" w:eastAsia="Arial" w:hAnsi="Arial"/>
          <w:sz w:val="17"/>
          <w:szCs w:val="17"/>
          <w:color w:val="auto"/>
        </w:rPr>
        <w:t>If an NEO resigns with Good Reason or is terminated by the Company without Cause in connection with or during the 12-month period following a Change in Control (as defined in the 2021 Plan), all outstanding RSUs, PSUs and stock options will vest in full, and if performance has not yet been determined, in the case of the RSUs and PSUs, it will be deemed achieved at 100% of target.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with NEOs</w:t>
      </w:r>
    </w:p>
    <w:p>
      <w:pPr>
        <w:spacing w:after="0" w:line="210" w:lineRule="exact"/>
        <w:rPr>
          <w:sz w:val="20"/>
          <w:szCs w:val="20"/>
          <w:color w:val="auto"/>
        </w:rPr>
      </w:pPr>
    </w:p>
    <w:p>
      <w:pPr>
        <w:ind w:right="220" w:firstLine="603"/>
        <w:spacing w:after="0" w:line="335" w:lineRule="auto"/>
        <w:rPr>
          <w:sz w:val="20"/>
          <w:szCs w:val="20"/>
          <w:color w:val="auto"/>
        </w:rPr>
      </w:pPr>
      <w:r>
        <w:rPr>
          <w:rFonts w:ascii="Arial" w:cs="Arial" w:eastAsia="Arial" w:hAnsi="Arial"/>
          <w:sz w:val="15"/>
          <w:szCs w:val="15"/>
          <w:color w:val="auto"/>
        </w:rPr>
        <w:t>Each of our NEOs is a party to a written employment arrangement (the “Employment Agreements”). The material terms of each of those arrangements are summarized below. For a description of the compensation actually paid to the NEOs for fiscal year 2022, please refer to the “Summary Compensation Table” above.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Agreements with Messrs. Wu and Webster</w:t>
      </w:r>
    </w:p>
    <w:p>
      <w:pPr>
        <w:spacing w:after="0" w:line="206" w:lineRule="exact"/>
        <w:rPr>
          <w:sz w:val="20"/>
          <w:szCs w:val="20"/>
          <w:color w:val="auto"/>
        </w:rPr>
      </w:pPr>
    </w:p>
    <w:p>
      <w:pPr>
        <w:ind w:right="140" w:firstLine="603"/>
        <w:spacing w:after="0" w:line="280" w:lineRule="auto"/>
        <w:rPr>
          <w:sz w:val="20"/>
          <w:szCs w:val="20"/>
          <w:color w:val="auto"/>
        </w:rPr>
      </w:pPr>
      <w:r>
        <w:rPr>
          <w:rFonts w:ascii="Arial" w:cs="Arial" w:eastAsia="Arial" w:hAnsi="Arial"/>
          <w:sz w:val="16"/>
          <w:szCs w:val="16"/>
          <w:color w:val="auto"/>
        </w:rPr>
        <w:t>Subject to earlier termination in accordance with the Employment Agreements, each of Messrs. Wu and Webster is engaged for a three-year term of employment, at the end of which their term of employment will be automatically extended for additional 12-month periods unless a notice of non-renewal is given by either party in accordance with the notice requirements of the Employment Agreement prior to the expiration of the term then in effect.</w:t>
      </w:r>
    </w:p>
    <w:p>
      <w:pPr>
        <w:spacing w:after="0" w:line="159" w:lineRule="exact"/>
        <w:rPr>
          <w:sz w:val="20"/>
          <w:szCs w:val="20"/>
          <w:color w:val="auto"/>
        </w:rPr>
      </w:pPr>
    </w:p>
    <w:p>
      <w:pPr>
        <w:ind w:firstLine="603"/>
        <w:spacing w:after="0" w:line="267" w:lineRule="auto"/>
        <w:rPr>
          <w:sz w:val="20"/>
          <w:szCs w:val="20"/>
          <w:color w:val="auto"/>
        </w:rPr>
      </w:pPr>
      <w:r>
        <w:rPr>
          <w:rFonts w:ascii="Arial" w:cs="Arial" w:eastAsia="Arial" w:hAnsi="Arial"/>
          <w:sz w:val="16"/>
          <w:szCs w:val="16"/>
          <w:color w:val="auto"/>
        </w:rPr>
        <w:t>The Employment Agreements provide for an annual base salary of $350,000 for our Chief Executive Officer (which has been subsequently increased) and $400,000 for our Chief Financial Officer. The Employment Agreements with each of Messrs. Wu and Webster also provide for the opportunity to participate in the Company’s annual incentive bonus plan for senior executives and the Company’s long-term incentive plan, each in accordance with the terms of such plans that may be in effect from time-to-time and subject to such other terms as the Board may approve. Messrs. Wu and Webster are also eligible to participate in the benefit plans or programs of the Company generally provided to other similarly situated executives of the Company. Additionally, the Employment Agreement with Mr. Webster provides that Mr. Webster will be eligible to receive a grant of stock options (as described more fully in “Elements of Executive Compensation—Equity Awards During 2022”) and reimbursement of certain immigration and relocation expenses incurred by Mr. Webster in connection with the relocation of Mr. Webster and his household to the United States.</w:t>
      </w:r>
    </w:p>
    <w:p>
      <w:pPr>
        <w:spacing w:after="0" w:line="170" w:lineRule="exact"/>
        <w:rPr>
          <w:sz w:val="20"/>
          <w:szCs w:val="20"/>
          <w:color w:val="auto"/>
        </w:rPr>
      </w:pPr>
    </w:p>
    <w:p>
      <w:pPr>
        <w:ind w:firstLine="603"/>
        <w:spacing w:after="0" w:line="286" w:lineRule="auto"/>
        <w:rPr>
          <w:sz w:val="20"/>
          <w:szCs w:val="20"/>
          <w:color w:val="auto"/>
        </w:rPr>
      </w:pPr>
      <w:r>
        <w:rPr>
          <w:rFonts w:ascii="Arial" w:cs="Arial" w:eastAsia="Arial" w:hAnsi="Arial"/>
          <w:sz w:val="15"/>
          <w:szCs w:val="15"/>
          <w:color w:val="auto"/>
        </w:rPr>
        <w:t>The term of employment under the Employment Agreements with each of Messrs. Wu and Webster may be terminated by either the Company or the executive at any time and for any reason upon thirty (30) day's prior written notice. Upon a termination by the Company or an executive for any reason, an executive (or his or her estate upon a termination due to death of the executive) will receive all accrued salary and any earned but unpaid bonuses through and including the date of termination. Following a termination due to death or disability of an executive, the executive (or his or her estate) will also receive: (1) a pro rata bonus for the annual bonus that the executive would have earned for the fiscal year in which the death or disability occurs based on performance as determined by the Board, prorated for the period of time during the fiscal year worked by the executive; and (2) if the death or disability occurs within their three-year term, full acceleration of any equity awards or other long-term incentive awards held by the executive as of the effective time of the executive’s Employment Agreement that were granted to the executive prior to such effective time. Any other outstanding equity awards or long-term incentive awards granted to the executive following the effective time of the executive’s Employment Agreement will be treated in accordance with the terms of the applicable plans and award agreements.</w:t>
      </w:r>
    </w:p>
    <w:p>
      <w:pPr>
        <w:spacing w:after="0" w:line="159" w:lineRule="exact"/>
        <w:rPr>
          <w:sz w:val="20"/>
          <w:szCs w:val="20"/>
          <w:color w:val="auto"/>
        </w:rPr>
      </w:pPr>
    </w:p>
    <w:p>
      <w:pPr>
        <w:ind w:right="80" w:firstLine="603"/>
        <w:spacing w:after="0" w:line="274" w:lineRule="auto"/>
        <w:rPr>
          <w:sz w:val="20"/>
          <w:szCs w:val="20"/>
          <w:color w:val="auto"/>
        </w:rPr>
      </w:pPr>
      <w:r>
        <w:rPr>
          <w:rFonts w:ascii="Arial" w:cs="Arial" w:eastAsia="Arial" w:hAnsi="Arial"/>
          <w:sz w:val="16"/>
          <w:szCs w:val="16"/>
          <w:color w:val="auto"/>
        </w:rPr>
        <w:t>Following a termination due to termination by the Company without Cause (as defined in the Employment Agreements) or due to resignation by an executive for Good Reason (as defined in the Employment Agreements), in either case prior to a Change in Control (as defined in the Employment Agreements), subject to the execution and non-revocation by the executive of a general release of claims in favor of the Company, the executive will be entitled to: (1) an amount equal to, for the Chief Executive Officer, two and a half times, and for the Chief Financial Officer, one and a half times, the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249" w:lineRule="auto"/>
        <w:rPr>
          <w:sz w:val="20"/>
          <w:szCs w:val="20"/>
          <w:color w:val="auto"/>
        </w:rPr>
      </w:pPr>
      <w:r>
        <w:rPr>
          <w:rFonts w:ascii="Arial" w:cs="Arial" w:eastAsia="Arial" w:hAnsi="Arial"/>
          <w:sz w:val="17"/>
          <w:szCs w:val="17"/>
          <w:color w:val="auto"/>
        </w:rPr>
        <w:t>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substantially equal monthly installments over a period of 30 months for the Chief Executive Officer and 18 months for the Chief Financial Officer; and (2) if the termination without Cause or resignation for Good Reason occurs within three years following the effective time of the executive’s Employment Agreement, full acceleration of any equity awards or other long-term incentive awards held by the executive as of the effective time of the executive’s Employment Agreement that were granted to the executive prior to such effective time. Any other outstanding equity awards or long-term incentive awards granted to the executive following the effective time of the executive’s Employment Agreement will be treated in accordance with the terms of the applicable plans and award agreements.</w:t>
      </w:r>
    </w:p>
    <w:p>
      <w:pPr>
        <w:spacing w:after="0" w:line="185" w:lineRule="exact"/>
        <w:rPr>
          <w:sz w:val="20"/>
          <w:szCs w:val="20"/>
          <w:color w:val="auto"/>
        </w:rPr>
      </w:pPr>
    </w:p>
    <w:p>
      <w:pPr>
        <w:ind w:firstLine="603"/>
        <w:spacing w:after="0" w:line="285" w:lineRule="auto"/>
        <w:rPr>
          <w:sz w:val="20"/>
          <w:szCs w:val="20"/>
          <w:color w:val="auto"/>
        </w:rPr>
      </w:pPr>
      <w:r>
        <w:rPr>
          <w:rFonts w:ascii="Arial" w:cs="Arial" w:eastAsia="Arial" w:hAnsi="Arial"/>
          <w:sz w:val="15"/>
          <w:szCs w:val="15"/>
          <w:color w:val="auto"/>
        </w:rPr>
        <w:t>Following a termination by the Company without Cause or due to resignation by an executive for Good Reason on or within two years following the closing of a Change in Control, subject to the execution and non-revocation by the executive of a general release of claims in favor of the Company, the executive will be entitled to: (1) an amount equal to, for the Chief Executive Officer, three times, and for the Chief Financial Officer, two times, the sum of (x) the executive’s then-current base salary plus (y) the greater of (A) the average amount of the annual bonus paid to the executive for each of the three fiscal years immediately prior to the fiscal year in which the termination or resignation occurs or (B) the target annual bonus for the fiscal year in which the termination or resignation occurs, payable in a single lump sum within 75 days of the termination or resignation; (2) a pro rata bonus of the greater of (A) the average amount of the annual bonus paid to the executive for each of the three fiscal years immediately prior to the fiscal year in which the termination or resignation occurs or (B) the annual bonus the executive would have earned for the fiscal year in which the termination or resignation occurs based on performance as determined through the date of termination or resignation, prorated for the period of time during the fiscal year worked by the executive, payable in a single lump sum within 75 days of the termination or resignation; and (3) full acceleration of all outstanding equity awards held by the executive as of the date of termination or resignation.</w:t>
      </w:r>
    </w:p>
    <w:p>
      <w:pPr>
        <w:spacing w:after="0" w:line="161" w:lineRule="exact"/>
        <w:rPr>
          <w:sz w:val="20"/>
          <w:szCs w:val="20"/>
          <w:color w:val="auto"/>
        </w:rPr>
      </w:pPr>
    </w:p>
    <w:p>
      <w:pPr>
        <w:ind w:right="40" w:firstLine="603"/>
        <w:spacing w:after="0" w:line="253" w:lineRule="auto"/>
        <w:rPr>
          <w:sz w:val="20"/>
          <w:szCs w:val="20"/>
          <w:color w:val="auto"/>
        </w:rPr>
      </w:pPr>
      <w:r>
        <w:rPr>
          <w:rFonts w:ascii="Arial" w:cs="Arial" w:eastAsia="Arial" w:hAnsi="Arial"/>
          <w:sz w:val="17"/>
          <w:szCs w:val="17"/>
          <w:color w:val="auto"/>
        </w:rPr>
        <w:t>Each of Messrs. Wu and Webster is subject to restrictive covenants as follows: (1) a post-termination non-compete covenant for a period of 18 months following the executive’s termination or resignation for any reason; (2) confidentiality restrictions through the time period such confidential information remains not generally known to the public; and (3) customer and employee non-solicitation and non-interference for a period of 18 months following the executive’s termination or resignation for any reason.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Agreement with Mr. Kelterborn</w:t>
      </w:r>
    </w:p>
    <w:p>
      <w:pPr>
        <w:spacing w:after="0" w:line="206" w:lineRule="exact"/>
        <w:rPr>
          <w:sz w:val="20"/>
          <w:szCs w:val="20"/>
          <w:color w:val="auto"/>
        </w:rPr>
      </w:pPr>
    </w:p>
    <w:p>
      <w:pPr>
        <w:ind w:firstLine="603"/>
        <w:spacing w:after="0" w:line="253" w:lineRule="auto"/>
        <w:rPr>
          <w:sz w:val="20"/>
          <w:szCs w:val="20"/>
          <w:color w:val="auto"/>
        </w:rPr>
      </w:pPr>
      <w:r>
        <w:rPr>
          <w:rFonts w:ascii="Arial" w:cs="Arial" w:eastAsia="Arial" w:hAnsi="Arial"/>
          <w:sz w:val="17"/>
          <w:szCs w:val="17"/>
          <w:color w:val="auto"/>
        </w:rPr>
        <w:t>The Employment Agreement with Mr. Kelterborn provides for a base salary of 160,000 Euros (which has been subsequently increased) and eligibility to receive an annual bonus up to 30% of Mr. Kelterborn’s base salary, subject to achievement of performance metrics agreed between Mr. Kelterborn and the Company. In addition, Mr. Kelterborn is eligible to use a company car and the Company bears the full cost of social insurance contributions and up to half the cost of private medical insurance premiums.</w:t>
      </w:r>
    </w:p>
    <w:p>
      <w:pPr>
        <w:spacing w:after="0" w:line="180" w:lineRule="exact"/>
        <w:rPr>
          <w:sz w:val="20"/>
          <w:szCs w:val="20"/>
          <w:color w:val="auto"/>
        </w:rPr>
      </w:pPr>
    </w:p>
    <w:p>
      <w:pPr>
        <w:ind w:right="60" w:firstLine="603"/>
        <w:spacing w:after="0" w:line="271" w:lineRule="auto"/>
        <w:rPr>
          <w:sz w:val="20"/>
          <w:szCs w:val="20"/>
          <w:color w:val="auto"/>
        </w:rPr>
      </w:pPr>
      <w:r>
        <w:rPr>
          <w:rFonts w:ascii="Arial" w:cs="Arial" w:eastAsia="Arial" w:hAnsi="Arial"/>
          <w:sz w:val="16"/>
          <w:szCs w:val="16"/>
          <w:color w:val="auto"/>
        </w:rPr>
        <w:t>The Employment Agreement with Mr. Kelterborn may be terminated by either party upon 60 days’ advance written notice or at any time with cause (as defined in the Employment Agreement). In the event of Mr. Kelterborn’s temporary incapacity, he will be entitled to receive continued payment of his compensation and benefits until the earlier of (i) the date six weeks following the date of his incapacity or (ii) the termination of the Employment Agreement due to incapacity. If Mr. Kelterborn’s incapacity is a result of illness, he will be further entitled to receive a subsidy to the cash benefits of his statutory health insurance fund or replacement sickness fund up to a period of six months and up to a maximum of 160,000 Euros.</w:t>
      </w:r>
    </w:p>
    <w:p>
      <w:pPr>
        <w:spacing w:after="0" w:line="166" w:lineRule="exact"/>
        <w:rPr>
          <w:sz w:val="20"/>
          <w:szCs w:val="20"/>
          <w:color w:val="auto"/>
        </w:rPr>
      </w:pPr>
    </w:p>
    <w:p>
      <w:pPr>
        <w:ind w:firstLine="603"/>
        <w:spacing w:after="0" w:line="271" w:lineRule="auto"/>
        <w:rPr>
          <w:sz w:val="20"/>
          <w:szCs w:val="20"/>
          <w:color w:val="auto"/>
        </w:rPr>
      </w:pPr>
      <w:r>
        <w:rPr>
          <w:rFonts w:ascii="Arial" w:cs="Arial" w:eastAsia="Arial" w:hAnsi="Arial"/>
          <w:sz w:val="16"/>
          <w:szCs w:val="16"/>
          <w:color w:val="auto"/>
        </w:rPr>
        <w:t>In connection with Mr. Kelterborn’s promotion to President and Chief Revenue Officer of the Company, on April 14, 2022, the Company and Mr. Kelterborn entered into a letter agreement (the “Letter Agreement”) supplementing the existing Employment Agreement with Mr. Kelterborn. Pursuant to the Letter Agreement, Mr. Kelterborn’s annual base salary will be $400,000, and he will be eligible to receive a grant of stock options (as described more fully in “Elements of Executive Compensation—Equity Awards During 2022”) and will also be reimbursed for the cost of all reasonable expenses relating to (i) the securing of a visa or work permit to live and work in the United States and (ii) the relocation from Mr. Kelterborn’s home in Europe to the United States.</w:t>
      </w:r>
    </w:p>
    <w:p>
      <w:pPr>
        <w:spacing w:after="0" w:line="166" w:lineRule="exact"/>
        <w:rPr>
          <w:sz w:val="20"/>
          <w:szCs w:val="20"/>
          <w:color w:val="auto"/>
        </w:rPr>
      </w:pPr>
    </w:p>
    <w:p>
      <w:pPr>
        <w:ind w:right="760" w:firstLine="603"/>
        <w:spacing w:after="0" w:line="268" w:lineRule="auto"/>
        <w:rPr>
          <w:sz w:val="20"/>
          <w:szCs w:val="20"/>
          <w:color w:val="auto"/>
        </w:rPr>
      </w:pPr>
      <w:r>
        <w:rPr>
          <w:rFonts w:ascii="Arial" w:cs="Arial" w:eastAsia="Arial" w:hAnsi="Arial"/>
          <w:sz w:val="17"/>
          <w:szCs w:val="17"/>
          <w:color w:val="auto"/>
        </w:rPr>
        <w:t>Mr. Kelterborn is subject to a post-termination non-competition covenant for a period of one year that restricts Mr. Kelterborn’s ability to engage in competitive activities in Germany. During the period of time in which the non-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6" w:name="page137"/>
    <w:bookmarkEnd w:id="13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20"/>
        <w:spacing w:after="0" w:line="257" w:lineRule="auto"/>
        <w:rPr>
          <w:sz w:val="20"/>
          <w:szCs w:val="20"/>
          <w:color w:val="auto"/>
        </w:rPr>
      </w:pPr>
      <w:r>
        <w:rPr>
          <w:rFonts w:ascii="Arial" w:cs="Arial" w:eastAsia="Arial" w:hAnsi="Arial"/>
          <w:sz w:val="17"/>
          <w:szCs w:val="17"/>
          <w:color w:val="auto"/>
        </w:rPr>
        <w:t>competition obligation is applicable, the Company will pay Mr. Kelterborn compensation in an amount equal to 60% of Mr. Kelterborn’s base remuneration immediately prior to his termination of employment (subject to the requirements of German law). The Employment Agreement with Mr. Kelterborn also includes confidentiality restrictions during and following termination of the Employment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the outstanding equity awards held by each of our NEOs as of December 31, 2022.</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5"/>
              </w:rPr>
              <w:t>Option Awards</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ind w:left="760"/>
              <w:spacing w:after="0"/>
              <w:rPr>
                <w:sz w:val="20"/>
                <w:szCs w:val="20"/>
                <w:color w:val="auto"/>
              </w:rPr>
            </w:pPr>
            <w:r>
              <w:rPr>
                <w:rFonts w:ascii="Arial" w:cs="Arial" w:eastAsia="Arial" w:hAnsi="Arial"/>
                <w:sz w:val="13"/>
                <w:szCs w:val="13"/>
                <w:b w:val="1"/>
                <w:bCs w:val="1"/>
                <w:color w:val="auto"/>
              </w:rPr>
              <w:t>Stock Awards</w:t>
            </w:r>
          </w:p>
        </w:tc>
        <w:tc>
          <w:tcPr>
            <w:tcW w:w="1100" w:type="dxa"/>
            <w:vAlign w:val="bottom"/>
          </w:tcPr>
          <w:p>
            <w:pPr>
              <w:spacing w:after="0"/>
              <w:rPr>
                <w:sz w:val="15"/>
                <w:szCs w:val="15"/>
                <w:color w:val="auto"/>
              </w:rPr>
            </w:pPr>
          </w:p>
        </w:tc>
      </w:tr>
      <w:tr>
        <w:trPr>
          <w:trHeight w:val="23"/>
        </w:trPr>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1"/>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r>
      <w:tr>
        <w:trPr>
          <w:trHeight w:val="163"/>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Equity</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8"/>
              </w:rPr>
              <w:t>incentive</w:t>
            </w:r>
          </w:p>
        </w:tc>
      </w:tr>
      <w:tr>
        <w:trPr>
          <w:trHeight w:val="151"/>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incentive</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3"/>
              </w:rPr>
              <w:t>plan awards:</w:t>
            </w:r>
          </w:p>
        </w:tc>
      </w:tr>
      <w:tr>
        <w:trPr>
          <w:trHeight w:val="163"/>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plan awards:</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Market or payout</w:t>
            </w:r>
          </w:p>
        </w:tc>
      </w:tr>
      <w:tr>
        <w:trPr>
          <w:trHeight w:val="163"/>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Market value of</w:t>
            </w:r>
          </w:p>
        </w:tc>
        <w:tc>
          <w:tcPr>
            <w:tcW w:w="12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Number of</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3"/>
              </w:rPr>
              <w:t>value of</w:t>
            </w:r>
          </w:p>
        </w:tc>
      </w:tr>
      <w:tr>
        <w:trPr>
          <w:trHeight w:val="163"/>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securities</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Number of shares</w:t>
            </w: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shares of units of</w:t>
            </w:r>
          </w:p>
        </w:tc>
        <w:tc>
          <w:tcPr>
            <w:tcW w:w="12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unearned</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2"/>
              </w:rPr>
              <w:t>unearned</w:t>
            </w:r>
          </w:p>
        </w:tc>
      </w:tr>
      <w:tr>
        <w:trPr>
          <w:trHeight w:val="151"/>
        </w:trPr>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underlying</w:t>
            </w: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1"/>
              </w:rPr>
              <w:t>Number of securities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or</w:t>
            </w: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stock that have</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shares, units or</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8"/>
              </w:rPr>
              <w:t>shares, units or</w:t>
            </w:r>
          </w:p>
        </w:tc>
      </w:tr>
      <w:tr>
        <w:trPr>
          <w:trHeight w:val="163"/>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unexercised</w:t>
            </w: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underlying</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units of stock that</w:t>
            </w: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not</w:t>
            </w:r>
          </w:p>
        </w:tc>
        <w:tc>
          <w:tcPr>
            <w:tcW w:w="12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4"/>
              </w:rPr>
              <w:t>other rights that</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4"/>
              </w:rPr>
              <w:t>other rights that</w:t>
            </w:r>
          </w:p>
        </w:tc>
      </w:tr>
      <w:tr>
        <w:trPr>
          <w:trHeight w:val="163"/>
        </w:trPr>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options</w:t>
            </w: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0"/>
              </w:rPr>
              <w:t>unexercised options</w:t>
            </w:r>
          </w:p>
        </w:tc>
        <w:tc>
          <w:tcPr>
            <w:tcW w:w="1100" w:type="dxa"/>
            <w:vAlign w:val="bottom"/>
            <w:gridSpan w:val="2"/>
          </w:tcPr>
          <w:p>
            <w:pPr>
              <w:ind w:left="40"/>
              <w:spacing w:after="0"/>
              <w:rPr>
                <w:sz w:val="20"/>
                <w:szCs w:val="20"/>
                <w:color w:val="auto"/>
              </w:rPr>
            </w:pPr>
            <w:r>
              <w:rPr>
                <w:rFonts w:ascii="Arial" w:cs="Arial" w:eastAsia="Arial" w:hAnsi="Arial"/>
                <w:sz w:val="13"/>
                <w:szCs w:val="13"/>
                <w:b w:val="1"/>
                <w:bCs w:val="1"/>
                <w:color w:val="auto"/>
              </w:rPr>
              <w:t>Option exercise</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4"/>
              </w:rPr>
              <w:t>Option expiration</w:t>
            </w:r>
          </w:p>
        </w:tc>
        <w:tc>
          <w:tcPr>
            <w:tcW w:w="12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have not vested</w:t>
            </w: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vested</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have not vested</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7"/>
              </w:rPr>
              <w:t>have not vested</w:t>
            </w:r>
          </w:p>
        </w:tc>
      </w:tr>
      <w:tr>
        <w:trPr>
          <w:trHeight w:val="209"/>
        </w:trPr>
        <w:tc>
          <w:tcPr>
            <w:tcW w:w="1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exercisable</w:t>
            </w:r>
          </w:p>
        </w:tc>
        <w:tc>
          <w:tcPr>
            <w:tcW w:w="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 unexercisable</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price ($)</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3"/>
                <w:szCs w:val="13"/>
                <w:b w:val="1"/>
                <w:bCs w:val="1"/>
                <w:color w:val="auto"/>
              </w:rPr>
              <w:t>date</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r>
              <w:rPr>
                <w:rFonts w:ascii="Arial" w:cs="Arial" w:eastAsia="Arial" w:hAnsi="Arial"/>
                <w:sz w:val="17"/>
                <w:szCs w:val="17"/>
                <w:color w:val="auto"/>
                <w:w w:val="87"/>
                <w:vertAlign w:val="superscript"/>
              </w:rPr>
              <w:t>(5)</w:t>
            </w:r>
          </w:p>
        </w:tc>
      </w:tr>
      <w:tr>
        <w:trPr>
          <w:trHeight w:val="193"/>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Yang Wu</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center"/>
              <w:ind w:left="933"/>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line="194" w:lineRule="exact"/>
              <w:rPr>
                <w:sz w:val="20"/>
                <w:szCs w:val="20"/>
                <w:color w:val="auto"/>
              </w:rPr>
            </w:pPr>
            <w:r>
              <w:rPr>
                <w:rFonts w:ascii="Arial" w:cs="Arial" w:eastAsia="Arial" w:hAnsi="Arial"/>
                <w:sz w:val="13"/>
                <w:szCs w:val="13"/>
                <w:color w:val="auto"/>
              </w:rPr>
              <w:t>16,751</w:t>
            </w:r>
            <w:r>
              <w:rPr>
                <w:rFonts w:ascii="Arial" w:cs="Arial" w:eastAsia="Arial" w:hAnsi="Arial"/>
                <w:sz w:val="17"/>
                <w:szCs w:val="17"/>
                <w:color w:val="auto"/>
                <w:vertAlign w:val="superscript"/>
              </w:rPr>
              <w:t>(3)</w:t>
            </w: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25,629</w:t>
            </w:r>
          </w:p>
        </w:tc>
      </w:tr>
      <w:tr>
        <w:trPr>
          <w:trHeight w:val="201"/>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center"/>
              <w:ind w:left="933"/>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25,902</w:t>
            </w:r>
            <w:r>
              <w:rPr>
                <w:rFonts w:ascii="Arial" w:cs="Arial" w:eastAsia="Arial" w:hAnsi="Arial"/>
                <w:sz w:val="17"/>
                <w:szCs w:val="17"/>
                <w:color w:val="auto"/>
                <w:vertAlign w:val="superscript"/>
              </w:rPr>
              <w:t>(4)</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39,630</w:t>
            </w:r>
          </w:p>
        </w:tc>
      </w:tr>
      <w:tr>
        <w:trPr>
          <w:trHeight w:val="201"/>
        </w:trPr>
        <w:tc>
          <w:tcPr>
            <w:tcW w:w="1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Sascha Rene Kelterborn</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160,300</w:t>
            </w: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320,600</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7/24/2027</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213,733</w:t>
            </w:r>
          </w:p>
        </w:tc>
        <w:tc>
          <w:tcPr>
            <w:tcW w:w="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427,467</w:t>
            </w:r>
            <w:r>
              <w:rPr>
                <w:rFonts w:ascii="Arial" w:cs="Arial" w:eastAsia="Arial" w:hAnsi="Arial"/>
                <w:sz w:val="17"/>
                <w:szCs w:val="17"/>
                <w:color w:val="auto"/>
                <w:vertAlign w:val="superscript"/>
              </w:rPr>
              <w:t>(1)</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6.28</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7/28/2030</w:t>
            </w:r>
          </w:p>
        </w:tc>
        <w:tc>
          <w:tcPr>
            <w:tcW w:w="80" w:type="dxa"/>
            <w:vAlign w:val="bottom"/>
          </w:tcPr>
          <w:p>
            <w:pPr>
              <w:spacing w:after="0"/>
              <w:rPr>
                <w:sz w:val="17"/>
                <w:szCs w:val="17"/>
                <w:color w:val="auto"/>
              </w:rPr>
            </w:pP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800,000</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4/14/2028</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ind w:left="940"/>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center"/>
              <w:ind w:left="933"/>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3,045</w:t>
            </w:r>
            <w:r>
              <w:rPr>
                <w:rFonts w:ascii="Arial" w:cs="Arial" w:eastAsia="Arial" w:hAnsi="Arial"/>
                <w:sz w:val="17"/>
                <w:szCs w:val="17"/>
                <w:color w:val="auto"/>
                <w:vertAlign w:val="superscript"/>
              </w:rPr>
              <w:t>(3)</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4,659</w:t>
            </w:r>
          </w:p>
        </w:tc>
      </w:tr>
      <w:tr>
        <w:trPr>
          <w:trHeight w:val="201"/>
        </w:trPr>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center"/>
              <w:ind w:left="933"/>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6,279</w:t>
            </w:r>
            <w:r>
              <w:rPr>
                <w:rFonts w:ascii="Arial" w:cs="Arial" w:eastAsia="Arial" w:hAnsi="Arial"/>
                <w:sz w:val="17"/>
                <w:szCs w:val="17"/>
                <w:color w:val="auto"/>
                <w:vertAlign w:val="superscript"/>
              </w:rPr>
              <w:t>(4)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9,607</w:t>
            </w:r>
          </w:p>
        </w:tc>
      </w:tr>
      <w:tr>
        <w:trPr>
          <w:trHeight w:val="213"/>
        </w:trPr>
        <w:tc>
          <w:tcPr>
            <w:tcW w:w="1640" w:type="dxa"/>
            <w:vAlign w:val="bottom"/>
            <w:gridSpan w:val="2"/>
          </w:tcPr>
          <w:p>
            <w:pPr>
              <w:ind w:left="20"/>
              <w:spacing w:after="0"/>
              <w:rPr>
                <w:sz w:val="20"/>
                <w:szCs w:val="20"/>
                <w:color w:val="auto"/>
              </w:rPr>
            </w:pPr>
            <w:r>
              <w:rPr>
                <w:rFonts w:ascii="Arial" w:cs="Arial" w:eastAsia="Arial" w:hAnsi="Arial"/>
                <w:sz w:val="13"/>
                <w:szCs w:val="13"/>
                <w:color w:val="auto"/>
              </w:rPr>
              <w:t>Craig Webster</w:t>
            </w: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1,000,000</w:t>
            </w:r>
            <w:r>
              <w:rPr>
                <w:rFonts w:ascii="Arial" w:cs="Arial" w:eastAsia="Arial" w:hAnsi="Arial"/>
                <w:sz w:val="17"/>
                <w:szCs w:val="17"/>
                <w:color w:val="auto"/>
                <w:vertAlign w:val="superscript"/>
              </w:rPr>
              <w:t>(2)</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5.69</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4/14/2028</w:t>
            </w:r>
          </w:p>
        </w:tc>
        <w:tc>
          <w:tcPr>
            <w:tcW w:w="80" w:type="dxa"/>
            <w:vAlign w:val="bottom"/>
          </w:tcPr>
          <w:p>
            <w:pPr>
              <w:spacing w:after="0"/>
              <w:rPr>
                <w:sz w:val="18"/>
                <w:szCs w:val="18"/>
                <w:color w:val="auto"/>
              </w:rPr>
            </w:pPr>
          </w:p>
        </w:tc>
        <w:tc>
          <w:tcPr>
            <w:tcW w:w="1200" w:type="dxa"/>
            <w:vAlign w:val="bottom"/>
            <w:gridSpan w:val="2"/>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tcPr>
          <w:p>
            <w:pPr>
              <w:ind w:left="900"/>
              <w:spacing w:after="0"/>
              <w:rPr>
                <w:sz w:val="20"/>
                <w:szCs w:val="20"/>
                <w:color w:val="auto"/>
              </w:rPr>
            </w:pPr>
            <w:r>
              <w:rPr>
                <w:rFonts w:ascii="Arial" w:cs="Arial" w:eastAsia="Arial" w:hAnsi="Arial"/>
                <w:sz w:val="13"/>
                <w:szCs w:val="13"/>
                <w:color w:val="auto"/>
              </w:rPr>
              <w:t>—</w:t>
            </w:r>
          </w:p>
        </w:tc>
        <w:tc>
          <w:tcPr>
            <w:tcW w:w="1220" w:type="dxa"/>
            <w:vAlign w:val="bottom"/>
            <w:gridSpan w:val="2"/>
          </w:tcPr>
          <w:p>
            <w:pPr>
              <w:ind w:left="9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1"/>
        </w:trPr>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CEEFF"/>
          </w:tcPr>
          <w:p>
            <w:pPr>
              <w:jc w:val="center"/>
              <w:ind w:left="933"/>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CEEFF"/>
          </w:tcPr>
          <w:p>
            <w:pPr>
              <w:ind w:left="92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6,279</w:t>
            </w:r>
            <w:r>
              <w:rPr>
                <w:rFonts w:ascii="Arial" w:cs="Arial" w:eastAsia="Arial" w:hAnsi="Arial"/>
                <w:sz w:val="17"/>
                <w:szCs w:val="17"/>
                <w:color w:val="auto"/>
                <w:vertAlign w:val="superscript"/>
              </w:rPr>
              <w:t>(4)</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9,607</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18" w:lineRule="exact"/>
        <w:rPr>
          <w:sz w:val="20"/>
          <w:szCs w:val="20"/>
          <w:color w:val="auto"/>
        </w:rPr>
      </w:pPr>
    </w:p>
    <w:p>
      <w:pPr>
        <w:ind w:left="300" w:right="40" w:hanging="300"/>
        <w:spacing w:after="0" w:line="246" w:lineRule="auto"/>
        <w:tabs>
          <w:tab w:leader="none" w:pos="294"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stock options granted under the Stock Incentive Plan, vesting in equal annual installments on each of the second and third anniversaries of the Business Combination.</w:t>
      </w:r>
    </w:p>
    <w:p>
      <w:pPr>
        <w:ind w:left="300" w:hanging="300"/>
        <w:spacing w:after="0"/>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stock options granted under the 2021 Plan, vesting in equal installments on each of the first, second and third anniversaries of April 14, 2022.</w:t>
      </w:r>
    </w:p>
    <w:p>
      <w:pPr>
        <w:spacing w:after="0" w:line="16" w:lineRule="exact"/>
        <w:rPr>
          <w:rFonts w:ascii="Arial" w:cs="Arial" w:eastAsia="Arial" w:hAnsi="Arial"/>
          <w:sz w:val="16"/>
          <w:szCs w:val="16"/>
          <w:color w:val="auto"/>
        </w:rPr>
      </w:pPr>
    </w:p>
    <w:p>
      <w:pPr>
        <w:ind w:left="300" w:right="360" w:hanging="300"/>
        <w:spacing w:after="0" w:line="246" w:lineRule="auto"/>
        <w:tabs>
          <w:tab w:leader="none" w:pos="294"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PSUs granted under the 2021 Plan at threshold performance, vesting on December 31, 2023, subject to achievement of the applicable performance criteria and the NEO's continued employment with or services to us or one of our affiliates through the vesting date.</w:t>
      </w:r>
    </w:p>
    <w:p>
      <w:pPr>
        <w:ind w:left="300" w:right="360" w:hanging="300"/>
        <w:spacing w:after="0" w:line="246" w:lineRule="auto"/>
        <w:tabs>
          <w:tab w:leader="none" w:pos="294"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PSUs granted under the 2021 Plan at threshold performance, vesting on December 31, 2024, subject to achievement of the applicable performance criteria and the NEO's continued employment with or services to us or one of our affiliates through the vesting date.</w:t>
      </w:r>
    </w:p>
    <w:p>
      <w:pPr>
        <w:ind w:left="300" w:right="340" w:hanging="300"/>
        <w:spacing w:after="0" w:line="253" w:lineRule="auto"/>
        <w:tabs>
          <w:tab w:leader="none" w:pos="29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value of each stock award is based on the target number of shares into which such stock award may convert and the closing price of our common stock on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Plans</w:t>
      </w:r>
    </w:p>
    <w:p>
      <w:pPr>
        <w:spacing w:after="0" w:line="210" w:lineRule="exact"/>
        <w:rPr>
          <w:sz w:val="20"/>
          <w:szCs w:val="20"/>
          <w:color w:val="auto"/>
        </w:rPr>
      </w:pPr>
    </w:p>
    <w:p>
      <w:pPr>
        <w:ind w:right="80" w:firstLine="603"/>
        <w:spacing w:after="0" w:line="257" w:lineRule="auto"/>
        <w:rPr>
          <w:sz w:val="20"/>
          <w:szCs w:val="20"/>
          <w:color w:val="auto"/>
        </w:rPr>
      </w:pPr>
      <w:r>
        <w:rPr>
          <w:rFonts w:ascii="Arial" w:cs="Arial" w:eastAsia="Arial" w:hAnsi="Arial"/>
          <w:sz w:val="17"/>
          <w:szCs w:val="17"/>
          <w:color w:val="auto"/>
        </w:rPr>
        <w:t>We sponsor a 401(k) plan covering substantially all our employees, including our NEOs. Eligible employees may elect to make pre-tax contributions to the plan, subject to limitations set forth by the plan and the Code. All eligible employees, including our NEOs, may participate in the plan on substantially the same terms. We do not provide matching employer contributions to employees’ accounts under the plan.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and Change in Control Provisions</w:t>
      </w:r>
    </w:p>
    <w:p>
      <w:pPr>
        <w:spacing w:after="0" w:line="210" w:lineRule="exact"/>
        <w:rPr>
          <w:sz w:val="20"/>
          <w:szCs w:val="20"/>
          <w:color w:val="auto"/>
        </w:rPr>
      </w:pPr>
    </w:p>
    <w:p>
      <w:pPr>
        <w:ind w:right="80" w:firstLine="603"/>
        <w:spacing w:after="0" w:line="268" w:lineRule="auto"/>
        <w:rPr>
          <w:sz w:val="20"/>
          <w:szCs w:val="20"/>
          <w:color w:val="auto"/>
        </w:rPr>
      </w:pPr>
      <w:r>
        <w:rPr>
          <w:rFonts w:ascii="Arial" w:cs="Arial" w:eastAsia="Arial" w:hAnsi="Arial"/>
          <w:sz w:val="17"/>
          <w:szCs w:val="17"/>
          <w:color w:val="auto"/>
        </w:rPr>
        <w:t>Descriptions of the severance payments and benefits to be provided to our NEOs, including in respect of equity awards held by our NEOs, in connection with certain terminations of employment both in connection with a change in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7" w:name="page138"/>
    <w:bookmarkEnd w:id="137"/>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540"/>
        <w:spacing w:after="0" w:line="268" w:lineRule="auto"/>
        <w:rPr>
          <w:sz w:val="20"/>
          <w:szCs w:val="20"/>
          <w:color w:val="auto"/>
        </w:rPr>
      </w:pPr>
      <w:r>
        <w:rPr>
          <w:rFonts w:ascii="Arial" w:cs="Arial" w:eastAsia="Arial" w:hAnsi="Arial"/>
          <w:sz w:val="17"/>
          <w:szCs w:val="17"/>
          <w:color w:val="auto"/>
        </w:rPr>
        <w:t>control and not in connection with a change in control, are set forth in "Elements of Executive Compensation—Equity Awards During 2022" and “Employment Agreements with NEOs” above.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table below sets forth information regarding non-employee director compensation for the year ended December 31,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Fees Earned or</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88"/>
        </w:trPr>
        <w:tc>
          <w:tcPr>
            <w:tcW w:w="6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2"/>
          </w:tcPr>
          <w:p>
            <w:pPr>
              <w:jc w:val="center"/>
              <w:ind w:right="120"/>
              <w:spacing w:after="0" w:line="189" w:lineRule="exact"/>
              <w:rPr>
                <w:sz w:val="20"/>
                <w:szCs w:val="20"/>
                <w:color w:val="auto"/>
              </w:rPr>
            </w:pPr>
            <w:r>
              <w:rPr>
                <w:rFonts w:ascii="Arial" w:cs="Arial" w:eastAsia="Arial" w:hAnsi="Arial"/>
                <w:sz w:val="17"/>
                <w:szCs w:val="17"/>
                <w:b w:val="1"/>
                <w:bCs w:val="1"/>
                <w:color w:val="auto"/>
                <w:w w:val="88"/>
              </w:rPr>
              <w:t>Paid in Cash</w:t>
            </w: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42"/>
        </w:trPr>
        <w:tc>
          <w:tcPr>
            <w:tcW w:w="6540" w:type="dxa"/>
            <w:vAlign w:val="bottom"/>
            <w:tcBorders>
              <w:bottom w:val="single" w:sz="8" w:color="auto"/>
            </w:tcBorders>
          </w:tcPr>
          <w:p>
            <w:pPr>
              <w:ind w:left="3060"/>
              <w:spacing w:after="0"/>
              <w:rPr>
                <w:sz w:val="20"/>
                <w:szCs w:val="20"/>
                <w:color w:val="auto"/>
              </w:rPr>
            </w:pPr>
            <w:r>
              <w:rPr>
                <w:rFonts w:ascii="Arial" w:cs="Arial" w:eastAsia="Arial" w:hAnsi="Arial"/>
                <w:sz w:val="17"/>
                <w:szCs w:val="17"/>
                <w:b w:val="1"/>
                <w:bCs w:val="1"/>
                <w:color w:val="auto"/>
              </w:rPr>
              <w:t>Name</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0"/>
              </w:rPr>
              <w:t>Stock Awards ($)</w:t>
            </w:r>
            <w:r>
              <w:rPr>
                <w:rFonts w:ascii="Arial" w:cs="Arial" w:eastAsia="Arial" w:hAnsi="Arial"/>
                <w:sz w:val="21"/>
                <w:szCs w:val="21"/>
                <w:color w:val="auto"/>
                <w:w w:val="90"/>
                <w:vertAlign w:val="superscript"/>
              </w:rPr>
              <w:t>(1)</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7"/>
                <w:szCs w:val="17"/>
                <w:b w:val="1"/>
                <w:bCs w:val="1"/>
                <w:color w:val="auto"/>
              </w:rPr>
              <w:t>Total ($)</w:t>
            </w:r>
          </w:p>
        </w:tc>
      </w:tr>
      <w:tr>
        <w:trPr>
          <w:trHeight w:val="231"/>
        </w:trPr>
        <w:tc>
          <w:tcPr>
            <w:tcW w:w="6620" w:type="dxa"/>
            <w:vAlign w:val="bottom"/>
            <w:gridSpan w:val="2"/>
            <w:shd w:val="clear" w:color="auto" w:fill="CCEEFF"/>
          </w:tcPr>
          <w:p>
            <w:pPr>
              <w:ind w:left="20"/>
              <w:spacing w:after="0" w:line="231" w:lineRule="exact"/>
              <w:rPr>
                <w:sz w:val="20"/>
                <w:szCs w:val="20"/>
                <w:color w:val="auto"/>
              </w:rPr>
            </w:pPr>
            <w:r>
              <w:rPr>
                <w:rFonts w:ascii="Arial" w:cs="Arial" w:eastAsia="Arial" w:hAnsi="Arial"/>
                <w:sz w:val="17"/>
                <w:szCs w:val="17"/>
                <w:color w:val="auto"/>
              </w:rPr>
              <w:t>Craig Webster</w:t>
            </w:r>
            <w:r>
              <w:rPr>
                <w:rFonts w:ascii="Arial" w:cs="Arial" w:eastAsia="Arial" w:hAnsi="Arial"/>
                <w:sz w:val="21"/>
                <w:szCs w:val="21"/>
                <w:color w:val="auto"/>
                <w:vertAlign w:val="superscript"/>
              </w:rPr>
              <w:t>(2)</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9"/>
        </w:trPr>
        <w:tc>
          <w:tcPr>
            <w:tcW w:w="6620" w:type="dxa"/>
            <w:vAlign w:val="bottom"/>
            <w:gridSpan w:val="2"/>
          </w:tcPr>
          <w:p>
            <w:pPr>
              <w:ind w:left="20"/>
              <w:spacing w:after="0" w:line="239" w:lineRule="exact"/>
              <w:rPr>
                <w:sz w:val="20"/>
                <w:szCs w:val="20"/>
                <w:color w:val="auto"/>
              </w:rPr>
            </w:pPr>
            <w:r>
              <w:rPr>
                <w:rFonts w:ascii="Arial" w:cs="Arial" w:eastAsia="Arial" w:hAnsi="Arial"/>
                <w:sz w:val="17"/>
                <w:szCs w:val="17"/>
                <w:color w:val="auto"/>
              </w:rPr>
              <w:t>Yanzhuan Zheng</w:t>
            </w:r>
            <w:r>
              <w:rPr>
                <w:rFonts w:ascii="Arial" w:cs="Arial" w:eastAsia="Arial" w:hAnsi="Arial"/>
                <w:sz w:val="21"/>
                <w:szCs w:val="21"/>
                <w:color w:val="auto"/>
                <w:vertAlign w:val="superscript"/>
              </w:rPr>
              <w:t>(3)</w:t>
            </w:r>
          </w:p>
        </w:tc>
        <w:tc>
          <w:tcPr>
            <w:tcW w:w="15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Arthur Wong</w:t>
            </w:r>
          </w:p>
        </w:tc>
        <w:tc>
          <w:tcPr>
            <w:tcW w:w="1480" w:type="dxa"/>
            <w:vAlign w:val="bottom"/>
            <w:shd w:val="clear" w:color="auto" w:fill="CCEEFF"/>
          </w:tcPr>
          <w:p>
            <w:pPr>
              <w:jc w:val="right"/>
              <w:spacing w:after="0" w:line="239" w:lineRule="exact"/>
              <w:rPr>
                <w:sz w:val="20"/>
                <w:szCs w:val="20"/>
                <w:color w:val="auto"/>
              </w:rPr>
            </w:pPr>
            <w:r>
              <w:rPr>
                <w:rFonts w:ascii="Arial" w:cs="Arial" w:eastAsia="Arial" w:hAnsi="Arial"/>
                <w:sz w:val="17"/>
                <w:szCs w:val="17"/>
                <w:color w:val="auto"/>
              </w:rPr>
              <w:t>81,000</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161,000</w:t>
            </w:r>
          </w:p>
        </w:tc>
      </w:tr>
      <w:tr>
        <w:trPr>
          <w:trHeight w:val="232"/>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Stanley Whittingham</w:t>
            </w:r>
          </w:p>
        </w:tc>
        <w:tc>
          <w:tcPr>
            <w:tcW w:w="1480" w:type="dxa"/>
            <w:vAlign w:val="bottom"/>
          </w:tcPr>
          <w:p>
            <w:pPr>
              <w:jc w:val="right"/>
              <w:spacing w:after="0"/>
              <w:rPr>
                <w:sz w:val="20"/>
                <w:szCs w:val="20"/>
                <w:color w:val="auto"/>
              </w:rPr>
            </w:pPr>
            <w:r>
              <w:rPr>
                <w:rFonts w:ascii="Arial" w:cs="Arial" w:eastAsia="Arial" w:hAnsi="Arial"/>
                <w:sz w:val="17"/>
                <w:szCs w:val="17"/>
                <w:color w:val="auto"/>
              </w:rPr>
              <w:t>35,000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80,000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115,000</w:t>
            </w:r>
          </w:p>
        </w:tc>
      </w:tr>
      <w:tr>
        <w:trPr>
          <w:trHeight w:val="245"/>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Stephen Vogel</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160,000</w:t>
            </w:r>
          </w:p>
        </w:tc>
      </w:tr>
      <w:tr>
        <w:trPr>
          <w:trHeight w:val="23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Ying Wei</w:t>
            </w:r>
          </w:p>
        </w:tc>
        <w:tc>
          <w:tcPr>
            <w:tcW w:w="1480" w:type="dxa"/>
            <w:vAlign w:val="bottom"/>
          </w:tcPr>
          <w:p>
            <w:pPr>
              <w:jc w:val="right"/>
              <w:spacing w:after="0" w:line="239" w:lineRule="exact"/>
              <w:rPr>
                <w:sz w:val="20"/>
                <w:szCs w:val="20"/>
                <w:color w:val="auto"/>
              </w:rPr>
            </w:pPr>
            <w:r>
              <w:rPr>
                <w:rFonts w:ascii="Arial" w:cs="Arial" w:eastAsia="Arial" w:hAnsi="Arial"/>
                <w:sz w:val="17"/>
                <w:szCs w:val="17"/>
                <w:color w:val="auto"/>
              </w:rPr>
              <w:t>69,999</w:t>
            </w:r>
            <w:r>
              <w:rPr>
                <w:rFonts w:ascii="Arial" w:cs="Arial" w:eastAsia="Arial" w:hAnsi="Arial"/>
                <w:sz w:val="21"/>
                <w:szCs w:val="21"/>
                <w:color w:val="auto"/>
                <w:vertAlign w:val="superscript"/>
              </w:rPr>
              <w:t>(5)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80,000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149,999</w:t>
            </w:r>
          </w:p>
        </w:tc>
      </w:tr>
      <w:tr>
        <w:trPr>
          <w:trHeight w:val="238"/>
        </w:trPr>
        <w:tc>
          <w:tcPr>
            <w:tcW w:w="6620" w:type="dxa"/>
            <w:vAlign w:val="bottom"/>
            <w:gridSpan w:val="2"/>
            <w:shd w:val="clear" w:color="auto" w:fill="CCEEFF"/>
          </w:tcPr>
          <w:p>
            <w:pPr>
              <w:ind w:left="20"/>
              <w:spacing w:after="0" w:line="239" w:lineRule="exact"/>
              <w:rPr>
                <w:sz w:val="20"/>
                <w:szCs w:val="20"/>
                <w:color w:val="auto"/>
              </w:rPr>
            </w:pPr>
            <w:r>
              <w:rPr>
                <w:rFonts w:ascii="Arial" w:cs="Arial" w:eastAsia="Arial" w:hAnsi="Arial"/>
                <w:sz w:val="17"/>
                <w:szCs w:val="17"/>
                <w:color w:val="auto"/>
              </w:rPr>
              <w:t>Yeelong Tan Balladon</w:t>
            </w:r>
            <w:r>
              <w:rPr>
                <w:rFonts w:ascii="Arial" w:cs="Arial" w:eastAsia="Arial" w:hAnsi="Arial"/>
                <w:sz w:val="21"/>
                <w:szCs w:val="21"/>
                <w:color w:val="auto"/>
                <w:vertAlign w:val="superscript"/>
              </w:rPr>
              <w:t>(4)</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80,000</w:t>
            </w:r>
          </w:p>
        </w:tc>
        <w:tc>
          <w:tcPr>
            <w:tcW w:w="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122,500</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18" w:lineRule="exact"/>
        <w:rPr>
          <w:sz w:val="20"/>
          <w:szCs w:val="20"/>
          <w:color w:val="auto"/>
        </w:rPr>
      </w:pPr>
    </w:p>
    <w:p>
      <w:pPr>
        <w:ind w:left="300" w:right="320" w:hanging="300"/>
        <w:spacing w:after="0" w:line="246" w:lineRule="auto"/>
        <w:tabs>
          <w:tab w:leader="none" w:pos="294"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the Annual RSUs, as summarized in “Non-Employee Director Compensation—Equity Compensation” below, computed in accordance with FASB Topic 718. For each non-employee director, includes 36,036 Annual RSUs.</w:t>
      </w:r>
    </w:p>
    <w:p>
      <w:pPr>
        <w:ind w:left="300" w:right="280" w:hanging="300"/>
        <w:spacing w:after="0" w:line="279" w:lineRule="auto"/>
        <w:tabs>
          <w:tab w:leader="none" w:pos="294" w:val="left"/>
        </w:tabs>
        <w:numPr>
          <w:ilvl w:val="0"/>
          <w:numId w:val="48"/>
        </w:numPr>
        <w:rPr>
          <w:rFonts w:ascii="Arial" w:cs="Arial" w:eastAsia="Arial" w:hAnsi="Arial"/>
          <w:sz w:val="15"/>
          <w:szCs w:val="15"/>
          <w:color w:val="auto"/>
        </w:rPr>
      </w:pPr>
      <w:r>
        <w:rPr>
          <w:rFonts w:ascii="Arial" w:cs="Arial" w:eastAsia="Arial" w:hAnsi="Arial"/>
          <w:sz w:val="15"/>
          <w:szCs w:val="15"/>
          <w:color w:val="auto"/>
        </w:rPr>
        <w:t>Mr. Webster was appointed as our Chief Financial Officer in April 2022 and resigned from the Board effective July 1, 2022. Amounts paid to Mr. Webster with respect to his service as a director and employment with the Company during 2022 are described in the "Summary Compensation Table."</w:t>
      </w:r>
    </w:p>
    <w:p>
      <w:pPr>
        <w:ind w:left="300" w:right="80" w:hanging="300"/>
        <w:spacing w:after="0" w:line="261" w:lineRule="auto"/>
        <w:tabs>
          <w:tab w:leader="none" w:pos="294"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Prior to April 14, 2022, Mr. Zheng provided services to the Company as a director and as its Chief Financial Officer. On April 14, 2022, Mr. Zheng and the Company mutually agreed to transition Mr. Zheng from the role of Chief Financial Officer of the Company to the role of strategic advisor. Mr. Zheng continues to serve as a member of the Board and does not receive any compensation for services provided to the Company as a director. For 2022, Mr. Zheng received the following as compensation for services provided to the Company as its Chief Financial Officer and as an advisor: salary and fees—$309,214; RSUs—$59,996 at target performance ($71,996 at maximum performance); PSUs—$59,999 at target performance ($89,999 at maximum performance). As described under “Elements of Executive Compensation” above, because performance was certified below threshold for the Company's 2022 performance RSUs, all 2022 performance RSUs were forfeited. In connection with Mr. Zheng’s transition from Chief Financial Officer of the Company to advisor, all of Mr. Zheng’s then-outstanding capped RSUs and stock options vested in full.</w:t>
      </w:r>
    </w:p>
    <w:p>
      <w:pPr>
        <w:spacing w:after="0" w:line="6" w:lineRule="exact"/>
        <w:rPr>
          <w:rFonts w:ascii="Arial" w:cs="Arial" w:eastAsia="Arial" w:hAnsi="Arial"/>
          <w:sz w:val="16"/>
          <w:szCs w:val="16"/>
          <w:color w:val="auto"/>
        </w:rPr>
      </w:pPr>
    </w:p>
    <w:p>
      <w:pPr>
        <w:ind w:left="300" w:hanging="300"/>
        <w:spacing w:after="0"/>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Ms. Balladon was appointed as a Board member on July 1, 2022.</w:t>
      </w:r>
    </w:p>
    <w:p>
      <w:pPr>
        <w:spacing w:after="0" w:line="5" w:lineRule="exact"/>
        <w:rPr>
          <w:rFonts w:ascii="Arial" w:cs="Arial" w:eastAsia="Arial" w:hAnsi="Arial"/>
          <w:sz w:val="17"/>
          <w:szCs w:val="17"/>
          <w:color w:val="auto"/>
        </w:rPr>
      </w:pPr>
    </w:p>
    <w:p>
      <w:pPr>
        <w:ind w:left="300" w:right="160" w:hanging="300"/>
        <w:spacing w:after="0" w:line="318" w:lineRule="auto"/>
        <w:tabs>
          <w:tab w:leader="none" w:pos="294" w:val="left"/>
        </w:tabs>
        <w:numPr>
          <w:ilvl w:val="0"/>
          <w:numId w:val="48"/>
        </w:numPr>
        <w:rPr>
          <w:rFonts w:ascii="Arial" w:cs="Arial" w:eastAsia="Arial" w:hAnsi="Arial"/>
          <w:sz w:val="15"/>
          <w:szCs w:val="15"/>
          <w:color w:val="auto"/>
        </w:rPr>
      </w:pPr>
      <w:r>
        <w:rPr>
          <w:rFonts w:ascii="Arial" w:cs="Arial" w:eastAsia="Arial" w:hAnsi="Arial"/>
          <w:sz w:val="15"/>
          <w:szCs w:val="15"/>
          <w:color w:val="auto"/>
        </w:rPr>
        <w:t>Includes the portion of the non-employee director's annual cash retainer received as Elective RSUs, as summarized in “Non-Employee Director Compensation— Equity Compensation” below, computed in accordance with FASB Topic 718, as follows: Mr. Wong—8,108; Mr. Vogel—36,036; and Mr. Ying —31,531.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Non-Employee Director Compensation</w:t>
      </w:r>
    </w:p>
    <w:p>
      <w:pPr>
        <w:spacing w:after="0" w:line="210" w:lineRule="exact"/>
        <w:rPr>
          <w:sz w:val="20"/>
          <w:szCs w:val="20"/>
          <w:color w:val="auto"/>
        </w:rPr>
      </w:pPr>
    </w:p>
    <w:p>
      <w:pPr>
        <w:ind w:right="80" w:firstLine="603"/>
        <w:spacing w:after="0" w:line="268" w:lineRule="auto"/>
        <w:rPr>
          <w:sz w:val="20"/>
          <w:szCs w:val="20"/>
          <w:color w:val="auto"/>
        </w:rPr>
      </w:pPr>
      <w:r>
        <w:rPr>
          <w:rFonts w:ascii="Arial" w:cs="Arial" w:eastAsia="Arial" w:hAnsi="Arial"/>
          <w:sz w:val="17"/>
          <w:szCs w:val="17"/>
          <w:color w:val="auto"/>
        </w:rPr>
        <w:t>For 2022, our non-employee directors are compensated for services in accordance with our non-employee director compensation policy that was approved by our Board on July 30, 2021.</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Compensation</w:t>
      </w:r>
    </w:p>
    <w:p>
      <w:pPr>
        <w:spacing w:after="0" w:line="20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Each non-employee director is eligible to receive the following cash compensation for his service on our Board and its committees:</w:t>
      </w:r>
    </w:p>
    <w:p>
      <w:pPr>
        <w:spacing w:after="0" w:line="206" w:lineRule="exact"/>
        <w:rPr>
          <w:sz w:val="20"/>
          <w:szCs w:val="20"/>
          <w:color w:val="auto"/>
        </w:rPr>
      </w:pPr>
    </w:p>
    <w:p>
      <w:pPr>
        <w:ind w:left="900" w:hanging="297"/>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$70,000 annual cash retainer for service as a Board member and an additional $25,000 for service as lead independent director;</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$20,000 annual cash retainer for service as chair of the Audit Committee;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00" w:hanging="297"/>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$15,000 annual cash retainer for service as chair of the Compensation Committee; and</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$10,000 annual cash retainer for service as chair of the Nominating and Corporate Governance Committee.</w:t>
      </w:r>
    </w:p>
    <w:p>
      <w:pPr>
        <w:spacing w:after="0" w:line="206" w:lineRule="exact"/>
        <w:rPr>
          <w:sz w:val="20"/>
          <w:szCs w:val="20"/>
          <w:color w:val="auto"/>
        </w:rPr>
      </w:pPr>
    </w:p>
    <w:p>
      <w:pPr>
        <w:ind w:right="460" w:firstLine="603"/>
        <w:spacing w:after="0" w:line="268" w:lineRule="auto"/>
        <w:rPr>
          <w:sz w:val="20"/>
          <w:szCs w:val="20"/>
          <w:color w:val="auto"/>
        </w:rPr>
      </w:pPr>
      <w:r>
        <w:rPr>
          <w:rFonts w:ascii="Arial" w:cs="Arial" w:eastAsia="Arial" w:hAnsi="Arial"/>
          <w:sz w:val="17"/>
          <w:szCs w:val="17"/>
          <w:color w:val="auto"/>
        </w:rPr>
        <w:t>The annual cash compensation amounts are payable in equal quarterly installments, in arrears on or about the last day of each fiscal quarter in which the service occurred.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Compensation</w:t>
      </w:r>
    </w:p>
    <w:p>
      <w:pPr>
        <w:spacing w:after="0" w:line="206" w:lineRule="exact"/>
        <w:rPr>
          <w:sz w:val="20"/>
          <w:szCs w:val="20"/>
          <w:color w:val="auto"/>
        </w:rPr>
      </w:pPr>
    </w:p>
    <w:p>
      <w:pPr>
        <w:ind w:right="80" w:firstLine="603"/>
        <w:spacing w:after="0" w:line="269" w:lineRule="auto"/>
        <w:rPr>
          <w:sz w:val="20"/>
          <w:szCs w:val="20"/>
          <w:color w:val="auto"/>
        </w:rPr>
      </w:pPr>
      <w:r>
        <w:rPr>
          <w:rFonts w:ascii="Arial" w:cs="Arial" w:eastAsia="Arial" w:hAnsi="Arial"/>
          <w:sz w:val="16"/>
          <w:szCs w:val="16"/>
          <w:color w:val="auto"/>
        </w:rPr>
        <w:t>Each non-employee director is eligible to receive an annual award of RSUs having a value of $80,000 and the lead independent director is eligible to receive an additional number of RSUs having a value of $25,000 (the “Annual RSUs”). The Annual RSUs vest in full on June 30, 2023. In addition, our non-employee directors may elect to receive all or a portion of their annual cash retainer in the form of RSUs (the “Elective RSUs”). The grant date of the Elective RSUs is the date the non-employee director makes the election to receive equity in lieu of his or her cash retainer and the value of the RSUs is equal to the amount of the non-employee director’s annual cash retainer that is foregone. The Elective RSUs vest in quarterly installments on the last day of each fiscal quarter. The number of Elective RSUs each non-employee director received in 2022 are set forth in the footnote to the "Director Compensation" table above.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information regarding the beneficial ownership of our common stock as of March 10, 2023, by:</w:t>
      </w:r>
    </w:p>
    <w:p>
      <w:pPr>
        <w:spacing w:after="0" w:line="206" w:lineRule="exact"/>
        <w:rPr>
          <w:sz w:val="20"/>
          <w:szCs w:val="20"/>
          <w:color w:val="auto"/>
        </w:rPr>
      </w:pPr>
    </w:p>
    <w:p>
      <w:pPr>
        <w:ind w:left="900" w:hanging="297"/>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person known by us to be the beneficial owner of more than 5% of our outstanding shares of common stock;</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executive officer and director of the Company; and</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w:t>
      </w:r>
    </w:p>
    <w:p>
      <w:pPr>
        <w:spacing w:after="0" w:line="206" w:lineRule="exact"/>
        <w:rPr>
          <w:sz w:val="20"/>
          <w:szCs w:val="20"/>
          <w:color w:val="auto"/>
        </w:rPr>
      </w:pPr>
    </w:p>
    <w:p>
      <w:pPr>
        <w:ind w:right="140" w:firstLine="904"/>
        <w:spacing w:after="0" w:line="257"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restricted stock units and warrants that are currently exercisable or exercisable within 60 days.</w:t>
      </w:r>
    </w:p>
    <w:tbl>
      <w:tblPr>
        <w:tblLayout w:type="fixed"/>
        <w:tblInd w:w="0" w:type="dxa"/>
        <w:tblCellMar>
          <w:top w:w="0" w:type="dxa"/>
          <w:left w:w="0" w:type="dxa"/>
          <w:bottom w:w="0" w:type="dxa"/>
          <w:right w:w="0" w:type="dxa"/>
        </w:tblCellMar>
      </w:tblPr>
      <w:tr>
        <w:trPr>
          <w:trHeight w:val="209"/>
        </w:trPr>
        <w:tc>
          <w:tcPr>
            <w:tcW w:w="4760" w:type="dxa"/>
            <w:vAlign w:val="bottom"/>
            <w:gridSpan w:val="3"/>
          </w:tcPr>
          <w:p>
            <w:pPr>
              <w:ind w:left="20"/>
              <w:spacing w:after="0" w:line="209" w:lineRule="exact"/>
              <w:rPr>
                <w:sz w:val="20"/>
                <w:szCs w:val="20"/>
                <w:color w:val="auto"/>
              </w:rPr>
            </w:pPr>
            <w:r>
              <w:rPr>
                <w:rFonts w:ascii="Arial" w:cs="Arial" w:eastAsia="Arial" w:hAnsi="Arial"/>
                <w:sz w:val="17"/>
                <w:szCs w:val="17"/>
                <w:b w:val="1"/>
                <w:bCs w:val="1"/>
                <w:color w:val="auto"/>
              </w:rPr>
              <w:t>Names and Addresses of Beneficial Owners</w:t>
            </w:r>
            <w:r>
              <w:rPr>
                <w:rFonts w:ascii="Arial" w:cs="Arial" w:eastAsia="Arial" w:hAnsi="Arial"/>
                <w:sz w:val="21"/>
                <w:szCs w:val="21"/>
                <w:color w:val="auto"/>
                <w:vertAlign w:val="superscript"/>
              </w:rPr>
              <w:t>(1)</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Arial" w:cs="Arial" w:eastAsia="Arial" w:hAnsi="Arial"/>
                <w:sz w:val="17"/>
                <w:szCs w:val="17"/>
                <w:b w:val="1"/>
                <w:bCs w:val="1"/>
                <w:color w:val="auto"/>
                <w:w w:val="99"/>
              </w:rPr>
              <w:t>Number of Shares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w w:val="89"/>
              </w:rPr>
              <w:t>Percent Beneficially</w:t>
            </w:r>
          </w:p>
        </w:tc>
      </w:tr>
      <w:tr>
        <w:trPr>
          <w:trHeight w:val="242"/>
        </w:trPr>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1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Owned</w:t>
            </w:r>
            <w:r>
              <w:rPr>
                <w:rFonts w:ascii="Arial" w:cs="Arial" w:eastAsia="Arial" w:hAnsi="Arial"/>
                <w:sz w:val="21"/>
                <w:szCs w:val="21"/>
                <w:color w:val="auto"/>
                <w:vertAlign w:val="superscript"/>
              </w:rPr>
              <w:t>(2)</w:t>
            </w:r>
          </w:p>
        </w:tc>
      </w:tr>
      <w:tr>
        <w:trPr>
          <w:trHeight w:val="225"/>
        </w:trPr>
        <w:tc>
          <w:tcPr>
            <w:tcW w:w="4760" w:type="dxa"/>
            <w:vAlign w:val="bottom"/>
            <w:gridSpan w:val="3"/>
          </w:tcPr>
          <w:p>
            <w:pPr>
              <w:ind w:left="20"/>
              <w:spacing w:after="0"/>
              <w:rPr>
                <w:sz w:val="20"/>
                <w:szCs w:val="20"/>
                <w:color w:val="auto"/>
              </w:rPr>
            </w:pPr>
            <w:r>
              <w:rPr>
                <w:rFonts w:ascii="Arial" w:cs="Arial" w:eastAsia="Arial" w:hAnsi="Arial"/>
                <w:sz w:val="17"/>
                <w:szCs w:val="17"/>
                <w:i w:val="1"/>
                <w:iCs w:val="1"/>
                <w:color w:val="auto"/>
              </w:rPr>
              <w:t>Directors and Officers</w:t>
            </w:r>
            <w:r>
              <w:rPr>
                <w:rFonts w:ascii="Arial" w:cs="Arial" w:eastAsia="Arial" w:hAnsi="Arial"/>
                <w:sz w:val="17"/>
                <w:szCs w:val="17"/>
                <w:color w:val="auto"/>
              </w:rPr>
              <w:t>:</w:t>
            </w:r>
          </w:p>
        </w:tc>
        <w:tc>
          <w:tcPr>
            <w:tcW w:w="3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5"/>
        </w:trPr>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85"/>
                <w:shd w:val="clear" w:color="auto" w:fill="CCEEFF"/>
              </w:rPr>
              <w:t>Yang Wu</w:t>
            </w:r>
          </w:p>
        </w:tc>
        <w:tc>
          <w:tcPr>
            <w:tcW w:w="4120" w:type="dxa"/>
            <w:vAlign w:val="bottom"/>
            <w:tcBorders>
              <w:bottom w:val="single" w:sz="8" w:color="CCEEFF"/>
            </w:tcBorders>
            <w:gridSpan w:val="2"/>
            <w:shd w:val="clear" w:color="auto" w:fill="CCEEFF"/>
          </w:tcPr>
          <w:p>
            <w:pPr>
              <w:jc w:val="right"/>
              <w:ind w:right="3946"/>
              <w:spacing w:after="0"/>
              <w:rPr>
                <w:sz w:val="20"/>
                <w:szCs w:val="20"/>
                <w:color w:val="auto"/>
              </w:rPr>
            </w:pPr>
            <w:r>
              <w:rPr>
                <w:rFonts w:ascii="Arial" w:cs="Arial" w:eastAsia="Arial" w:hAnsi="Arial"/>
                <w:sz w:val="11"/>
                <w:szCs w:val="11"/>
                <w:color w:val="auto"/>
                <w:w w:val="74"/>
              </w:rPr>
              <w:t>(3)</w:t>
            </w:r>
          </w:p>
        </w:tc>
        <w:tc>
          <w:tcPr>
            <w:tcW w:w="4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85,036,953</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w:t>
            </w:r>
          </w:p>
        </w:tc>
      </w:tr>
      <w:tr>
        <w:trPr>
          <w:trHeight w:val="226"/>
        </w:trPr>
        <w:tc>
          <w:tcPr>
            <w:tcW w:w="4760" w:type="dxa"/>
            <w:vAlign w:val="bottom"/>
            <w:gridSpan w:val="3"/>
          </w:tcPr>
          <w:p>
            <w:pPr>
              <w:ind w:left="20"/>
              <w:spacing w:after="0"/>
              <w:rPr>
                <w:sz w:val="20"/>
                <w:szCs w:val="20"/>
                <w:color w:val="auto"/>
              </w:rPr>
            </w:pPr>
            <w:r>
              <w:rPr>
                <w:rFonts w:ascii="Arial" w:cs="Arial" w:eastAsia="Arial" w:hAnsi="Arial"/>
                <w:sz w:val="17"/>
                <w:szCs w:val="17"/>
                <w:color w:val="auto"/>
              </w:rPr>
              <w:t>Stanley Whittingham</w:t>
            </w:r>
          </w:p>
        </w:tc>
        <w:tc>
          <w:tcPr>
            <w:tcW w:w="4920" w:type="dxa"/>
            <w:vAlign w:val="bottom"/>
            <w:gridSpan w:val="3"/>
          </w:tcPr>
          <w:p>
            <w:pPr>
              <w:jc w:val="right"/>
              <w:spacing w:after="0"/>
              <w:rPr>
                <w:sz w:val="20"/>
                <w:szCs w:val="20"/>
                <w:color w:val="auto"/>
              </w:rPr>
            </w:pPr>
            <w:r>
              <w:rPr>
                <w:rFonts w:ascii="Arial" w:cs="Arial" w:eastAsia="Arial" w:hAnsi="Arial"/>
                <w:sz w:val="17"/>
                <w:szCs w:val="17"/>
                <w:color w:val="auto"/>
              </w:rPr>
              <w:t>17,539</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
        </w:trPr>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1"/>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Arthur Wong</w:t>
            </w:r>
            <w:r>
              <w:rPr>
                <w:rFonts w:ascii="Arial" w:cs="Arial" w:eastAsia="Arial" w:hAnsi="Arial"/>
                <w:sz w:val="21"/>
                <w:szCs w:val="21"/>
                <w:color w:val="auto"/>
                <w:vertAlign w:val="superscript"/>
              </w:rPr>
              <w:t>(4)</w:t>
            </w:r>
          </w:p>
        </w:tc>
        <w:tc>
          <w:tcPr>
            <w:tcW w:w="4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19,839</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4760" w:type="dxa"/>
            <w:vAlign w:val="bottom"/>
            <w:gridSpan w:val="3"/>
          </w:tcPr>
          <w:p>
            <w:pPr>
              <w:ind w:left="20"/>
              <w:spacing w:after="0" w:line="239" w:lineRule="exact"/>
              <w:rPr>
                <w:sz w:val="20"/>
                <w:szCs w:val="20"/>
                <w:color w:val="auto"/>
              </w:rPr>
            </w:pPr>
            <w:r>
              <w:rPr>
                <w:rFonts w:ascii="Arial" w:cs="Arial" w:eastAsia="Arial" w:hAnsi="Arial"/>
                <w:sz w:val="17"/>
                <w:szCs w:val="17"/>
                <w:color w:val="auto"/>
              </w:rPr>
              <w:t>Stephen Vogel</w:t>
            </w:r>
            <w:r>
              <w:rPr>
                <w:rFonts w:ascii="Arial" w:cs="Arial" w:eastAsia="Arial" w:hAnsi="Arial"/>
                <w:sz w:val="21"/>
                <w:szCs w:val="21"/>
                <w:color w:val="auto"/>
                <w:vertAlign w:val="superscript"/>
              </w:rPr>
              <w:t>(5)</w:t>
            </w:r>
          </w:p>
        </w:tc>
        <w:tc>
          <w:tcPr>
            <w:tcW w:w="4920" w:type="dxa"/>
            <w:vAlign w:val="bottom"/>
            <w:gridSpan w:val="3"/>
          </w:tcPr>
          <w:p>
            <w:pPr>
              <w:jc w:val="right"/>
              <w:spacing w:after="0"/>
              <w:rPr>
                <w:sz w:val="20"/>
                <w:szCs w:val="20"/>
                <w:color w:val="auto"/>
              </w:rPr>
            </w:pPr>
            <w:r>
              <w:rPr>
                <w:rFonts w:ascii="Arial" w:cs="Arial" w:eastAsia="Arial" w:hAnsi="Arial"/>
                <w:sz w:val="17"/>
                <w:szCs w:val="17"/>
                <w:color w:val="auto"/>
              </w:rPr>
              <w:t>3,999,070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1"/>
        </w:trPr>
        <w:tc>
          <w:tcPr>
            <w:tcW w:w="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w w:val="91"/>
                <w:shd w:val="clear" w:color="auto" w:fill="CCEEFF"/>
              </w:rPr>
              <w:t>Wei Ying</w:t>
            </w:r>
          </w:p>
        </w:tc>
        <w:tc>
          <w:tcPr>
            <w:tcW w:w="4100" w:type="dxa"/>
            <w:vAlign w:val="bottom"/>
            <w:tcBorders>
              <w:bottom w:val="single" w:sz="8" w:color="CCEEFF"/>
            </w:tcBorders>
            <w:shd w:val="clear" w:color="auto" w:fill="CCEEFF"/>
          </w:tcPr>
          <w:p>
            <w:pPr>
              <w:jc w:val="right"/>
              <w:ind w:right="3926"/>
              <w:spacing w:after="0"/>
              <w:rPr>
                <w:sz w:val="20"/>
                <w:szCs w:val="20"/>
                <w:color w:val="auto"/>
              </w:rPr>
            </w:pPr>
            <w:r>
              <w:rPr>
                <w:rFonts w:ascii="Arial" w:cs="Arial" w:eastAsia="Arial" w:hAnsi="Arial"/>
                <w:sz w:val="11"/>
                <w:szCs w:val="11"/>
                <w:color w:val="auto"/>
                <w:w w:val="74"/>
              </w:rPr>
              <w:t>(6)</w:t>
            </w:r>
          </w:p>
        </w:tc>
        <w:tc>
          <w:tcPr>
            <w:tcW w:w="4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40,980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1"/>
        </w:trPr>
        <w:tc>
          <w:tcPr>
            <w:tcW w:w="4760" w:type="dxa"/>
            <w:vAlign w:val="bottom"/>
            <w:gridSpan w:val="3"/>
          </w:tcPr>
          <w:p>
            <w:pPr>
              <w:ind w:left="20"/>
              <w:spacing w:after="0"/>
              <w:rPr>
                <w:sz w:val="20"/>
                <w:szCs w:val="20"/>
                <w:color w:val="auto"/>
              </w:rPr>
            </w:pPr>
            <w:r>
              <w:rPr>
                <w:rFonts w:ascii="Arial" w:cs="Arial" w:eastAsia="Arial" w:hAnsi="Arial"/>
                <w:sz w:val="17"/>
                <w:szCs w:val="17"/>
                <w:color w:val="auto"/>
              </w:rPr>
              <w:t>Yanzhuan Zheng</w:t>
            </w:r>
            <w:r>
              <w:rPr>
                <w:rFonts w:ascii="Arial" w:cs="Arial" w:eastAsia="Arial" w:hAnsi="Arial"/>
                <w:sz w:val="21"/>
                <w:szCs w:val="21"/>
                <w:color w:val="auto"/>
                <w:vertAlign w:val="superscript"/>
              </w:rPr>
              <w:t>(7)</w:t>
            </w:r>
          </w:p>
        </w:tc>
        <w:tc>
          <w:tcPr>
            <w:tcW w:w="4920" w:type="dxa"/>
            <w:vAlign w:val="bottom"/>
            <w:gridSpan w:val="3"/>
          </w:tcPr>
          <w:p>
            <w:pPr>
              <w:jc w:val="right"/>
              <w:spacing w:after="0"/>
              <w:rPr>
                <w:sz w:val="20"/>
                <w:szCs w:val="20"/>
                <w:color w:val="auto"/>
              </w:rPr>
            </w:pPr>
            <w:r>
              <w:rPr>
                <w:rFonts w:ascii="Arial" w:cs="Arial" w:eastAsia="Arial" w:hAnsi="Arial"/>
                <w:sz w:val="17"/>
                <w:szCs w:val="17"/>
                <w:color w:val="auto"/>
              </w:rPr>
              <w:t>313,009</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1"/>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Lu Gao</w:t>
            </w:r>
            <w:r>
              <w:rPr>
                <w:rFonts w:ascii="Arial" w:cs="Arial" w:eastAsia="Arial" w:hAnsi="Arial"/>
                <w:sz w:val="21"/>
                <w:szCs w:val="21"/>
                <w:color w:val="auto"/>
                <w:vertAlign w:val="superscript"/>
              </w:rPr>
              <w:t>(8)</w:t>
            </w:r>
          </w:p>
        </w:tc>
        <w:tc>
          <w:tcPr>
            <w:tcW w:w="4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295,304</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1"/>
        </w:trPr>
        <w:tc>
          <w:tcPr>
            <w:tcW w:w="4760" w:type="dxa"/>
            <w:vAlign w:val="bottom"/>
            <w:gridSpan w:val="3"/>
          </w:tcPr>
          <w:p>
            <w:pPr>
              <w:ind w:left="20"/>
              <w:spacing w:after="0"/>
              <w:rPr>
                <w:sz w:val="20"/>
                <w:szCs w:val="20"/>
                <w:color w:val="auto"/>
              </w:rPr>
            </w:pPr>
            <w:r>
              <w:rPr>
                <w:rFonts w:ascii="Arial" w:cs="Arial" w:eastAsia="Arial" w:hAnsi="Arial"/>
                <w:sz w:val="17"/>
                <w:szCs w:val="17"/>
                <w:color w:val="auto"/>
              </w:rPr>
              <w:t>Sascha Rene Kelterborn</w:t>
            </w:r>
            <w:r>
              <w:rPr>
                <w:rFonts w:ascii="Arial" w:cs="Arial" w:eastAsia="Arial" w:hAnsi="Arial"/>
                <w:sz w:val="21"/>
                <w:szCs w:val="21"/>
                <w:color w:val="auto"/>
                <w:vertAlign w:val="superscript"/>
              </w:rPr>
              <w:t>(9)</w:t>
            </w:r>
          </w:p>
        </w:tc>
        <w:tc>
          <w:tcPr>
            <w:tcW w:w="4920" w:type="dxa"/>
            <w:vAlign w:val="bottom"/>
            <w:gridSpan w:val="3"/>
          </w:tcPr>
          <w:p>
            <w:pPr>
              <w:jc w:val="right"/>
              <w:spacing w:after="0"/>
              <w:rPr>
                <w:sz w:val="20"/>
                <w:szCs w:val="20"/>
                <w:color w:val="auto"/>
              </w:rPr>
            </w:pPr>
            <w:r>
              <w:rPr>
                <w:rFonts w:ascii="Arial" w:cs="Arial" w:eastAsia="Arial" w:hAnsi="Arial"/>
                <w:sz w:val="17"/>
                <w:szCs w:val="17"/>
                <w:color w:val="auto"/>
              </w:rPr>
              <w:t>640,699</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1"/>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Wenjuan Mattis, Ph.D.</w:t>
            </w:r>
            <w:r>
              <w:rPr>
                <w:rFonts w:ascii="Arial" w:cs="Arial" w:eastAsia="Arial" w:hAnsi="Arial"/>
                <w:sz w:val="21"/>
                <w:szCs w:val="21"/>
                <w:color w:val="auto"/>
                <w:vertAlign w:val="superscript"/>
              </w:rPr>
              <w:t>(10)</w:t>
            </w:r>
          </w:p>
        </w:tc>
        <w:tc>
          <w:tcPr>
            <w:tcW w:w="4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982,655</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51"/>
        </w:trPr>
        <w:tc>
          <w:tcPr>
            <w:tcW w:w="4760" w:type="dxa"/>
            <w:vAlign w:val="bottom"/>
            <w:gridSpan w:val="3"/>
          </w:tcPr>
          <w:p>
            <w:pPr>
              <w:ind w:left="20"/>
              <w:spacing w:after="0"/>
              <w:rPr>
                <w:sz w:val="20"/>
                <w:szCs w:val="20"/>
                <w:color w:val="auto"/>
              </w:rPr>
            </w:pPr>
            <w:r>
              <w:rPr>
                <w:rFonts w:ascii="Arial" w:cs="Arial" w:eastAsia="Arial" w:hAnsi="Arial"/>
                <w:sz w:val="17"/>
                <w:szCs w:val="17"/>
                <w:color w:val="auto"/>
              </w:rPr>
              <w:t>Shane Smith</w:t>
            </w:r>
            <w:r>
              <w:rPr>
                <w:rFonts w:ascii="Arial" w:cs="Arial" w:eastAsia="Arial" w:hAnsi="Arial"/>
                <w:sz w:val="21"/>
                <w:szCs w:val="21"/>
                <w:color w:val="auto"/>
                <w:vertAlign w:val="superscript"/>
              </w:rPr>
              <w:t>(11)</w:t>
            </w:r>
          </w:p>
        </w:tc>
        <w:tc>
          <w:tcPr>
            <w:tcW w:w="4920" w:type="dxa"/>
            <w:vAlign w:val="bottom"/>
            <w:gridSpan w:val="3"/>
          </w:tcPr>
          <w:p>
            <w:pPr>
              <w:jc w:val="right"/>
              <w:spacing w:after="0"/>
              <w:rPr>
                <w:sz w:val="20"/>
                <w:szCs w:val="20"/>
                <w:color w:val="auto"/>
              </w:rPr>
            </w:pPr>
            <w:r>
              <w:rPr>
                <w:rFonts w:ascii="Arial" w:cs="Arial" w:eastAsia="Arial" w:hAnsi="Arial"/>
                <w:sz w:val="17"/>
                <w:szCs w:val="17"/>
                <w:color w:val="auto"/>
              </w:rPr>
              <w:t>1,051,500</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4760" w:type="dxa"/>
            <w:vAlign w:val="bottom"/>
            <w:tcBorders>
              <w:bottom w:val="single" w:sz="8" w:color="CCECFF"/>
            </w:tcBorders>
            <w:gridSpan w:val="3"/>
            <w:shd w:val="clear" w:color="auto" w:fill="CCECFF"/>
          </w:tcPr>
          <w:p>
            <w:pPr>
              <w:ind w:left="20"/>
              <w:spacing w:after="0"/>
              <w:rPr>
                <w:sz w:val="20"/>
                <w:szCs w:val="20"/>
                <w:color w:val="auto"/>
              </w:rPr>
            </w:pPr>
            <w:r>
              <w:rPr>
                <w:rFonts w:ascii="Arial" w:cs="Arial" w:eastAsia="Arial" w:hAnsi="Arial"/>
                <w:sz w:val="17"/>
                <w:szCs w:val="17"/>
                <w:color w:val="auto"/>
              </w:rPr>
              <w:t>Zachariah Ward</w:t>
            </w:r>
          </w:p>
        </w:tc>
        <w:tc>
          <w:tcPr>
            <w:tcW w:w="4920" w:type="dxa"/>
            <w:vAlign w:val="bottom"/>
            <w:tcBorders>
              <w:bottom w:val="single" w:sz="8" w:color="CCECFF"/>
            </w:tcBorders>
            <w:gridSpan w:val="3"/>
            <w:shd w:val="clear" w:color="auto" w:fill="CCECFF"/>
          </w:tcPr>
          <w:p>
            <w:pPr>
              <w:jc w:val="right"/>
              <w:spacing w:after="0"/>
              <w:rPr>
                <w:sz w:val="20"/>
                <w:szCs w:val="20"/>
                <w:color w:val="auto"/>
              </w:rPr>
            </w:pPr>
            <w:r>
              <w:rPr>
                <w:rFonts w:ascii="Arial" w:cs="Arial" w:eastAsia="Arial" w:hAnsi="Arial"/>
                <w:sz w:val="17"/>
                <w:szCs w:val="17"/>
                <w:color w:val="auto"/>
              </w:rPr>
              <w:t>4,211</w:t>
            </w:r>
          </w:p>
        </w:tc>
        <w:tc>
          <w:tcPr>
            <w:tcW w:w="80" w:type="dxa"/>
            <w:vAlign w:val="bottom"/>
            <w:tcBorders>
              <w:bottom w:val="single" w:sz="8" w:color="CCECFF"/>
            </w:tcBorders>
            <w:shd w:val="clear" w:color="auto" w:fill="CCECFF"/>
          </w:tcPr>
          <w:p>
            <w:pPr>
              <w:spacing w:after="0"/>
              <w:rPr>
                <w:sz w:val="20"/>
                <w:szCs w:val="20"/>
                <w:color w:val="auto"/>
              </w:rPr>
            </w:pPr>
          </w:p>
        </w:tc>
        <w:tc>
          <w:tcPr>
            <w:tcW w:w="14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7"/>
                <w:szCs w:val="17"/>
                <w:color w:val="auto"/>
              </w:rPr>
              <w:t>*</w:t>
            </w:r>
          </w:p>
        </w:tc>
      </w:tr>
      <w:tr>
        <w:trPr>
          <w:trHeight w:val="251"/>
        </w:trPr>
        <w:tc>
          <w:tcPr>
            <w:tcW w:w="4760" w:type="dxa"/>
            <w:vAlign w:val="bottom"/>
            <w:gridSpan w:val="3"/>
          </w:tcPr>
          <w:p>
            <w:pPr>
              <w:ind w:left="20"/>
              <w:spacing w:after="0"/>
              <w:rPr>
                <w:sz w:val="20"/>
                <w:szCs w:val="20"/>
                <w:color w:val="auto"/>
              </w:rPr>
            </w:pPr>
            <w:r>
              <w:rPr>
                <w:rFonts w:ascii="Arial" w:cs="Arial" w:eastAsia="Arial" w:hAnsi="Arial"/>
                <w:sz w:val="17"/>
                <w:szCs w:val="17"/>
                <w:color w:val="auto"/>
              </w:rPr>
              <w:t>Craig Webster</w:t>
            </w:r>
            <w:r>
              <w:rPr>
                <w:rFonts w:ascii="Arial" w:cs="Arial" w:eastAsia="Arial" w:hAnsi="Arial"/>
                <w:sz w:val="21"/>
                <w:szCs w:val="21"/>
                <w:color w:val="auto"/>
                <w:vertAlign w:val="superscript"/>
              </w:rPr>
              <w:t>(12)</w:t>
            </w:r>
          </w:p>
        </w:tc>
        <w:tc>
          <w:tcPr>
            <w:tcW w:w="4920" w:type="dxa"/>
            <w:vAlign w:val="bottom"/>
            <w:gridSpan w:val="3"/>
          </w:tcPr>
          <w:p>
            <w:pPr>
              <w:jc w:val="right"/>
              <w:spacing w:after="0"/>
              <w:rPr>
                <w:sz w:val="20"/>
                <w:szCs w:val="20"/>
                <w:color w:val="auto"/>
              </w:rPr>
            </w:pPr>
            <w:r>
              <w:rPr>
                <w:rFonts w:ascii="Arial" w:cs="Arial" w:eastAsia="Arial" w:hAnsi="Arial"/>
                <w:sz w:val="17"/>
                <w:szCs w:val="17"/>
                <w:color w:val="auto"/>
              </w:rPr>
              <w:t>648,410</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1"/>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Yeelong Balladon</w:t>
            </w:r>
          </w:p>
        </w:tc>
        <w:tc>
          <w:tcPr>
            <w:tcW w:w="3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2"/>
        </w:trPr>
        <w:tc>
          <w:tcPr>
            <w:tcW w:w="4760" w:type="dxa"/>
            <w:vAlign w:val="bottom"/>
            <w:gridSpan w:val="3"/>
          </w:tcPr>
          <w:p>
            <w:pPr>
              <w:ind w:left="20"/>
              <w:spacing w:after="0"/>
              <w:rPr>
                <w:sz w:val="20"/>
                <w:szCs w:val="20"/>
                <w:color w:val="auto"/>
              </w:rPr>
            </w:pPr>
            <w:r>
              <w:rPr>
                <w:rFonts w:ascii="Arial" w:cs="Arial" w:eastAsia="Arial" w:hAnsi="Arial"/>
                <w:sz w:val="17"/>
                <w:szCs w:val="17"/>
                <w:i w:val="1"/>
                <w:iCs w:val="1"/>
                <w:color w:val="auto"/>
              </w:rPr>
              <w:t>All directors and executive officers as a group (13 persons)</w:t>
            </w:r>
          </w:p>
        </w:tc>
        <w:tc>
          <w:tcPr>
            <w:tcW w:w="4920" w:type="dxa"/>
            <w:vAlign w:val="bottom"/>
            <w:gridSpan w:val="3"/>
          </w:tcPr>
          <w:p>
            <w:pPr>
              <w:jc w:val="right"/>
              <w:spacing w:after="0"/>
              <w:rPr>
                <w:sz w:val="20"/>
                <w:szCs w:val="20"/>
                <w:color w:val="auto"/>
              </w:rPr>
            </w:pPr>
            <w:r>
              <w:rPr>
                <w:rFonts w:ascii="Arial" w:cs="Arial" w:eastAsia="Arial" w:hAnsi="Arial"/>
                <w:sz w:val="17"/>
                <w:szCs w:val="17"/>
                <w:color w:val="auto"/>
              </w:rPr>
              <w:t>93,050,170</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30.1</w:t>
            </w:r>
          </w:p>
        </w:tc>
      </w:tr>
      <w:tr>
        <w:trPr>
          <w:trHeight w:val="245"/>
        </w:trPr>
        <w:tc>
          <w:tcPr>
            <w:tcW w:w="4760" w:type="dxa"/>
            <w:vAlign w:val="bottom"/>
            <w:gridSpan w:val="3"/>
            <w:shd w:val="clear" w:color="auto" w:fill="CCEEFF"/>
          </w:tcPr>
          <w:p>
            <w:pPr>
              <w:ind w:left="20"/>
              <w:spacing w:after="0"/>
              <w:rPr>
                <w:sz w:val="20"/>
                <w:szCs w:val="20"/>
                <w:color w:val="auto"/>
              </w:rPr>
            </w:pPr>
            <w:r>
              <w:rPr>
                <w:rFonts w:ascii="Arial" w:cs="Arial" w:eastAsia="Arial" w:hAnsi="Arial"/>
                <w:sz w:val="17"/>
                <w:szCs w:val="17"/>
                <w:i w:val="1"/>
                <w:iCs w:val="1"/>
                <w:color w:val="auto"/>
              </w:rPr>
              <w:t>Five Percent Holders</w:t>
            </w:r>
            <w:r>
              <w:rPr>
                <w:rFonts w:ascii="Arial" w:cs="Arial" w:eastAsia="Arial" w:hAnsi="Arial"/>
                <w:sz w:val="17"/>
                <w:szCs w:val="17"/>
                <w:color w:val="auto"/>
              </w:rPr>
              <w:t>:</w:t>
            </w:r>
          </w:p>
        </w:tc>
        <w:tc>
          <w:tcPr>
            <w:tcW w:w="3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90"/>
        </w:trPr>
        <w:tc>
          <w:tcPr>
            <w:tcW w:w="4760" w:type="dxa"/>
            <w:vAlign w:val="bottom"/>
            <w:gridSpan w:val="3"/>
          </w:tcPr>
          <w:p>
            <w:pPr>
              <w:ind w:left="20"/>
              <w:spacing w:after="0"/>
              <w:rPr>
                <w:sz w:val="20"/>
                <w:szCs w:val="20"/>
                <w:color w:val="auto"/>
              </w:rPr>
            </w:pPr>
            <w:r>
              <w:rPr>
                <w:rFonts w:ascii="Arial" w:cs="Arial" w:eastAsia="Arial" w:hAnsi="Arial"/>
                <w:sz w:val="17"/>
                <w:szCs w:val="17"/>
                <w:color w:val="auto"/>
              </w:rPr>
              <w:t>Cede &amp; Co</w:t>
            </w:r>
            <w:r>
              <w:rPr>
                <w:rFonts w:ascii="Arial" w:cs="Arial" w:eastAsia="Arial" w:hAnsi="Arial"/>
                <w:sz w:val="21"/>
                <w:szCs w:val="21"/>
                <w:color w:val="auto"/>
                <w:vertAlign w:val="superscript"/>
              </w:rPr>
              <w:t>(13)</w:t>
            </w:r>
          </w:p>
        </w:tc>
        <w:tc>
          <w:tcPr>
            <w:tcW w:w="4920" w:type="dxa"/>
            <w:vAlign w:val="bottom"/>
            <w:gridSpan w:val="3"/>
          </w:tcPr>
          <w:p>
            <w:pPr>
              <w:jc w:val="right"/>
              <w:spacing w:after="0"/>
              <w:rPr>
                <w:sz w:val="20"/>
                <w:szCs w:val="20"/>
                <w:color w:val="auto"/>
              </w:rPr>
            </w:pPr>
            <w:r>
              <w:rPr>
                <w:rFonts w:ascii="Arial" w:cs="Arial" w:eastAsia="Arial" w:hAnsi="Arial"/>
                <w:sz w:val="17"/>
                <w:szCs w:val="17"/>
                <w:color w:val="auto"/>
              </w:rPr>
              <w:t>108,722,285</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35.1</w:t>
            </w:r>
          </w:p>
        </w:tc>
      </w:tr>
      <w:tr>
        <w:trPr>
          <w:trHeight w:val="790"/>
        </w:trPr>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340" w:type="dxa"/>
            <w:vAlign w:val="bottom"/>
          </w:tcPr>
          <w:p>
            <w:pPr>
              <w:jc w:val="right"/>
              <w:ind w:right="2316"/>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6"/>
        </w:trPr>
        <w:tc>
          <w:tcPr>
            <w:tcW w:w="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3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900" w:type="dxa"/>
        <w:tblCellMar>
          <w:top w:w="0" w:type="dxa"/>
          <w:left w:w="0" w:type="dxa"/>
          <w:bottom w:w="0" w:type="dxa"/>
          <w:right w:w="0" w:type="dxa"/>
        </w:tblCellMar>
      </w:tblPr>
      <w:tr>
        <w:trPr>
          <w:trHeight w:val="241"/>
        </w:trPr>
        <w:tc>
          <w:tcPr>
            <w:tcW w:w="5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Yang Wu</w:t>
            </w:r>
            <w:r>
              <w:rPr>
                <w:rFonts w:ascii="Arial" w:cs="Arial" w:eastAsia="Arial" w:hAnsi="Arial"/>
                <w:sz w:val="21"/>
                <w:szCs w:val="21"/>
                <w:color w:val="auto"/>
                <w:vertAlign w:val="superscript"/>
              </w:rPr>
              <w:t>(3)</w:t>
            </w:r>
          </w:p>
        </w:tc>
        <w:tc>
          <w:tcPr>
            <w:tcW w:w="5080" w:type="dxa"/>
            <w:vAlign w:val="bottom"/>
            <w:shd w:val="clear" w:color="auto" w:fill="CCEEFF"/>
          </w:tcPr>
          <w:p>
            <w:pPr>
              <w:jc w:val="right"/>
              <w:ind w:right="696"/>
              <w:spacing w:after="0"/>
              <w:rPr>
                <w:sz w:val="20"/>
                <w:szCs w:val="20"/>
                <w:color w:val="auto"/>
              </w:rPr>
            </w:pPr>
            <w:r>
              <w:rPr>
                <w:rFonts w:ascii="Arial" w:cs="Arial" w:eastAsia="Arial" w:hAnsi="Arial"/>
                <w:sz w:val="17"/>
                <w:szCs w:val="17"/>
                <w:color w:val="auto"/>
              </w:rPr>
              <w:t>85,036,953</w:t>
            </w:r>
          </w:p>
        </w:tc>
      </w:tr>
      <w:tr>
        <w:trPr>
          <w:trHeight w:val="290"/>
        </w:trPr>
        <w:tc>
          <w:tcPr>
            <w:tcW w:w="5360" w:type="dxa"/>
            <w:vAlign w:val="bottom"/>
          </w:tcPr>
          <w:p>
            <w:pPr>
              <w:ind w:left="20"/>
              <w:spacing w:after="0"/>
              <w:rPr>
                <w:sz w:val="20"/>
                <w:szCs w:val="20"/>
                <w:color w:val="auto"/>
              </w:rPr>
            </w:pPr>
            <w:r>
              <w:rPr>
                <w:rFonts w:ascii="Arial" w:cs="Arial" w:eastAsia="Arial" w:hAnsi="Arial"/>
                <w:sz w:val="17"/>
                <w:szCs w:val="17"/>
                <w:color w:val="auto"/>
              </w:rPr>
              <w:t>Evergreen Ever Limited</w:t>
            </w:r>
            <w:r>
              <w:rPr>
                <w:rFonts w:ascii="Arial" w:cs="Arial" w:eastAsia="Arial" w:hAnsi="Arial"/>
                <w:sz w:val="21"/>
                <w:szCs w:val="21"/>
                <w:color w:val="auto"/>
                <w:vertAlign w:val="superscript"/>
              </w:rPr>
              <w:t>(14)</w:t>
            </w:r>
          </w:p>
        </w:tc>
        <w:tc>
          <w:tcPr>
            <w:tcW w:w="5080" w:type="dxa"/>
            <w:vAlign w:val="bottom"/>
          </w:tcPr>
          <w:p>
            <w:pPr>
              <w:jc w:val="right"/>
              <w:ind w:right="696"/>
              <w:spacing w:after="0"/>
              <w:rPr>
                <w:sz w:val="20"/>
                <w:szCs w:val="20"/>
                <w:color w:val="auto"/>
              </w:rPr>
            </w:pPr>
            <w:r>
              <w:rPr>
                <w:rFonts w:ascii="Arial" w:cs="Arial" w:eastAsia="Arial" w:hAnsi="Arial"/>
                <w:sz w:val="17"/>
                <w:szCs w:val="17"/>
                <w:color w:val="auto"/>
              </w:rPr>
              <w:t>31,446,469</w:t>
            </w:r>
          </w:p>
        </w:tc>
      </w:tr>
    </w:tbl>
    <w:p>
      <w:pPr>
        <w:spacing w:after="0" w:line="2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6"/>
          <w:szCs w:val="16"/>
          <w:color w:val="auto"/>
        </w:rPr>
        <w:t>Less than one percent.</w:t>
      </w:r>
    </w:p>
    <w:p>
      <w:pPr>
        <w:spacing w:after="0" w:line="230" w:lineRule="exact"/>
        <w:rPr>
          <w:sz w:val="20"/>
          <w:szCs w:val="20"/>
          <w:color w:val="auto"/>
        </w:rPr>
      </w:pPr>
    </w:p>
    <w:p>
      <w:pPr>
        <w:ind w:left="300" w:right="300" w:hanging="300"/>
        <w:spacing w:after="0" w:line="254" w:lineRule="auto"/>
        <w:tabs>
          <w:tab w:leader="none" w:pos="294"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Unless otherwise indicated, the business address of each of the individuals listed is c/o Microvast Holdings, Inc., 12603 Southwest Freeway, Suite 300, Stafford, Texas 77477.</w:t>
      </w:r>
    </w:p>
    <w:p>
      <w:pPr>
        <w:jc w:val="both"/>
        <w:ind w:left="300" w:right="100" w:hanging="300"/>
        <w:spacing w:after="0" w:line="261" w:lineRule="auto"/>
        <w:tabs>
          <w:tab w:leader="none" w:pos="29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percentage of beneficial ownership is calculated based on 309,408,528 shares of common stock currently issued and outstanding as of March 10, 2023. Shares issuable upon the exercise of warrants or stock options and restricted stock units scheduled to vest within 60 days are deemed outstanding in the denominator used for computing the percentage of the respective person or group holding such warrants, stock options or restricted stock units but are not outstanding for computing the percentage of any other person or group. Unless otherwise indicated, we believe that all persons named in the table have sole voting and investment power with respect to all shares of common stock beneficially owned by them.</w:t>
      </w:r>
    </w:p>
    <w:p>
      <w:pPr>
        <w:spacing w:after="0" w:line="3" w:lineRule="exact"/>
        <w:rPr>
          <w:rFonts w:ascii="Arial" w:cs="Arial" w:eastAsia="Arial" w:hAnsi="Arial"/>
          <w:sz w:val="16"/>
          <w:szCs w:val="16"/>
          <w:color w:val="auto"/>
        </w:rPr>
      </w:pPr>
    </w:p>
    <w:p>
      <w:pPr>
        <w:ind w:left="300" w:hanging="300"/>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2,000,000 shares held by Mr. Wu’s children, for which Mr. Wu has sole voting and shared dispositive power.</w:t>
      </w:r>
    </w:p>
    <w:p>
      <w:pPr>
        <w:spacing w:after="0" w:line="5" w:lineRule="exact"/>
        <w:rPr>
          <w:rFonts w:ascii="Arial" w:cs="Arial" w:eastAsia="Arial" w:hAnsi="Arial"/>
          <w:sz w:val="17"/>
          <w:szCs w:val="17"/>
          <w:color w:val="auto"/>
        </w:rPr>
      </w:pPr>
    </w:p>
    <w:p>
      <w:pPr>
        <w:ind w:left="300" w:hanging="300"/>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2,027 restricted stock units vesting within 60 days.</w:t>
      </w:r>
    </w:p>
    <w:p>
      <w:pPr>
        <w:spacing w:after="0" w:line="5" w:lineRule="exact"/>
        <w:rPr>
          <w:rFonts w:ascii="Arial" w:cs="Arial" w:eastAsia="Arial" w:hAnsi="Arial"/>
          <w:sz w:val="17"/>
          <w:szCs w:val="17"/>
          <w:color w:val="auto"/>
        </w:rPr>
      </w:pPr>
    </w:p>
    <w:p>
      <w:pPr>
        <w:ind w:left="300" w:hanging="300"/>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150,512 warrants and 9,009 restricted stock units vesting within 60 days.</w:t>
      </w:r>
    </w:p>
    <w:p>
      <w:pPr>
        <w:spacing w:after="0" w:line="5" w:lineRule="exact"/>
        <w:rPr>
          <w:rFonts w:ascii="Arial" w:cs="Arial" w:eastAsia="Arial" w:hAnsi="Arial"/>
          <w:sz w:val="17"/>
          <w:szCs w:val="17"/>
          <w:color w:val="auto"/>
        </w:rPr>
      </w:pPr>
    </w:p>
    <w:p>
      <w:pPr>
        <w:ind w:left="300" w:hanging="300"/>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7,882 restricted stock units vesting within 60 days.</w:t>
      </w:r>
    </w:p>
    <w:p>
      <w:pPr>
        <w:spacing w:after="0" w:line="5" w:lineRule="exact"/>
        <w:rPr>
          <w:rFonts w:ascii="Arial" w:cs="Arial" w:eastAsia="Arial" w:hAnsi="Arial"/>
          <w:sz w:val="17"/>
          <w:szCs w:val="17"/>
          <w:color w:val="auto"/>
        </w:rPr>
      </w:pPr>
    </w:p>
    <w:p>
      <w:pPr>
        <w:ind w:left="300" w:hanging="300"/>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1,122,100 stock options exercisable within 60 days.</w:t>
      </w:r>
    </w:p>
    <w:p>
      <w:pPr>
        <w:spacing w:after="0" w:line="5" w:lineRule="exact"/>
        <w:rPr>
          <w:rFonts w:ascii="Arial" w:cs="Arial" w:eastAsia="Arial" w:hAnsi="Arial"/>
          <w:sz w:val="17"/>
          <w:szCs w:val="17"/>
          <w:color w:val="auto"/>
        </w:rPr>
      </w:pPr>
    </w:p>
    <w:p>
      <w:pPr>
        <w:ind w:left="300" w:hanging="300"/>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293,883 stock options exercisable within 60 days.</w:t>
      </w:r>
    </w:p>
    <w:p>
      <w:pPr>
        <w:spacing w:after="0" w:line="5" w:lineRule="exact"/>
        <w:rPr>
          <w:rFonts w:ascii="Arial" w:cs="Arial" w:eastAsia="Arial" w:hAnsi="Arial"/>
          <w:sz w:val="17"/>
          <w:szCs w:val="17"/>
          <w:color w:val="auto"/>
        </w:rPr>
      </w:pPr>
    </w:p>
    <w:p>
      <w:pPr>
        <w:ind w:left="300" w:hanging="300"/>
        <w:spacing w:after="0"/>
        <w:tabs>
          <w:tab w:leader="none" w:pos="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Includes 640,699 stock options exercisable within 60 days.</w:t>
      </w:r>
    </w:p>
    <w:p>
      <w:pPr>
        <w:spacing w:after="0" w:line="5" w:lineRule="exact"/>
        <w:rPr>
          <w:rFonts w:ascii="Arial" w:cs="Arial" w:eastAsia="Arial" w:hAnsi="Arial"/>
          <w:sz w:val="17"/>
          <w:szCs w:val="17"/>
          <w:color w:val="auto"/>
        </w:rPr>
      </w:pPr>
    </w:p>
    <w:p>
      <w:pPr>
        <w:ind w:left="300" w:hanging="300"/>
        <w:spacing w:after="0"/>
        <w:tabs>
          <w:tab w:leader="none" w:pos="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641,199 stock options exercisable within 60 days.</w:t>
      </w:r>
    </w:p>
    <w:p>
      <w:pPr>
        <w:spacing w:after="0" w:line="16" w:lineRule="exact"/>
        <w:rPr>
          <w:rFonts w:ascii="Arial" w:cs="Arial" w:eastAsia="Arial" w:hAnsi="Arial"/>
          <w:sz w:val="16"/>
          <w:szCs w:val="16"/>
          <w:color w:val="auto"/>
        </w:rPr>
      </w:pPr>
    </w:p>
    <w:p>
      <w:pPr>
        <w:ind w:left="280" w:hanging="280"/>
        <w:spacing w:after="0"/>
        <w:tabs>
          <w:tab w:leader="none" w:pos="2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Includes 801,500 exercisable stock options.</w:t>
      </w:r>
    </w:p>
    <w:p>
      <w:pPr>
        <w:spacing w:after="0" w:line="28" w:lineRule="exact"/>
        <w:rPr>
          <w:rFonts w:ascii="Arial" w:cs="Arial" w:eastAsia="Arial" w:hAnsi="Arial"/>
          <w:sz w:val="15"/>
          <w:szCs w:val="15"/>
          <w:color w:val="auto"/>
        </w:rPr>
      </w:pPr>
    </w:p>
    <w:p>
      <w:pPr>
        <w:ind w:left="300" w:hanging="300"/>
        <w:spacing w:after="0"/>
        <w:tabs>
          <w:tab w:leader="none" w:pos="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333,333 stock options exercisable within 60 days.</w:t>
      </w:r>
    </w:p>
    <w:p>
      <w:pPr>
        <w:spacing w:after="0" w:line="16" w:lineRule="exact"/>
        <w:rPr>
          <w:rFonts w:ascii="Arial" w:cs="Arial" w:eastAsia="Arial" w:hAnsi="Arial"/>
          <w:sz w:val="16"/>
          <w:szCs w:val="16"/>
          <w:color w:val="auto"/>
        </w:rPr>
      </w:pPr>
    </w:p>
    <w:p>
      <w:pPr>
        <w:ind w:left="300" w:hanging="300"/>
        <w:spacing w:after="0"/>
        <w:tabs>
          <w:tab w:leader="none" w:pos="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Includes 27,756,500 warrants. The address for Cede &amp; Co is 570 Washington Blvd., Jersey City, NJ 07310.</w:t>
      </w:r>
    </w:p>
    <w:p>
      <w:pPr>
        <w:spacing w:after="0" w:line="16" w:lineRule="exact"/>
        <w:rPr>
          <w:rFonts w:ascii="Arial" w:cs="Arial" w:eastAsia="Arial" w:hAnsi="Arial"/>
          <w:sz w:val="16"/>
          <w:szCs w:val="16"/>
          <w:color w:val="auto"/>
        </w:rPr>
      </w:pPr>
    </w:p>
    <w:p>
      <w:pPr>
        <w:ind w:left="300" w:right="140" w:hanging="300"/>
        <w:spacing w:after="0" w:line="318" w:lineRule="auto"/>
        <w:tabs>
          <w:tab w:leader="none" w:pos="29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According to a Schedule 13G filed on February 15, 2022, Evergreen Ever Limited has shared voting and dispositive power of 31,446,469 shares of common stock. The address for Evergreen Ever Limited is 1503, International Commerce Centre, 1 Austin Road West, PO Box 173 Road Town, Kowloon, China.</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PARTY TRANSACTIONS, AND DIRECTOR INDEPENDENCE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Zheng Agreement</w:t>
      </w:r>
    </w:p>
    <w:p>
      <w:pPr>
        <w:spacing w:after="0" w:line="231" w:lineRule="exact"/>
        <w:rPr>
          <w:sz w:val="20"/>
          <w:szCs w:val="20"/>
          <w:color w:val="auto"/>
        </w:rPr>
      </w:pPr>
    </w:p>
    <w:p>
      <w:pPr>
        <w:ind w:right="160" w:firstLine="603"/>
        <w:spacing w:after="0" w:line="276" w:lineRule="auto"/>
        <w:rPr>
          <w:sz w:val="20"/>
          <w:szCs w:val="20"/>
          <w:color w:val="auto"/>
        </w:rPr>
      </w:pPr>
      <w:r>
        <w:rPr>
          <w:rFonts w:ascii="Arial" w:cs="Arial" w:eastAsia="Arial" w:hAnsi="Arial"/>
          <w:sz w:val="15"/>
          <w:szCs w:val="15"/>
          <w:color w:val="auto"/>
        </w:rPr>
        <w:t>On April 14, 2022, in connection with Mr. Zheng’s termination of employment, the Company and Mr. Zheng entered into a transition services agreement (the "Zheng Agreement"), pursuant to which Mr. Zheng will provide transition support and services as may be reasonably requested by the Chief Executive Officer, the Chief Financial Officer and the Board. Mr. Zheng will provide transition services for an initial term of 18 months commencing on the date of employment termination, and thereafter on an as-needed basis, unless terminated earlier as permitted in the Zheng Agreement. In exchange for Mr. Zheng’s transition services, Mr. Zheng receives a consulting fee equal to $25,000 per month for the first 18 months of the transition period and $145 per hour for actual services rendered for the period commencing following the expiration of the initial 18-month period. Mr. Zheng will continue to serve as a member of the Board.</w:t>
      </w:r>
    </w:p>
    <w:p>
      <w:pPr>
        <w:spacing w:after="0" w:line="191" w:lineRule="exact"/>
        <w:rPr>
          <w:sz w:val="20"/>
          <w:szCs w:val="20"/>
          <w:color w:val="auto"/>
        </w:rPr>
      </w:pPr>
    </w:p>
    <w:p>
      <w:pPr>
        <w:ind w:right="200" w:firstLine="603"/>
        <w:spacing w:after="0" w:line="280" w:lineRule="auto"/>
        <w:rPr>
          <w:sz w:val="20"/>
          <w:szCs w:val="20"/>
          <w:color w:val="auto"/>
        </w:rPr>
      </w:pPr>
      <w:r>
        <w:rPr>
          <w:rFonts w:ascii="Arial" w:cs="Arial" w:eastAsia="Arial" w:hAnsi="Arial"/>
          <w:sz w:val="15"/>
          <w:szCs w:val="15"/>
          <w:color w:val="auto"/>
        </w:rPr>
        <w:t>Pursuant to the Zheng Agreement, all capped RSUs and stock options held by Mr. Zheng as of the date of employment termination vested in full, with the stock options remaining exercisable until three months following the termination of his transition services in accordance with the terms and conditions of the stock option award agreement. All RSUs and PSUs held by Mr. Zheng as of the date of employment termination remain outstanding and will continue to be subject to their terms and conditions under the 2021 Plan and the applicable award agreements. Mr. Zheng was eligible to participate in the Company’s long-term incentive and short-term incentive plans for Fiscal 2022. However he will not be eligible to participate in either plan in 2023 pursuant to the terms of his transition agreement.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Stockholders Agreement</w:t>
      </w:r>
    </w:p>
    <w:p>
      <w:pPr>
        <w:spacing w:after="0" w:line="231" w:lineRule="exact"/>
        <w:rPr>
          <w:sz w:val="20"/>
          <w:szCs w:val="20"/>
          <w:color w:val="auto"/>
        </w:rPr>
      </w:pPr>
    </w:p>
    <w:p>
      <w:pPr>
        <w:ind w:right="100" w:firstLine="603"/>
        <w:spacing w:after="0" w:line="251" w:lineRule="auto"/>
        <w:rPr>
          <w:sz w:val="20"/>
          <w:szCs w:val="20"/>
          <w:color w:val="auto"/>
        </w:rPr>
      </w:pPr>
      <w:r>
        <w:rPr>
          <w:rFonts w:ascii="Arial" w:cs="Arial" w:eastAsia="Arial" w:hAnsi="Arial"/>
          <w:sz w:val="17"/>
          <w:szCs w:val="17"/>
          <w:color w:val="auto"/>
        </w:rPr>
        <w:t>In connection with the Business Combination, on July 23, 2021, the Company, Mr. Yang Wu and Tuscan Holdings Acquisition LLC entered into an agreement (the “Stockholders Agreement”) which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w:t>
      </w: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40" w:name="page141"/>
    <w:bookmarkEnd w:id="140"/>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jc w:val="both"/>
        <w:ind w:right="80"/>
        <w:spacing w:after="0" w:line="280" w:lineRule="auto"/>
        <w:rPr>
          <w:sz w:val="20"/>
          <w:szCs w:val="20"/>
          <w:color w:val="auto"/>
        </w:rPr>
      </w:pPr>
      <w:r>
        <w:rPr>
          <w:rFonts w:ascii="Arial" w:cs="Arial" w:eastAsia="Arial" w:hAnsi="Arial"/>
          <w:sz w:val="16"/>
          <w:szCs w:val="16"/>
          <w:color w:val="auto"/>
        </w:rPr>
        <w:t>Wu Directors then serving on the Board and whose terms in office are not expiring at such meeting. Mr. Wu, Yanzhuan Zheng, Stanley Whittingham and Arthur Wong were nominated by Mr. Wu as the initial Wu Directors. The Stockholders Agreement provides that any increase or decrease in the number of directors will require the affirmative vote of the Wu Directors. Under the terms of the Stockholders Agreement, there are currently four Wu Directors.</w:t>
      </w:r>
    </w:p>
    <w:p>
      <w:pPr>
        <w:spacing w:after="0" w:line="185" w:lineRule="exact"/>
        <w:rPr>
          <w:sz w:val="20"/>
          <w:szCs w:val="20"/>
          <w:color w:val="auto"/>
        </w:rPr>
      </w:pPr>
    </w:p>
    <w:p>
      <w:pPr>
        <w:ind w:right="120" w:firstLine="603"/>
        <w:spacing w:after="0" w:line="271" w:lineRule="auto"/>
        <w:rPr>
          <w:sz w:val="20"/>
          <w:szCs w:val="20"/>
          <w:color w:val="auto"/>
        </w:rPr>
      </w:pPr>
      <w:r>
        <w:rPr>
          <w:rFonts w:ascii="Arial" w:cs="Arial" w:eastAsia="Arial" w:hAnsi="Arial"/>
          <w:sz w:val="16"/>
          <w:szCs w:val="16"/>
          <w:color w:val="auto"/>
        </w:rPr>
        <w:t>So long as Tuscan Holdings Acquisition LLC beneficially owns at least 5,175,000 shares of common stock, Tuscan Holdings Acquisition LLC will have the right, but not the obligation, to nominate for election to the Board at every meeting of the stockholders of the Company at which directors are elected, one individual (the “Tuscan Director”) less the number of Tuscan Directors then serving on the Board and whose terms in office are not expiring at such meeting. Stephen Vogel was nominated by Tuscan Holdings Acquisition LLC as the initial Tuscan Director. Since Tuscan Holdings Acquisition LLC no longer beneficially owns 5,175,000 shares of common stock, Tuscan Holdings Acquisition LLC no longer has the right to nominate a Tuscan Director.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 and Lock-Up Agreement</w:t>
      </w:r>
    </w:p>
    <w:p>
      <w:pPr>
        <w:spacing w:after="0" w:line="231" w:lineRule="exact"/>
        <w:rPr>
          <w:sz w:val="20"/>
          <w:szCs w:val="20"/>
          <w:color w:val="auto"/>
        </w:rPr>
      </w:pPr>
    </w:p>
    <w:p>
      <w:pPr>
        <w:ind w:firstLine="603"/>
        <w:spacing w:after="0" w:line="293" w:lineRule="auto"/>
        <w:rPr>
          <w:sz w:val="20"/>
          <w:szCs w:val="20"/>
          <w:color w:val="auto"/>
        </w:rPr>
      </w:pPr>
      <w:r>
        <w:rPr>
          <w:rFonts w:ascii="Arial" w:cs="Arial" w:eastAsia="Arial" w:hAnsi="Arial"/>
          <w:sz w:val="15"/>
          <w:szCs w:val="15"/>
          <w:color w:val="auto"/>
        </w:rPr>
        <w:t>On July 23, 2021, the Company entered into the Registration Rights and Lockup Agreement with stockholders of Microvast, Inc. prior to the consummation of the Business Combination, the affiliates of certain former investors in our subsidiary Microvast Power System (Houzhou) Co. Ltd., the Tuscan Group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subject to certain requirements and customary conditions.</w:t>
      </w:r>
    </w:p>
    <w:p>
      <w:pPr>
        <w:spacing w:after="0" w:line="177" w:lineRule="exact"/>
        <w:rPr>
          <w:sz w:val="20"/>
          <w:szCs w:val="20"/>
          <w:color w:val="auto"/>
        </w:rPr>
      </w:pPr>
    </w:p>
    <w:p>
      <w:pPr>
        <w:ind w:right="40" w:firstLine="603"/>
        <w:spacing w:after="0" w:line="298" w:lineRule="auto"/>
        <w:rPr>
          <w:sz w:val="20"/>
          <w:szCs w:val="20"/>
          <w:color w:val="auto"/>
        </w:rPr>
      </w:pPr>
      <w:r>
        <w:rPr>
          <w:rFonts w:ascii="Arial" w:cs="Arial" w:eastAsia="Arial" w:hAnsi="Arial"/>
          <w:sz w:val="15"/>
          <w:szCs w:val="15"/>
          <w:color w:val="auto"/>
        </w:rPr>
        <w:t>Subject to certain exceptions, the Registration Rights and Lock-Up Agreement further provides (1) Mr. Wu will be subject to a lock-up of two years for 75% of his shares of common stock, provided that, with respect to the 25% of his shares subject to the one-year lock-up, he can sell those shares if the shares trade at $15.00 or above for 20 days in any 30-day period, and (2) with respect to the shares of common stock owned by members of the Tuscan Group, certain officers and officers of the Company and the Tuscan Group such shares are subject to the transfer restrictions provided in the Amendment to the Escrow Agreement (as defined below).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Indemnity Agreements</w:t>
      </w:r>
    </w:p>
    <w:p>
      <w:pPr>
        <w:spacing w:after="0" w:line="231" w:lineRule="exact"/>
        <w:rPr>
          <w:sz w:val="20"/>
          <w:szCs w:val="20"/>
          <w:color w:val="auto"/>
        </w:rPr>
      </w:pPr>
    </w:p>
    <w:p>
      <w:pPr>
        <w:ind w:right="120" w:firstLine="603"/>
        <w:spacing w:after="0" w:line="251" w:lineRule="auto"/>
        <w:rPr>
          <w:sz w:val="20"/>
          <w:szCs w:val="20"/>
          <w:color w:val="auto"/>
        </w:rPr>
      </w:pPr>
      <w:r>
        <w:rPr>
          <w:rFonts w:ascii="Arial" w:cs="Arial" w:eastAsia="Arial" w:hAnsi="Arial"/>
          <w:sz w:val="17"/>
          <w:szCs w:val="17"/>
          <w:color w:val="auto"/>
        </w:rPr>
        <w:t>On July 23, 2021, we entered into indemnity agreements with Mr. Wu, Yanzhuan Zheng, Craig Webster, Wei Ying, Stanley Whittingham, Arthur Wong and Stephen Vogel, each of whom became a director following the Business Combination, and Wenjuan Mattis, Ph.D., Shane Smith, and Sascha Rene Kelterborn each of whom became executive officers of the Company following the Business Combination. Each indemnity agreement provides that, subject to limited exceptions, and among other things, we will indemnify the director or executive officer to the fullest extent permitted by law for claims arising in his or her capacity as our director or officer.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Issuances</w:t>
      </w:r>
    </w:p>
    <w:p>
      <w:pPr>
        <w:spacing w:after="0" w:line="231" w:lineRule="exact"/>
        <w:rPr>
          <w:sz w:val="20"/>
          <w:szCs w:val="20"/>
          <w:color w:val="auto"/>
        </w:rPr>
      </w:pPr>
    </w:p>
    <w:p>
      <w:pPr>
        <w:ind w:firstLine="603"/>
        <w:spacing w:after="0" w:line="284" w:lineRule="auto"/>
        <w:rPr>
          <w:sz w:val="20"/>
          <w:szCs w:val="20"/>
          <w:color w:val="auto"/>
        </w:rPr>
      </w:pPr>
      <w:r>
        <w:rPr>
          <w:rFonts w:ascii="Arial" w:cs="Arial" w:eastAsia="Arial" w:hAnsi="Arial"/>
          <w:sz w:val="15"/>
          <w:szCs w:val="15"/>
          <w:color w:val="auto"/>
        </w:rPr>
        <w:t>In connection with our IPO, all of the 6,900,000 founder shares owned by the Tuscan Group (the “Founder Shares”) were placed into an escrow account at Morgan Stanley, maintained in New York, New York by Continental Stock Transfer &amp; Trust Company acting as escrow agent (the “Escrow Agent”). Subject to certain limited exceptions, the Escrow Agreement originally provided that these shares may not be transferred, assigned, sold or released from escrow (subject to certain limited exceptions), (i) with respect to 50% of such shares, for a period ending on the earlier of the one-year anniversary of the date of the Business Combination and the date on which the closing price of our common stock equals or exceeds $12.50 per share for any 20 trading days within a 30-trading day period following the consummation of the Business Combination and, (ii) with respect to the remaining 50% of such shares, for a period ending on the one-year anniversary of the date of the Business Combination, or earlier, if, subsequent to our Business Combination, we consummate a liquidation, merger, stock exchange or other similar transaction which results in all of our stockholders having the right to exchange their shares of common stock for cash, securities or other property. The limited exceptions include transfers, assignments or sales: (i) to our or Tuscan Holdings Acquisition LLC’s officers, directors, consultants or their affiliates, (ii) to an entity’s members upon its liquidation, (iii) to relatives and trusts for estate planning purposes, (iv) by virtue of the laws of descent and distribution upon death, (v) pursuant to a qualified domestic relations order, (vi) to us for no value for cancellation in connection with the consummation of our initial business combination, or (vii) in connection with the Business Combination at prices no greater than the price at which the shares were originally purchased,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1" w:name="page142"/>
    <w:bookmarkEnd w:id="141"/>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in each case (except for clause (vi) or with our prior consent) where the transferee agrees to the terms of the Escrow Agreement and to be bound by these transfer restrictions.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Parent Support Agreement</w:t>
      </w:r>
    </w:p>
    <w:p>
      <w:pPr>
        <w:spacing w:after="0" w:line="231" w:lineRule="exact"/>
        <w:rPr>
          <w:sz w:val="20"/>
          <w:szCs w:val="20"/>
          <w:color w:val="auto"/>
        </w:rPr>
      </w:pPr>
    </w:p>
    <w:p>
      <w:pPr>
        <w:ind w:right="220" w:firstLine="603"/>
        <w:spacing w:after="0" w:line="274" w:lineRule="auto"/>
        <w:rPr>
          <w:sz w:val="20"/>
          <w:szCs w:val="20"/>
          <w:color w:val="auto"/>
        </w:rPr>
      </w:pPr>
      <w:r>
        <w:rPr>
          <w:rFonts w:ascii="Arial" w:cs="Arial" w:eastAsia="Arial" w:hAnsi="Arial"/>
          <w:sz w:val="16"/>
          <w:szCs w:val="16"/>
          <w:color w:val="auto"/>
        </w:rPr>
        <w:t>In connection with the Business Combination, Tuscan and certain related parties entered into an amendment to the Escrow Agreement between Tuscan, the Company, Continental Stock Transfer &amp; Trust Company and the Tuscan Group (“Escrow Agreement”) pursuant to which 6,750,000 shares held by Tuscan Holdings Acquisition LLC, and the 30,000 shares held by each of Stefan M. Selig, Richard O. Rieger and Amy Butte (together with Tuscan Holdings Acquisition LLC, the “Founders”) are being held post-Business Combination. Pursuant to the amended Escrow Agreement:</w:t>
      </w:r>
    </w:p>
    <w:p>
      <w:pPr>
        <w:spacing w:after="0" w:line="227" w:lineRule="exact"/>
        <w:rPr>
          <w:sz w:val="20"/>
          <w:szCs w:val="20"/>
          <w:color w:val="auto"/>
        </w:rPr>
      </w:pPr>
    </w:p>
    <w:p>
      <w:pPr>
        <w:ind w:left="600" w:hanging="298"/>
        <w:spacing w:after="0" w:line="237" w:lineRule="auto"/>
        <w:tabs>
          <w:tab w:leader="none" w:pos="595" w:val="left"/>
        </w:tabs>
        <w:numPr>
          <w:ilvl w:val="0"/>
          <w:numId w:val="53"/>
        </w:numPr>
        <w:rPr>
          <w:rFonts w:ascii="Arial" w:cs="Arial" w:eastAsia="Arial" w:hAnsi="Arial"/>
          <w:sz w:val="20"/>
          <w:szCs w:val="20"/>
          <w:color w:val="auto"/>
        </w:rPr>
      </w:pPr>
      <w:r>
        <w:rPr>
          <w:rFonts w:ascii="Arial" w:cs="Arial" w:eastAsia="Arial" w:hAnsi="Arial"/>
          <w:sz w:val="17"/>
          <w:szCs w:val="17"/>
          <w:color w:val="auto"/>
        </w:rPr>
        <w:t>The Escrow Agent will hold 843,750 shares of common stock held by Tuscan Holdings Acquisition LLC until the date on which the last sale price of our common stock equals or exceeds $12.00 per share for any 20 trading days within any 30-trading day period following the closing of the Business Combination (the “First Earn-Out Target”).</w:t>
      </w:r>
    </w:p>
    <w:p>
      <w:pPr>
        <w:spacing w:after="0" w:line="27" w:lineRule="exact"/>
        <w:rPr>
          <w:rFonts w:ascii="Arial" w:cs="Arial" w:eastAsia="Arial" w:hAnsi="Arial"/>
          <w:sz w:val="20"/>
          <w:szCs w:val="20"/>
          <w:color w:val="auto"/>
        </w:rPr>
      </w:pPr>
    </w:p>
    <w:p>
      <w:pPr>
        <w:ind w:left="600" w:right="100" w:hanging="298"/>
        <w:spacing w:after="0" w:line="237" w:lineRule="auto"/>
        <w:tabs>
          <w:tab w:leader="none" w:pos="595" w:val="left"/>
        </w:tabs>
        <w:numPr>
          <w:ilvl w:val="0"/>
          <w:numId w:val="53"/>
        </w:numPr>
        <w:rPr>
          <w:rFonts w:ascii="Arial" w:cs="Arial" w:eastAsia="Arial" w:hAnsi="Arial"/>
          <w:sz w:val="20"/>
          <w:szCs w:val="20"/>
          <w:color w:val="auto"/>
        </w:rPr>
      </w:pPr>
      <w:r>
        <w:rPr>
          <w:rFonts w:ascii="Arial" w:cs="Arial" w:eastAsia="Arial" w:hAnsi="Arial"/>
          <w:sz w:val="17"/>
          <w:szCs w:val="17"/>
          <w:color w:val="auto"/>
        </w:rPr>
        <w:t>The Escrow Agent will hold an additional 843,750 shares of common stock held by Tuscan Holdings Acquisition LLC until the date on which the last sale price of our common stock equals or exceeds $15.00 per share for any 20 trading days within any 30-trading day period following the closing of the Business Combination (the “Second Earn-Out Target”).</w:t>
      </w:r>
    </w:p>
    <w:p>
      <w:pPr>
        <w:spacing w:after="0" w:line="27" w:lineRule="exact"/>
        <w:rPr>
          <w:rFonts w:ascii="Arial" w:cs="Arial" w:eastAsia="Arial" w:hAnsi="Arial"/>
          <w:sz w:val="20"/>
          <w:szCs w:val="20"/>
          <w:color w:val="auto"/>
        </w:rPr>
      </w:pPr>
    </w:p>
    <w:p>
      <w:pPr>
        <w:ind w:left="600" w:right="80" w:hanging="298"/>
        <w:spacing w:after="0" w:line="244" w:lineRule="auto"/>
        <w:tabs>
          <w:tab w:leader="none" w:pos="595" w:val="left"/>
        </w:tabs>
        <w:numPr>
          <w:ilvl w:val="0"/>
          <w:numId w:val="53"/>
        </w:numPr>
        <w:rPr>
          <w:rFonts w:ascii="Arial" w:cs="Arial" w:eastAsia="Arial" w:hAnsi="Arial"/>
          <w:sz w:val="20"/>
          <w:szCs w:val="20"/>
          <w:color w:val="auto"/>
        </w:rPr>
      </w:pPr>
      <w:r>
        <w:rPr>
          <w:rFonts w:ascii="Arial" w:cs="Arial" w:eastAsia="Arial" w:hAnsi="Arial"/>
          <w:sz w:val="17"/>
          <w:szCs w:val="17"/>
          <w:color w:val="auto"/>
        </w:rPr>
        <w:t>If neither the First Earn-Out Target nor the Second Earn-Out Target is satisfied on or prior to the fifth anniversary of the closing of the Business Combination, then the Escrow Agent will release all the shares held in escrow to the Company for cancellation for no consideration. If only the First Earn-Out Target has been satisfied on or prior to the fifth anniversary of the closing of the Business Combination, then the Escrow Agent will release 834,750 shares of common stock to the Company for cancellation for no consideration.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Independence of Directors</w:t>
      </w:r>
    </w:p>
    <w:p>
      <w:pPr>
        <w:spacing w:after="0" w:line="210" w:lineRule="exact"/>
        <w:rPr>
          <w:sz w:val="20"/>
          <w:szCs w:val="20"/>
          <w:color w:val="auto"/>
        </w:rPr>
      </w:pPr>
    </w:p>
    <w:p>
      <w:pPr>
        <w:ind w:right="200" w:firstLine="603"/>
        <w:spacing w:after="0" w:line="257" w:lineRule="auto"/>
        <w:rPr>
          <w:sz w:val="20"/>
          <w:szCs w:val="20"/>
          <w:color w:val="auto"/>
        </w:rPr>
      </w:pPr>
      <w:r>
        <w:rPr>
          <w:rFonts w:ascii="Arial" w:cs="Arial" w:eastAsia="Arial" w:hAnsi="Arial"/>
          <w:sz w:val="17"/>
          <w:szCs w:val="17"/>
          <w:color w:val="auto"/>
        </w:rPr>
        <w:t>Under the listing rules of the Nasdaq Capital Market, we are required to have a majority of independent directors serving on our Board. Our Board has determined that five of our seven directors, namely, Yeelong Tan Balladon, Wei Ying, Stanley Whittingham, Stephen Vogel and Arthur Wong are independent within the meaning of NASDAQ Rule 5605(a)(2).</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Regarding Related Party Transactions</w:t>
      </w:r>
    </w:p>
    <w:p>
      <w:pPr>
        <w:spacing w:after="0" w:line="210" w:lineRule="exact"/>
        <w:rPr>
          <w:sz w:val="20"/>
          <w:szCs w:val="20"/>
          <w:color w:val="auto"/>
        </w:rPr>
      </w:pPr>
    </w:p>
    <w:p>
      <w:pPr>
        <w:ind w:right="100" w:firstLine="603"/>
        <w:spacing w:after="0" w:line="266" w:lineRule="auto"/>
        <w:rPr>
          <w:sz w:val="20"/>
          <w:szCs w:val="20"/>
          <w:color w:val="auto"/>
        </w:rPr>
      </w:pPr>
      <w:r>
        <w:rPr>
          <w:rFonts w:ascii="Arial" w:cs="Arial" w:eastAsia="Arial" w:hAnsi="Arial"/>
          <w:sz w:val="16"/>
          <w:szCs w:val="16"/>
          <w:color w:val="auto"/>
        </w:rPr>
        <w:t>We have adopted a written policy on transactions with “related persons,” defined in the policy as a director, executive officer, nominee for director, or greater than 5% beneficial owner of any class of the Company’s voting securities, and their immediate family members. For purposes of this policy, a “related person transaction” is defined as any transaction, arrangement or relationship in which the Company is a participant, the aggregate amount involved exceeds or may be expected to exceed $120,000 and in which a related person had, has or will have a direct or indirect material interest. The Board, acting through those members of its audit committee who are not interested in the transaction in question, will review related person transactions to determine whether the related person transaction is in, or is not inconsistent with, the best interests of the Company and its stockholders. If, after any such review, a related person transaction is determined to be in, or not inconsistent with, the best interests of the Company, then the related person transaction may be approved or ratified according to the procedures in the policy. If advance audit committee approval of a related person transaction requiring the audit committee’s approval is not practicable or desirable, then the chair of the audit committee may approve or ratify a related person transaction. In addition, the policy provides standing pre-approval for certain types of transactions that the audit committee has reviewed and determined will be deemed pre-approved.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2" w:name="page143"/>
    <w:bookmarkEnd w:id="142"/>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10" w:lineRule="exact"/>
        <w:rPr>
          <w:sz w:val="20"/>
          <w:szCs w:val="20"/>
          <w:color w:val="auto"/>
        </w:rPr>
      </w:pPr>
    </w:p>
    <w:p>
      <w:pPr>
        <w:ind w:right="120" w:firstLine="603"/>
        <w:spacing w:after="0" w:line="257" w:lineRule="auto"/>
        <w:rPr>
          <w:sz w:val="20"/>
          <w:szCs w:val="20"/>
          <w:color w:val="auto"/>
        </w:rPr>
      </w:pPr>
      <w:r>
        <w:rPr>
          <w:rFonts w:ascii="Arial" w:cs="Arial" w:eastAsia="Arial" w:hAnsi="Arial"/>
          <w:sz w:val="17"/>
          <w:szCs w:val="17"/>
          <w:color w:val="auto"/>
        </w:rPr>
        <w:t>The following table sets forth the aggregate fees by categories specified below in connection with certain professional services rendered by Deloitte Touche Tohmatsu Certified Public Accountants LLP (PCAOB ID No. 1113) , an independent registered public accounting firm and our principal external auditors, for the periods indicated.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2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For the Year Ended December 31,</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2021</w:t>
            </w:r>
          </w:p>
        </w:tc>
        <w:tc>
          <w:tcPr>
            <w:tcW w:w="9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b w:val="1"/>
                <w:bCs w:val="1"/>
                <w:color w:val="auto"/>
              </w:rPr>
              <w:t>2022</w:t>
            </w:r>
          </w:p>
        </w:tc>
        <w:tc>
          <w:tcPr>
            <w:tcW w:w="5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7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w w:val="87"/>
                <w:shd w:val="clear" w:color="auto" w:fill="CCEEFF"/>
              </w:rPr>
              <w:t>Audit fees</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w w:val="74"/>
                <w:shd w:val="clear" w:color="auto" w:fill="CCEEFF"/>
              </w:rPr>
              <w:t>(a)</w:t>
            </w:r>
          </w:p>
        </w:tc>
        <w:tc>
          <w:tcPr>
            <w:tcW w:w="6380" w:type="dxa"/>
            <w:vAlign w:val="bottom"/>
            <w:gridSpan w:val="2"/>
            <w:vMerge w:val="restart"/>
            <w:shd w:val="clear" w:color="auto" w:fill="CCEEFF"/>
          </w:tcPr>
          <w:p>
            <w:pPr>
              <w:spacing w:after="0"/>
              <w:rPr>
                <w:sz w:val="12"/>
                <w:szCs w:val="12"/>
                <w:color w:val="auto"/>
              </w:rPr>
            </w:pPr>
          </w:p>
        </w:tc>
        <w:tc>
          <w:tcPr>
            <w:tcW w:w="440" w:type="dxa"/>
            <w:vAlign w:val="bottom"/>
            <w:vMerge w:val="restart"/>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980" w:type="dxa"/>
            <w:vAlign w:val="bottom"/>
            <w:vMerge w:val="restart"/>
            <w:shd w:val="clear" w:color="auto" w:fill="CCEEFF"/>
          </w:tcPr>
          <w:p>
            <w:pPr>
              <w:jc w:val="center"/>
              <w:ind w:right="216"/>
              <w:spacing w:after="0"/>
              <w:rPr>
                <w:sz w:val="20"/>
                <w:szCs w:val="20"/>
                <w:color w:val="auto"/>
              </w:rPr>
            </w:pPr>
            <w:r>
              <w:rPr>
                <w:rFonts w:ascii="Arial" w:cs="Arial" w:eastAsia="Arial" w:hAnsi="Arial"/>
                <w:sz w:val="17"/>
                <w:szCs w:val="17"/>
                <w:color w:val="auto"/>
                <w:w w:val="96"/>
              </w:rPr>
              <w:t>million $</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million</w:t>
            </w:r>
          </w:p>
        </w:tc>
        <w:tc>
          <w:tcPr>
            <w:tcW w:w="0" w:type="dxa"/>
            <w:vAlign w:val="bottom"/>
          </w:tcPr>
          <w:p>
            <w:pPr>
              <w:spacing w:after="0"/>
              <w:rPr>
                <w:sz w:val="1"/>
                <w:szCs w:val="1"/>
                <w:color w:val="auto"/>
              </w:rPr>
            </w:pPr>
          </w:p>
        </w:tc>
      </w:tr>
      <w:tr>
        <w:trPr>
          <w:trHeight w:val="74"/>
        </w:trPr>
        <w:tc>
          <w:tcPr>
            <w:tcW w:w="700" w:type="dxa"/>
            <w:vAlign w:val="bottom"/>
            <w:tcBorders>
              <w:bottom w:val="single" w:sz="8" w:color="CCEEFF"/>
            </w:tcBorders>
            <w:gridSpan w:val="2"/>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380" w:type="dxa"/>
            <w:vAlign w:val="bottom"/>
            <w:tcBorders>
              <w:bottom w:val="single" w:sz="8" w:color="CCEEFF"/>
            </w:tcBorders>
            <w:gridSpan w:val="2"/>
            <w:vMerge w:val="continue"/>
            <w:shd w:val="clear" w:color="auto" w:fill="CCEEFF"/>
          </w:tcPr>
          <w:p>
            <w:pPr>
              <w:spacing w:after="0"/>
              <w:rPr>
                <w:sz w:val="6"/>
                <w:szCs w:val="6"/>
                <w:color w:val="auto"/>
              </w:rPr>
            </w:pPr>
          </w:p>
        </w:tc>
        <w:tc>
          <w:tcPr>
            <w:tcW w:w="440" w:type="dxa"/>
            <w:vAlign w:val="bottom"/>
            <w:tcBorders>
              <w:bottom w:val="single" w:sz="8" w:color="CCEEFF"/>
            </w:tcBorders>
            <w:vMerge w:val="continue"/>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900" w:type="dxa"/>
            <w:vAlign w:val="bottom"/>
            <w:tcBorders>
              <w:bottom w:val="single" w:sz="8" w:color="CCEEFF"/>
            </w:tcBorders>
            <w:vMerge w:val="continue"/>
            <w:shd w:val="clear" w:color="auto" w:fill="CCEEFF"/>
          </w:tcPr>
          <w:p>
            <w:pPr>
              <w:spacing w:after="0"/>
              <w:rPr>
                <w:sz w:val="6"/>
                <w:szCs w:val="6"/>
                <w:color w:val="auto"/>
              </w:rPr>
            </w:pPr>
          </w:p>
        </w:tc>
        <w:tc>
          <w:tcPr>
            <w:tcW w:w="5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7200" w:type="dxa"/>
            <w:vAlign w:val="bottom"/>
            <w:gridSpan w:val="5"/>
          </w:tcPr>
          <w:p>
            <w:pPr>
              <w:ind w:left="20"/>
              <w:spacing w:after="0" w:line="239" w:lineRule="exact"/>
              <w:rPr>
                <w:sz w:val="20"/>
                <w:szCs w:val="20"/>
                <w:color w:val="auto"/>
              </w:rPr>
            </w:pPr>
            <w:r>
              <w:rPr>
                <w:rFonts w:ascii="Arial" w:cs="Arial" w:eastAsia="Arial" w:hAnsi="Arial"/>
                <w:sz w:val="17"/>
                <w:szCs w:val="17"/>
                <w:color w:val="auto"/>
              </w:rPr>
              <w:t>Audit-related fees</w:t>
            </w:r>
            <w:r>
              <w:rPr>
                <w:rFonts w:ascii="Arial" w:cs="Arial" w:eastAsia="Arial" w:hAnsi="Arial"/>
                <w:sz w:val="21"/>
                <w:szCs w:val="21"/>
                <w:color w:val="auto"/>
                <w:vertAlign w:val="superscript"/>
              </w:rPr>
              <w:t>(b)</w:t>
            </w: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0.1</w:t>
            </w:r>
          </w:p>
        </w:tc>
        <w:tc>
          <w:tcPr>
            <w:tcW w:w="980" w:type="dxa"/>
            <w:vAlign w:val="bottom"/>
          </w:tcPr>
          <w:p>
            <w:pPr>
              <w:ind w:left="40"/>
              <w:spacing w:after="0"/>
              <w:rPr>
                <w:sz w:val="20"/>
                <w:szCs w:val="20"/>
                <w:color w:val="auto"/>
              </w:rPr>
            </w:pPr>
            <w:r>
              <w:rPr>
                <w:rFonts w:ascii="Arial" w:cs="Arial" w:eastAsia="Arial" w:hAnsi="Arial"/>
                <w:sz w:val="17"/>
                <w:szCs w:val="17"/>
                <w:color w:val="auto"/>
              </w:rPr>
              <w:t>million</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5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w w:val="82"/>
                <w:shd w:val="clear" w:color="auto" w:fill="CCEEFF"/>
              </w:rPr>
              <w:t>Tax fees</w:t>
            </w:r>
          </w:p>
        </w:tc>
        <w:tc>
          <w:tcPr>
            <w:tcW w:w="120" w:type="dxa"/>
            <w:vAlign w:val="bottom"/>
            <w:shd w:val="clear" w:color="auto" w:fill="CCEEFF"/>
          </w:tcPr>
          <w:p>
            <w:pPr>
              <w:spacing w:after="0"/>
              <w:rPr>
                <w:sz w:val="20"/>
                <w:szCs w:val="20"/>
                <w:color w:val="auto"/>
              </w:rPr>
            </w:pPr>
            <w:r>
              <w:rPr>
                <w:rFonts w:ascii="Arial" w:cs="Arial" w:eastAsia="Arial" w:hAnsi="Arial"/>
                <w:sz w:val="11"/>
                <w:szCs w:val="11"/>
                <w:color w:val="auto"/>
                <w:w w:val="77"/>
                <w:shd w:val="clear" w:color="auto" w:fill="CCEEFF"/>
              </w:rPr>
              <w:t>(c)</w:t>
            </w:r>
          </w:p>
        </w:tc>
        <w:tc>
          <w:tcPr>
            <w:tcW w:w="6500" w:type="dxa"/>
            <w:vAlign w:val="bottom"/>
            <w:gridSpan w:val="3"/>
            <w:vMerge w:val="restart"/>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ind w:right="196"/>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74"/>
        </w:trPr>
        <w:tc>
          <w:tcPr>
            <w:tcW w:w="58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6500" w:type="dxa"/>
            <w:vAlign w:val="bottom"/>
            <w:tcBorders>
              <w:bottom w:val="single" w:sz="8" w:color="CCEEFF"/>
            </w:tcBorders>
            <w:gridSpan w:val="3"/>
            <w:vMerge w:val="continue"/>
            <w:shd w:val="clear" w:color="auto" w:fill="CCEEFF"/>
          </w:tcPr>
          <w:p>
            <w:pPr>
              <w:spacing w:after="0"/>
              <w:rPr>
                <w:sz w:val="6"/>
                <w:szCs w:val="6"/>
                <w:color w:val="auto"/>
              </w:rPr>
            </w:pPr>
          </w:p>
        </w:tc>
        <w:tc>
          <w:tcPr>
            <w:tcW w:w="440" w:type="dxa"/>
            <w:vAlign w:val="bottom"/>
            <w:tcBorders>
              <w:bottom w:val="single" w:sz="8" w:color="CCEEFF"/>
            </w:tcBorders>
            <w:shd w:val="clear" w:color="auto" w:fill="CCEEFF"/>
          </w:tcPr>
          <w:p>
            <w:pPr>
              <w:spacing w:after="0"/>
              <w:rPr>
                <w:sz w:val="6"/>
                <w:szCs w:val="6"/>
                <w:color w:val="auto"/>
              </w:rPr>
            </w:pPr>
          </w:p>
        </w:tc>
        <w:tc>
          <w:tcPr>
            <w:tcW w:w="900" w:type="dxa"/>
            <w:vAlign w:val="bottom"/>
            <w:tcBorders>
              <w:bottom w:val="single" w:sz="8" w:color="CCEEFF"/>
            </w:tcBorders>
            <w:shd w:val="clear" w:color="auto" w:fill="CCEEFF"/>
          </w:tcPr>
          <w:p>
            <w:pPr>
              <w:spacing w:after="0"/>
              <w:rPr>
                <w:sz w:val="6"/>
                <w:szCs w:val="6"/>
                <w:color w:val="auto"/>
              </w:rPr>
            </w:pPr>
          </w:p>
        </w:tc>
        <w:tc>
          <w:tcPr>
            <w:tcW w:w="980" w:type="dxa"/>
            <w:vAlign w:val="bottom"/>
            <w:tcBorders>
              <w:bottom w:val="single" w:sz="8" w:color="CCEEFF"/>
            </w:tcBorders>
            <w:vMerge w:val="continue"/>
            <w:shd w:val="clear" w:color="auto" w:fill="CCEEFF"/>
          </w:tcPr>
          <w:p>
            <w:pPr>
              <w:spacing w:after="0"/>
              <w:rPr>
                <w:sz w:val="6"/>
                <w:szCs w:val="6"/>
                <w:color w:val="auto"/>
              </w:rPr>
            </w:pPr>
          </w:p>
        </w:tc>
        <w:tc>
          <w:tcPr>
            <w:tcW w:w="90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gridSpan w:val="5"/>
          </w:tcPr>
          <w:p>
            <w:pPr>
              <w:ind w:left="20"/>
              <w:spacing w:after="0"/>
              <w:rPr>
                <w:sz w:val="20"/>
                <w:szCs w:val="20"/>
                <w:color w:val="auto"/>
              </w:rPr>
            </w:pPr>
            <w:r>
              <w:rPr>
                <w:rFonts w:ascii="Arial" w:cs="Arial" w:eastAsia="Arial" w:hAnsi="Arial"/>
                <w:sz w:val="17"/>
                <w:szCs w:val="17"/>
                <w:color w:val="auto"/>
              </w:rPr>
              <w:t>All other fees</w:t>
            </w:r>
            <w:r>
              <w:rPr>
                <w:rFonts w:ascii="Arial" w:cs="Arial" w:eastAsia="Arial" w:hAnsi="Arial"/>
                <w:sz w:val="21"/>
                <w:szCs w:val="21"/>
                <w:color w:val="auto"/>
                <w:vertAlign w:val="superscript"/>
              </w:rPr>
              <w:t>(d)</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7"/>
                <w:szCs w:val="17"/>
                <w:b w:val="1"/>
                <w:bCs w:val="1"/>
                <w:color w:val="auto"/>
              </w:rPr>
              <w:t>Total</w:t>
            </w: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w:t>
            </w:r>
          </w:p>
        </w:tc>
        <w:tc>
          <w:tcPr>
            <w:tcW w:w="980" w:type="dxa"/>
            <w:vAlign w:val="bottom"/>
            <w:tcBorders>
              <w:bottom w:val="single" w:sz="8" w:color="auto"/>
            </w:tcBorders>
            <w:shd w:val="clear" w:color="auto" w:fill="CCEEFF"/>
          </w:tcPr>
          <w:p>
            <w:pPr>
              <w:jc w:val="center"/>
              <w:ind w:right="216"/>
              <w:spacing w:after="0"/>
              <w:rPr>
                <w:sz w:val="20"/>
                <w:szCs w:val="20"/>
                <w:color w:val="auto"/>
              </w:rPr>
            </w:pPr>
            <w:r>
              <w:rPr>
                <w:rFonts w:ascii="Arial" w:cs="Arial" w:eastAsia="Arial" w:hAnsi="Arial"/>
                <w:sz w:val="17"/>
                <w:szCs w:val="17"/>
                <w:b w:val="1"/>
                <w:bCs w:val="1"/>
                <w:color w:val="auto"/>
                <w:w w:val="86"/>
              </w:rPr>
              <w:t>million $</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4"/>
              </w:rPr>
              <w:t>million</w:t>
            </w:r>
          </w:p>
        </w:tc>
        <w:tc>
          <w:tcPr>
            <w:tcW w:w="0" w:type="dxa"/>
            <w:vAlign w:val="bottom"/>
          </w:tcPr>
          <w:p>
            <w:pPr>
              <w:spacing w:after="0"/>
              <w:rPr>
                <w:sz w:val="1"/>
                <w:szCs w:val="1"/>
                <w:color w:val="auto"/>
              </w:rPr>
            </w:pPr>
          </w:p>
        </w:tc>
      </w:tr>
      <w:tr>
        <w:trPr>
          <w:trHeight w:val="20"/>
        </w:trPr>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ind w:left="300" w:right="100" w:hanging="300"/>
        <w:spacing w:after="0" w:line="268" w:lineRule="auto"/>
        <w:tabs>
          <w:tab w:leader="none" w:pos="297" w:val="left"/>
        </w:tabs>
        <w:numPr>
          <w:ilvl w:val="0"/>
          <w:numId w:val="54"/>
        </w:numPr>
        <w:rPr>
          <w:rFonts w:ascii="Arial" w:cs="Arial" w:eastAsia="Arial" w:hAnsi="Arial"/>
          <w:sz w:val="17"/>
          <w:szCs w:val="17"/>
          <w:color w:val="auto"/>
        </w:rPr>
      </w:pPr>
      <w:r>
        <w:rPr>
          <w:rFonts w:ascii="Arial" w:cs="Arial" w:eastAsia="Arial" w:hAnsi="Arial"/>
          <w:sz w:val="17"/>
          <w:szCs w:val="17"/>
          <w:color w:val="auto"/>
        </w:rPr>
        <w:t>Audit fees represent fees for services provided in connection with the audit of our consolidated financial statements, review of our interim consolidated financial statements, and audit services provided in connection with other statutory or regulatory filings.</w:t>
      </w:r>
    </w:p>
    <w:p>
      <w:pPr>
        <w:spacing w:after="0" w:line="165" w:lineRule="exact"/>
        <w:rPr>
          <w:rFonts w:ascii="Arial" w:cs="Arial" w:eastAsia="Arial" w:hAnsi="Arial"/>
          <w:sz w:val="17"/>
          <w:szCs w:val="17"/>
          <w:color w:val="auto"/>
        </w:rPr>
      </w:pPr>
    </w:p>
    <w:p>
      <w:pPr>
        <w:ind w:left="300" w:right="700" w:hanging="300"/>
        <w:spacing w:after="0" w:line="268" w:lineRule="auto"/>
        <w:tabs>
          <w:tab w:leader="none" w:pos="294" w:val="left"/>
        </w:tabs>
        <w:numPr>
          <w:ilvl w:val="0"/>
          <w:numId w:val="54"/>
        </w:numPr>
        <w:rPr>
          <w:rFonts w:ascii="Arial" w:cs="Arial" w:eastAsia="Arial" w:hAnsi="Arial"/>
          <w:sz w:val="17"/>
          <w:szCs w:val="17"/>
          <w:color w:val="auto"/>
        </w:rPr>
      </w:pPr>
      <w:r>
        <w:rPr>
          <w:rFonts w:ascii="Arial" w:cs="Arial" w:eastAsia="Arial" w:hAnsi="Arial"/>
          <w:sz w:val="17"/>
          <w:szCs w:val="17"/>
          <w:color w:val="auto"/>
        </w:rPr>
        <w:t>Audit-related fees consist of assurance and related services rendered by the principal accountant related to the performance of the audit or review of our consolidated financial statements, which have not been reported under audit fees above.</w:t>
      </w:r>
    </w:p>
    <w:p>
      <w:pPr>
        <w:spacing w:after="0" w:line="165" w:lineRule="exact"/>
        <w:rPr>
          <w:rFonts w:ascii="Arial" w:cs="Arial" w:eastAsia="Arial" w:hAnsi="Arial"/>
          <w:sz w:val="17"/>
          <w:szCs w:val="17"/>
          <w:color w:val="auto"/>
        </w:rPr>
      </w:pPr>
    </w:p>
    <w:p>
      <w:pPr>
        <w:ind w:left="300" w:hanging="300"/>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Tax fees represent fees for professional services rendered for tax compliance, tax advice and tax planning.</w:t>
      </w:r>
    </w:p>
    <w:p>
      <w:pPr>
        <w:spacing w:after="0" w:line="206" w:lineRule="exact"/>
        <w:rPr>
          <w:rFonts w:ascii="Arial" w:cs="Arial" w:eastAsia="Arial" w:hAnsi="Arial"/>
          <w:sz w:val="17"/>
          <w:szCs w:val="17"/>
          <w:color w:val="auto"/>
        </w:rPr>
      </w:pPr>
    </w:p>
    <w:p>
      <w:pPr>
        <w:ind w:left="300" w:hanging="300"/>
        <w:spacing w:after="0"/>
        <w:tabs>
          <w:tab w:leader="none" w:pos="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other fees include fees for services provided other than the services reported above.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 Pre-Approval Policies and Procedures</w:t>
      </w:r>
    </w:p>
    <w:p>
      <w:pPr>
        <w:spacing w:after="0" w:line="206" w:lineRule="exact"/>
        <w:rPr>
          <w:sz w:val="20"/>
          <w:szCs w:val="20"/>
          <w:color w:val="auto"/>
        </w:rPr>
      </w:pPr>
    </w:p>
    <w:p>
      <w:pPr>
        <w:ind w:firstLine="603"/>
        <w:spacing w:after="0" w:line="280" w:lineRule="auto"/>
        <w:rPr>
          <w:sz w:val="20"/>
          <w:szCs w:val="20"/>
          <w:color w:val="auto"/>
        </w:rPr>
      </w:pPr>
      <w:r>
        <w:rPr>
          <w:rFonts w:ascii="Arial" w:cs="Arial" w:eastAsia="Arial" w:hAnsi="Arial"/>
          <w:sz w:val="16"/>
          <w:szCs w:val="16"/>
          <w:color w:val="auto"/>
        </w:rPr>
        <w:t>At its regularly scheduled and special meetings, the Audit Committee of the Board considers and pre-approves any audit and non-audit services to be performed by the Company’s independent accountants. On July 25, 2021, the Audit Committee adopted its pre-approval policies and procedures. Since that date, there have been no audit or non-audit services rendered by the Company’s principal accountants that were not pre-approved.</w:t>
      </w: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160"/>
          </w:cols>
          <w:pgMar w:left="320" w:top="123" w:right="41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210" w:lineRule="exact"/>
        <w:rPr>
          <w:sz w:val="20"/>
          <w:szCs w:val="20"/>
          <w:color w:val="auto"/>
        </w:rPr>
      </w:pPr>
    </w:p>
    <w:p>
      <w:pPr>
        <w:ind w:left="900" w:hanging="297"/>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Financial Statements—See “Index to Consolidated Financial Statements and Financial Statement Schedule” set forth on page F-1.</w:t>
      </w:r>
    </w:p>
    <w:p>
      <w:pPr>
        <w:spacing w:after="0" w:line="206" w:lineRule="exact"/>
        <w:rPr>
          <w:rFonts w:ascii="Arial" w:cs="Arial" w:eastAsia="Arial" w:hAnsi="Arial"/>
          <w:sz w:val="17"/>
          <w:szCs w:val="17"/>
          <w:color w:val="auto"/>
        </w:rPr>
      </w:pPr>
    </w:p>
    <w:p>
      <w:pPr>
        <w:ind w:left="900" w:hanging="297"/>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Financial Statement Schedule—See “Index to Consolidated Financial Statements and Financial Statement Schedule” set forth on page F-1.</w:t>
      </w:r>
    </w:p>
    <w:p>
      <w:pPr>
        <w:spacing w:after="0" w:line="217" w:lineRule="exact"/>
        <w:rPr>
          <w:rFonts w:ascii="Arial" w:cs="Arial" w:eastAsia="Arial" w:hAnsi="Arial"/>
          <w:sz w:val="16"/>
          <w:szCs w:val="16"/>
          <w:color w:val="auto"/>
        </w:rPr>
      </w:pPr>
    </w:p>
    <w:p>
      <w:pPr>
        <w:ind w:left="900" w:hanging="297"/>
        <w:spacing w:after="0"/>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Exhibits—See “Index to Exhibits” set forth on the following page.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20" w:type="dxa"/>
            <w:vAlign w:val="bottom"/>
            <w:gridSpan w:val="18"/>
          </w:tcPr>
          <w:p>
            <w:pPr>
              <w:ind w:left="160"/>
              <w:spacing w:after="0"/>
              <w:rPr>
                <w:sz w:val="20"/>
                <w:szCs w:val="20"/>
                <w:color w:val="auto"/>
              </w:rPr>
            </w:pPr>
            <w:r>
              <w:rPr>
                <w:rFonts w:ascii="Arial" w:cs="Arial" w:eastAsia="Arial" w:hAnsi="Arial"/>
                <w:sz w:val="17"/>
                <w:szCs w:val="17"/>
                <w:b w:val="1"/>
                <w:bCs w:val="1"/>
                <w:color w:val="auto"/>
              </w:rPr>
              <w:t>INDEX TO EXHIBITS</w:t>
            </w:r>
          </w:p>
        </w:tc>
      </w:tr>
      <w:tr>
        <w:trPr>
          <w:trHeight w:val="423"/>
        </w:trPr>
        <w:tc>
          <w:tcPr>
            <w:tcW w:w="124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6"/>
        </w:trPr>
        <w:tc>
          <w:tcPr>
            <w:tcW w:w="1240" w:type="dxa"/>
            <w:vAlign w:val="bottom"/>
            <w:gridSpan w:val="2"/>
          </w:tcPr>
          <w:p>
            <w:pPr>
              <w:ind w:left="20"/>
              <w:spacing w:after="0"/>
              <w:rPr>
                <w:sz w:val="20"/>
                <w:szCs w:val="20"/>
                <w:color w:val="auto"/>
              </w:rPr>
            </w:pPr>
            <w:r>
              <w:rPr>
                <w:rFonts w:ascii="Arial" w:cs="Arial" w:eastAsia="Arial" w:hAnsi="Arial"/>
                <w:sz w:val="17"/>
                <w:szCs w:val="17"/>
                <w:b w:val="1"/>
                <w:bCs w:val="1"/>
                <w:color w:val="auto"/>
              </w:rPr>
              <w:t>Number</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20" w:type="dxa"/>
            <w:vAlign w:val="bottom"/>
            <w:gridSpan w:val="18"/>
          </w:tcPr>
          <w:p>
            <w:pPr>
              <w:ind w:left="1200"/>
              <w:spacing w:after="0"/>
              <w:rPr>
                <w:sz w:val="20"/>
                <w:szCs w:val="20"/>
                <w:color w:val="auto"/>
              </w:rPr>
            </w:pPr>
            <w:r>
              <w:rPr>
                <w:rFonts w:ascii="Arial" w:cs="Arial" w:eastAsia="Arial" w:hAnsi="Arial"/>
                <w:sz w:val="17"/>
                <w:szCs w:val="17"/>
                <w:b w:val="1"/>
                <w:bCs w:val="1"/>
                <w:color w:val="auto"/>
              </w:rPr>
              <w:t>Description</w:t>
            </w:r>
          </w:p>
        </w:tc>
      </w:tr>
      <w:tr>
        <w:trPr>
          <w:trHeight w:val="187"/>
        </w:trPr>
        <w:tc>
          <w:tcPr>
            <w:tcW w:w="1140" w:type="dxa"/>
            <w:vAlign w:val="bottom"/>
            <w:tcBorders>
              <w:top w:val="single" w:sz="8" w:color="auto"/>
            </w:tcBorders>
            <w:shd w:val="clear" w:color="auto" w:fill="CCEEFF"/>
          </w:tcPr>
          <w:p>
            <w:pPr>
              <w:ind w:left="20"/>
              <w:spacing w:after="0" w:line="187" w:lineRule="exact"/>
              <w:rPr>
                <w:sz w:val="20"/>
                <w:szCs w:val="20"/>
                <w:color w:val="auto"/>
              </w:rPr>
            </w:pPr>
            <w:r>
              <w:rPr>
                <w:rFonts w:ascii="Arial" w:cs="Arial" w:eastAsia="Arial" w:hAnsi="Arial"/>
                <w:sz w:val="17"/>
                <w:szCs w:val="17"/>
                <w:color w:val="auto"/>
              </w:rPr>
              <w:t>3.1</w:t>
            </w:r>
          </w:p>
        </w:tc>
        <w:tc>
          <w:tcPr>
            <w:tcW w:w="100" w:type="dxa"/>
            <w:vAlign w:val="bottom"/>
            <w:tcBorders>
              <w:top w:val="single" w:sz="8" w:color="CCEEFF"/>
              <w:right w:val="single" w:sz="8" w:color="CCEEFF"/>
            </w:tcBorders>
            <w:shd w:val="clear" w:color="auto" w:fill="CCEEFF"/>
          </w:tcPr>
          <w:p>
            <w:pPr>
              <w:spacing w:after="0"/>
              <w:rPr>
                <w:sz w:val="16"/>
                <w:szCs w:val="16"/>
                <w:color w:val="auto"/>
              </w:rPr>
            </w:pPr>
          </w:p>
        </w:tc>
        <w:tc>
          <w:tcPr>
            <w:tcW w:w="10000" w:type="dxa"/>
            <w:vAlign w:val="bottom"/>
            <w:tcBorders>
              <w:top w:val="single" w:sz="8" w:color="auto"/>
              <w:right w:val="single" w:sz="8" w:color="CCEEFF"/>
            </w:tcBorders>
            <w:gridSpan w:val="25"/>
            <w:shd w:val="clear" w:color="auto" w:fill="CCEEFF"/>
          </w:tcPr>
          <w:p>
            <w:pPr>
              <w:spacing w:after="0" w:line="187" w:lineRule="exact"/>
              <w:rPr>
                <w:rFonts w:ascii="Arial" w:cs="Arial" w:eastAsia="Arial" w:hAnsi="Arial"/>
                <w:sz w:val="17"/>
                <w:szCs w:val="17"/>
                <w:color w:val="auto"/>
                <w:w w:val="97"/>
              </w:rPr>
            </w:pPr>
            <w:hyperlink r:id="rId187">
              <w:r>
                <w:rPr>
                  <w:rFonts w:ascii="Arial" w:cs="Arial" w:eastAsia="Arial" w:hAnsi="Arial"/>
                  <w:sz w:val="17"/>
                  <w:szCs w:val="17"/>
                  <w:color w:val="auto"/>
                  <w:w w:val="97"/>
                </w:rPr>
                <w:t>Second Amended and Restated Certificate of Incorporation of Microvast Holdings, Inc. (incorporated by reference from Exhibit 3.1 to the</w:t>
              </w:r>
            </w:hyperlink>
          </w:p>
        </w:tc>
      </w:tr>
      <w:tr>
        <w:trPr>
          <w:trHeight w:val="168"/>
        </w:trPr>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240" w:type="dxa"/>
            <w:vAlign w:val="bottom"/>
            <w:tcBorders>
              <w:top w:val="single" w:sz="8" w:color="auto"/>
            </w:tcBorders>
            <w:gridSpan w:val="14"/>
            <w:shd w:val="clear" w:color="auto" w:fill="CCEEFF"/>
          </w:tcPr>
          <w:p>
            <w:pPr>
              <w:spacing w:after="0" w:line="168" w:lineRule="exact"/>
              <w:rPr>
                <w:rFonts w:ascii="Arial" w:cs="Arial" w:eastAsia="Arial" w:hAnsi="Arial"/>
                <w:sz w:val="17"/>
                <w:szCs w:val="17"/>
                <w:color w:val="auto"/>
              </w:rPr>
            </w:pPr>
            <w:hyperlink r:id="rId187">
              <w:r>
                <w:rPr>
                  <w:rFonts w:ascii="Arial" w:cs="Arial" w:eastAsia="Arial" w:hAnsi="Arial"/>
                  <w:sz w:val="17"/>
                  <w:szCs w:val="17"/>
                  <w:color w:val="auto"/>
                </w:rPr>
                <w:t>Company’s Current Report on Form 8-K, filed with the SEC on July 28, 2021).</w:t>
              </w:r>
            </w:hyperlink>
          </w:p>
        </w:tc>
        <w:tc>
          <w:tcPr>
            <w:tcW w:w="760" w:type="dxa"/>
            <w:vAlign w:val="bottom"/>
            <w:tcBorders>
              <w:top w:val="single" w:sz="8" w:color="CCEEFF"/>
              <w:right w:val="single" w:sz="8" w:color="CCEEFF"/>
            </w:tcBorders>
            <w:gridSpan w:val="11"/>
            <w:shd w:val="clear" w:color="auto" w:fill="CCEEFF"/>
          </w:tcPr>
          <w:p>
            <w:pPr>
              <w:spacing w:after="0"/>
              <w:rPr>
                <w:sz w:val="14"/>
                <w:szCs w:val="14"/>
                <w:color w:val="auto"/>
              </w:rPr>
            </w:pPr>
          </w:p>
        </w:tc>
      </w:tr>
      <w:tr>
        <w:trPr>
          <w:trHeight w:val="43"/>
        </w:trPr>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15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1920" w:type="dxa"/>
            <w:vAlign w:val="bottom"/>
            <w:tcBorders>
              <w:top w:val="single" w:sz="8" w:color="auto"/>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right w:val="single" w:sz="8" w:color="CCEEFF"/>
            </w:tcBorders>
            <w:shd w:val="clear" w:color="auto" w:fill="CCEEFF"/>
          </w:tcPr>
          <w:p>
            <w:pPr>
              <w:spacing w:after="0"/>
              <w:rPr>
                <w:sz w:val="3"/>
                <w:szCs w:val="3"/>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3.2</w:t>
            </w:r>
          </w:p>
        </w:tc>
        <w:tc>
          <w:tcPr>
            <w:tcW w:w="100" w:type="dxa"/>
            <w:vAlign w:val="bottom"/>
          </w:tcPr>
          <w:p>
            <w:pPr>
              <w:spacing w:after="0"/>
              <w:rPr>
                <w:sz w:val="16"/>
                <w:szCs w:val="16"/>
                <w:color w:val="auto"/>
              </w:rPr>
            </w:pPr>
          </w:p>
        </w:tc>
        <w:tc>
          <w:tcPr>
            <w:tcW w:w="9860" w:type="dxa"/>
            <w:vAlign w:val="bottom"/>
            <w:tcBorders>
              <w:bottom w:val="single" w:sz="8" w:color="auto"/>
            </w:tcBorders>
            <w:gridSpan w:val="24"/>
          </w:tcPr>
          <w:p>
            <w:pPr>
              <w:spacing w:after="0" w:line="189" w:lineRule="exact"/>
              <w:rPr>
                <w:rFonts w:ascii="Arial" w:cs="Arial" w:eastAsia="Arial" w:hAnsi="Arial"/>
                <w:sz w:val="17"/>
                <w:szCs w:val="17"/>
                <w:color w:val="auto"/>
                <w:w w:val="90"/>
              </w:rPr>
            </w:pPr>
            <w:hyperlink r:id="rId188">
              <w:r>
                <w:rPr>
                  <w:rFonts w:ascii="Arial" w:cs="Arial" w:eastAsia="Arial" w:hAnsi="Arial"/>
                  <w:sz w:val="17"/>
                  <w:szCs w:val="17"/>
                  <w:color w:val="auto"/>
                  <w:w w:val="90"/>
                </w:rPr>
                <w:t>Amended and Restated Bylaws of Microvast Holdings, Inc. (incorporated by reference from Exhibit 3.2 to the Company’s Current Report on Form</w:t>
              </w:r>
            </w:hyperlink>
          </w:p>
        </w:tc>
        <w:tc>
          <w:tcPr>
            <w:tcW w:w="140" w:type="dxa"/>
            <w:vAlign w:val="bottom"/>
          </w:tcPr>
          <w:p>
            <w:pPr>
              <w:spacing w:after="0"/>
              <w:rPr>
                <w:sz w:val="16"/>
                <w:szCs w:val="16"/>
                <w:color w:val="auto"/>
              </w:rPr>
            </w:pPr>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7"/>
                <w:szCs w:val="17"/>
                <w:color w:val="auto"/>
              </w:rPr>
            </w:pPr>
            <w:hyperlink r:id="rId188">
              <w:r>
                <w:rPr>
                  <w:rFonts w:ascii="Arial" w:cs="Arial" w:eastAsia="Arial" w:hAnsi="Arial"/>
                  <w:sz w:val="17"/>
                  <w:szCs w:val="17"/>
                  <w:color w:val="auto"/>
                </w:rPr>
                <w:t>8-K, filed with the SEC on July 28, 2021).</w:t>
              </w:r>
            </w:hyperlink>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4.1*</w:t>
            </w:r>
          </w:p>
        </w:tc>
        <w:tc>
          <w:tcPr>
            <w:tcW w:w="100" w:type="dxa"/>
            <w:vAlign w:val="bottom"/>
            <w:tcBorders>
              <w:right w:val="single" w:sz="8" w:color="CCEEFF"/>
            </w:tcBorders>
            <w:shd w:val="clear" w:color="auto" w:fill="CCEEFF"/>
          </w:tcPr>
          <w:p>
            <w:pPr>
              <w:spacing w:after="0"/>
              <w:rPr>
                <w:sz w:val="16"/>
                <w:szCs w:val="16"/>
                <w:color w:val="auto"/>
              </w:rPr>
            </w:pPr>
          </w:p>
        </w:tc>
        <w:tc>
          <w:tcPr>
            <w:tcW w:w="10000" w:type="dxa"/>
            <w:vAlign w:val="bottom"/>
            <w:tcBorders>
              <w:right w:val="single" w:sz="8" w:color="CCEEFF"/>
            </w:tcBorders>
            <w:gridSpan w:val="25"/>
            <w:shd w:val="clear" w:color="auto" w:fill="CCEEFF"/>
          </w:tcPr>
          <w:p>
            <w:pPr>
              <w:spacing w:after="0" w:line="189" w:lineRule="exact"/>
              <w:rPr>
                <w:sz w:val="20"/>
                <w:szCs w:val="20"/>
                <w:color w:val="auto"/>
              </w:rPr>
            </w:pPr>
            <w:r>
              <w:rPr>
                <w:rFonts w:ascii="Arial" w:cs="Arial" w:eastAsia="Arial" w:hAnsi="Arial"/>
                <w:sz w:val="17"/>
                <w:szCs w:val="17"/>
                <w:color w:val="auto"/>
              </w:rPr>
              <w:t>Description of Securities of the Registrant.</w:t>
            </w:r>
          </w:p>
        </w:tc>
      </w:tr>
      <w:tr>
        <w:trPr>
          <w:trHeight w:val="30"/>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15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4.2</w:t>
            </w:r>
          </w:p>
        </w:tc>
        <w:tc>
          <w:tcPr>
            <w:tcW w:w="100" w:type="dxa"/>
            <w:vAlign w:val="bottom"/>
          </w:tcPr>
          <w:p>
            <w:pPr>
              <w:spacing w:after="0"/>
              <w:rPr>
                <w:sz w:val="16"/>
                <w:szCs w:val="16"/>
                <w:color w:val="auto"/>
              </w:rPr>
            </w:pPr>
          </w:p>
        </w:tc>
        <w:tc>
          <w:tcPr>
            <w:tcW w:w="10000" w:type="dxa"/>
            <w:vAlign w:val="bottom"/>
            <w:tcBorders>
              <w:bottom w:val="single" w:sz="8" w:color="auto"/>
            </w:tcBorders>
            <w:gridSpan w:val="25"/>
          </w:tcPr>
          <w:p>
            <w:pPr>
              <w:spacing w:after="0" w:line="189" w:lineRule="exact"/>
              <w:rPr>
                <w:rFonts w:ascii="Arial" w:cs="Arial" w:eastAsia="Arial" w:hAnsi="Arial"/>
                <w:sz w:val="17"/>
                <w:szCs w:val="17"/>
                <w:color w:val="auto"/>
                <w:w w:val="90"/>
              </w:rPr>
            </w:pPr>
            <w:hyperlink r:id="rId189">
              <w:r>
                <w:rPr>
                  <w:rFonts w:ascii="Arial" w:cs="Arial" w:eastAsia="Arial" w:hAnsi="Arial"/>
                  <w:sz w:val="17"/>
                  <w:szCs w:val="17"/>
                  <w:color w:val="auto"/>
                  <w:w w:val="90"/>
                </w:rPr>
                <w:t>Specimen Common Stock Certificate (incorporated by reference from Exhibit 4.4 to the Company’s Current Report on Form 8-K, filed with the SEC</w:t>
              </w:r>
            </w:hyperlink>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7"/>
                <w:szCs w:val="17"/>
                <w:color w:val="auto"/>
              </w:rPr>
            </w:pPr>
            <w:hyperlink r:id="rId189">
              <w:r>
                <w:rPr>
                  <w:rFonts w:ascii="Arial" w:cs="Arial" w:eastAsia="Arial" w:hAnsi="Arial"/>
                  <w:sz w:val="17"/>
                  <w:szCs w:val="17"/>
                  <w:color w:val="auto"/>
                </w:rPr>
                <w:t>on July 28, 2021).</w:t>
              </w:r>
            </w:hyperlink>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4.3</w:t>
            </w:r>
          </w:p>
        </w:tc>
        <w:tc>
          <w:tcPr>
            <w:tcW w:w="100" w:type="dxa"/>
            <w:vAlign w:val="bottom"/>
            <w:tcBorders>
              <w:right w:val="single" w:sz="8" w:color="CCEEFF"/>
            </w:tcBorders>
            <w:shd w:val="clear" w:color="auto" w:fill="CCEEFF"/>
          </w:tcPr>
          <w:p>
            <w:pPr>
              <w:spacing w:after="0"/>
              <w:rPr>
                <w:sz w:val="16"/>
                <w:szCs w:val="16"/>
                <w:color w:val="auto"/>
              </w:rPr>
            </w:pPr>
          </w:p>
        </w:tc>
        <w:tc>
          <w:tcPr>
            <w:tcW w:w="10000" w:type="dxa"/>
            <w:vAlign w:val="bottom"/>
            <w:tcBorders>
              <w:right w:val="single" w:sz="8" w:color="CCEEFF"/>
            </w:tcBorders>
            <w:gridSpan w:val="25"/>
            <w:shd w:val="clear" w:color="auto" w:fill="CCEEFF"/>
          </w:tcPr>
          <w:p>
            <w:pPr>
              <w:spacing w:after="0" w:line="189" w:lineRule="exact"/>
              <w:rPr>
                <w:rFonts w:ascii="Arial" w:cs="Arial" w:eastAsia="Arial" w:hAnsi="Arial"/>
                <w:sz w:val="17"/>
                <w:szCs w:val="17"/>
                <w:color w:val="auto"/>
                <w:w w:val="90"/>
              </w:rPr>
            </w:pPr>
            <w:hyperlink r:id="rId190">
              <w:r>
                <w:rPr>
                  <w:rFonts w:ascii="Arial" w:cs="Arial" w:eastAsia="Arial" w:hAnsi="Arial"/>
                  <w:sz w:val="17"/>
                  <w:szCs w:val="17"/>
                  <w:color w:val="auto"/>
                  <w:w w:val="90"/>
                </w:rPr>
                <w:t>Specimen Warrant Certificate (incorporated by reference from Exhibit 4.5 to the Company’s Current Report on Form 8-K, filed with the SEC on July</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r>
      <w:tr>
        <w:trPr>
          <w:trHeight w:val="168"/>
        </w:trPr>
        <w:tc>
          <w:tcPr>
            <w:tcW w:w="1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 w:type="dxa"/>
            <w:vAlign w:val="bottom"/>
            <w:gridSpan w:val="2"/>
            <w:shd w:val="clear" w:color="auto" w:fill="CCEEFF"/>
          </w:tcPr>
          <w:p>
            <w:pPr>
              <w:spacing w:after="0" w:line="168" w:lineRule="exact"/>
              <w:rPr>
                <w:rFonts w:ascii="Arial" w:cs="Arial" w:eastAsia="Arial" w:hAnsi="Arial"/>
                <w:sz w:val="17"/>
                <w:szCs w:val="17"/>
                <w:color w:val="auto"/>
              </w:rPr>
            </w:pPr>
            <w:hyperlink r:id="rId190">
              <w:r>
                <w:rPr>
                  <w:rFonts w:ascii="Arial" w:cs="Arial" w:eastAsia="Arial" w:hAnsi="Arial"/>
                  <w:sz w:val="17"/>
                  <w:szCs w:val="17"/>
                  <w:color w:val="auto"/>
                </w:rPr>
                <w:t>28, 2021).</w:t>
              </w:r>
            </w:hyperlink>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r>
      <w:tr>
        <w:trPr>
          <w:trHeight w:val="43"/>
        </w:trPr>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5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540" w:type="dxa"/>
            <w:vAlign w:val="bottom"/>
            <w:tcBorders>
              <w:top w:val="single" w:sz="8" w:color="CCEEFF"/>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right w:val="single" w:sz="8" w:color="CCEEFF"/>
            </w:tcBorders>
            <w:shd w:val="clear" w:color="auto" w:fill="CCEEFF"/>
          </w:tcPr>
          <w:p>
            <w:pPr>
              <w:spacing w:after="0"/>
              <w:rPr>
                <w:sz w:val="3"/>
                <w:szCs w:val="3"/>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4.4</w:t>
            </w:r>
          </w:p>
        </w:tc>
        <w:tc>
          <w:tcPr>
            <w:tcW w:w="100" w:type="dxa"/>
            <w:vAlign w:val="bottom"/>
          </w:tcPr>
          <w:p>
            <w:pPr>
              <w:spacing w:after="0"/>
              <w:rPr>
                <w:sz w:val="16"/>
                <w:szCs w:val="16"/>
                <w:color w:val="auto"/>
              </w:rPr>
            </w:pPr>
          </w:p>
        </w:tc>
        <w:tc>
          <w:tcPr>
            <w:tcW w:w="9440" w:type="dxa"/>
            <w:vAlign w:val="bottom"/>
            <w:tcBorders>
              <w:bottom w:val="single" w:sz="8" w:color="auto"/>
            </w:tcBorders>
            <w:gridSpan w:val="16"/>
          </w:tcPr>
          <w:p>
            <w:pPr>
              <w:spacing w:after="0" w:line="189" w:lineRule="exact"/>
              <w:rPr>
                <w:rFonts w:ascii="Arial" w:cs="Arial" w:eastAsia="Arial" w:hAnsi="Arial"/>
                <w:sz w:val="17"/>
                <w:szCs w:val="17"/>
                <w:color w:val="auto"/>
                <w:w w:val="89"/>
              </w:rPr>
            </w:pPr>
            <w:hyperlink r:id="rId191">
              <w:r>
                <w:rPr>
                  <w:rFonts w:ascii="Arial" w:cs="Arial" w:eastAsia="Arial" w:hAnsi="Arial"/>
                  <w:sz w:val="17"/>
                  <w:szCs w:val="17"/>
                  <w:color w:val="auto"/>
                  <w:w w:val="89"/>
                </w:rPr>
                <w:t>Warrant Agreement (incorporated by reference from Exhibit 4.4 to the Company’s Registration Statement on S-1, filed with the Company on</w:t>
              </w:r>
            </w:hyperlink>
          </w:p>
        </w:tc>
        <w:tc>
          <w:tcPr>
            <w:tcW w:w="560" w:type="dxa"/>
            <w:vAlign w:val="bottom"/>
            <w:gridSpan w:val="9"/>
          </w:tcPr>
          <w:p>
            <w:pPr>
              <w:spacing w:after="0"/>
              <w:rPr>
                <w:sz w:val="16"/>
                <w:szCs w:val="16"/>
                <w:color w:val="auto"/>
              </w:rPr>
            </w:pPr>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7"/>
                <w:szCs w:val="17"/>
                <w:color w:val="auto"/>
              </w:rPr>
            </w:pPr>
            <w:hyperlink r:id="rId191">
              <w:r>
                <w:rPr>
                  <w:rFonts w:ascii="Arial" w:cs="Arial" w:eastAsia="Arial" w:hAnsi="Arial"/>
                  <w:sz w:val="17"/>
                  <w:szCs w:val="17"/>
                  <w:color w:val="auto"/>
                </w:rPr>
                <w:t>February 26, 2019).</w:t>
              </w:r>
            </w:hyperlink>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4.5</w:t>
            </w:r>
          </w:p>
        </w:tc>
        <w:tc>
          <w:tcPr>
            <w:tcW w:w="100" w:type="dxa"/>
            <w:vAlign w:val="bottom"/>
            <w:tcBorders>
              <w:right w:val="single" w:sz="8" w:color="CCEEFF"/>
            </w:tcBorders>
            <w:shd w:val="clear" w:color="auto" w:fill="CCEEFF"/>
          </w:tcPr>
          <w:p>
            <w:pPr>
              <w:spacing w:after="0"/>
              <w:rPr>
                <w:sz w:val="16"/>
                <w:szCs w:val="16"/>
                <w:color w:val="auto"/>
              </w:rPr>
            </w:pPr>
          </w:p>
        </w:tc>
        <w:tc>
          <w:tcPr>
            <w:tcW w:w="10000" w:type="dxa"/>
            <w:vAlign w:val="bottom"/>
            <w:tcBorders>
              <w:right w:val="single" w:sz="8" w:color="CCEEFF"/>
            </w:tcBorders>
            <w:gridSpan w:val="25"/>
            <w:shd w:val="clear" w:color="auto" w:fill="CCEEFF"/>
          </w:tcPr>
          <w:p>
            <w:pPr>
              <w:spacing w:after="0" w:line="189" w:lineRule="exact"/>
              <w:rPr>
                <w:rFonts w:ascii="Arial" w:cs="Arial" w:eastAsia="Arial" w:hAnsi="Arial"/>
                <w:sz w:val="17"/>
                <w:szCs w:val="17"/>
                <w:color w:val="auto"/>
                <w:w w:val="95"/>
              </w:rPr>
            </w:pPr>
            <w:hyperlink r:id="rId192">
              <w:r>
                <w:rPr>
                  <w:rFonts w:ascii="Arial" w:cs="Arial" w:eastAsia="Arial" w:hAnsi="Arial"/>
                  <w:sz w:val="17"/>
                  <w:szCs w:val="17"/>
                  <w:color w:val="auto"/>
                  <w:w w:val="95"/>
                </w:rPr>
                <w:t>Registration Rights and Lock-Up Agreement dated as of July 26, 2021, by and among (a) Microvast Holdings, Inc., (b) the Microvast Equity</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380" w:type="dxa"/>
            <w:vAlign w:val="bottom"/>
            <w:gridSpan w:val="5"/>
            <w:shd w:val="clear" w:color="auto" w:fill="000000"/>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r>
      <w:tr>
        <w:trPr>
          <w:trHeight w:val="168"/>
        </w:trPr>
        <w:tc>
          <w:tcPr>
            <w:tcW w:w="1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right w:val="single" w:sz="8" w:color="CCEEFF"/>
            </w:tcBorders>
            <w:shd w:val="clear" w:color="auto" w:fill="CCEEFF"/>
          </w:tcPr>
          <w:p>
            <w:pPr>
              <w:spacing w:after="0"/>
              <w:rPr>
                <w:sz w:val="14"/>
                <w:szCs w:val="14"/>
                <w:color w:val="auto"/>
              </w:rPr>
            </w:pPr>
          </w:p>
        </w:tc>
        <w:tc>
          <w:tcPr>
            <w:tcW w:w="9780" w:type="dxa"/>
            <w:vAlign w:val="bottom"/>
            <w:tcBorders>
              <w:bottom w:val="single" w:sz="8" w:color="auto"/>
            </w:tcBorders>
            <w:gridSpan w:val="21"/>
            <w:shd w:val="clear" w:color="auto" w:fill="CCEEFF"/>
          </w:tcPr>
          <w:p>
            <w:pPr>
              <w:spacing w:after="0" w:line="168" w:lineRule="exact"/>
              <w:rPr>
                <w:rFonts w:ascii="Arial" w:cs="Arial" w:eastAsia="Arial" w:hAnsi="Arial"/>
                <w:sz w:val="17"/>
                <w:szCs w:val="17"/>
                <w:color w:val="auto"/>
                <w:w w:val="91"/>
              </w:rPr>
            </w:pPr>
            <w:hyperlink r:id="rId192">
              <w:r>
                <w:rPr>
                  <w:rFonts w:ascii="Arial" w:cs="Arial" w:eastAsia="Arial" w:hAnsi="Arial"/>
                  <w:sz w:val="17"/>
                  <w:szCs w:val="17"/>
                  <w:color w:val="auto"/>
                  <w:w w:val="91"/>
                </w:rPr>
                <w:t>Holders, (c) the CL Holders, (d) Tuscan Holdings Acquisition LLC, Stefan M. Selig, Richard O. Rieger and Amy Butte, and (e) EarlyBirdCapital,</w:t>
              </w:r>
            </w:hyperlink>
          </w:p>
        </w:tc>
        <w:tc>
          <w:tcPr>
            <w:tcW w:w="220" w:type="dxa"/>
            <w:vAlign w:val="bottom"/>
            <w:tcBorders>
              <w:bottom w:val="single" w:sz="8" w:color="CCEEFF"/>
              <w:right w:val="single" w:sz="8" w:color="CCEEFF"/>
            </w:tcBorders>
            <w:gridSpan w:val="4"/>
            <w:shd w:val="clear" w:color="auto" w:fill="CCEEFF"/>
          </w:tcPr>
          <w:p>
            <w:pPr>
              <w:spacing w:after="0"/>
              <w:rPr>
                <w:sz w:val="14"/>
                <w:szCs w:val="14"/>
                <w:color w:val="auto"/>
              </w:rPr>
            </w:pPr>
          </w:p>
        </w:tc>
      </w:tr>
      <w:tr>
        <w:trPr>
          <w:trHeight w:val="181"/>
        </w:trPr>
        <w:tc>
          <w:tcPr>
            <w:tcW w:w="1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0000" w:type="dxa"/>
            <w:vAlign w:val="bottom"/>
            <w:tcBorders>
              <w:right w:val="single" w:sz="8" w:color="CCEEFF"/>
            </w:tcBorders>
            <w:gridSpan w:val="25"/>
            <w:shd w:val="clear" w:color="auto" w:fill="CCEEFF"/>
          </w:tcPr>
          <w:p>
            <w:pPr>
              <w:spacing w:after="0" w:line="181" w:lineRule="exact"/>
              <w:rPr>
                <w:rFonts w:ascii="Arial" w:cs="Arial" w:eastAsia="Arial" w:hAnsi="Arial"/>
                <w:sz w:val="17"/>
                <w:szCs w:val="17"/>
                <w:color w:val="auto"/>
              </w:rPr>
            </w:pPr>
            <w:hyperlink r:id="rId192">
              <w:r>
                <w:rPr>
                  <w:rFonts w:ascii="Arial" w:cs="Arial" w:eastAsia="Arial" w:hAnsi="Arial"/>
                  <w:sz w:val="17"/>
                  <w:szCs w:val="17"/>
                  <w:color w:val="auto"/>
                </w:rPr>
                <w:t>Inc. (incorporated by reference from Exhibit 4.1 to the Company’s Current Report on Form 8-K, filed with the SEC on July 28, 2021).</w:t>
              </w:r>
            </w:hyperlink>
          </w:p>
        </w:tc>
      </w:tr>
      <w:tr>
        <w:trPr>
          <w:trHeight w:val="30"/>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tcBorders>
              <w:top w:val="single" w:sz="8" w:color="auto"/>
            </w:tcBorders>
            <w:shd w:val="clear" w:color="auto" w:fill="CCEEFF"/>
          </w:tcPr>
          <w:p>
            <w:pPr>
              <w:spacing w:after="0"/>
              <w:rPr>
                <w:sz w:val="2"/>
                <w:szCs w:val="2"/>
                <w:color w:val="auto"/>
              </w:rPr>
            </w:pPr>
          </w:p>
        </w:tc>
        <w:tc>
          <w:tcPr>
            <w:tcW w:w="3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15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19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860" w:type="dxa"/>
            <w:vAlign w:val="bottom"/>
            <w:tcBorders>
              <w:top w:val="single" w:sz="8" w:color="auto"/>
            </w:tcBorders>
            <w:shd w:val="clear" w:color="auto" w:fill="CCEEFF"/>
          </w:tcPr>
          <w:p>
            <w:pPr>
              <w:spacing w:after="0"/>
              <w:rPr>
                <w:sz w:val="2"/>
                <w:szCs w:val="2"/>
                <w:color w:val="auto"/>
              </w:rPr>
            </w:pPr>
          </w:p>
        </w:tc>
        <w:tc>
          <w:tcPr>
            <w:tcW w:w="210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4.6</w:t>
            </w:r>
          </w:p>
        </w:tc>
        <w:tc>
          <w:tcPr>
            <w:tcW w:w="100" w:type="dxa"/>
            <w:vAlign w:val="bottom"/>
          </w:tcPr>
          <w:p>
            <w:pPr>
              <w:spacing w:after="0"/>
              <w:rPr>
                <w:sz w:val="16"/>
                <w:szCs w:val="16"/>
                <w:color w:val="auto"/>
              </w:rPr>
            </w:pPr>
          </w:p>
        </w:tc>
        <w:tc>
          <w:tcPr>
            <w:tcW w:w="10000" w:type="dxa"/>
            <w:vAlign w:val="bottom"/>
            <w:gridSpan w:val="25"/>
          </w:tcPr>
          <w:p>
            <w:pPr>
              <w:spacing w:after="0" w:line="189" w:lineRule="exact"/>
              <w:rPr>
                <w:rFonts w:ascii="Arial" w:cs="Arial" w:eastAsia="Arial" w:hAnsi="Arial"/>
                <w:sz w:val="17"/>
                <w:szCs w:val="17"/>
                <w:color w:val="auto"/>
                <w:w w:val="91"/>
              </w:rPr>
            </w:pPr>
            <w:hyperlink r:id="rId193">
              <w:r>
                <w:rPr>
                  <w:rFonts w:ascii="Arial" w:cs="Arial" w:eastAsia="Arial" w:hAnsi="Arial"/>
                  <w:sz w:val="17"/>
                  <w:szCs w:val="17"/>
                  <w:color w:val="auto"/>
                  <w:w w:val="91"/>
                </w:rPr>
                <w:t>Stockholders Agreement dated July 26, 2021 by and among (a) Microvast Holdings, Inc., (b) Yang Wu and (c) Tuscan Holdings Acquisition LLC.</w:t>
              </w:r>
            </w:hyperlink>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80" w:type="dxa"/>
            <w:vAlign w:val="bottom"/>
            <w:tcBorders>
              <w:top w:val="single" w:sz="8" w:color="auto"/>
            </w:tcBorders>
            <w:gridSpan w:val="21"/>
          </w:tcPr>
          <w:p>
            <w:pPr>
              <w:spacing w:after="0" w:line="168" w:lineRule="exact"/>
              <w:rPr>
                <w:rFonts w:ascii="Arial" w:cs="Arial" w:eastAsia="Arial" w:hAnsi="Arial"/>
                <w:sz w:val="17"/>
                <w:szCs w:val="17"/>
                <w:color w:val="auto"/>
              </w:rPr>
            </w:pPr>
            <w:hyperlink r:id="rId193">
              <w:r>
                <w:rPr>
                  <w:rFonts w:ascii="Arial" w:cs="Arial" w:eastAsia="Arial" w:hAnsi="Arial"/>
                  <w:sz w:val="17"/>
                  <w:szCs w:val="17"/>
                  <w:color w:val="auto"/>
                </w:rPr>
                <w:t>(incorporated by reference from Exhibit 4.2 to the Company’s Current Report on Form 8-K, filed with the SEC on July 28, 2021).</w:t>
              </w:r>
            </w:hyperlink>
          </w:p>
        </w:tc>
        <w:tc>
          <w:tcPr>
            <w:tcW w:w="220" w:type="dxa"/>
            <w:vAlign w:val="bottom"/>
            <w:gridSpan w:val="4"/>
          </w:tcPr>
          <w:p>
            <w:pPr>
              <w:spacing w:after="0"/>
              <w:rPr>
                <w:sz w:val="14"/>
                <w:szCs w:val="14"/>
                <w:color w:val="auto"/>
              </w:rPr>
            </w:pPr>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10.1</w:t>
            </w:r>
          </w:p>
        </w:tc>
        <w:tc>
          <w:tcPr>
            <w:tcW w:w="100" w:type="dxa"/>
            <w:vAlign w:val="bottom"/>
            <w:tcBorders>
              <w:right w:val="single" w:sz="8" w:color="CCEEFF"/>
            </w:tcBorders>
            <w:shd w:val="clear" w:color="auto" w:fill="CCEEFF"/>
          </w:tcPr>
          <w:p>
            <w:pPr>
              <w:spacing w:after="0"/>
              <w:rPr>
                <w:sz w:val="16"/>
                <w:szCs w:val="16"/>
                <w:color w:val="auto"/>
              </w:rPr>
            </w:pPr>
          </w:p>
        </w:tc>
        <w:tc>
          <w:tcPr>
            <w:tcW w:w="10000" w:type="dxa"/>
            <w:vAlign w:val="bottom"/>
            <w:tcBorders>
              <w:right w:val="single" w:sz="8" w:color="CCEEFF"/>
            </w:tcBorders>
            <w:gridSpan w:val="25"/>
            <w:shd w:val="clear" w:color="auto" w:fill="CCEEFF"/>
          </w:tcPr>
          <w:p>
            <w:pPr>
              <w:spacing w:after="0" w:line="189" w:lineRule="exact"/>
              <w:rPr>
                <w:rFonts w:ascii="Arial" w:cs="Arial" w:eastAsia="Arial" w:hAnsi="Arial"/>
                <w:sz w:val="17"/>
                <w:szCs w:val="17"/>
                <w:color w:val="auto"/>
                <w:w w:val="92"/>
              </w:rPr>
            </w:pPr>
            <w:hyperlink r:id="rId194">
              <w:r>
                <w:rPr>
                  <w:rFonts w:ascii="Arial" w:cs="Arial" w:eastAsia="Arial" w:hAnsi="Arial"/>
                  <w:sz w:val="17"/>
                  <w:szCs w:val="17"/>
                  <w:color w:val="auto"/>
                  <w:w w:val="92"/>
                </w:rPr>
                <w:t>Form of Indemnity Agreement (incorporated by reference from Exhibit 10.1 to the Company’s Current Report on Form 8-K, filed with the SEC on</w:t>
              </w:r>
            </w:hyperlink>
          </w:p>
        </w:tc>
      </w:tr>
      <w:tr>
        <w:trPr>
          <w:trHeight w:val="211"/>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spacing w:after="0" w:line="168" w:lineRule="exact"/>
              <w:rPr>
                <w:rFonts w:ascii="Arial" w:cs="Arial" w:eastAsia="Arial" w:hAnsi="Arial"/>
                <w:sz w:val="17"/>
                <w:szCs w:val="17"/>
                <w:color w:val="auto"/>
                <w:w w:val="87"/>
              </w:rPr>
            </w:pPr>
            <w:hyperlink r:id="rId194">
              <w:r>
                <w:rPr>
                  <w:rFonts w:ascii="Arial" w:cs="Arial" w:eastAsia="Arial" w:hAnsi="Arial"/>
                  <w:sz w:val="17"/>
                  <w:szCs w:val="17"/>
                  <w:color w:val="auto"/>
                  <w:w w:val="87"/>
                </w:rPr>
                <w:t>July 28, 2021).</w:t>
              </w:r>
            </w:hyperlink>
          </w:p>
        </w:tc>
        <w:tc>
          <w:tcPr>
            <w:tcW w:w="8820" w:type="dxa"/>
            <w:vAlign w:val="bottom"/>
            <w:tcBorders>
              <w:top w:val="single" w:sz="8" w:color="auto"/>
              <w:bottom w:val="single" w:sz="8" w:color="CCEEFF"/>
            </w:tcBorders>
            <w:gridSpan w:val="20"/>
            <w:shd w:val="clear" w:color="auto" w:fill="CCEEFF"/>
          </w:tcPr>
          <w:p>
            <w:pPr>
              <w:spacing w:after="0"/>
              <w:rPr>
                <w:sz w:val="18"/>
                <w:szCs w:val="18"/>
                <w:color w:val="auto"/>
              </w:rPr>
            </w:pPr>
          </w:p>
        </w:tc>
        <w:tc>
          <w:tcPr>
            <w:tcW w:w="180" w:type="dxa"/>
            <w:vAlign w:val="bottom"/>
            <w:tcBorders>
              <w:top w:val="single" w:sz="8" w:color="CCEEFF"/>
              <w:bottom w:val="single" w:sz="8" w:color="CCEEFF"/>
              <w:right w:val="single" w:sz="8" w:color="CCEEFF"/>
            </w:tcBorders>
            <w:gridSpan w:val="3"/>
            <w:shd w:val="clear" w:color="auto" w:fill="CCEEFF"/>
          </w:tcPr>
          <w:p>
            <w:pPr>
              <w:spacing w:after="0"/>
              <w:rPr>
                <w:sz w:val="18"/>
                <w:szCs w:val="18"/>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10.2</w:t>
            </w:r>
          </w:p>
        </w:tc>
        <w:tc>
          <w:tcPr>
            <w:tcW w:w="100" w:type="dxa"/>
            <w:vAlign w:val="bottom"/>
          </w:tcPr>
          <w:p>
            <w:pPr>
              <w:spacing w:after="0"/>
              <w:rPr>
                <w:sz w:val="16"/>
                <w:szCs w:val="16"/>
                <w:color w:val="auto"/>
              </w:rPr>
            </w:pPr>
          </w:p>
        </w:tc>
        <w:tc>
          <w:tcPr>
            <w:tcW w:w="9840" w:type="dxa"/>
            <w:vAlign w:val="bottom"/>
            <w:tcBorders>
              <w:bottom w:val="single" w:sz="8" w:color="auto"/>
            </w:tcBorders>
            <w:gridSpan w:val="23"/>
          </w:tcPr>
          <w:p>
            <w:pPr>
              <w:spacing w:after="0" w:line="189" w:lineRule="exact"/>
              <w:rPr>
                <w:rFonts w:ascii="Arial" w:cs="Arial" w:eastAsia="Arial" w:hAnsi="Arial"/>
                <w:sz w:val="17"/>
                <w:szCs w:val="17"/>
                <w:color w:val="auto"/>
                <w:w w:val="89"/>
              </w:rPr>
            </w:pPr>
            <w:hyperlink r:id="rId195">
              <w:r>
                <w:rPr>
                  <w:rFonts w:ascii="Arial" w:cs="Arial" w:eastAsia="Arial" w:hAnsi="Arial"/>
                  <w:sz w:val="17"/>
                  <w:szCs w:val="17"/>
                  <w:color w:val="auto"/>
                  <w:w w:val="89"/>
                </w:rPr>
                <w:t>Employment Agreement, dated as of February 1, 2021, by and between Microvast, Inc. and Yang Wu (incorporated by reference from Exhibit 10.2</w:t>
              </w:r>
            </w:hyperlink>
          </w:p>
        </w:tc>
        <w:tc>
          <w:tcPr>
            <w:tcW w:w="160" w:type="dxa"/>
            <w:vAlign w:val="bottom"/>
            <w:gridSpan w:val="2"/>
          </w:tcPr>
          <w:p>
            <w:pPr>
              <w:spacing w:after="0"/>
              <w:rPr>
                <w:sz w:val="16"/>
                <w:szCs w:val="16"/>
                <w:color w:val="auto"/>
              </w:rPr>
            </w:pPr>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7"/>
                <w:szCs w:val="17"/>
                <w:color w:val="auto"/>
              </w:rPr>
            </w:pPr>
            <w:hyperlink r:id="rId195">
              <w:r>
                <w:rPr>
                  <w:rFonts w:ascii="Arial" w:cs="Arial" w:eastAsia="Arial" w:hAnsi="Arial"/>
                  <w:sz w:val="17"/>
                  <w:szCs w:val="17"/>
                  <w:color w:val="auto"/>
                </w:rPr>
                <w:t>to the Company’s Current Report on Form 8-K, filed with the SEC on July 28, 2021).</w:t>
              </w:r>
            </w:hyperlink>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10.3</w:t>
            </w:r>
          </w:p>
        </w:tc>
        <w:tc>
          <w:tcPr>
            <w:tcW w:w="100" w:type="dxa"/>
            <w:vAlign w:val="bottom"/>
            <w:tcBorders>
              <w:right w:val="single" w:sz="8" w:color="CCEEFF"/>
            </w:tcBorders>
            <w:shd w:val="clear" w:color="auto" w:fill="CCEEFF"/>
          </w:tcPr>
          <w:p>
            <w:pPr>
              <w:spacing w:after="0"/>
              <w:rPr>
                <w:sz w:val="16"/>
                <w:szCs w:val="16"/>
                <w:color w:val="auto"/>
              </w:rPr>
            </w:pPr>
          </w:p>
        </w:tc>
        <w:tc>
          <w:tcPr>
            <w:tcW w:w="10000" w:type="dxa"/>
            <w:vAlign w:val="bottom"/>
            <w:tcBorders>
              <w:right w:val="single" w:sz="8" w:color="CCEEFF"/>
            </w:tcBorders>
            <w:gridSpan w:val="25"/>
            <w:shd w:val="clear" w:color="auto" w:fill="CCEEFF"/>
          </w:tcPr>
          <w:p>
            <w:pPr>
              <w:spacing w:after="0" w:line="189" w:lineRule="exact"/>
              <w:rPr>
                <w:rFonts w:ascii="Arial" w:cs="Arial" w:eastAsia="Arial" w:hAnsi="Arial"/>
                <w:sz w:val="17"/>
                <w:szCs w:val="17"/>
                <w:color w:val="auto"/>
                <w:w w:val="90"/>
              </w:rPr>
            </w:pPr>
            <w:hyperlink r:id="rId196">
              <w:r>
                <w:rPr>
                  <w:rFonts w:ascii="Arial" w:cs="Arial" w:eastAsia="Arial" w:hAnsi="Arial"/>
                  <w:sz w:val="17"/>
                  <w:szCs w:val="17"/>
                  <w:color w:val="auto"/>
                  <w:w w:val="90"/>
                </w:rPr>
                <w:t>Employment Agreement, dated as of February 1, 2021, by and between Microvast, Inc. and Wenjuan Mattis, Ph.D. (incorporated by reference from</w:t>
              </w:r>
            </w:hyperlink>
          </w:p>
        </w:tc>
      </w:tr>
      <w:tr>
        <w:trPr>
          <w:trHeight w:val="168"/>
        </w:trPr>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860" w:type="dxa"/>
            <w:vAlign w:val="bottom"/>
            <w:tcBorders>
              <w:top w:val="single" w:sz="8" w:color="auto"/>
            </w:tcBorders>
            <w:gridSpan w:val="24"/>
            <w:shd w:val="clear" w:color="auto" w:fill="CCEEFF"/>
          </w:tcPr>
          <w:p>
            <w:pPr>
              <w:spacing w:after="0" w:line="168" w:lineRule="exact"/>
              <w:rPr>
                <w:rFonts w:ascii="Arial" w:cs="Arial" w:eastAsia="Arial" w:hAnsi="Arial"/>
                <w:sz w:val="17"/>
                <w:szCs w:val="17"/>
                <w:color w:val="auto"/>
              </w:rPr>
            </w:pPr>
            <w:hyperlink r:id="rId196">
              <w:r>
                <w:rPr>
                  <w:rFonts w:ascii="Arial" w:cs="Arial" w:eastAsia="Arial" w:hAnsi="Arial"/>
                  <w:sz w:val="17"/>
                  <w:szCs w:val="17"/>
                  <w:color w:val="auto"/>
                </w:rPr>
                <w:t>Exhibit 10.4 to the Company’s Current Report on Form 8-K, filed with the SEC on July 28, 2021).</w:t>
              </w:r>
            </w:hyperlink>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r>
      <w:tr>
        <w:trPr>
          <w:trHeight w:val="43"/>
        </w:trPr>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15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1920" w:type="dxa"/>
            <w:vAlign w:val="bottom"/>
            <w:tcBorders>
              <w:top w:val="single" w:sz="8" w:color="auto"/>
            </w:tcBorders>
            <w:shd w:val="clear" w:color="auto" w:fill="CCEEFF"/>
          </w:tcPr>
          <w:p>
            <w:pPr>
              <w:spacing w:after="0"/>
              <w:rPr>
                <w:sz w:val="3"/>
                <w:szCs w:val="3"/>
                <w:color w:val="auto"/>
              </w:rPr>
            </w:pPr>
          </w:p>
        </w:tc>
        <w:tc>
          <w:tcPr>
            <w:tcW w:w="420" w:type="dxa"/>
            <w:vAlign w:val="bottom"/>
            <w:tcBorders>
              <w:top w:val="single" w:sz="8" w:color="auto"/>
            </w:tcBorders>
            <w:shd w:val="clear" w:color="auto" w:fill="CCEEFF"/>
          </w:tcPr>
          <w:p>
            <w:pPr>
              <w:spacing w:after="0"/>
              <w:rPr>
                <w:sz w:val="3"/>
                <w:szCs w:val="3"/>
                <w:color w:val="auto"/>
              </w:rPr>
            </w:pPr>
          </w:p>
        </w:tc>
        <w:tc>
          <w:tcPr>
            <w:tcW w:w="860" w:type="dxa"/>
            <w:vAlign w:val="bottom"/>
            <w:tcBorders>
              <w:top w:val="single" w:sz="8" w:color="auto"/>
            </w:tcBorders>
            <w:shd w:val="clear" w:color="auto" w:fill="CCEEFF"/>
          </w:tcPr>
          <w:p>
            <w:pPr>
              <w:spacing w:after="0"/>
              <w:rPr>
                <w:sz w:val="3"/>
                <w:szCs w:val="3"/>
                <w:color w:val="auto"/>
              </w:rPr>
            </w:pPr>
          </w:p>
        </w:tc>
        <w:tc>
          <w:tcPr>
            <w:tcW w:w="2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right w:val="single" w:sz="8" w:color="CCEEFF"/>
            </w:tcBorders>
            <w:shd w:val="clear" w:color="auto" w:fill="CCEEFF"/>
          </w:tcPr>
          <w:p>
            <w:pPr>
              <w:spacing w:after="0"/>
              <w:rPr>
                <w:sz w:val="3"/>
                <w:szCs w:val="3"/>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10000" w:type="dxa"/>
            <w:vAlign w:val="bottom"/>
            <w:gridSpan w:val="25"/>
          </w:tcPr>
          <w:p>
            <w:pPr>
              <w:spacing w:after="0" w:line="189" w:lineRule="exact"/>
              <w:rPr>
                <w:rFonts w:ascii="Arial" w:cs="Arial" w:eastAsia="Arial" w:hAnsi="Arial"/>
                <w:sz w:val="17"/>
                <w:szCs w:val="17"/>
                <w:color w:val="auto"/>
                <w:w w:val="91"/>
              </w:rPr>
            </w:pPr>
            <w:hyperlink r:id="rId197">
              <w:r>
                <w:rPr>
                  <w:rFonts w:ascii="Arial" w:cs="Arial" w:eastAsia="Arial" w:hAnsi="Arial"/>
                  <w:sz w:val="17"/>
                  <w:szCs w:val="17"/>
                  <w:color w:val="auto"/>
                  <w:w w:val="91"/>
                </w:rPr>
                <w:t>Employment Agreement, dated as of June 1, 2017, by and between Microvast, Inc. and Sascha Rene Kelterborn (incorporated by reference from</w:t>
              </w:r>
            </w:hyperlink>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60" w:type="dxa"/>
            <w:vAlign w:val="bottom"/>
            <w:tcBorders>
              <w:top w:val="single" w:sz="8" w:color="auto"/>
            </w:tcBorders>
            <w:gridSpan w:val="19"/>
          </w:tcPr>
          <w:p>
            <w:pPr>
              <w:spacing w:after="0" w:line="168" w:lineRule="exact"/>
              <w:rPr>
                <w:rFonts w:ascii="Arial" w:cs="Arial" w:eastAsia="Arial" w:hAnsi="Arial"/>
                <w:sz w:val="17"/>
                <w:szCs w:val="17"/>
                <w:color w:val="auto"/>
              </w:rPr>
            </w:pPr>
            <w:hyperlink r:id="rId197">
              <w:r>
                <w:rPr>
                  <w:rFonts w:ascii="Arial" w:cs="Arial" w:eastAsia="Arial" w:hAnsi="Arial"/>
                  <w:sz w:val="17"/>
                  <w:szCs w:val="17"/>
                  <w:color w:val="auto"/>
                </w:rPr>
                <w:t>Exhibit 10.5 to the Company’s Current Report on Form 8-K, filed with the SEC on July 28, 2021).</w:t>
              </w:r>
            </w:hyperlink>
          </w:p>
        </w:tc>
        <w:tc>
          <w:tcPr>
            <w:tcW w:w="340" w:type="dxa"/>
            <w:vAlign w:val="bottom"/>
            <w:gridSpan w:val="6"/>
          </w:tcPr>
          <w:p>
            <w:pPr>
              <w:spacing w:after="0"/>
              <w:rPr>
                <w:sz w:val="14"/>
                <w:szCs w:val="14"/>
                <w:color w:val="auto"/>
              </w:rPr>
            </w:pPr>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10.5</w:t>
            </w:r>
          </w:p>
        </w:tc>
        <w:tc>
          <w:tcPr>
            <w:tcW w:w="100" w:type="dxa"/>
            <w:vAlign w:val="bottom"/>
            <w:tcBorders>
              <w:right w:val="single" w:sz="8" w:color="CCEEFF"/>
            </w:tcBorders>
            <w:shd w:val="clear" w:color="auto" w:fill="CCEEFF"/>
          </w:tcPr>
          <w:p>
            <w:pPr>
              <w:spacing w:after="0"/>
              <w:rPr>
                <w:sz w:val="16"/>
                <w:szCs w:val="16"/>
                <w:color w:val="auto"/>
              </w:rPr>
            </w:pPr>
          </w:p>
        </w:tc>
        <w:tc>
          <w:tcPr>
            <w:tcW w:w="10000" w:type="dxa"/>
            <w:vAlign w:val="bottom"/>
            <w:tcBorders>
              <w:right w:val="single" w:sz="8" w:color="CCEEFF"/>
            </w:tcBorders>
            <w:gridSpan w:val="25"/>
            <w:shd w:val="clear" w:color="auto" w:fill="CCEEFF"/>
          </w:tcPr>
          <w:p>
            <w:pPr>
              <w:spacing w:after="0" w:line="189" w:lineRule="exact"/>
              <w:rPr>
                <w:rFonts w:ascii="Arial" w:cs="Arial" w:eastAsia="Arial" w:hAnsi="Arial"/>
                <w:sz w:val="17"/>
                <w:szCs w:val="17"/>
                <w:color w:val="auto"/>
                <w:w w:val="93"/>
              </w:rPr>
            </w:pPr>
            <w:hyperlink r:id="rId198">
              <w:r>
                <w:rPr>
                  <w:rFonts w:ascii="Arial" w:cs="Arial" w:eastAsia="Arial" w:hAnsi="Arial"/>
                  <w:sz w:val="17"/>
                  <w:szCs w:val="17"/>
                  <w:color w:val="auto"/>
                  <w:w w:val="93"/>
                </w:rPr>
                <w:t>Microvast Holdings, Inc. 2021 Equity Incentive Plan (incorporated by reference from Exhibit 99.1 to the Company’s Registration Statement on</w:t>
              </w:r>
            </w:hyperlink>
          </w:p>
        </w:tc>
      </w:tr>
      <w:tr>
        <w:trPr>
          <w:trHeight w:val="168"/>
        </w:trPr>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580" w:type="dxa"/>
            <w:vAlign w:val="bottom"/>
            <w:tcBorders>
              <w:top w:val="single" w:sz="8" w:color="auto"/>
            </w:tcBorders>
            <w:gridSpan w:val="18"/>
            <w:shd w:val="clear" w:color="auto" w:fill="CCEEFF"/>
          </w:tcPr>
          <w:p>
            <w:pPr>
              <w:spacing w:after="0" w:line="168" w:lineRule="exact"/>
              <w:rPr>
                <w:rFonts w:ascii="Arial" w:cs="Arial" w:eastAsia="Arial" w:hAnsi="Arial"/>
                <w:sz w:val="17"/>
                <w:szCs w:val="17"/>
                <w:color w:val="auto"/>
              </w:rPr>
            </w:pPr>
            <w:hyperlink r:id="rId198">
              <w:r>
                <w:rPr>
                  <w:rFonts w:ascii="Arial" w:cs="Arial" w:eastAsia="Arial" w:hAnsi="Arial"/>
                  <w:sz w:val="17"/>
                  <w:szCs w:val="17"/>
                  <w:color w:val="auto"/>
                </w:rPr>
                <w:t>Form S-8, filed with the SEC on October 1, 2021).</w:t>
              </w:r>
            </w:hyperlink>
          </w:p>
        </w:tc>
        <w:tc>
          <w:tcPr>
            <w:tcW w:w="420" w:type="dxa"/>
            <w:vAlign w:val="bottom"/>
            <w:tcBorders>
              <w:top w:val="single" w:sz="8" w:color="CCEEFF"/>
              <w:right w:val="single" w:sz="8" w:color="CCEEFF"/>
            </w:tcBorders>
            <w:gridSpan w:val="7"/>
            <w:shd w:val="clear" w:color="auto" w:fill="CCEEFF"/>
          </w:tcPr>
          <w:p>
            <w:pPr>
              <w:spacing w:after="0"/>
              <w:rPr>
                <w:sz w:val="14"/>
                <w:szCs w:val="14"/>
                <w:color w:val="auto"/>
              </w:rPr>
            </w:pPr>
          </w:p>
        </w:tc>
      </w:tr>
      <w:tr>
        <w:trPr>
          <w:trHeight w:val="43"/>
        </w:trPr>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320" w:type="dxa"/>
            <w:vAlign w:val="bottom"/>
            <w:tcBorders>
              <w:top w:val="single" w:sz="8" w:color="auto"/>
            </w:tcBorders>
            <w:shd w:val="clear" w:color="auto" w:fill="CCEEFF"/>
          </w:tcPr>
          <w:p>
            <w:pPr>
              <w:spacing w:after="0"/>
              <w:rPr>
                <w:sz w:val="3"/>
                <w:szCs w:val="3"/>
                <w:color w:val="auto"/>
              </w:rPr>
            </w:pPr>
          </w:p>
        </w:tc>
        <w:tc>
          <w:tcPr>
            <w:tcW w:w="20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150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auto"/>
            </w:tcBorders>
            <w:shd w:val="clear" w:color="auto" w:fill="CCEEFF"/>
          </w:tcPr>
          <w:p>
            <w:pPr>
              <w:spacing w:after="0"/>
              <w:rPr>
                <w:sz w:val="3"/>
                <w:szCs w:val="3"/>
                <w:color w:val="auto"/>
              </w:rPr>
            </w:pPr>
          </w:p>
        </w:tc>
        <w:tc>
          <w:tcPr>
            <w:tcW w:w="540" w:type="dxa"/>
            <w:vAlign w:val="bottom"/>
            <w:tcBorders>
              <w:top w:val="single" w:sz="8" w:color="auto"/>
            </w:tcBorders>
            <w:shd w:val="clear" w:color="auto" w:fill="CCEEFF"/>
          </w:tcPr>
          <w:p>
            <w:pPr>
              <w:spacing w:after="0"/>
              <w:rPr>
                <w:sz w:val="3"/>
                <w:szCs w:val="3"/>
                <w:color w:val="auto"/>
              </w:rPr>
            </w:pPr>
          </w:p>
        </w:tc>
        <w:tc>
          <w:tcPr>
            <w:tcW w:w="19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860" w:type="dxa"/>
            <w:vAlign w:val="bottom"/>
            <w:tcBorders>
              <w:top w:val="single" w:sz="8" w:color="CCEEFF"/>
            </w:tcBorders>
            <w:shd w:val="clear" w:color="auto" w:fill="CCEEFF"/>
          </w:tcPr>
          <w:p>
            <w:pPr>
              <w:spacing w:after="0"/>
              <w:rPr>
                <w:sz w:val="3"/>
                <w:szCs w:val="3"/>
                <w:color w:val="auto"/>
              </w:rPr>
            </w:pPr>
          </w:p>
        </w:tc>
        <w:tc>
          <w:tcPr>
            <w:tcW w:w="210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right w:val="single" w:sz="8" w:color="CCEEFF"/>
            </w:tcBorders>
            <w:shd w:val="clear" w:color="auto" w:fill="CCEEFF"/>
          </w:tcPr>
          <w:p>
            <w:pPr>
              <w:spacing w:after="0"/>
              <w:rPr>
                <w:sz w:val="3"/>
                <w:szCs w:val="3"/>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10.6</w:t>
            </w:r>
          </w:p>
        </w:tc>
        <w:tc>
          <w:tcPr>
            <w:tcW w:w="100" w:type="dxa"/>
            <w:vAlign w:val="bottom"/>
          </w:tcPr>
          <w:p>
            <w:pPr>
              <w:spacing w:after="0"/>
              <w:rPr>
                <w:sz w:val="16"/>
                <w:szCs w:val="16"/>
                <w:color w:val="auto"/>
              </w:rPr>
            </w:pPr>
          </w:p>
        </w:tc>
        <w:tc>
          <w:tcPr>
            <w:tcW w:w="10000" w:type="dxa"/>
            <w:vAlign w:val="bottom"/>
            <w:gridSpan w:val="25"/>
          </w:tcPr>
          <w:p>
            <w:pPr>
              <w:spacing w:after="0" w:line="189" w:lineRule="exact"/>
              <w:rPr>
                <w:rFonts w:ascii="Arial" w:cs="Arial" w:eastAsia="Arial" w:hAnsi="Arial"/>
                <w:sz w:val="17"/>
                <w:szCs w:val="17"/>
                <w:color w:val="auto"/>
                <w:w w:val="98"/>
              </w:rPr>
            </w:pPr>
            <w:hyperlink r:id="rId199">
              <w:r>
                <w:rPr>
                  <w:rFonts w:ascii="Arial" w:cs="Arial" w:eastAsia="Arial" w:hAnsi="Arial"/>
                  <w:sz w:val="17"/>
                  <w:szCs w:val="17"/>
                  <w:color w:val="auto"/>
                  <w:w w:val="98"/>
                </w:rPr>
                <w:t>Stock Escrow Agreement, between the Registrant, Continental Stock Transfer &amp; Trust Company and the Company’s Initial Stockholder</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80" w:type="dxa"/>
            <w:vAlign w:val="bottom"/>
            <w:gridSpan w:val="13"/>
            <w:shd w:val="clear" w:color="auto" w:fill="000000"/>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gridSpan w:val="25"/>
          </w:tcPr>
          <w:p>
            <w:pPr>
              <w:spacing w:after="0" w:line="168" w:lineRule="exact"/>
              <w:rPr>
                <w:rFonts w:ascii="Arial" w:cs="Arial" w:eastAsia="Arial" w:hAnsi="Arial"/>
                <w:sz w:val="17"/>
                <w:szCs w:val="17"/>
                <w:color w:val="auto"/>
                <w:w w:val="93"/>
              </w:rPr>
            </w:pPr>
            <w:hyperlink r:id="rId199">
              <w:r>
                <w:rPr>
                  <w:rFonts w:ascii="Arial" w:cs="Arial" w:eastAsia="Arial" w:hAnsi="Arial"/>
                  <w:sz w:val="17"/>
                  <w:szCs w:val="17"/>
                  <w:color w:val="auto"/>
                  <w:w w:val="93"/>
                </w:rPr>
                <w:t>(incorporated by reference from Exhibit 10.6 to the Company’s Registration Statement on S-1, filed with the Company on February 26, 2019).</w:t>
              </w:r>
            </w:hyperlink>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8"/>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10.7</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700" w:type="dxa"/>
            <w:vAlign w:val="bottom"/>
            <w:tcBorders>
              <w:bottom w:val="single" w:sz="8" w:color="auto"/>
            </w:tcBorders>
            <w:gridSpan w:val="20"/>
            <w:shd w:val="clear" w:color="auto" w:fill="CCEEFF"/>
          </w:tcPr>
          <w:p>
            <w:pPr>
              <w:spacing w:after="0" w:line="189" w:lineRule="exact"/>
              <w:rPr>
                <w:rFonts w:ascii="Arial" w:cs="Arial" w:eastAsia="Arial" w:hAnsi="Arial"/>
                <w:sz w:val="17"/>
                <w:szCs w:val="17"/>
                <w:color w:val="auto"/>
                <w:w w:val="89"/>
              </w:rPr>
            </w:pPr>
            <w:hyperlink r:id="rId200">
              <w:r>
                <w:rPr>
                  <w:rFonts w:ascii="Arial" w:cs="Arial" w:eastAsia="Arial" w:hAnsi="Arial"/>
                  <w:sz w:val="17"/>
                  <w:szCs w:val="17"/>
                  <w:color w:val="auto"/>
                  <w:w w:val="89"/>
                </w:rPr>
                <w:t>Amendment No. 1 to Stock Escrow Agreement, between the Registrant, Continental Stock Transfer &amp; Trust Company and the Company’s Initial</w:t>
              </w:r>
            </w:hyperlink>
          </w:p>
        </w:tc>
        <w:tc>
          <w:tcPr>
            <w:tcW w:w="300" w:type="dxa"/>
            <w:vAlign w:val="bottom"/>
            <w:tcBorders>
              <w:bottom w:val="single" w:sz="8" w:color="CCEEFF"/>
              <w:right w:val="single" w:sz="8" w:color="CCEEFF"/>
            </w:tcBorders>
            <w:gridSpan w:val="5"/>
            <w:shd w:val="clear" w:color="auto" w:fill="CCEEFF"/>
          </w:tcPr>
          <w:p>
            <w:pPr>
              <w:spacing w:after="0"/>
              <w:rPr>
                <w:sz w:val="16"/>
                <w:szCs w:val="16"/>
                <w:color w:val="auto"/>
              </w:rPr>
            </w:pPr>
          </w:p>
        </w:tc>
      </w:tr>
      <w:tr>
        <w:trPr>
          <w:trHeight w:val="211"/>
        </w:trPr>
        <w:tc>
          <w:tcPr>
            <w:tcW w:w="11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00" w:type="dxa"/>
            <w:vAlign w:val="bottom"/>
            <w:tcBorders>
              <w:right w:val="single" w:sz="8" w:color="CCEEFF"/>
            </w:tcBorders>
            <w:gridSpan w:val="25"/>
            <w:shd w:val="clear" w:color="auto" w:fill="CCEEFF"/>
          </w:tcPr>
          <w:p>
            <w:pPr>
              <w:spacing w:after="0" w:line="168" w:lineRule="exact"/>
              <w:rPr>
                <w:rFonts w:ascii="Arial" w:cs="Arial" w:eastAsia="Arial" w:hAnsi="Arial"/>
                <w:sz w:val="17"/>
                <w:szCs w:val="17"/>
                <w:color w:val="auto"/>
                <w:w w:val="92"/>
              </w:rPr>
            </w:pPr>
            <w:hyperlink r:id="rId200">
              <w:r>
                <w:rPr>
                  <w:rFonts w:ascii="Arial" w:cs="Arial" w:eastAsia="Arial" w:hAnsi="Arial"/>
                  <w:sz w:val="17"/>
                  <w:szCs w:val="17"/>
                  <w:color w:val="auto"/>
                  <w:w w:val="92"/>
                </w:rPr>
                <w:t>Stockholder (incorporated by reference from Exhibit 10.13 to the Company’s Current Report on Form 8-K, filed with the SEC on July 28, 2021).</w:t>
              </w:r>
            </w:hyperlink>
          </w:p>
        </w:tc>
      </w:tr>
      <w:tr>
        <w:trPr>
          <w:trHeight w:val="841"/>
        </w:trPr>
        <w:tc>
          <w:tcPr>
            <w:tcW w:w="1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300" w:type="dxa"/>
            <w:vAlign w:val="bottom"/>
            <w:tcBorders>
              <w:top w:val="single" w:sz="8" w:color="auto"/>
            </w:tcBorders>
            <w:gridSpan w:val="8"/>
          </w:tcPr>
          <w:p>
            <w:pPr>
              <w:ind w:left="4300"/>
              <w:spacing w:after="0"/>
              <w:rPr>
                <w:sz w:val="20"/>
                <w:szCs w:val="20"/>
                <w:color w:val="auto"/>
              </w:rPr>
            </w:pPr>
            <w:r>
              <w:rPr>
                <w:rFonts w:ascii="Arial" w:cs="Arial" w:eastAsia="Arial" w:hAnsi="Arial"/>
                <w:sz w:val="17"/>
                <w:szCs w:val="17"/>
                <w:color w:val="auto"/>
              </w:rPr>
              <w:t>95</w:t>
            </w: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106"/>
        </w:trPr>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7121525</wp:posOffset>
            </wp:positionH>
            <wp:positionV relativeFrom="paragraph">
              <wp:posOffset>-27940</wp:posOffset>
            </wp:positionV>
            <wp:extent cx="3365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65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4" w:name="page145"/>
    <w:bookmarkEnd w:id="14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40" w:type="dxa"/>
            <w:vAlign w:val="bottom"/>
            <w:gridSpan w:val="2"/>
          </w:tcPr>
          <w:p>
            <w:pPr>
              <w:ind w:left="20"/>
              <w:spacing w:after="0"/>
              <w:rPr>
                <w:sz w:val="20"/>
                <w:szCs w:val="20"/>
                <w:color w:val="auto"/>
              </w:rPr>
            </w:pPr>
            <w:r>
              <w:rPr>
                <w:rFonts w:ascii="Arial" w:cs="Arial" w:eastAsia="Arial" w:hAnsi="Arial"/>
                <w:sz w:val="17"/>
                <w:szCs w:val="17"/>
                <w:b w:val="1"/>
                <w:bCs w:val="1"/>
                <w:color w:val="auto"/>
              </w:rPr>
              <w:t>Exhibit</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6"/>
        </w:trPr>
        <w:tc>
          <w:tcPr>
            <w:tcW w:w="1240" w:type="dxa"/>
            <w:vAlign w:val="bottom"/>
            <w:gridSpan w:val="2"/>
          </w:tcPr>
          <w:p>
            <w:pPr>
              <w:ind w:left="20"/>
              <w:spacing w:after="0"/>
              <w:rPr>
                <w:sz w:val="20"/>
                <w:szCs w:val="20"/>
                <w:color w:val="auto"/>
              </w:rPr>
            </w:pPr>
            <w:r>
              <w:rPr>
                <w:rFonts w:ascii="Arial" w:cs="Arial" w:eastAsia="Arial" w:hAnsi="Arial"/>
                <w:sz w:val="17"/>
                <w:szCs w:val="17"/>
                <w:b w:val="1"/>
                <w:bCs w:val="1"/>
                <w:color w:val="auto"/>
              </w:rPr>
              <w:t>Number</w:t>
            </w: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60" w:type="dxa"/>
            <w:vAlign w:val="bottom"/>
            <w:gridSpan w:val="12"/>
          </w:tcPr>
          <w:p>
            <w:pPr>
              <w:ind w:left="440"/>
              <w:spacing w:after="0"/>
              <w:rPr>
                <w:sz w:val="20"/>
                <w:szCs w:val="20"/>
                <w:color w:val="auto"/>
              </w:rPr>
            </w:pPr>
            <w:r>
              <w:rPr>
                <w:rFonts w:ascii="Arial" w:cs="Arial" w:eastAsia="Arial" w:hAnsi="Arial"/>
                <w:sz w:val="17"/>
                <w:szCs w:val="17"/>
                <w:b w:val="1"/>
                <w:bCs w:val="1"/>
                <w:color w:val="auto"/>
              </w:rPr>
              <w:t>Description</w:t>
            </w:r>
          </w:p>
        </w:tc>
      </w:tr>
      <w:tr>
        <w:trPr>
          <w:trHeight w:val="187"/>
        </w:trPr>
        <w:tc>
          <w:tcPr>
            <w:tcW w:w="1140" w:type="dxa"/>
            <w:vAlign w:val="bottom"/>
            <w:tcBorders>
              <w:top w:val="single" w:sz="8" w:color="auto"/>
            </w:tcBorders>
          </w:tcPr>
          <w:p>
            <w:pPr>
              <w:ind w:left="20"/>
              <w:spacing w:after="0" w:line="187" w:lineRule="exact"/>
              <w:rPr>
                <w:sz w:val="20"/>
                <w:szCs w:val="20"/>
                <w:color w:val="auto"/>
              </w:rPr>
            </w:pPr>
            <w:r>
              <w:rPr>
                <w:rFonts w:ascii="Arial" w:cs="Arial" w:eastAsia="Arial" w:hAnsi="Arial"/>
                <w:sz w:val="17"/>
                <w:szCs w:val="17"/>
                <w:color w:val="auto"/>
              </w:rPr>
              <w:t>10.8</w:t>
            </w:r>
          </w:p>
        </w:tc>
        <w:tc>
          <w:tcPr>
            <w:tcW w:w="100" w:type="dxa"/>
            <w:vAlign w:val="bottom"/>
          </w:tcPr>
          <w:p>
            <w:pPr>
              <w:spacing w:after="0"/>
              <w:rPr>
                <w:sz w:val="16"/>
                <w:szCs w:val="16"/>
                <w:color w:val="auto"/>
              </w:rPr>
            </w:pPr>
          </w:p>
        </w:tc>
        <w:tc>
          <w:tcPr>
            <w:tcW w:w="9700" w:type="dxa"/>
            <w:vAlign w:val="bottom"/>
            <w:tcBorders>
              <w:top w:val="single" w:sz="8" w:color="auto"/>
              <w:bottom w:val="single" w:sz="8" w:color="auto"/>
            </w:tcBorders>
            <w:gridSpan w:val="15"/>
          </w:tcPr>
          <w:p>
            <w:pPr>
              <w:spacing w:after="0" w:line="187" w:lineRule="exact"/>
              <w:rPr>
                <w:rFonts w:ascii="Arial" w:cs="Arial" w:eastAsia="Arial" w:hAnsi="Arial"/>
                <w:sz w:val="17"/>
                <w:szCs w:val="17"/>
                <w:color w:val="auto"/>
                <w:w w:val="89"/>
              </w:rPr>
            </w:pPr>
            <w:hyperlink r:id="rId203">
              <w:r>
                <w:rPr>
                  <w:rFonts w:ascii="Arial" w:cs="Arial" w:eastAsia="Arial" w:hAnsi="Arial"/>
                  <w:sz w:val="17"/>
                  <w:szCs w:val="17"/>
                  <w:color w:val="auto"/>
                  <w:w w:val="89"/>
                </w:rPr>
                <w:t>Form of Performance Stock Unit Award Agreement (incorporated by reference from Exhibit 99.1 to the Company’s Current Report on Form 8-K,</w:t>
              </w:r>
            </w:hyperlink>
          </w:p>
        </w:tc>
        <w:tc>
          <w:tcPr>
            <w:tcW w:w="300" w:type="dxa"/>
            <w:vAlign w:val="bottom"/>
            <w:tcBorders>
              <w:top w:val="single" w:sz="8" w:color="auto"/>
            </w:tcBorders>
            <w:gridSpan w:val="6"/>
          </w:tcPr>
          <w:p>
            <w:pPr>
              <w:spacing w:after="0"/>
              <w:rPr>
                <w:sz w:val="16"/>
                <w:szCs w:val="16"/>
                <w:color w:val="auto"/>
              </w:rPr>
            </w:pPr>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gridSpan w:val="21"/>
          </w:tcPr>
          <w:p>
            <w:pPr>
              <w:spacing w:after="0" w:line="168" w:lineRule="exact"/>
              <w:rPr>
                <w:rFonts w:ascii="Arial" w:cs="Arial" w:eastAsia="Arial" w:hAnsi="Arial"/>
                <w:sz w:val="17"/>
                <w:szCs w:val="17"/>
                <w:color w:val="auto"/>
              </w:rPr>
            </w:pPr>
            <w:hyperlink r:id="rId203">
              <w:r>
                <w:rPr>
                  <w:rFonts w:ascii="Arial" w:cs="Arial" w:eastAsia="Arial" w:hAnsi="Arial"/>
                  <w:sz w:val="17"/>
                  <w:szCs w:val="17"/>
                  <w:color w:val="auto"/>
                </w:rPr>
                <w:t>filed with the SEC on August 31, 2021).</w:t>
              </w:r>
            </w:hyperlink>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8"/>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10.9</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840" w:type="dxa"/>
            <w:vAlign w:val="bottom"/>
            <w:tcBorders>
              <w:bottom w:val="single" w:sz="8" w:color="auto"/>
            </w:tcBorders>
            <w:gridSpan w:val="17"/>
            <w:shd w:val="clear" w:color="auto" w:fill="CCEEFF"/>
          </w:tcPr>
          <w:p>
            <w:pPr>
              <w:spacing w:after="0" w:line="189" w:lineRule="exact"/>
              <w:rPr>
                <w:rFonts w:ascii="Arial" w:cs="Arial" w:eastAsia="Arial" w:hAnsi="Arial"/>
                <w:sz w:val="17"/>
                <w:szCs w:val="17"/>
                <w:color w:val="auto"/>
                <w:w w:val="90"/>
              </w:rPr>
            </w:pPr>
            <w:hyperlink r:id="rId204">
              <w:r>
                <w:rPr>
                  <w:rFonts w:ascii="Arial" w:cs="Arial" w:eastAsia="Arial" w:hAnsi="Arial"/>
                  <w:sz w:val="17"/>
                  <w:szCs w:val="17"/>
                  <w:color w:val="auto"/>
                  <w:w w:val="90"/>
                </w:rPr>
                <w:t>Form of Restricted Stock Unit Award Agreement (Performance Condition) (incorporated by reference from Exhibit 99.2 to the Company’s Current</w:t>
              </w:r>
            </w:hyperlink>
          </w:p>
        </w:tc>
        <w:tc>
          <w:tcPr>
            <w:tcW w:w="160" w:type="dxa"/>
            <w:vAlign w:val="bottom"/>
            <w:tcBorders>
              <w:bottom w:val="single" w:sz="8" w:color="CCEEFF"/>
            </w:tcBorders>
            <w:gridSpan w:val="4"/>
            <w:shd w:val="clear" w:color="auto" w:fill="CCEEFF"/>
          </w:tcPr>
          <w:p>
            <w:pPr>
              <w:spacing w:after="0"/>
              <w:rPr>
                <w:sz w:val="16"/>
                <w:szCs w:val="16"/>
                <w:color w:val="auto"/>
              </w:rPr>
            </w:pPr>
          </w:p>
        </w:tc>
      </w:tr>
      <w:tr>
        <w:trPr>
          <w:trHeight w:val="168"/>
        </w:trPr>
        <w:tc>
          <w:tcPr>
            <w:tcW w:w="1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1"/>
            <w:shd w:val="clear" w:color="auto" w:fill="CCEEFF"/>
          </w:tcPr>
          <w:p>
            <w:pPr>
              <w:spacing w:after="0" w:line="168" w:lineRule="exact"/>
              <w:rPr>
                <w:rFonts w:ascii="Arial" w:cs="Arial" w:eastAsia="Arial" w:hAnsi="Arial"/>
                <w:sz w:val="17"/>
                <w:szCs w:val="17"/>
                <w:color w:val="auto"/>
              </w:rPr>
            </w:pPr>
            <w:hyperlink r:id="rId204">
              <w:r>
                <w:rPr>
                  <w:rFonts w:ascii="Arial" w:cs="Arial" w:eastAsia="Arial" w:hAnsi="Arial"/>
                  <w:sz w:val="17"/>
                  <w:szCs w:val="17"/>
                  <w:color w:val="auto"/>
                </w:rPr>
                <w:t>Report on Form 8-K, filed with the SEC on August 31, 2021).</w:t>
              </w:r>
            </w:hyperlink>
          </w:p>
        </w:tc>
      </w:tr>
      <w:tr>
        <w:trPr>
          <w:trHeight w:val="43"/>
        </w:trPr>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142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42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780" w:type="dxa"/>
            <w:vAlign w:val="bottom"/>
            <w:tcBorders>
              <w:top w:val="single" w:sz="8" w:color="auto"/>
            </w:tcBorders>
            <w:shd w:val="clear" w:color="auto" w:fill="CCEEFF"/>
          </w:tcPr>
          <w:p>
            <w:pPr>
              <w:spacing w:after="0"/>
              <w:rPr>
                <w:sz w:val="3"/>
                <w:szCs w:val="3"/>
                <w:color w:val="auto"/>
              </w:rPr>
            </w:pPr>
          </w:p>
        </w:tc>
        <w:tc>
          <w:tcPr>
            <w:tcW w:w="660" w:type="dxa"/>
            <w:vAlign w:val="bottom"/>
            <w:tcBorders>
              <w:top w:val="single" w:sz="8" w:color="auto"/>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60" w:type="dxa"/>
            <w:vAlign w:val="bottom"/>
            <w:tcBorders>
              <w:top w:val="single" w:sz="8" w:color="CCEEFF"/>
              <w:right w:val="single" w:sz="8" w:color="CCEEFF"/>
            </w:tcBorders>
            <w:shd w:val="clear" w:color="auto" w:fill="CCEEFF"/>
          </w:tcPr>
          <w:p>
            <w:pPr>
              <w:spacing w:after="0"/>
              <w:rPr>
                <w:sz w:val="3"/>
                <w:szCs w:val="3"/>
                <w:color w:val="auto"/>
              </w:rPr>
            </w:pPr>
          </w:p>
        </w:tc>
        <w:tc>
          <w:tcPr>
            <w:tcW w:w="120" w:type="dxa"/>
            <w:vAlign w:val="bottom"/>
            <w:tcBorders>
              <w:top w:val="single" w:sz="8" w:color="CCEEFF"/>
              <w:lef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10.10</w:t>
            </w:r>
          </w:p>
        </w:tc>
        <w:tc>
          <w:tcPr>
            <w:tcW w:w="100" w:type="dxa"/>
            <w:vAlign w:val="bottom"/>
          </w:tcPr>
          <w:p>
            <w:pPr>
              <w:spacing w:after="0"/>
              <w:rPr>
                <w:sz w:val="16"/>
                <w:szCs w:val="16"/>
                <w:color w:val="auto"/>
              </w:rPr>
            </w:pPr>
          </w:p>
        </w:tc>
        <w:tc>
          <w:tcPr>
            <w:tcW w:w="9840" w:type="dxa"/>
            <w:vAlign w:val="bottom"/>
            <w:tcBorders>
              <w:bottom w:val="single" w:sz="8" w:color="auto"/>
            </w:tcBorders>
            <w:gridSpan w:val="17"/>
          </w:tcPr>
          <w:p>
            <w:pPr>
              <w:spacing w:after="0" w:line="189" w:lineRule="exact"/>
              <w:rPr>
                <w:rFonts w:ascii="Arial" w:cs="Arial" w:eastAsia="Arial" w:hAnsi="Arial"/>
                <w:sz w:val="17"/>
                <w:szCs w:val="17"/>
                <w:color w:val="auto"/>
                <w:w w:val="90"/>
              </w:rPr>
            </w:pPr>
            <w:hyperlink r:id="rId205">
              <w:r>
                <w:rPr>
                  <w:rFonts w:ascii="Arial" w:cs="Arial" w:eastAsia="Arial" w:hAnsi="Arial"/>
                  <w:sz w:val="17"/>
                  <w:szCs w:val="17"/>
                  <w:color w:val="auto"/>
                  <w:w w:val="90"/>
                </w:rPr>
                <w:t>Form of Restricted Stock Unit Award Agreement (without Performance Condition) (incorporated by reference from Exhibit 99.3 to the Company’s</w:t>
              </w:r>
            </w:hyperlink>
          </w:p>
        </w:tc>
        <w:tc>
          <w:tcPr>
            <w:tcW w:w="160" w:type="dxa"/>
            <w:vAlign w:val="bottom"/>
            <w:gridSpan w:val="4"/>
          </w:tcPr>
          <w:p>
            <w:pPr>
              <w:spacing w:after="0"/>
              <w:rPr>
                <w:sz w:val="16"/>
                <w:szCs w:val="16"/>
                <w:color w:val="auto"/>
              </w:rPr>
            </w:pPr>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gridSpan w:val="21"/>
          </w:tcPr>
          <w:p>
            <w:pPr>
              <w:spacing w:after="0" w:line="168" w:lineRule="exact"/>
              <w:rPr>
                <w:rFonts w:ascii="Arial" w:cs="Arial" w:eastAsia="Arial" w:hAnsi="Arial"/>
                <w:sz w:val="17"/>
                <w:szCs w:val="17"/>
                <w:color w:val="auto"/>
              </w:rPr>
            </w:pPr>
            <w:hyperlink r:id="rId205">
              <w:r>
                <w:rPr>
                  <w:rFonts w:ascii="Arial" w:cs="Arial" w:eastAsia="Arial" w:hAnsi="Arial"/>
                  <w:sz w:val="17"/>
                  <w:szCs w:val="17"/>
                  <w:color w:val="auto"/>
                </w:rPr>
                <w:t>Current Report on Form 8-K, filed with the SEC on August 31, 2021).</w:t>
              </w:r>
            </w:hyperlink>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8"/>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10.11</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700" w:type="dxa"/>
            <w:vAlign w:val="bottom"/>
            <w:tcBorders>
              <w:bottom w:val="single" w:sz="8" w:color="auto"/>
              <w:right w:val="single" w:sz="8" w:color="CCEEFF"/>
            </w:tcBorders>
            <w:gridSpan w:val="15"/>
            <w:shd w:val="clear" w:color="auto" w:fill="CCEEFF"/>
          </w:tcPr>
          <w:p>
            <w:pPr>
              <w:spacing w:after="0" w:line="189" w:lineRule="exact"/>
              <w:rPr>
                <w:rFonts w:ascii="Arial" w:cs="Arial" w:eastAsia="Arial" w:hAnsi="Arial"/>
                <w:sz w:val="17"/>
                <w:szCs w:val="17"/>
                <w:color w:val="auto"/>
                <w:w w:val="90"/>
              </w:rPr>
            </w:pPr>
            <w:hyperlink r:id="rId206">
              <w:r>
                <w:rPr>
                  <w:rFonts w:ascii="Arial" w:cs="Arial" w:eastAsia="Arial" w:hAnsi="Arial"/>
                  <w:sz w:val="17"/>
                  <w:szCs w:val="17"/>
                  <w:color w:val="auto"/>
                  <w:w w:val="90"/>
                </w:rPr>
                <w:t>Form of Restricted Stock Unit Award Agreement (Directors) (incorporated by reference from Exhibit 10.15 to the Company's Annual Report on</w:t>
              </w:r>
            </w:hyperlink>
          </w:p>
        </w:tc>
        <w:tc>
          <w:tcPr>
            <w:tcW w:w="300" w:type="dxa"/>
            <w:vAlign w:val="bottom"/>
            <w:tcBorders>
              <w:left w:val="single" w:sz="8" w:color="CCEEFF"/>
              <w:bottom w:val="single" w:sz="8" w:color="CCEEFF"/>
            </w:tcBorders>
            <w:gridSpan w:val="6"/>
            <w:shd w:val="clear" w:color="auto" w:fill="CCEEFF"/>
          </w:tcPr>
          <w:p>
            <w:pPr>
              <w:spacing w:after="0"/>
              <w:rPr>
                <w:sz w:val="16"/>
                <w:szCs w:val="16"/>
                <w:color w:val="auto"/>
              </w:rPr>
            </w:pPr>
          </w:p>
        </w:tc>
      </w:tr>
      <w:tr>
        <w:trPr>
          <w:trHeight w:val="211"/>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3480" w:type="dxa"/>
            <w:vAlign w:val="bottom"/>
            <w:tcBorders>
              <w:bottom w:val="single" w:sz="8" w:color="auto"/>
            </w:tcBorders>
            <w:gridSpan w:val="8"/>
            <w:shd w:val="clear" w:color="auto" w:fill="CCEEFF"/>
          </w:tcPr>
          <w:p>
            <w:pPr>
              <w:spacing w:after="0" w:line="168" w:lineRule="exact"/>
              <w:rPr>
                <w:rFonts w:ascii="Arial" w:cs="Arial" w:eastAsia="Arial" w:hAnsi="Arial"/>
                <w:sz w:val="17"/>
                <w:szCs w:val="17"/>
                <w:color w:val="auto"/>
                <w:w w:val="90"/>
              </w:rPr>
            </w:pPr>
            <w:hyperlink r:id="rId206">
              <w:r>
                <w:rPr>
                  <w:rFonts w:ascii="Arial" w:cs="Arial" w:eastAsia="Arial" w:hAnsi="Arial"/>
                  <w:sz w:val="17"/>
                  <w:szCs w:val="17"/>
                  <w:color w:val="auto"/>
                  <w:w w:val="90"/>
                </w:rPr>
                <w:t>Form 10-K, filed with the SEC on March 29, 2022).</w:t>
              </w:r>
            </w:hyperlink>
          </w:p>
        </w:tc>
        <w:tc>
          <w:tcPr>
            <w:tcW w:w="6520" w:type="dxa"/>
            <w:vAlign w:val="bottom"/>
            <w:tcBorders>
              <w:bottom w:val="single" w:sz="8" w:color="CCEEFF"/>
            </w:tcBorders>
            <w:gridSpan w:val="13"/>
            <w:shd w:val="clear" w:color="auto" w:fill="CCEEFF"/>
          </w:tcPr>
          <w:p>
            <w:pPr>
              <w:spacing w:after="0"/>
              <w:rPr>
                <w:sz w:val="18"/>
                <w:szCs w:val="18"/>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10.12</w:t>
            </w:r>
          </w:p>
        </w:tc>
        <w:tc>
          <w:tcPr>
            <w:tcW w:w="100" w:type="dxa"/>
            <w:vAlign w:val="bottom"/>
          </w:tcPr>
          <w:p>
            <w:pPr>
              <w:spacing w:after="0"/>
              <w:rPr>
                <w:sz w:val="16"/>
                <w:szCs w:val="16"/>
                <w:color w:val="auto"/>
              </w:rPr>
            </w:pPr>
          </w:p>
        </w:tc>
        <w:tc>
          <w:tcPr>
            <w:tcW w:w="10000" w:type="dxa"/>
            <w:vAlign w:val="bottom"/>
            <w:gridSpan w:val="21"/>
          </w:tcPr>
          <w:p>
            <w:pPr>
              <w:spacing w:after="0" w:line="189" w:lineRule="exact"/>
              <w:rPr>
                <w:rFonts w:ascii="Arial" w:cs="Arial" w:eastAsia="Arial" w:hAnsi="Arial"/>
                <w:sz w:val="17"/>
                <w:szCs w:val="17"/>
                <w:color w:val="auto"/>
                <w:w w:val="92"/>
              </w:rPr>
            </w:pPr>
            <w:hyperlink r:id="rId207">
              <w:r>
                <w:rPr>
                  <w:rFonts w:ascii="Arial" w:cs="Arial" w:eastAsia="Arial" w:hAnsi="Arial"/>
                  <w:sz w:val="17"/>
                  <w:szCs w:val="17"/>
                  <w:color w:val="auto"/>
                  <w:w w:val="92"/>
                </w:rPr>
                <w:t>Employment Agreement, dated as of March 29, 2022, by and between Microvast, Inc. and Shane Smith (incorporated by reference from Exhibit</w:t>
              </w:r>
            </w:hyperlink>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700" w:type="dxa"/>
            <w:vAlign w:val="bottom"/>
            <w:tcBorders>
              <w:top w:val="single" w:sz="8" w:color="auto"/>
            </w:tcBorders>
            <w:gridSpan w:val="15"/>
          </w:tcPr>
          <w:p>
            <w:pPr>
              <w:spacing w:after="0" w:line="168" w:lineRule="exact"/>
              <w:rPr>
                <w:rFonts w:ascii="Arial" w:cs="Arial" w:eastAsia="Arial" w:hAnsi="Arial"/>
                <w:sz w:val="17"/>
                <w:szCs w:val="17"/>
                <w:color w:val="auto"/>
              </w:rPr>
            </w:pPr>
            <w:hyperlink r:id="rId207">
              <w:r>
                <w:rPr>
                  <w:rFonts w:ascii="Arial" w:cs="Arial" w:eastAsia="Arial" w:hAnsi="Arial"/>
                  <w:sz w:val="17"/>
                  <w:szCs w:val="17"/>
                  <w:color w:val="auto"/>
                </w:rPr>
                <w:t>10.</w:t>
              </w:r>
              <w:r>
                <w:rPr>
                  <w:rFonts w:ascii="Arial" w:cs="Arial" w:eastAsia="Arial" w:hAnsi="Arial"/>
                  <w:sz w:val="17"/>
                  <w:szCs w:val="17"/>
                  <w:u w:val="single" w:color="auto"/>
                  <w:color w:val="auto"/>
                </w:rPr>
                <w:t>16</w:t>
              </w:r>
              <w:r>
                <w:rPr>
                  <w:rFonts w:ascii="Arial" w:cs="Arial" w:eastAsia="Arial" w:hAnsi="Arial"/>
                  <w:sz w:val="17"/>
                  <w:szCs w:val="17"/>
                  <w:color w:val="auto"/>
                </w:rPr>
                <w:t xml:space="preserve"> to the Company's Annual Report on Form 10-K, filed with the SEC on March 29, 2022).</w:t>
              </w:r>
            </w:hyperlink>
          </w:p>
        </w:tc>
        <w:tc>
          <w:tcPr>
            <w:tcW w:w="300" w:type="dxa"/>
            <w:vAlign w:val="bottom"/>
            <w:gridSpan w:val="6"/>
          </w:tcPr>
          <w:p>
            <w:pPr>
              <w:spacing w:after="0"/>
              <w:rPr>
                <w:sz w:val="14"/>
                <w:szCs w:val="14"/>
                <w:color w:val="auto"/>
              </w:rPr>
            </w:pPr>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10.13</w:t>
            </w:r>
          </w:p>
        </w:tc>
        <w:tc>
          <w:tcPr>
            <w:tcW w:w="100" w:type="dxa"/>
            <w:vAlign w:val="bottom"/>
            <w:tcBorders>
              <w:right w:val="single" w:sz="8" w:color="CCEEFF"/>
            </w:tcBorders>
            <w:shd w:val="clear" w:color="auto" w:fill="CCEEFF"/>
          </w:tcPr>
          <w:p>
            <w:pPr>
              <w:spacing w:after="0"/>
              <w:rPr>
                <w:sz w:val="16"/>
                <w:szCs w:val="16"/>
                <w:color w:val="auto"/>
              </w:rPr>
            </w:pPr>
          </w:p>
        </w:tc>
        <w:tc>
          <w:tcPr>
            <w:tcW w:w="10000" w:type="dxa"/>
            <w:vAlign w:val="bottom"/>
            <w:gridSpan w:val="21"/>
            <w:shd w:val="clear" w:color="auto" w:fill="CCEEFF"/>
          </w:tcPr>
          <w:p>
            <w:pPr>
              <w:spacing w:after="0" w:line="189" w:lineRule="exact"/>
              <w:rPr>
                <w:rFonts w:ascii="Arial" w:cs="Arial" w:eastAsia="Arial" w:hAnsi="Arial"/>
                <w:sz w:val="17"/>
                <w:szCs w:val="17"/>
                <w:color w:val="auto"/>
                <w:w w:val="90"/>
              </w:rPr>
            </w:pPr>
            <w:hyperlink r:id="rId208">
              <w:r>
                <w:rPr>
                  <w:rFonts w:ascii="Arial" w:cs="Arial" w:eastAsia="Arial" w:hAnsi="Arial"/>
                  <w:sz w:val="17"/>
                  <w:szCs w:val="17"/>
                  <w:color w:val="auto"/>
                  <w:w w:val="90"/>
                </w:rPr>
                <w:t>Transition Services Agreement, dated April 14, 2022, by and between Microvast, Inc. and Yanzhuan (Leon) Zheng (incorporated by reference from</w:t>
              </w:r>
            </w:hyperlink>
          </w:p>
        </w:tc>
      </w:tr>
      <w:tr>
        <w:trPr>
          <w:trHeight w:val="168"/>
        </w:trPr>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860" w:type="dxa"/>
            <w:vAlign w:val="bottom"/>
            <w:tcBorders>
              <w:top w:val="single" w:sz="8" w:color="auto"/>
            </w:tcBorders>
            <w:gridSpan w:val="18"/>
            <w:shd w:val="clear" w:color="auto" w:fill="CCEEFF"/>
          </w:tcPr>
          <w:p>
            <w:pPr>
              <w:spacing w:after="0" w:line="168" w:lineRule="exact"/>
              <w:rPr>
                <w:rFonts w:ascii="Arial" w:cs="Arial" w:eastAsia="Arial" w:hAnsi="Arial"/>
                <w:sz w:val="17"/>
                <w:szCs w:val="17"/>
                <w:color w:val="auto"/>
              </w:rPr>
            </w:pPr>
            <w:hyperlink r:id="rId208">
              <w:r>
                <w:rPr>
                  <w:rFonts w:ascii="Arial" w:cs="Arial" w:eastAsia="Arial" w:hAnsi="Arial"/>
                  <w:sz w:val="17"/>
                  <w:szCs w:val="17"/>
                  <w:color w:val="auto"/>
                </w:rPr>
                <w:t>Exhibit 10.1 to the Company's Current Report on Form 8-K, filed with the SEC on April 19, 2022).</w:t>
              </w:r>
            </w:hyperlink>
          </w:p>
        </w:tc>
        <w:tc>
          <w:tcPr>
            <w:tcW w:w="140" w:type="dxa"/>
            <w:vAlign w:val="bottom"/>
            <w:tcBorders>
              <w:top w:val="single" w:sz="8" w:color="CCEEFF"/>
            </w:tcBorders>
            <w:gridSpan w:val="3"/>
            <w:shd w:val="clear" w:color="auto" w:fill="CCEEFF"/>
          </w:tcPr>
          <w:p>
            <w:pPr>
              <w:spacing w:after="0"/>
              <w:rPr>
                <w:sz w:val="14"/>
                <w:szCs w:val="14"/>
                <w:color w:val="auto"/>
              </w:rPr>
            </w:pPr>
          </w:p>
        </w:tc>
      </w:tr>
      <w:tr>
        <w:trPr>
          <w:trHeight w:val="43"/>
        </w:trPr>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142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42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780" w:type="dxa"/>
            <w:vAlign w:val="bottom"/>
            <w:tcBorders>
              <w:top w:val="single" w:sz="8" w:color="auto"/>
            </w:tcBorders>
            <w:shd w:val="clear" w:color="auto" w:fill="CCEEFF"/>
          </w:tcPr>
          <w:p>
            <w:pPr>
              <w:spacing w:after="0"/>
              <w:rPr>
                <w:sz w:val="3"/>
                <w:szCs w:val="3"/>
                <w:color w:val="auto"/>
              </w:rPr>
            </w:pPr>
          </w:p>
        </w:tc>
        <w:tc>
          <w:tcPr>
            <w:tcW w:w="660" w:type="dxa"/>
            <w:vAlign w:val="bottom"/>
            <w:tcBorders>
              <w:top w:val="single" w:sz="8" w:color="auto"/>
            </w:tcBorders>
            <w:shd w:val="clear" w:color="auto" w:fill="CCEEFF"/>
          </w:tcPr>
          <w:p>
            <w:pPr>
              <w:spacing w:after="0"/>
              <w:rPr>
                <w:sz w:val="3"/>
                <w:szCs w:val="3"/>
                <w:color w:val="auto"/>
              </w:rPr>
            </w:pPr>
          </w:p>
        </w:tc>
        <w:tc>
          <w:tcPr>
            <w:tcW w:w="56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3060" w:type="dxa"/>
            <w:vAlign w:val="bottom"/>
            <w:tcBorders>
              <w:top w:val="single" w:sz="8" w:color="CCEEFF"/>
              <w:right w:val="single" w:sz="8" w:color="CCEEFF"/>
            </w:tcBorders>
            <w:shd w:val="clear" w:color="auto" w:fill="CCEEFF"/>
          </w:tcPr>
          <w:p>
            <w:pPr>
              <w:spacing w:after="0"/>
              <w:rPr>
                <w:sz w:val="3"/>
                <w:szCs w:val="3"/>
                <w:color w:val="auto"/>
              </w:rPr>
            </w:pPr>
          </w:p>
        </w:tc>
        <w:tc>
          <w:tcPr>
            <w:tcW w:w="120" w:type="dxa"/>
            <w:vAlign w:val="bottom"/>
            <w:tcBorders>
              <w:top w:val="single" w:sz="8" w:color="CCEEFF"/>
              <w:lef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10.14</w:t>
            </w:r>
          </w:p>
        </w:tc>
        <w:tc>
          <w:tcPr>
            <w:tcW w:w="100" w:type="dxa"/>
            <w:vAlign w:val="bottom"/>
          </w:tcPr>
          <w:p>
            <w:pPr>
              <w:spacing w:after="0"/>
              <w:rPr>
                <w:sz w:val="16"/>
                <w:szCs w:val="16"/>
                <w:color w:val="auto"/>
              </w:rPr>
            </w:pPr>
          </w:p>
        </w:tc>
        <w:tc>
          <w:tcPr>
            <w:tcW w:w="9820" w:type="dxa"/>
            <w:vAlign w:val="bottom"/>
            <w:tcBorders>
              <w:bottom w:val="single" w:sz="8" w:color="auto"/>
            </w:tcBorders>
            <w:gridSpan w:val="16"/>
          </w:tcPr>
          <w:p>
            <w:pPr>
              <w:spacing w:after="0" w:line="189" w:lineRule="exact"/>
              <w:rPr>
                <w:rFonts w:ascii="Arial" w:cs="Arial" w:eastAsia="Arial" w:hAnsi="Arial"/>
                <w:sz w:val="17"/>
                <w:szCs w:val="17"/>
                <w:color w:val="auto"/>
                <w:w w:val="89"/>
              </w:rPr>
            </w:pPr>
            <w:hyperlink r:id="rId209">
              <w:r>
                <w:rPr>
                  <w:rFonts w:ascii="Arial" w:cs="Arial" w:eastAsia="Arial" w:hAnsi="Arial"/>
                  <w:sz w:val="17"/>
                  <w:szCs w:val="17"/>
                  <w:color w:val="auto"/>
                  <w:w w:val="89"/>
                </w:rPr>
                <w:t>Employment Agreement, dated April 14, 2022, by and between Microvast, Inc. and Craig Webster (incorporated by reference from Exhibit 10.2 to</w:t>
              </w:r>
            </w:hyperlink>
          </w:p>
        </w:tc>
        <w:tc>
          <w:tcPr>
            <w:tcW w:w="180" w:type="dxa"/>
            <w:vAlign w:val="bottom"/>
            <w:gridSpan w:val="5"/>
          </w:tcPr>
          <w:p>
            <w:pPr>
              <w:spacing w:after="0"/>
              <w:rPr>
                <w:sz w:val="16"/>
                <w:szCs w:val="16"/>
                <w:color w:val="auto"/>
              </w:rPr>
            </w:pPr>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gridSpan w:val="21"/>
          </w:tcPr>
          <w:p>
            <w:pPr>
              <w:spacing w:after="0" w:line="168" w:lineRule="exact"/>
              <w:rPr>
                <w:rFonts w:ascii="Arial" w:cs="Arial" w:eastAsia="Arial" w:hAnsi="Arial"/>
                <w:sz w:val="17"/>
                <w:szCs w:val="17"/>
                <w:color w:val="auto"/>
              </w:rPr>
            </w:pPr>
            <w:hyperlink r:id="rId209">
              <w:r>
                <w:rPr>
                  <w:rFonts w:ascii="Arial" w:cs="Arial" w:eastAsia="Arial" w:hAnsi="Arial"/>
                  <w:sz w:val="17"/>
                  <w:szCs w:val="17"/>
                  <w:color w:val="auto"/>
                </w:rPr>
                <w:t>the Company's Current Report on Form 8-K, filed with the SEC on April 19, 2022).</w:t>
              </w:r>
            </w:hyperlink>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8"/>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10.15</w:t>
            </w:r>
          </w:p>
        </w:tc>
        <w:tc>
          <w:tcPr>
            <w:tcW w:w="100" w:type="dxa"/>
            <w:vAlign w:val="bottom"/>
            <w:tcBorders>
              <w:right w:val="single" w:sz="8" w:color="CCEEFF"/>
            </w:tcBorders>
            <w:shd w:val="clear" w:color="auto" w:fill="CCEEFF"/>
          </w:tcPr>
          <w:p>
            <w:pPr>
              <w:spacing w:after="0"/>
              <w:rPr>
                <w:sz w:val="16"/>
                <w:szCs w:val="16"/>
                <w:color w:val="auto"/>
              </w:rPr>
            </w:pPr>
          </w:p>
        </w:tc>
        <w:tc>
          <w:tcPr>
            <w:tcW w:w="10000" w:type="dxa"/>
            <w:vAlign w:val="bottom"/>
            <w:gridSpan w:val="21"/>
            <w:shd w:val="clear" w:color="auto" w:fill="CCEEFF"/>
          </w:tcPr>
          <w:p>
            <w:pPr>
              <w:spacing w:after="0" w:line="189" w:lineRule="exact"/>
              <w:rPr>
                <w:rFonts w:ascii="Arial" w:cs="Arial" w:eastAsia="Arial" w:hAnsi="Arial"/>
                <w:sz w:val="17"/>
                <w:szCs w:val="17"/>
                <w:color w:val="auto"/>
                <w:w w:val="92"/>
              </w:rPr>
            </w:pPr>
            <w:hyperlink r:id="rId210">
              <w:r>
                <w:rPr>
                  <w:rFonts w:ascii="Arial" w:cs="Arial" w:eastAsia="Arial" w:hAnsi="Arial"/>
                  <w:sz w:val="17"/>
                  <w:szCs w:val="17"/>
                  <w:color w:val="auto"/>
                  <w:w w:val="92"/>
                </w:rPr>
                <w:t>Letter Agreement, dated April 14, 2022, by and between Microvast Holdings, Inc. and Sascha Rene Kelterborn (incorporated by reference from</w:t>
              </w:r>
            </w:hyperlink>
          </w:p>
        </w:tc>
      </w:tr>
      <w:tr>
        <w:trPr>
          <w:trHeight w:val="168"/>
        </w:trPr>
        <w:tc>
          <w:tcPr>
            <w:tcW w:w="1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shd w:val="clear" w:color="auto" w:fill="CCEEFF"/>
          </w:tcPr>
          <w:p>
            <w:pPr>
              <w:spacing w:after="0"/>
              <w:rPr>
                <w:sz w:val="14"/>
                <w:szCs w:val="14"/>
                <w:color w:val="auto"/>
              </w:rPr>
            </w:pPr>
          </w:p>
        </w:tc>
        <w:tc>
          <w:tcPr>
            <w:tcW w:w="9700" w:type="dxa"/>
            <w:vAlign w:val="bottom"/>
            <w:tcBorders>
              <w:top w:val="single" w:sz="8" w:color="auto"/>
              <w:right w:val="single" w:sz="8" w:color="CCEEFF"/>
            </w:tcBorders>
            <w:gridSpan w:val="15"/>
            <w:shd w:val="clear" w:color="auto" w:fill="CCEEFF"/>
          </w:tcPr>
          <w:p>
            <w:pPr>
              <w:spacing w:after="0" w:line="168" w:lineRule="exact"/>
              <w:rPr>
                <w:rFonts w:ascii="Arial" w:cs="Arial" w:eastAsia="Arial" w:hAnsi="Arial"/>
                <w:sz w:val="17"/>
                <w:szCs w:val="17"/>
                <w:color w:val="auto"/>
              </w:rPr>
            </w:pPr>
            <w:hyperlink r:id="rId210">
              <w:r>
                <w:rPr>
                  <w:rFonts w:ascii="Arial" w:cs="Arial" w:eastAsia="Arial" w:hAnsi="Arial"/>
                  <w:sz w:val="17"/>
                  <w:szCs w:val="17"/>
                  <w:color w:val="auto"/>
                </w:rPr>
                <w:t>Exhibit 10.3 to the Company's Current Report on Form 8-K, filed with the SEC on April 19, 2022).</w:t>
              </w:r>
            </w:hyperlink>
          </w:p>
        </w:tc>
        <w:tc>
          <w:tcPr>
            <w:tcW w:w="300" w:type="dxa"/>
            <w:vAlign w:val="bottom"/>
            <w:tcBorders>
              <w:top w:val="single" w:sz="8" w:color="CCEEFF"/>
              <w:left w:val="single" w:sz="8" w:color="CCEEFF"/>
            </w:tcBorders>
            <w:gridSpan w:val="6"/>
            <w:shd w:val="clear" w:color="auto" w:fill="CCEEFF"/>
          </w:tcPr>
          <w:p>
            <w:pPr>
              <w:spacing w:after="0"/>
              <w:rPr>
                <w:sz w:val="14"/>
                <w:szCs w:val="14"/>
                <w:color w:val="auto"/>
              </w:rPr>
            </w:pPr>
          </w:p>
        </w:tc>
      </w:tr>
      <w:tr>
        <w:trPr>
          <w:trHeight w:val="43"/>
        </w:trPr>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142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42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780" w:type="dxa"/>
            <w:vAlign w:val="bottom"/>
            <w:tcBorders>
              <w:top w:val="single" w:sz="8" w:color="auto"/>
            </w:tcBorders>
            <w:shd w:val="clear" w:color="auto" w:fill="CCEEFF"/>
          </w:tcPr>
          <w:p>
            <w:pPr>
              <w:spacing w:after="0"/>
              <w:rPr>
                <w:sz w:val="3"/>
                <w:szCs w:val="3"/>
                <w:color w:val="auto"/>
              </w:rPr>
            </w:pPr>
          </w:p>
        </w:tc>
        <w:tc>
          <w:tcPr>
            <w:tcW w:w="660" w:type="dxa"/>
            <w:vAlign w:val="bottom"/>
            <w:tcBorders>
              <w:top w:val="single" w:sz="8" w:color="auto"/>
            </w:tcBorders>
            <w:shd w:val="clear" w:color="auto" w:fill="CCEEFF"/>
          </w:tcPr>
          <w:p>
            <w:pPr>
              <w:spacing w:after="0"/>
              <w:rPr>
                <w:sz w:val="3"/>
                <w:szCs w:val="3"/>
                <w:color w:val="auto"/>
              </w:rPr>
            </w:pPr>
          </w:p>
        </w:tc>
        <w:tc>
          <w:tcPr>
            <w:tcW w:w="560" w:type="dxa"/>
            <w:vAlign w:val="bottom"/>
            <w:tcBorders>
              <w:top w:val="single" w:sz="8" w:color="auto"/>
            </w:tcBorders>
            <w:shd w:val="clear" w:color="auto" w:fill="CCEEFF"/>
          </w:tcPr>
          <w:p>
            <w:pPr>
              <w:spacing w:after="0"/>
              <w:rPr>
                <w:sz w:val="3"/>
                <w:szCs w:val="3"/>
                <w:color w:val="auto"/>
              </w:rPr>
            </w:pPr>
          </w:p>
        </w:tc>
        <w:tc>
          <w:tcPr>
            <w:tcW w:w="1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740" w:type="dxa"/>
            <w:vAlign w:val="bottom"/>
            <w:tcBorders>
              <w:top w:val="single" w:sz="8" w:color="auto"/>
            </w:tcBorders>
            <w:shd w:val="clear" w:color="auto" w:fill="CCEEFF"/>
          </w:tcPr>
          <w:p>
            <w:pPr>
              <w:spacing w:after="0"/>
              <w:rPr>
                <w:sz w:val="3"/>
                <w:szCs w:val="3"/>
                <w:color w:val="auto"/>
              </w:rPr>
            </w:pPr>
          </w:p>
        </w:tc>
        <w:tc>
          <w:tcPr>
            <w:tcW w:w="300" w:type="dxa"/>
            <w:vAlign w:val="bottom"/>
            <w:tcBorders>
              <w:top w:val="single" w:sz="8" w:color="auto"/>
            </w:tcBorders>
            <w:shd w:val="clear" w:color="auto" w:fill="CCEEFF"/>
          </w:tcPr>
          <w:p>
            <w:pPr>
              <w:spacing w:after="0"/>
              <w:rPr>
                <w:sz w:val="3"/>
                <w:szCs w:val="3"/>
                <w:color w:val="auto"/>
              </w:rPr>
            </w:pPr>
          </w:p>
        </w:tc>
        <w:tc>
          <w:tcPr>
            <w:tcW w:w="3060" w:type="dxa"/>
            <w:vAlign w:val="bottom"/>
            <w:tcBorders>
              <w:top w:val="single" w:sz="8" w:color="CCEEFF"/>
              <w:right w:val="single" w:sz="8" w:color="CCEEFF"/>
            </w:tcBorders>
            <w:shd w:val="clear" w:color="auto" w:fill="CCEEFF"/>
          </w:tcPr>
          <w:p>
            <w:pPr>
              <w:spacing w:after="0"/>
              <w:rPr>
                <w:sz w:val="3"/>
                <w:szCs w:val="3"/>
                <w:color w:val="auto"/>
              </w:rPr>
            </w:pPr>
          </w:p>
        </w:tc>
        <w:tc>
          <w:tcPr>
            <w:tcW w:w="120" w:type="dxa"/>
            <w:vAlign w:val="bottom"/>
            <w:tcBorders>
              <w:top w:val="single" w:sz="8" w:color="CCEEFF"/>
              <w:lef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10.16</w:t>
            </w:r>
          </w:p>
        </w:tc>
        <w:tc>
          <w:tcPr>
            <w:tcW w:w="100" w:type="dxa"/>
            <w:vAlign w:val="bottom"/>
          </w:tcPr>
          <w:p>
            <w:pPr>
              <w:spacing w:after="0"/>
              <w:rPr>
                <w:sz w:val="16"/>
                <w:szCs w:val="16"/>
                <w:color w:val="auto"/>
              </w:rPr>
            </w:pPr>
          </w:p>
        </w:tc>
        <w:tc>
          <w:tcPr>
            <w:tcW w:w="10000" w:type="dxa"/>
            <w:vAlign w:val="bottom"/>
            <w:gridSpan w:val="21"/>
          </w:tcPr>
          <w:p>
            <w:pPr>
              <w:spacing w:after="0" w:line="189" w:lineRule="exact"/>
              <w:rPr>
                <w:rFonts w:ascii="Arial" w:cs="Arial" w:eastAsia="Arial" w:hAnsi="Arial"/>
                <w:sz w:val="17"/>
                <w:szCs w:val="17"/>
                <w:color w:val="auto"/>
                <w:w w:val="91"/>
              </w:rPr>
            </w:pPr>
            <w:hyperlink r:id="rId211">
              <w:r>
                <w:rPr>
                  <w:rFonts w:ascii="Arial" w:cs="Arial" w:eastAsia="Arial" w:hAnsi="Arial"/>
                  <w:sz w:val="17"/>
                  <w:szCs w:val="17"/>
                  <w:color w:val="auto"/>
                  <w:w w:val="91"/>
                </w:rPr>
                <w:t>Form of Stock Option Award Agreement (incorporated by reference from Exhibit 10.3 to the Company's Quarterly Report on Form 10-Q, filed with</w:t>
              </w:r>
            </w:hyperlink>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00" w:type="dxa"/>
            <w:vAlign w:val="bottom"/>
            <w:tcBorders>
              <w:top w:val="single" w:sz="8" w:color="auto"/>
            </w:tcBorders>
            <w:gridSpan w:val="19"/>
          </w:tcPr>
          <w:p>
            <w:pPr>
              <w:spacing w:after="0" w:line="168" w:lineRule="exact"/>
              <w:rPr>
                <w:rFonts w:ascii="Arial" w:cs="Arial" w:eastAsia="Arial" w:hAnsi="Arial"/>
                <w:sz w:val="17"/>
                <w:szCs w:val="17"/>
                <w:color w:val="auto"/>
              </w:rPr>
            </w:pPr>
            <w:hyperlink r:id="rId211">
              <w:r>
                <w:rPr>
                  <w:rFonts w:ascii="Arial" w:cs="Arial" w:eastAsia="Arial" w:hAnsi="Arial"/>
                  <w:sz w:val="17"/>
                  <w:szCs w:val="17"/>
                  <w:color w:val="auto"/>
                </w:rPr>
                <w:t>the SEC on May 16, 2022).</w:t>
              </w:r>
            </w:hyperlink>
          </w:p>
        </w:tc>
        <w:tc>
          <w:tcPr>
            <w:tcW w:w="100" w:type="dxa"/>
            <w:vAlign w:val="bottom"/>
            <w:gridSpan w:val="2"/>
          </w:tcPr>
          <w:p>
            <w:pPr>
              <w:spacing w:after="0"/>
              <w:rPr>
                <w:sz w:val="14"/>
                <w:szCs w:val="14"/>
                <w:color w:val="auto"/>
              </w:rPr>
            </w:pPr>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8"/>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10.17</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700" w:type="dxa"/>
            <w:vAlign w:val="bottom"/>
            <w:tcBorders>
              <w:bottom w:val="single" w:sz="8" w:color="auto"/>
              <w:right w:val="single" w:sz="8" w:color="CCEEFF"/>
            </w:tcBorders>
            <w:gridSpan w:val="15"/>
            <w:shd w:val="clear" w:color="auto" w:fill="CCEEFF"/>
          </w:tcPr>
          <w:p>
            <w:pPr>
              <w:spacing w:after="0" w:line="189" w:lineRule="exact"/>
              <w:rPr>
                <w:rFonts w:ascii="Arial" w:cs="Arial" w:eastAsia="Arial" w:hAnsi="Arial"/>
                <w:sz w:val="17"/>
                <w:szCs w:val="17"/>
                <w:color w:val="auto"/>
                <w:w w:val="89"/>
              </w:rPr>
            </w:pPr>
            <w:hyperlink r:id="rId212">
              <w:r>
                <w:rPr>
                  <w:rFonts w:ascii="Arial" w:cs="Arial" w:eastAsia="Arial" w:hAnsi="Arial"/>
                  <w:sz w:val="17"/>
                  <w:szCs w:val="17"/>
                  <w:color w:val="auto"/>
                  <w:w w:val="89"/>
                </w:rPr>
                <w:t>English Translation of Syndicated Loan Agreement, dated September 27, 2022, by and among Microvast Power Systems Co., Ltd. and Lenders</w:t>
              </w:r>
            </w:hyperlink>
          </w:p>
        </w:tc>
        <w:tc>
          <w:tcPr>
            <w:tcW w:w="300" w:type="dxa"/>
            <w:vAlign w:val="bottom"/>
            <w:tcBorders>
              <w:left w:val="single" w:sz="8" w:color="CCEEFF"/>
              <w:bottom w:val="single" w:sz="8" w:color="CCEEFF"/>
            </w:tcBorders>
            <w:gridSpan w:val="6"/>
            <w:shd w:val="clear" w:color="auto" w:fill="CCEEFF"/>
          </w:tcPr>
          <w:p>
            <w:pPr>
              <w:spacing w:after="0"/>
              <w:rPr>
                <w:sz w:val="16"/>
                <w:szCs w:val="16"/>
                <w:color w:val="auto"/>
              </w:rPr>
            </w:pPr>
          </w:p>
        </w:tc>
      </w:tr>
      <w:tr>
        <w:trPr>
          <w:trHeight w:val="168"/>
        </w:trPr>
        <w:tc>
          <w:tcPr>
            <w:tcW w:w="1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1"/>
            <w:shd w:val="clear" w:color="auto" w:fill="CCEEFF"/>
          </w:tcPr>
          <w:p>
            <w:pPr>
              <w:spacing w:after="0" w:line="168" w:lineRule="exact"/>
              <w:rPr>
                <w:rFonts w:ascii="Arial" w:cs="Arial" w:eastAsia="Arial" w:hAnsi="Arial"/>
                <w:sz w:val="17"/>
                <w:szCs w:val="17"/>
                <w:color w:val="auto"/>
                <w:w w:val="93"/>
              </w:rPr>
            </w:pPr>
            <w:hyperlink r:id="rId212">
              <w:r>
                <w:rPr>
                  <w:rFonts w:ascii="Arial" w:cs="Arial" w:eastAsia="Arial" w:hAnsi="Arial"/>
                  <w:sz w:val="17"/>
                  <w:szCs w:val="17"/>
                  <w:color w:val="auto"/>
                  <w:w w:val="93"/>
                </w:rPr>
                <w:t>listed thereto (incorporated by reference from Exhibit 10.1 to the Company's Current Report on Form 8-K, filed with the SEC on September 29,</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81"/>
        </w:trPr>
        <w:tc>
          <w:tcPr>
            <w:tcW w:w="114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840" w:type="dxa"/>
            <w:vAlign w:val="bottom"/>
            <w:gridSpan w:val="3"/>
            <w:shd w:val="clear" w:color="auto" w:fill="CCEEFF"/>
          </w:tcPr>
          <w:p>
            <w:pPr>
              <w:spacing w:after="0" w:line="181" w:lineRule="exact"/>
              <w:rPr>
                <w:rFonts w:ascii="Arial" w:cs="Arial" w:eastAsia="Arial" w:hAnsi="Arial"/>
                <w:sz w:val="17"/>
                <w:szCs w:val="17"/>
                <w:color w:val="auto"/>
              </w:rPr>
            </w:pPr>
            <w:hyperlink r:id="rId212">
              <w:r>
                <w:rPr>
                  <w:rFonts w:ascii="Arial" w:cs="Arial" w:eastAsia="Arial" w:hAnsi="Arial"/>
                  <w:sz w:val="17"/>
                  <w:szCs w:val="17"/>
                  <w:color w:val="auto"/>
                </w:rPr>
                <w:t>2022).</w:t>
              </w:r>
            </w:hyperlink>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60" w:type="dxa"/>
            <w:vAlign w:val="bottom"/>
            <w:tcBorders>
              <w:right w:val="single" w:sz="8" w:color="CCEEFF"/>
            </w:tcBorders>
            <w:shd w:val="clear" w:color="auto" w:fill="CCEEFF"/>
          </w:tcPr>
          <w:p>
            <w:pPr>
              <w:spacing w:after="0"/>
              <w:rPr>
                <w:sz w:val="15"/>
                <w:szCs w:val="15"/>
                <w:color w:val="auto"/>
              </w:rPr>
            </w:pPr>
          </w:p>
        </w:tc>
        <w:tc>
          <w:tcPr>
            <w:tcW w:w="120" w:type="dxa"/>
            <w:vAlign w:val="bottom"/>
            <w:tcBorders>
              <w:left w:val="single" w:sz="8" w:color="CCEEFF"/>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30"/>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306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21.1*</w:t>
            </w:r>
          </w:p>
        </w:tc>
        <w:tc>
          <w:tcPr>
            <w:tcW w:w="100" w:type="dxa"/>
            <w:vAlign w:val="bottom"/>
          </w:tcPr>
          <w:p>
            <w:pPr>
              <w:spacing w:after="0"/>
              <w:rPr>
                <w:sz w:val="16"/>
                <w:szCs w:val="16"/>
                <w:color w:val="auto"/>
              </w:rPr>
            </w:pPr>
          </w:p>
        </w:tc>
        <w:tc>
          <w:tcPr>
            <w:tcW w:w="10000" w:type="dxa"/>
            <w:vAlign w:val="bottom"/>
            <w:gridSpan w:val="21"/>
          </w:tcPr>
          <w:p>
            <w:pPr>
              <w:spacing w:after="0" w:line="189" w:lineRule="exact"/>
              <w:rPr>
                <w:sz w:val="20"/>
                <w:szCs w:val="20"/>
                <w:color w:val="auto"/>
              </w:rPr>
            </w:pPr>
            <w:r>
              <w:rPr>
                <w:rFonts w:ascii="Arial" w:cs="Arial" w:eastAsia="Arial" w:hAnsi="Arial"/>
                <w:sz w:val="17"/>
                <w:szCs w:val="17"/>
                <w:color w:val="auto"/>
              </w:rPr>
              <w:t>Subsidiaries of the Registrant.</w:t>
            </w:r>
          </w:p>
        </w:tc>
      </w:tr>
      <w:tr>
        <w:trPr>
          <w:trHeight w:val="30"/>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8"/>
        </w:trPr>
        <w:tc>
          <w:tcPr>
            <w:tcW w:w="11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23.1*</w:t>
            </w:r>
          </w:p>
        </w:tc>
        <w:tc>
          <w:tcPr>
            <w:tcW w:w="100" w:type="dxa"/>
            <w:vAlign w:val="bottom"/>
            <w:tcBorders>
              <w:right w:val="single" w:sz="8" w:color="CCEEFF"/>
            </w:tcBorders>
            <w:shd w:val="clear" w:color="auto" w:fill="CCEEFF"/>
          </w:tcPr>
          <w:p>
            <w:pPr>
              <w:spacing w:after="0"/>
              <w:rPr>
                <w:sz w:val="19"/>
                <w:szCs w:val="19"/>
                <w:color w:val="auto"/>
              </w:rPr>
            </w:pPr>
          </w:p>
        </w:tc>
        <w:tc>
          <w:tcPr>
            <w:tcW w:w="10000" w:type="dxa"/>
            <w:vAlign w:val="bottom"/>
            <w:gridSpan w:val="21"/>
            <w:shd w:val="clear" w:color="auto" w:fill="CCEEFF"/>
          </w:tcPr>
          <w:p>
            <w:pPr>
              <w:spacing w:after="0" w:line="189" w:lineRule="exact"/>
              <w:rPr>
                <w:sz w:val="20"/>
                <w:szCs w:val="20"/>
                <w:color w:val="auto"/>
              </w:rPr>
            </w:pPr>
            <w:r>
              <w:rPr>
                <w:rFonts w:ascii="Arial" w:cs="Arial" w:eastAsia="Arial" w:hAnsi="Arial"/>
                <w:sz w:val="17"/>
                <w:szCs w:val="17"/>
                <w:color w:val="auto"/>
              </w:rPr>
              <w:t>Consent of Deloitte Touche Tohmatsu Certified Public Accountants LLP.</w:t>
            </w:r>
          </w:p>
        </w:tc>
      </w:tr>
      <w:tr>
        <w:trPr>
          <w:trHeight w:val="232"/>
        </w:trPr>
        <w:tc>
          <w:tcPr>
            <w:tcW w:w="114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24*</w:t>
            </w:r>
          </w:p>
        </w:tc>
        <w:tc>
          <w:tcPr>
            <w:tcW w:w="100" w:type="dxa"/>
            <w:vAlign w:val="bottom"/>
            <w:tcBorders>
              <w:top w:val="single" w:sz="8" w:color="CCEEFF"/>
            </w:tcBorders>
          </w:tcPr>
          <w:p>
            <w:pPr>
              <w:spacing w:after="0"/>
              <w:rPr>
                <w:sz w:val="20"/>
                <w:szCs w:val="20"/>
                <w:color w:val="auto"/>
              </w:rPr>
            </w:pPr>
          </w:p>
        </w:tc>
        <w:tc>
          <w:tcPr>
            <w:tcW w:w="4880" w:type="dxa"/>
            <w:vAlign w:val="bottom"/>
            <w:tcBorders>
              <w:top w:val="single" w:sz="8" w:color="auto"/>
            </w:tcBorders>
            <w:gridSpan w:val="11"/>
          </w:tcPr>
          <w:p>
            <w:pPr>
              <w:spacing w:after="0"/>
              <w:rPr>
                <w:sz w:val="20"/>
                <w:szCs w:val="20"/>
                <w:color w:val="auto"/>
              </w:rPr>
            </w:pPr>
            <w:r>
              <w:rPr>
                <w:rFonts w:ascii="Arial" w:cs="Arial" w:eastAsia="Arial" w:hAnsi="Arial"/>
                <w:sz w:val="17"/>
                <w:szCs w:val="17"/>
                <w:color w:val="auto"/>
              </w:rPr>
              <w:t>Power of Attorney</w:t>
            </w:r>
          </w:p>
        </w:tc>
        <w:tc>
          <w:tcPr>
            <w:tcW w:w="5120" w:type="dxa"/>
            <w:vAlign w:val="bottom"/>
            <w:tcBorders>
              <w:top w:val="single" w:sz="8" w:color="CCEEFF"/>
            </w:tcBorders>
            <w:gridSpan w:val="10"/>
          </w:tcPr>
          <w:p>
            <w:pPr>
              <w:spacing w:after="0"/>
              <w:rPr>
                <w:sz w:val="20"/>
                <w:szCs w:val="20"/>
                <w:color w:val="auto"/>
              </w:rPr>
            </w:pPr>
          </w:p>
        </w:tc>
      </w:tr>
      <w:tr>
        <w:trPr>
          <w:trHeight w:val="195"/>
        </w:trPr>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31.1*</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700" w:type="dxa"/>
            <w:vAlign w:val="bottom"/>
            <w:tcBorders>
              <w:bottom w:val="single" w:sz="8" w:color="auto"/>
              <w:right w:val="single" w:sz="8" w:color="CCEEFF"/>
            </w:tcBorders>
            <w:gridSpan w:val="15"/>
            <w:shd w:val="clear" w:color="auto" w:fill="CCEEFF"/>
          </w:tcPr>
          <w:p>
            <w:pPr>
              <w:spacing w:after="0"/>
              <w:rPr>
                <w:sz w:val="20"/>
                <w:szCs w:val="20"/>
                <w:color w:val="auto"/>
              </w:rPr>
            </w:pPr>
            <w:r>
              <w:rPr>
                <w:rFonts w:ascii="Arial" w:cs="Arial" w:eastAsia="Arial" w:hAnsi="Arial"/>
                <w:sz w:val="17"/>
                <w:szCs w:val="17"/>
                <w:color w:val="auto"/>
                <w:w w:val="88"/>
              </w:rPr>
              <w:t>Certification of Principal Executive Officer Pursuant to Securities Exchange Act Rules 13a-14(a) and 15(d)-14(a), as adopted Pursuant to Section</w:t>
            </w:r>
          </w:p>
        </w:tc>
        <w:tc>
          <w:tcPr>
            <w:tcW w:w="300" w:type="dxa"/>
            <w:vAlign w:val="bottom"/>
            <w:tcBorders>
              <w:left w:val="single" w:sz="8" w:color="CCEEFF"/>
              <w:bottom w:val="single" w:sz="8" w:color="CCEEFF"/>
            </w:tcBorders>
            <w:gridSpan w:val="6"/>
            <w:shd w:val="clear" w:color="auto" w:fill="CCEEFF"/>
          </w:tcPr>
          <w:p>
            <w:pPr>
              <w:spacing w:after="0"/>
              <w:rPr>
                <w:sz w:val="16"/>
                <w:szCs w:val="16"/>
                <w:color w:val="auto"/>
              </w:rPr>
            </w:pPr>
          </w:p>
        </w:tc>
      </w:tr>
      <w:tr>
        <w:trPr>
          <w:trHeight w:val="168"/>
        </w:trPr>
        <w:tc>
          <w:tcPr>
            <w:tcW w:w="1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00" w:type="dxa"/>
            <w:vAlign w:val="bottom"/>
            <w:gridSpan w:val="21"/>
            <w:shd w:val="clear" w:color="auto" w:fill="CCEEFF"/>
          </w:tcPr>
          <w:p>
            <w:pPr>
              <w:spacing w:after="0" w:line="168" w:lineRule="exact"/>
              <w:rPr>
                <w:sz w:val="20"/>
                <w:szCs w:val="20"/>
                <w:color w:val="auto"/>
              </w:rPr>
            </w:pPr>
            <w:r>
              <w:rPr>
                <w:rFonts w:ascii="Arial" w:cs="Arial" w:eastAsia="Arial" w:hAnsi="Arial"/>
                <w:sz w:val="17"/>
                <w:szCs w:val="17"/>
                <w:color w:val="auto"/>
              </w:rPr>
              <w:t>302 of the Sarbanes-Oxley Act of 2002.</w:t>
            </w:r>
          </w:p>
        </w:tc>
      </w:tr>
      <w:tr>
        <w:trPr>
          <w:trHeight w:val="43"/>
        </w:trPr>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auto"/>
            </w:tcBorders>
            <w:shd w:val="clear" w:color="auto" w:fill="CCEEFF"/>
          </w:tcPr>
          <w:p>
            <w:pPr>
              <w:spacing w:after="0"/>
              <w:rPr>
                <w:sz w:val="3"/>
                <w:szCs w:val="3"/>
                <w:color w:val="auto"/>
              </w:rPr>
            </w:pPr>
          </w:p>
        </w:tc>
        <w:tc>
          <w:tcPr>
            <w:tcW w:w="1420" w:type="dxa"/>
            <w:vAlign w:val="bottom"/>
            <w:tcBorders>
              <w:top w:val="single" w:sz="8" w:color="auto"/>
            </w:tcBorders>
            <w:shd w:val="clear" w:color="auto" w:fill="CCEEFF"/>
          </w:tcPr>
          <w:p>
            <w:pPr>
              <w:spacing w:after="0"/>
              <w:rPr>
                <w:sz w:val="3"/>
                <w:szCs w:val="3"/>
                <w:color w:val="auto"/>
              </w:rPr>
            </w:pPr>
          </w:p>
        </w:tc>
        <w:tc>
          <w:tcPr>
            <w:tcW w:w="120" w:type="dxa"/>
            <w:vAlign w:val="bottom"/>
            <w:tcBorders>
              <w:top w:val="single" w:sz="8" w:color="auto"/>
            </w:tcBorders>
            <w:shd w:val="clear" w:color="auto" w:fill="CCEEFF"/>
          </w:tcPr>
          <w:p>
            <w:pPr>
              <w:spacing w:after="0"/>
              <w:rPr>
                <w:sz w:val="3"/>
                <w:szCs w:val="3"/>
                <w:color w:val="auto"/>
              </w:rPr>
            </w:pPr>
          </w:p>
        </w:tc>
        <w:tc>
          <w:tcPr>
            <w:tcW w:w="420" w:type="dxa"/>
            <w:vAlign w:val="bottom"/>
            <w:tcBorders>
              <w:top w:val="single" w:sz="8" w:color="auto"/>
            </w:tcBorders>
            <w:shd w:val="clear" w:color="auto" w:fill="CCEEFF"/>
          </w:tcPr>
          <w:p>
            <w:pPr>
              <w:spacing w:after="0"/>
              <w:rPr>
                <w:sz w:val="3"/>
                <w:szCs w:val="3"/>
                <w:color w:val="auto"/>
              </w:rPr>
            </w:pPr>
          </w:p>
        </w:tc>
        <w:tc>
          <w:tcPr>
            <w:tcW w:w="2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60" w:type="dxa"/>
            <w:vAlign w:val="bottom"/>
            <w:tcBorders>
              <w:top w:val="single" w:sz="8" w:color="CCEEFF"/>
              <w:right w:val="single" w:sz="8" w:color="CCEEFF"/>
            </w:tcBorders>
            <w:shd w:val="clear" w:color="auto" w:fill="CCEEFF"/>
          </w:tcPr>
          <w:p>
            <w:pPr>
              <w:spacing w:after="0"/>
              <w:rPr>
                <w:sz w:val="3"/>
                <w:szCs w:val="3"/>
                <w:color w:val="auto"/>
              </w:rPr>
            </w:pPr>
          </w:p>
        </w:tc>
        <w:tc>
          <w:tcPr>
            <w:tcW w:w="120" w:type="dxa"/>
            <w:vAlign w:val="bottom"/>
            <w:tcBorders>
              <w:top w:val="single" w:sz="8" w:color="CCEEFF"/>
              <w:lef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31.2*</w:t>
            </w:r>
          </w:p>
        </w:tc>
        <w:tc>
          <w:tcPr>
            <w:tcW w:w="100" w:type="dxa"/>
            <w:vAlign w:val="bottom"/>
          </w:tcPr>
          <w:p>
            <w:pPr>
              <w:spacing w:after="0"/>
              <w:rPr>
                <w:sz w:val="16"/>
                <w:szCs w:val="16"/>
                <w:color w:val="auto"/>
              </w:rPr>
            </w:pPr>
          </w:p>
        </w:tc>
        <w:tc>
          <w:tcPr>
            <w:tcW w:w="10000" w:type="dxa"/>
            <w:vAlign w:val="bottom"/>
            <w:gridSpan w:val="21"/>
          </w:tcPr>
          <w:p>
            <w:pPr>
              <w:spacing w:after="0" w:line="189" w:lineRule="exact"/>
              <w:rPr>
                <w:sz w:val="20"/>
                <w:szCs w:val="20"/>
                <w:color w:val="auto"/>
              </w:rPr>
            </w:pPr>
            <w:r>
              <w:rPr>
                <w:rFonts w:ascii="Arial" w:cs="Arial" w:eastAsia="Arial" w:hAnsi="Arial"/>
                <w:sz w:val="17"/>
                <w:szCs w:val="17"/>
                <w:color w:val="auto"/>
                <w:w w:val="89"/>
              </w:rPr>
              <w:t>Certification of Principal Financial Officer Pursuant to Securities Exchange Act Rules 13a-14(a) and 15(d)-14(a), as adopted Pursuant to Section 302</w:t>
            </w:r>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980" w:type="dxa"/>
            <w:vAlign w:val="bottom"/>
            <w:tcBorders>
              <w:top w:val="single" w:sz="8" w:color="auto"/>
            </w:tcBorders>
            <w:gridSpan w:val="20"/>
          </w:tcPr>
          <w:p>
            <w:pPr>
              <w:spacing w:after="0" w:line="168" w:lineRule="exact"/>
              <w:rPr>
                <w:sz w:val="20"/>
                <w:szCs w:val="20"/>
                <w:color w:val="auto"/>
              </w:rPr>
            </w:pPr>
            <w:r>
              <w:rPr>
                <w:rFonts w:ascii="Arial" w:cs="Arial" w:eastAsia="Arial" w:hAnsi="Arial"/>
                <w:sz w:val="17"/>
                <w:szCs w:val="17"/>
                <w:color w:val="auto"/>
              </w:rPr>
              <w:t>of the Sarbanes-Oxley Act of 2002.</w:t>
            </w:r>
          </w:p>
        </w:tc>
        <w:tc>
          <w:tcPr>
            <w:tcW w:w="20" w:type="dxa"/>
            <w:vAlign w:val="bottom"/>
          </w:tcPr>
          <w:p>
            <w:pPr>
              <w:spacing w:after="0"/>
              <w:rPr>
                <w:sz w:val="14"/>
                <w:szCs w:val="14"/>
                <w:color w:val="auto"/>
              </w:rPr>
            </w:pPr>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8"/>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color w:val="auto"/>
              </w:rPr>
              <w:t>32.1**</w:t>
            </w: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700" w:type="dxa"/>
            <w:vAlign w:val="bottom"/>
            <w:tcBorders>
              <w:bottom w:val="single" w:sz="8" w:color="auto"/>
              <w:right w:val="single" w:sz="8" w:color="CCEEFF"/>
            </w:tcBorders>
            <w:gridSpan w:val="15"/>
            <w:shd w:val="clear" w:color="auto" w:fill="CCEEFF"/>
          </w:tcPr>
          <w:p>
            <w:pPr>
              <w:spacing w:after="0" w:line="189" w:lineRule="exact"/>
              <w:rPr>
                <w:sz w:val="20"/>
                <w:szCs w:val="20"/>
                <w:color w:val="auto"/>
              </w:rPr>
            </w:pPr>
            <w:r>
              <w:rPr>
                <w:rFonts w:ascii="Arial" w:cs="Arial" w:eastAsia="Arial" w:hAnsi="Arial"/>
                <w:sz w:val="17"/>
                <w:szCs w:val="17"/>
                <w:color w:val="auto"/>
                <w:w w:val="88"/>
              </w:rPr>
              <w:t>Certification of Principal Executive Officer Pursuant to 18 U.S.C. Section 1350, as adopted Pursuant to Section 906 of the Sarbanes-Oxley Act of</w:t>
            </w:r>
          </w:p>
        </w:tc>
        <w:tc>
          <w:tcPr>
            <w:tcW w:w="300" w:type="dxa"/>
            <w:vAlign w:val="bottom"/>
            <w:tcBorders>
              <w:left w:val="single" w:sz="8" w:color="CCEEFF"/>
              <w:bottom w:val="single" w:sz="8" w:color="CCEEFF"/>
            </w:tcBorders>
            <w:gridSpan w:val="6"/>
            <w:shd w:val="clear" w:color="auto" w:fill="CCEEFF"/>
          </w:tcPr>
          <w:p>
            <w:pPr>
              <w:spacing w:after="0"/>
              <w:rPr>
                <w:sz w:val="16"/>
                <w:szCs w:val="16"/>
                <w:color w:val="auto"/>
              </w:rPr>
            </w:pPr>
          </w:p>
        </w:tc>
      </w:tr>
      <w:tr>
        <w:trPr>
          <w:trHeight w:val="168"/>
        </w:trPr>
        <w:tc>
          <w:tcPr>
            <w:tcW w:w="11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420" w:type="dxa"/>
            <w:vAlign w:val="bottom"/>
            <w:gridSpan w:val="2"/>
            <w:shd w:val="clear" w:color="auto" w:fill="CCEEFF"/>
          </w:tcPr>
          <w:p>
            <w:pPr>
              <w:spacing w:after="0" w:line="168" w:lineRule="exact"/>
              <w:rPr>
                <w:sz w:val="20"/>
                <w:szCs w:val="20"/>
                <w:color w:val="auto"/>
              </w:rPr>
            </w:pPr>
            <w:r>
              <w:rPr>
                <w:rFonts w:ascii="Arial" w:cs="Arial" w:eastAsia="Arial" w:hAnsi="Arial"/>
                <w:sz w:val="17"/>
                <w:szCs w:val="17"/>
                <w:color w:val="auto"/>
                <w:w w:val="93"/>
              </w:rPr>
              <w:t>2002.</w:t>
            </w: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43"/>
        </w:trPr>
        <w:tc>
          <w:tcPr>
            <w:tcW w:w="114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right w:val="single" w:sz="8" w:color="CCEEFF"/>
            </w:tcBorders>
            <w:shd w:val="clear" w:color="auto" w:fill="CCEEFF"/>
          </w:tcPr>
          <w:p>
            <w:pPr>
              <w:spacing w:after="0"/>
              <w:rPr>
                <w:sz w:val="3"/>
                <w:szCs w:val="3"/>
                <w:color w:val="auto"/>
              </w:rPr>
            </w:pPr>
          </w:p>
        </w:tc>
        <w:tc>
          <w:tcPr>
            <w:tcW w:w="380" w:type="dxa"/>
            <w:vAlign w:val="bottom"/>
            <w:tcBorders>
              <w:top w:val="single" w:sz="8" w:color="auto"/>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4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3060" w:type="dxa"/>
            <w:vAlign w:val="bottom"/>
            <w:tcBorders>
              <w:top w:val="single" w:sz="8" w:color="CCEEFF"/>
              <w:right w:val="single" w:sz="8" w:color="CCEEFF"/>
            </w:tcBorders>
            <w:shd w:val="clear" w:color="auto" w:fill="CCEEFF"/>
          </w:tcPr>
          <w:p>
            <w:pPr>
              <w:spacing w:after="0"/>
              <w:rPr>
                <w:sz w:val="3"/>
                <w:szCs w:val="3"/>
                <w:color w:val="auto"/>
              </w:rPr>
            </w:pPr>
          </w:p>
        </w:tc>
        <w:tc>
          <w:tcPr>
            <w:tcW w:w="120" w:type="dxa"/>
            <w:vAlign w:val="bottom"/>
            <w:tcBorders>
              <w:top w:val="single" w:sz="8" w:color="CCEEFF"/>
              <w:left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8"/>
        </w:trPr>
        <w:tc>
          <w:tcPr>
            <w:tcW w:w="1140" w:type="dxa"/>
            <w:vAlign w:val="bottom"/>
          </w:tcPr>
          <w:p>
            <w:pPr>
              <w:ind w:left="20"/>
              <w:spacing w:after="0" w:line="189" w:lineRule="exact"/>
              <w:rPr>
                <w:sz w:val="20"/>
                <w:szCs w:val="20"/>
                <w:color w:val="auto"/>
              </w:rPr>
            </w:pPr>
            <w:r>
              <w:rPr>
                <w:rFonts w:ascii="Arial" w:cs="Arial" w:eastAsia="Arial" w:hAnsi="Arial"/>
                <w:sz w:val="17"/>
                <w:szCs w:val="17"/>
                <w:color w:val="auto"/>
              </w:rPr>
              <w:t>32.2**</w:t>
            </w:r>
          </w:p>
        </w:tc>
        <w:tc>
          <w:tcPr>
            <w:tcW w:w="100" w:type="dxa"/>
            <w:vAlign w:val="bottom"/>
          </w:tcPr>
          <w:p>
            <w:pPr>
              <w:spacing w:after="0"/>
              <w:rPr>
                <w:sz w:val="16"/>
                <w:szCs w:val="16"/>
                <w:color w:val="auto"/>
              </w:rPr>
            </w:pPr>
          </w:p>
        </w:tc>
        <w:tc>
          <w:tcPr>
            <w:tcW w:w="10000" w:type="dxa"/>
            <w:vAlign w:val="bottom"/>
            <w:gridSpan w:val="21"/>
          </w:tcPr>
          <w:p>
            <w:pPr>
              <w:spacing w:after="0" w:line="189" w:lineRule="exact"/>
              <w:rPr>
                <w:sz w:val="20"/>
                <w:szCs w:val="20"/>
                <w:color w:val="auto"/>
              </w:rPr>
            </w:pPr>
            <w:r>
              <w:rPr>
                <w:rFonts w:ascii="Arial" w:cs="Arial" w:eastAsia="Arial" w:hAnsi="Arial"/>
                <w:sz w:val="17"/>
                <w:szCs w:val="17"/>
                <w:color w:val="auto"/>
                <w:w w:val="92"/>
              </w:rPr>
              <w:t>Certification of Principal Financial Officer Pursuant to 18 U.S.C. Section 1350, as adopted Pursuant to Section 906 of the Sarbanes-Oxley Act of</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8"/>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spacing w:after="0" w:line="168" w:lineRule="exact"/>
              <w:rPr>
                <w:sz w:val="20"/>
                <w:szCs w:val="20"/>
                <w:color w:val="auto"/>
              </w:rPr>
            </w:pPr>
            <w:r>
              <w:rPr>
                <w:rFonts w:ascii="Arial" w:cs="Arial" w:eastAsia="Arial" w:hAnsi="Arial"/>
                <w:sz w:val="17"/>
                <w:szCs w:val="17"/>
                <w:color w:val="auto"/>
                <w:w w:val="93"/>
              </w:rPr>
              <w:t>2002.</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3"/>
        </w:trPr>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38"/>
        </w:trPr>
        <w:tc>
          <w:tcPr>
            <w:tcW w:w="1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101.INS*</w:t>
            </w:r>
          </w:p>
        </w:tc>
        <w:tc>
          <w:tcPr>
            <w:tcW w:w="10000" w:type="dxa"/>
            <w:vAlign w:val="bottom"/>
            <w:gridSpan w:val="21"/>
            <w:shd w:val="clear" w:color="auto" w:fill="CCEEFF"/>
          </w:tcPr>
          <w:p>
            <w:pPr>
              <w:spacing w:after="0"/>
              <w:rPr>
                <w:sz w:val="20"/>
                <w:szCs w:val="20"/>
                <w:color w:val="auto"/>
              </w:rPr>
            </w:pPr>
            <w:r>
              <w:rPr>
                <w:rFonts w:ascii="Arial" w:cs="Arial" w:eastAsia="Arial" w:hAnsi="Arial"/>
                <w:sz w:val="17"/>
                <w:szCs w:val="17"/>
                <w:color w:val="auto"/>
              </w:rPr>
              <w:t>Inline XBRL Instance Document</w:t>
            </w:r>
          </w:p>
        </w:tc>
      </w:tr>
      <w:tr>
        <w:trPr>
          <w:trHeight w:val="23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101.SCH*</w:t>
            </w:r>
          </w:p>
        </w:tc>
        <w:tc>
          <w:tcPr>
            <w:tcW w:w="10000" w:type="dxa"/>
            <w:vAlign w:val="bottom"/>
            <w:gridSpan w:val="21"/>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245"/>
        </w:trPr>
        <w:tc>
          <w:tcPr>
            <w:tcW w:w="1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10000" w:type="dxa"/>
            <w:vAlign w:val="bottom"/>
            <w:gridSpan w:val="21"/>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23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101.DEF*</w:t>
            </w:r>
          </w:p>
        </w:tc>
        <w:tc>
          <w:tcPr>
            <w:tcW w:w="10000" w:type="dxa"/>
            <w:vAlign w:val="bottom"/>
            <w:gridSpan w:val="21"/>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245"/>
        </w:trPr>
        <w:tc>
          <w:tcPr>
            <w:tcW w:w="12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10000" w:type="dxa"/>
            <w:vAlign w:val="bottom"/>
            <w:gridSpan w:val="21"/>
            <w:shd w:val="clear" w:color="auto" w:fill="CCEEFF"/>
          </w:tcPr>
          <w:p>
            <w:pPr>
              <w:spacing w:after="0"/>
              <w:rPr>
                <w:sz w:val="20"/>
                <w:szCs w:val="20"/>
                <w:color w:val="auto"/>
              </w:rPr>
            </w:pPr>
            <w:r>
              <w:rPr>
                <w:rFonts w:ascii="Arial" w:cs="Arial" w:eastAsia="Arial" w:hAnsi="Arial"/>
                <w:sz w:val="17"/>
                <w:szCs w:val="17"/>
                <w:color w:val="auto"/>
              </w:rPr>
              <w:t>Inline XBRL Taxonomy Extension Label Linkbase Document</w:t>
            </w:r>
          </w:p>
        </w:tc>
      </w:tr>
      <w:tr>
        <w:trPr>
          <w:trHeight w:val="23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101.PRE*</w:t>
            </w:r>
          </w:p>
        </w:tc>
        <w:tc>
          <w:tcPr>
            <w:tcW w:w="10000" w:type="dxa"/>
            <w:vAlign w:val="bottom"/>
            <w:gridSpan w:val="21"/>
          </w:tcPr>
          <w:p>
            <w:pPr>
              <w:spacing w:after="0"/>
              <w:rPr>
                <w:sz w:val="20"/>
                <w:szCs w:val="20"/>
                <w:color w:val="auto"/>
              </w:rPr>
            </w:pPr>
            <w:r>
              <w:rPr>
                <w:rFonts w:ascii="Arial" w:cs="Arial" w:eastAsia="Arial" w:hAnsi="Arial"/>
                <w:sz w:val="17"/>
                <w:szCs w:val="17"/>
                <w:color w:val="auto"/>
              </w:rPr>
              <w:t>Inline XBRL Taxonomy Extension Presentation Linkbase Document</w:t>
            </w:r>
          </w:p>
        </w:tc>
      </w:tr>
      <w:tr>
        <w:trPr>
          <w:trHeight w:val="245"/>
        </w:trPr>
        <w:tc>
          <w:tcPr>
            <w:tcW w:w="1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104</w:t>
            </w:r>
          </w:p>
        </w:tc>
        <w:tc>
          <w:tcPr>
            <w:tcW w:w="100" w:type="dxa"/>
            <w:vAlign w:val="bottom"/>
            <w:tcBorders>
              <w:right w:val="single" w:sz="8" w:color="CCEEFF"/>
            </w:tcBorders>
            <w:shd w:val="clear" w:color="auto" w:fill="CCEEFF"/>
          </w:tcPr>
          <w:p>
            <w:pPr>
              <w:spacing w:after="0"/>
              <w:rPr>
                <w:sz w:val="21"/>
                <w:szCs w:val="21"/>
                <w:color w:val="auto"/>
              </w:rPr>
            </w:pPr>
          </w:p>
        </w:tc>
        <w:tc>
          <w:tcPr>
            <w:tcW w:w="10000" w:type="dxa"/>
            <w:vAlign w:val="bottom"/>
            <w:gridSpan w:val="21"/>
            <w:shd w:val="clear" w:color="auto" w:fill="CCEEFF"/>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18" w:lineRule="exact"/>
        <w:rPr>
          <w:sz w:val="20"/>
          <w:szCs w:val="20"/>
          <w:color w:val="auto"/>
        </w:rPr>
      </w:pPr>
    </w:p>
    <w:p>
      <w:pPr>
        <w:ind w:right="9980"/>
        <w:spacing w:after="0" w:line="279" w:lineRule="auto"/>
        <w:tabs>
          <w:tab w:leader="none" w:pos="251" w:val="left"/>
        </w:tabs>
        <w:numPr>
          <w:ilvl w:val="0"/>
          <w:numId w:val="56"/>
        </w:numPr>
        <w:rPr>
          <w:rFonts w:ascii="Arial" w:cs="Arial" w:eastAsia="Arial" w:hAnsi="Arial"/>
          <w:sz w:val="15"/>
          <w:szCs w:val="15"/>
          <w:color w:val="auto"/>
        </w:rPr>
      </w:pPr>
      <w:r>
        <w:rPr>
          <w:rFonts w:ascii="Arial" w:cs="Arial" w:eastAsia="Arial" w:hAnsi="Arial"/>
          <w:sz w:val="15"/>
          <w:szCs w:val="15"/>
          <w:color w:val="auto"/>
        </w:rPr>
        <w:t>Filed herewith. ** Furnished.</w:t>
      </w:r>
    </w:p>
    <w:p>
      <w:pPr>
        <w:ind w:left="600" w:right="60" w:hanging="603"/>
        <w:spacing w:after="0" w:line="253" w:lineRule="auto"/>
        <w:rPr>
          <w:rFonts w:ascii="Arial" w:cs="Arial" w:eastAsia="Arial" w:hAnsi="Arial"/>
          <w:sz w:val="15"/>
          <w:szCs w:val="15"/>
          <w:color w:val="auto"/>
        </w:rPr>
      </w:pPr>
      <w:r>
        <w:rPr>
          <w:rFonts w:ascii="Arial" w:cs="Arial" w:eastAsia="Arial" w:hAnsi="Arial"/>
          <w:sz w:val="17"/>
          <w:szCs w:val="17"/>
          <w:color w:val="auto"/>
        </w:rPr>
        <w:t>+ Certain schedules to this Exhibit have been omitted in accordance with Item 601(b)(2) of Regulation S-K. The Company hereby agrees to furnish supplementally a copy of all omitted schedules to the SEC upon request.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67245"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5" w:name="page146"/>
    <w:bookmarkEnd w:id="145"/>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None.</w:t>
      </w:r>
    </w:p>
    <w:p>
      <w:pPr>
        <w:spacing w:after="0" w:line="200" w:lineRule="exact"/>
        <w:rPr>
          <w:sz w:val="20"/>
          <w:szCs w:val="20"/>
          <w:color w:val="auto"/>
        </w:rPr>
      </w:pPr>
    </w:p>
    <w:p>
      <w:pPr>
        <w:spacing w:after="0" w:line="370" w:lineRule="exact"/>
        <w:rPr>
          <w:sz w:val="20"/>
          <w:szCs w:val="20"/>
          <w:color w:val="auto"/>
        </w:rPr>
      </w:pPr>
    </w:p>
    <w:p>
      <w:pPr>
        <w:jc w:val="right"/>
        <w:ind w:right="44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67245"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167245" cy="412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46" w:name="page147"/>
    <w:bookmarkEnd w:id="146"/>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SIGNATURE</w:t>
      </w:r>
    </w:p>
    <w:p>
      <w:pPr>
        <w:spacing w:after="0" w:line="210" w:lineRule="exact"/>
        <w:rPr>
          <w:sz w:val="20"/>
          <w:szCs w:val="20"/>
          <w:color w:val="auto"/>
        </w:rPr>
      </w:pPr>
    </w:p>
    <w:p>
      <w:pPr>
        <w:ind w:right="120" w:firstLine="603"/>
        <w:spacing w:after="0" w:line="26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on March 16, 2023.</w:t>
      </w:r>
    </w:p>
    <w:p>
      <w:pPr>
        <w:spacing w:after="0" w:line="212" w:lineRule="exact"/>
        <w:rPr>
          <w:sz w:val="20"/>
          <w:szCs w:val="20"/>
          <w:color w:val="auto"/>
        </w:rPr>
      </w:pPr>
    </w:p>
    <w:p>
      <w:pPr>
        <w:ind w:left="6500"/>
        <w:spacing w:after="0"/>
        <w:rPr>
          <w:sz w:val="20"/>
          <w:szCs w:val="20"/>
          <w:color w:val="auto"/>
        </w:rPr>
      </w:pPr>
      <w:r>
        <w:rPr>
          <w:rFonts w:ascii="Arial" w:cs="Arial" w:eastAsia="Arial" w:hAnsi="Arial"/>
          <w:sz w:val="17"/>
          <w:szCs w:val="17"/>
          <w:b w:val="1"/>
          <w:bCs w:val="1"/>
          <w:color w:val="auto"/>
        </w:rPr>
        <w:t>MICROVAST HOLDINGS, INC.</w:t>
      </w:r>
    </w:p>
    <w:p>
      <w:pPr>
        <w:spacing w:after="0" w:line="198" w:lineRule="exact"/>
        <w:rPr>
          <w:sz w:val="20"/>
          <w:szCs w:val="20"/>
          <w:color w:val="auto"/>
        </w:rPr>
      </w:pPr>
    </w:p>
    <w:p>
      <w:pPr>
        <w:ind w:left="6500"/>
        <w:spacing w:after="0"/>
        <w:tabs>
          <w:tab w:leader="none" w:pos="71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Craig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19050</wp:posOffset>
            </wp:positionV>
            <wp:extent cx="25984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36"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Name: Craig Webster</w:t>
      </w:r>
    </w:p>
    <w:p>
      <w:pPr>
        <w:spacing w:after="0" w:line="43" w:lineRule="exact"/>
        <w:rPr>
          <w:sz w:val="20"/>
          <w:szCs w:val="20"/>
          <w:color w:val="auto"/>
        </w:rPr>
      </w:pPr>
    </w:p>
    <w:p>
      <w:pPr>
        <w:ind w:left="7180"/>
        <w:spacing w:after="0"/>
        <w:rPr>
          <w:sz w:val="20"/>
          <w:szCs w:val="20"/>
          <w:color w:val="auto"/>
        </w:rPr>
      </w:pPr>
      <w:r>
        <w:rPr>
          <w:rFonts w:ascii="Arial" w:cs="Arial" w:eastAsia="Arial" w:hAnsi="Arial"/>
          <w:sz w:val="17"/>
          <w:szCs w:val="17"/>
          <w:color w:val="auto"/>
        </w:rPr>
        <w:t>Title: Chief Financial Officer</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POWER OF ATTORNEY</w:t>
      </w:r>
    </w:p>
    <w:p>
      <w:pPr>
        <w:spacing w:after="0" w:line="210" w:lineRule="exact"/>
        <w:rPr>
          <w:sz w:val="20"/>
          <w:szCs w:val="20"/>
          <w:color w:val="auto"/>
        </w:rPr>
      </w:pPr>
    </w:p>
    <w:p>
      <w:pPr>
        <w:jc w:val="both"/>
        <w:ind w:firstLine="603"/>
        <w:spacing w:after="0" w:line="290"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Yang Wu and Craig Webster and each of them, as his or her true and lawful attorney-in-fact and agent with full power of substitution and resubstitution, for such individual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any of them, or the individual’s substitute, may lawfully do or cause to be done by virtue hereof.</w:t>
      </w:r>
    </w:p>
    <w:p>
      <w:pPr>
        <w:spacing w:after="0" w:line="155" w:lineRule="exact"/>
        <w:rPr>
          <w:sz w:val="20"/>
          <w:szCs w:val="20"/>
          <w:color w:val="auto"/>
        </w:rPr>
      </w:pPr>
    </w:p>
    <w:p>
      <w:pPr>
        <w:ind w:right="200" w:firstLine="603"/>
        <w:spacing w:after="0" w:line="26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1180"/>
          </w:cols>
          <w:pgMar w:left="320" w:top="123" w:right="399" w:bottom="1440" w:gutter="0" w:footer="0" w:header="0"/>
        </w:sectPr>
      </w:pPr>
    </w:p>
    <w:p>
      <w:pPr>
        <w:spacing w:after="0" w:line="212"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21443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291"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443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32"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Yang Wu</w:t>
      </w:r>
    </w:p>
    <w:p>
      <w:pPr>
        <w:spacing w:after="0" w:line="110"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/s/ Craig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443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7"/>
          <w:szCs w:val="17"/>
          <w:b w:val="1"/>
          <w:bCs w:val="1"/>
          <w:color w:val="auto"/>
        </w:rPr>
        <w:t>Craig Webster</w:t>
      </w:r>
    </w:p>
    <w:p>
      <w:pPr>
        <w:spacing w:after="0" w:line="110"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/s/ Lu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443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32"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Lu Gao</w:t>
      </w:r>
    </w:p>
    <w:p>
      <w:pPr>
        <w:spacing w:after="0" w:line="110"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 Yanzhuan Zheng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21443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Yanzhuan Zheng</w:t>
      </w:r>
    </w:p>
    <w:p>
      <w:pPr>
        <w:spacing w:after="0" w:line="11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 Arthur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443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32"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Arthur Wong</w:t>
      </w:r>
    </w:p>
    <w:p>
      <w:pPr>
        <w:spacing w:after="0" w:line="11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/s/ Stanley Whittingham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21443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55"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Stanley Whittingham</w:t>
      </w:r>
    </w:p>
    <w:p>
      <w:pPr>
        <w:spacing w:after="0" w:line="133"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/s/ Stephen Vogel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443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32"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Stephen Vogel</w:t>
      </w:r>
    </w:p>
    <w:p>
      <w:pPr>
        <w:spacing w:after="0" w:line="110"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/s/ Yeelong Balladon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443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32"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Yeelong Balladon</w:t>
      </w:r>
    </w:p>
    <w:p>
      <w:pPr>
        <w:spacing w:after="0" w:line="60"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/s/ Wei 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21443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2144395" cy="8255"/>
                    </a:xfrm>
                    <a:prstGeom prst="rect">
                      <a:avLst/>
                    </a:prstGeom>
                    <a:noFill/>
                  </pic:spPr>
                </pic:pic>
              </a:graphicData>
            </a:graphic>
          </wp:anchor>
        </w:drawing>
      </w:r>
    </w:p>
    <w:p>
      <w:pPr>
        <w:spacing w:after="0" w:line="32"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Wei Ying</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left="-19"/>
        <w:spacing w:after="0"/>
        <w:rPr>
          <w:sz w:val="20"/>
          <w:szCs w:val="20"/>
          <w:color w:val="auto"/>
        </w:rPr>
      </w:pPr>
      <w:r>
        <w:rPr>
          <w:rFonts w:ascii="Arial" w:cs="Arial" w:eastAsia="Arial" w:hAnsi="Arial"/>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21590</wp:posOffset>
            </wp:positionV>
            <wp:extent cx="34512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3451225" cy="8255"/>
                    </a:xfrm>
                    <a:prstGeom prst="rect">
                      <a:avLst/>
                    </a:prstGeom>
                    <a:noFill/>
                  </pic:spPr>
                </pic:pic>
              </a:graphicData>
            </a:graphic>
          </wp:anchor>
        </w:drawing>
      </w:r>
    </w:p>
    <w:p>
      <w:pPr>
        <w:spacing w:after="0" w:line="316" w:lineRule="exact"/>
        <w:rPr>
          <w:sz w:val="20"/>
          <w:szCs w:val="20"/>
          <w:color w:val="auto"/>
        </w:rPr>
      </w:pPr>
    </w:p>
    <w:p>
      <w:pPr>
        <w:ind w:right="520"/>
        <w:spacing w:after="0" w:line="252" w:lineRule="auto"/>
        <w:rPr>
          <w:sz w:val="20"/>
          <w:szCs w:val="20"/>
          <w:color w:val="auto"/>
        </w:rPr>
      </w:pPr>
      <w:r>
        <w:rPr>
          <w:rFonts w:ascii="Arial" w:cs="Arial" w:eastAsia="Arial" w:hAnsi="Arial"/>
          <w:sz w:val="17"/>
          <w:szCs w:val="17"/>
          <w:color w:val="auto"/>
        </w:rPr>
        <w:t>Chief Executive Officer, President and Chairman of the Board (principal executive officer)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Chief Accounting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(principal accounting officer)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21590</wp:posOffset>
            </wp:positionV>
            <wp:extent cx="14344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143446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March 16, 2023</w:t>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March 16, 2023</w:t>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March 16, 2023</w:t>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March 16, 2023</w:t>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March 16, 2023</w:t>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March 16, 2023</w:t>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March 16, 2023</w:t>
      </w: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auto"/>
        </w:rPr>
        <w:t>March 16, 2023</w:t>
      </w: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color w:val="auto"/>
        </w:rPr>
        <w:t>March 16, 2023</w:t>
      </w:r>
    </w:p>
    <w:p>
      <w:pPr>
        <w:spacing w:after="0" w:line="357" w:lineRule="exact"/>
        <w:rPr>
          <w:sz w:val="20"/>
          <w:szCs w:val="20"/>
          <w:color w:val="auto"/>
        </w:rPr>
      </w:pPr>
    </w:p>
    <w:p>
      <w:pPr>
        <w:sectPr>
          <w:pgSz w:w="11900" w:h="16838" w:orient="portrait"/>
          <w:cols w:equalWidth="0" w:num="3">
            <w:col w:w="2760" w:space="720"/>
            <w:col w:w="5380" w:space="720"/>
            <w:col w:w="1600"/>
          </w:cols>
          <w:pgMar w:left="320" w:top="12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180"/>
          </w:cols>
          <w:pgMar w:left="320" w:top="123" w:right="399" w:bottom="1440" w:gutter="0" w:footer="0" w:header="0"/>
          <w:type w:val="continuous"/>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4.1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SECURITIES</w:t>
      </w:r>
    </w:p>
    <w:p>
      <w:pPr>
        <w:spacing w:after="0" w:line="176" w:lineRule="exact"/>
        <w:rPr>
          <w:sz w:val="20"/>
          <w:szCs w:val="20"/>
          <w:color w:val="auto"/>
        </w:rPr>
      </w:pPr>
    </w:p>
    <w:p>
      <w:pPr>
        <w:ind w:right="300" w:firstLine="603"/>
        <w:spacing w:after="0" w:line="261" w:lineRule="auto"/>
        <w:rPr>
          <w:sz w:val="20"/>
          <w:szCs w:val="20"/>
          <w:color w:val="auto"/>
        </w:rPr>
      </w:pPr>
      <w:r>
        <w:rPr>
          <w:rFonts w:ascii="Arial" w:cs="Arial" w:eastAsia="Arial" w:hAnsi="Arial"/>
          <w:sz w:val="18"/>
          <w:szCs w:val="18"/>
          <w:color w:val="auto"/>
        </w:rPr>
        <w:t>As of December 31, 2022, Microvast Holdings, Inc. (“Microvast,” “us,” “our,” “we,” or the “Company”) had two classes of securities registered under Section 12 of the Securities Exchange Act of 1934, as amended (the “Exchange Act”): (i) our common stock, par value $0.0001 per share, and (ii) our warrants, exercisable for shares of common stock at an exercise price of $11.50 per share.</w:t>
      </w:r>
    </w:p>
    <w:p>
      <w:pPr>
        <w:spacing w:after="0" w:line="128" w:lineRule="exact"/>
        <w:rPr>
          <w:sz w:val="20"/>
          <w:szCs w:val="20"/>
          <w:color w:val="auto"/>
        </w:rPr>
      </w:pPr>
    </w:p>
    <w:p>
      <w:pPr>
        <w:ind w:right="240" w:firstLine="603"/>
        <w:spacing w:after="0" w:line="221" w:lineRule="auto"/>
        <w:rPr>
          <w:sz w:val="20"/>
          <w:szCs w:val="20"/>
          <w:color w:val="auto"/>
        </w:rPr>
      </w:pPr>
      <w:r>
        <w:rPr>
          <w:rFonts w:ascii="Arial" w:cs="Arial" w:eastAsia="Arial" w:hAnsi="Arial"/>
          <w:sz w:val="20"/>
          <w:szCs w:val="20"/>
          <w:color w:val="auto"/>
        </w:rPr>
        <w:t>The following description of our capital stock and warrants is a summary and does not purport to be complete. It is subject to and qualified in its entirety by reference to our Second Amended and Restated Certificate of Incorporation (our “Charter”) and our Amended and Restated Bylaws (our “Bylaws”), the Stockholders’ Agreement entered on July 26, 2021, the Registration Rights and Lockup Agreement entered into on July 26, 2021, the Warrant Agreement entered into on March 5, 2019, and the applicable provisions of the General Corporation Law of the State of Delaware (the “DGCL”), as applicable.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Authorized and Outstanding Stock</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Authorized Stock</w:t>
      </w:r>
    </w:p>
    <w:p>
      <w:pPr>
        <w:spacing w:after="0" w:line="172" w:lineRule="exact"/>
        <w:rPr>
          <w:sz w:val="20"/>
          <w:szCs w:val="20"/>
          <w:color w:val="auto"/>
        </w:rPr>
      </w:pPr>
    </w:p>
    <w:p>
      <w:pPr>
        <w:ind w:right="120" w:firstLine="603"/>
        <w:spacing w:after="0" w:line="238" w:lineRule="auto"/>
        <w:rPr>
          <w:sz w:val="20"/>
          <w:szCs w:val="20"/>
          <w:color w:val="auto"/>
        </w:rPr>
      </w:pPr>
      <w:r>
        <w:rPr>
          <w:rFonts w:ascii="Arial" w:cs="Arial" w:eastAsia="Arial" w:hAnsi="Arial"/>
          <w:sz w:val="20"/>
          <w:szCs w:val="20"/>
          <w:color w:val="auto"/>
        </w:rPr>
        <w:t>The Charter authorizes the issuance of 800,000,000 shares of capital stock, consisting of 750,000,000 shares of common stock, par value $0.0001 per share, and 50,000,000 shares of preferred stock, par value $0.0001 per share.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w:t>
      </w:r>
    </w:p>
    <w:p>
      <w:pPr>
        <w:spacing w:after="0" w:line="172" w:lineRule="exact"/>
        <w:rPr>
          <w:sz w:val="20"/>
          <w:szCs w:val="20"/>
          <w:color w:val="auto"/>
        </w:rPr>
      </w:pPr>
    </w:p>
    <w:p>
      <w:pPr>
        <w:ind w:right="40" w:firstLine="603"/>
        <w:spacing w:after="0" w:line="237" w:lineRule="auto"/>
        <w:rPr>
          <w:sz w:val="20"/>
          <w:szCs w:val="20"/>
          <w:color w:val="auto"/>
        </w:rPr>
      </w:pPr>
      <w:r>
        <w:rPr>
          <w:rFonts w:ascii="Arial" w:cs="Arial" w:eastAsia="Arial" w:hAnsi="Arial"/>
          <w:sz w:val="18"/>
          <w:szCs w:val="18"/>
          <w:b w:val="1"/>
          <w:bCs w:val="1"/>
          <w:i w:val="1"/>
          <w:iCs w:val="1"/>
          <w:color w:val="auto"/>
        </w:rPr>
        <w:t>Voting</w:t>
      </w:r>
      <w:r>
        <w:rPr>
          <w:rFonts w:ascii="Arial" w:cs="Arial" w:eastAsia="Arial" w:hAnsi="Arial"/>
          <w:sz w:val="18"/>
          <w:szCs w:val="18"/>
          <w:color w:val="auto"/>
        </w:rPr>
        <w:t>. Each holder of common stock is entitled to one vote for each share of common stock held of record by such holder on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matters on which stockholders generally are entitled to vote. The holders of shares of common stock will vote together as a single class (or, if the holders of one or more outstanding series of preferred stock are entitled to vote together with the holders of common stock as a single class, together with the holders of such other series of preferred stock) on all matters submitted to a vote of our stockholders generally. Generally, all matters to be voted on by stockholders must be approved by a majority (or, (1) in the case of election of directors, by a plurality and (2), in the case of amendment of the Charter, so long as Mr. Wu maintains beneficial ownership of at least 10% of the total voting power of all the outstanding shares of the Company entitled to vote generally in the election of directors, by a vote of at least 75%) of the votes entitled to be cast by all stockholders present in person or represented by proxy, voting together as a single class. Notwithstanding the foregoing, to the fullest extent permitted by law, holders of common stock, as such, will have no voting power with respect to, and will not be entitled to vote on, any amendment to the Charter (including any certificate of designations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designations relating to any series of preferred stock) or pursuant to the DGCL.</w:t>
      </w:r>
    </w:p>
    <w:p>
      <w:pPr>
        <w:spacing w:after="0" w:line="155" w:lineRule="exact"/>
        <w:rPr>
          <w:sz w:val="20"/>
          <w:szCs w:val="20"/>
          <w:color w:val="auto"/>
        </w:rPr>
      </w:pPr>
    </w:p>
    <w:p>
      <w:pPr>
        <w:ind w:right="20" w:firstLine="603"/>
        <w:spacing w:after="0" w:line="241" w:lineRule="auto"/>
        <w:rPr>
          <w:sz w:val="20"/>
          <w:szCs w:val="20"/>
          <w:color w:val="auto"/>
        </w:rPr>
      </w:pPr>
      <w:r>
        <w:rPr>
          <w:rFonts w:ascii="Arial" w:cs="Arial" w:eastAsia="Arial" w:hAnsi="Arial"/>
          <w:sz w:val="19"/>
          <w:szCs w:val="19"/>
          <w:b w:val="1"/>
          <w:bCs w:val="1"/>
          <w:i w:val="1"/>
          <w:iCs w:val="1"/>
          <w:color w:val="auto"/>
        </w:rPr>
        <w:t>Dividend Rights</w:t>
      </w:r>
      <w:r>
        <w:rPr>
          <w:rFonts w:ascii="Arial" w:cs="Arial" w:eastAsia="Arial" w:hAnsi="Arial"/>
          <w:sz w:val="19"/>
          <w:szCs w:val="19"/>
          <w:color w:val="auto"/>
        </w:rPr>
        <w:t>. Subject to preferences that may be applicable to any outstanding series of preferred stock or any other outstanding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class or series of stock, the holders of shares of common stock are entitled to receive such dividends or distributions, if any, as may be declared from time-to-time by the Board of Directors (the “Board”) out of funds or assets legally available therefor.</w:t>
      </w:r>
    </w:p>
    <w:p>
      <w:pPr>
        <w:sectPr>
          <w:pgSz w:w="11900" w:h="16838" w:orient="portrait"/>
          <w:cols w:equalWidth="0" w:num="1">
            <w:col w:w="11240"/>
          </w:cols>
          <w:pgMar w:left="320" w:top="1307" w:right="339" w:bottom="1440" w:gutter="0" w:footer="0" w:header="0"/>
        </w:sectPr>
      </w:pPr>
    </w:p>
    <w:bookmarkStart w:id="148" w:name="page149"/>
    <w:bookmarkEnd w:id="148"/>
    <w:p>
      <w:pPr>
        <w:ind w:right="40" w:firstLine="603"/>
        <w:spacing w:after="0" w:line="224" w:lineRule="auto"/>
        <w:rPr>
          <w:sz w:val="20"/>
          <w:szCs w:val="20"/>
          <w:color w:val="auto"/>
        </w:rPr>
      </w:pPr>
      <w:r>
        <w:rPr>
          <w:rFonts w:ascii="Arial" w:cs="Arial" w:eastAsia="Arial" w:hAnsi="Arial"/>
          <w:sz w:val="20"/>
          <w:szCs w:val="20"/>
          <w:b w:val="1"/>
          <w:bCs w:val="1"/>
          <w:i w:val="1"/>
          <w:iCs w:val="1"/>
          <w:color w:val="auto"/>
        </w:rPr>
        <w:t>Rights upon Liquidation</w:t>
      </w:r>
      <w:r>
        <w:rPr>
          <w:rFonts w:ascii="Arial" w:cs="Arial" w:eastAsia="Arial" w:hAnsi="Arial"/>
          <w:sz w:val="20"/>
          <w:szCs w:val="20"/>
          <w:color w:val="auto"/>
        </w:rPr>
        <w:t>. In the event of any voluntary or involuntary liquidation, dissolution or winding up of the Company’s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affairs, the holders of common stock are entitled to the assets remaining after payment of the Company’s debts and other liabilities, subject to prior distribution rights of preferred stock or any class or series of stock having a preference over the common stock, then outstanding, if any.</w:t>
      </w:r>
    </w:p>
    <w:p>
      <w:pPr>
        <w:spacing w:after="0" w:line="146" w:lineRule="exact"/>
        <w:rPr>
          <w:sz w:val="20"/>
          <w:szCs w:val="20"/>
          <w:color w:val="auto"/>
        </w:rPr>
      </w:pPr>
    </w:p>
    <w:p>
      <w:pPr>
        <w:ind w:firstLine="603"/>
        <w:spacing w:after="0" w:line="224" w:lineRule="auto"/>
        <w:rPr>
          <w:sz w:val="20"/>
          <w:szCs w:val="20"/>
          <w:color w:val="auto"/>
        </w:rPr>
      </w:pPr>
      <w:r>
        <w:rPr>
          <w:rFonts w:ascii="Arial" w:cs="Arial" w:eastAsia="Arial" w:hAnsi="Arial"/>
          <w:sz w:val="20"/>
          <w:szCs w:val="20"/>
          <w:b w:val="1"/>
          <w:bCs w:val="1"/>
          <w:i w:val="1"/>
          <w:iCs w:val="1"/>
          <w:color w:val="auto"/>
        </w:rPr>
        <w:t>Other Rights</w:t>
      </w:r>
      <w:r>
        <w:rPr>
          <w:rFonts w:ascii="Arial" w:cs="Arial" w:eastAsia="Arial" w:hAnsi="Arial"/>
          <w:sz w:val="20"/>
          <w:szCs w:val="20"/>
          <w:color w:val="auto"/>
        </w:rPr>
        <w:t>. The holders of common stock have no preemptive, preferential, or similar rights with respect to issuances of shares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stock of the Company. There are no redemption provisions or sinking fund provisions applicable to the common stock. The rights, preferences and privileges of holders of common stock will be subject to those of the holders of any shares of preferred stock the Company may issue in the future.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Stock</w:t>
      </w:r>
    </w:p>
    <w:p>
      <w:pPr>
        <w:spacing w:after="0" w:line="172" w:lineRule="exact"/>
        <w:rPr>
          <w:sz w:val="20"/>
          <w:szCs w:val="20"/>
          <w:color w:val="auto"/>
        </w:rPr>
      </w:pPr>
    </w:p>
    <w:p>
      <w:pPr>
        <w:ind w:right="20" w:firstLine="603"/>
        <w:spacing w:after="0" w:line="221" w:lineRule="auto"/>
        <w:rPr>
          <w:sz w:val="20"/>
          <w:szCs w:val="20"/>
          <w:color w:val="auto"/>
        </w:rPr>
      </w:pPr>
      <w:r>
        <w:rPr>
          <w:rFonts w:ascii="Arial" w:cs="Arial" w:eastAsia="Arial" w:hAnsi="Arial"/>
          <w:sz w:val="20"/>
          <w:szCs w:val="20"/>
          <w:color w:val="auto"/>
        </w:rPr>
        <w:t>No shares of preferred stock have been issued. The Charter authorizes the Board to establish one or more series of preferred stock. Unless required by law or any stock exchange, the authorized shares of preferred stock will be available for issuance without further action by the holders of common stock. The Board has the discretion to determine the powers, preferences and relative, participating, optional and other special rights, including voting rights, dividend rights, conversion rights, redemption privileges and liquidation preferences, of each series of preferred stock.</w:t>
      </w:r>
    </w:p>
    <w:p>
      <w:pPr>
        <w:spacing w:after="0" w:line="146" w:lineRule="exact"/>
        <w:rPr>
          <w:sz w:val="20"/>
          <w:szCs w:val="20"/>
          <w:color w:val="auto"/>
        </w:rPr>
      </w:pPr>
    </w:p>
    <w:p>
      <w:pPr>
        <w:ind w:right="40" w:firstLine="603"/>
        <w:spacing w:after="0" w:line="232" w:lineRule="auto"/>
        <w:rPr>
          <w:sz w:val="20"/>
          <w:szCs w:val="20"/>
          <w:color w:val="auto"/>
        </w:rPr>
      </w:pPr>
      <w:r>
        <w:rPr>
          <w:rFonts w:ascii="Arial" w:cs="Arial" w:eastAsia="Arial" w:hAnsi="Arial"/>
          <w:sz w:val="19"/>
          <w:szCs w:val="19"/>
          <w:color w:val="auto"/>
        </w:rPr>
        <w:t>The issuance of preferred stock may have the effect of delaying, deferring or preventing a change in control of the Company without further action by the stockholders. Additionally, the issuance of preferred stock may adversely affect the holders of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the common stock. At present, we have no plans to issue any 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Warrants</w:t>
      </w:r>
    </w:p>
    <w:p>
      <w:pPr>
        <w:spacing w:after="0" w:line="176" w:lineRule="exact"/>
        <w:rPr>
          <w:sz w:val="20"/>
          <w:szCs w:val="20"/>
          <w:color w:val="auto"/>
        </w:rPr>
      </w:pPr>
    </w:p>
    <w:p>
      <w:pPr>
        <w:ind w:right="20" w:firstLine="603"/>
        <w:spacing w:after="0" w:line="237" w:lineRule="auto"/>
        <w:rPr>
          <w:sz w:val="20"/>
          <w:szCs w:val="20"/>
          <w:color w:val="auto"/>
        </w:rPr>
      </w:pPr>
      <w:r>
        <w:rPr>
          <w:rFonts w:ascii="Arial" w:cs="Arial" w:eastAsia="Arial" w:hAnsi="Arial"/>
          <w:sz w:val="18"/>
          <w:szCs w:val="18"/>
          <w:color w:val="auto"/>
        </w:rPr>
        <w:t>Each public warrant entitles the registered holder to purchase one share of common stock at a price of $11.50 per share, subject to adjustment (as discussed below). No warrants will be exercisable for cash unless we have an effective and current registration statement covering the shares of common stock issuable upon exercise of the warrants and a current prospectus relating to such shares of common stock. Notwithstanding the foregoing, since a registration statement covering the shares of common stock issuable upon exercise of the public warrants was not effective within a specified period following the consummation of the Business Combination, warrant holders may, until such time as there is an effective registration statement and during any period when we will have failed to maintain an effective registration statement, exercise warrants on a cashless basis pursuant to the exemption provided by Section 3(a) (9) of the Securities Act of 1933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Business Combination, at 5:00 p.m., New York City time, or earlier upon redemption or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10" w:right="339" w:bottom="1440" w:gutter="0" w:footer="0" w:header="0"/>
        </w:sectPr>
      </w:pPr>
    </w:p>
    <w:bookmarkStart w:id="149" w:name="page150"/>
    <w:bookmarkEnd w:id="149"/>
    <w:p>
      <w:pPr>
        <w:ind w:right="440" w:firstLine="603"/>
        <w:spacing w:after="0" w:line="229" w:lineRule="auto"/>
        <w:rPr>
          <w:sz w:val="20"/>
          <w:szCs w:val="20"/>
          <w:color w:val="auto"/>
        </w:rPr>
      </w:pPr>
      <w:r>
        <w:rPr>
          <w:rFonts w:ascii="Arial" w:cs="Arial" w:eastAsia="Arial" w:hAnsi="Arial"/>
          <w:sz w:val="20"/>
          <w:szCs w:val="20"/>
          <w:color w:val="auto"/>
        </w:rPr>
        <w:t>The private warrants are identical to the public warrants, except that such warrants will be exercisable for cash or on a cashless basis, at the holder’s option, and will not be redeemable by us so long as they are still held by Tuscan Holdings Acquisition LLC, a Delaware limited liability company (the “Sponsor), or its permitted transferees.</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may call the warrants for redemption (excluding the private warrants), in whole and not in part, at a price of $0.01 per warrant,</w:t>
      </w:r>
    </w:p>
    <w:p>
      <w:pPr>
        <w:spacing w:after="0" w:line="195" w:lineRule="exact"/>
        <w:rPr>
          <w:sz w:val="20"/>
          <w:szCs w:val="20"/>
          <w:color w:val="auto"/>
        </w:rPr>
      </w:pPr>
    </w:p>
    <w:p>
      <w:pPr>
        <w:ind w:left="900" w:hanging="297"/>
        <w:spacing w:after="0"/>
        <w:tabs>
          <w:tab w:leader="none" w:pos="9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at any time,</w:t>
      </w:r>
    </w:p>
    <w:p>
      <w:pPr>
        <w:spacing w:after="0" w:line="171" w:lineRule="exact"/>
        <w:rPr>
          <w:rFonts w:ascii="Arial" w:cs="Arial" w:eastAsia="Arial" w:hAnsi="Arial"/>
          <w:sz w:val="20"/>
          <w:szCs w:val="20"/>
          <w:color w:val="auto"/>
        </w:rPr>
      </w:pPr>
    </w:p>
    <w:p>
      <w:pPr>
        <w:ind w:left="900" w:hanging="297"/>
        <w:spacing w:after="0"/>
        <w:tabs>
          <w:tab w:leader="none" w:pos="900" w:val="left"/>
        </w:tabs>
        <w:numPr>
          <w:ilvl w:val="0"/>
          <w:numId w:val="57"/>
        </w:numPr>
        <w:rPr>
          <w:rFonts w:ascii="Arial" w:cs="Arial" w:eastAsia="Arial" w:hAnsi="Arial"/>
          <w:sz w:val="20"/>
          <w:szCs w:val="20"/>
          <w:color w:val="auto"/>
        </w:rPr>
      </w:pPr>
      <w:r>
        <w:rPr>
          <w:rFonts w:ascii="Arial" w:cs="Arial" w:eastAsia="Arial" w:hAnsi="Arial"/>
          <w:sz w:val="20"/>
          <w:szCs w:val="20"/>
          <w:color w:val="auto"/>
        </w:rPr>
        <w:t>upon not less than 30 days’ prior written notice of redemption to each warrant holder,</w:t>
      </w:r>
    </w:p>
    <w:p>
      <w:pPr>
        <w:spacing w:after="0" w:line="171" w:lineRule="exact"/>
        <w:rPr>
          <w:rFonts w:ascii="Arial" w:cs="Arial" w:eastAsia="Arial" w:hAnsi="Arial"/>
          <w:sz w:val="20"/>
          <w:szCs w:val="20"/>
          <w:color w:val="auto"/>
        </w:rPr>
      </w:pPr>
    </w:p>
    <w:p>
      <w:pPr>
        <w:ind w:left="900" w:right="400" w:hanging="297"/>
        <w:spacing w:after="0" w:line="241" w:lineRule="auto"/>
        <w:tabs>
          <w:tab w:leader="none" w:pos="895"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and only if, the reported last sale price of the shares of common stock equals or exceeds $18.00 per share (as adjusted for stock splits, stock dividends, reorganizations and recapitalizations), for any 20 trading days within a 30 trading day period ending on the third business day prior to the notice of redemption to warrant holders; and</w:t>
      </w:r>
    </w:p>
    <w:p>
      <w:pPr>
        <w:spacing w:after="0" w:line="145" w:lineRule="exact"/>
        <w:rPr>
          <w:rFonts w:ascii="Arial" w:cs="Arial" w:eastAsia="Arial" w:hAnsi="Arial"/>
          <w:sz w:val="19"/>
          <w:szCs w:val="19"/>
          <w:color w:val="auto"/>
        </w:rPr>
      </w:pPr>
    </w:p>
    <w:p>
      <w:pPr>
        <w:ind w:left="900" w:right="440" w:hanging="297"/>
        <w:spacing w:after="0" w:line="238" w:lineRule="auto"/>
        <w:tabs>
          <w:tab w:leader="none" w:pos="895"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and only if, there is a current registration statement in effect with respect to the shares of common stock underlying such warrants.</w:t>
      </w:r>
    </w:p>
    <w:p>
      <w:pPr>
        <w:spacing w:after="0" w:line="146" w:lineRule="exact"/>
        <w:rPr>
          <w:sz w:val="20"/>
          <w:szCs w:val="20"/>
          <w:color w:val="auto"/>
        </w:rPr>
      </w:pPr>
    </w:p>
    <w:p>
      <w:pPr>
        <w:ind w:right="260" w:firstLine="603"/>
        <w:spacing w:after="0" w:line="229" w:lineRule="auto"/>
        <w:rPr>
          <w:sz w:val="20"/>
          <w:szCs w:val="20"/>
          <w:color w:val="auto"/>
        </w:rPr>
      </w:pPr>
      <w:r>
        <w:rPr>
          <w:rFonts w:ascii="Arial" w:cs="Arial" w:eastAsia="Arial" w:hAnsi="Arial"/>
          <w:sz w:val="20"/>
          <w:szCs w:val="20"/>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45" w:lineRule="exact"/>
        <w:rPr>
          <w:sz w:val="20"/>
          <w:szCs w:val="20"/>
          <w:color w:val="auto"/>
        </w:rPr>
      </w:pPr>
    </w:p>
    <w:p>
      <w:pPr>
        <w:ind w:right="120" w:firstLine="603"/>
        <w:spacing w:after="0" w:line="224" w:lineRule="auto"/>
        <w:rPr>
          <w:sz w:val="20"/>
          <w:szCs w:val="20"/>
          <w:color w:val="auto"/>
        </w:rPr>
      </w:pPr>
      <w:r>
        <w:rPr>
          <w:rFonts w:ascii="Arial" w:cs="Arial" w:eastAsia="Arial" w:hAnsi="Arial"/>
          <w:sz w:val="20"/>
          <w:szCs w:val="20"/>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46" w:lineRule="exact"/>
        <w:rPr>
          <w:sz w:val="20"/>
          <w:szCs w:val="20"/>
          <w:color w:val="auto"/>
        </w:rPr>
      </w:pPr>
    </w:p>
    <w:p>
      <w:pPr>
        <w:ind w:firstLine="603"/>
        <w:spacing w:after="0" w:line="244" w:lineRule="auto"/>
        <w:rPr>
          <w:sz w:val="20"/>
          <w:szCs w:val="20"/>
          <w:color w:val="auto"/>
        </w:rPr>
      </w:pPr>
      <w:r>
        <w:rPr>
          <w:rFonts w:ascii="Arial" w:cs="Arial" w:eastAsia="Arial" w:hAnsi="Arial"/>
          <w:sz w:val="18"/>
          <w:szCs w:val="18"/>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will mean the average reported last sale price of the shares of common stock for the 5 trading days ending on the third trading day prior to the date on which the notice of redemption is sent to the holders of warrants.</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warrants were issued in registered form under a Warrant Agreement, dated March 5, 2019, between Continental Stock Transfer</w:t>
      </w:r>
    </w:p>
    <w:p>
      <w:pPr>
        <w:spacing w:after="0" w:line="12" w:lineRule="exact"/>
        <w:rPr>
          <w:sz w:val="20"/>
          <w:szCs w:val="20"/>
          <w:color w:val="auto"/>
        </w:rPr>
      </w:pPr>
    </w:p>
    <w:p>
      <w:pPr>
        <w:ind w:right="80"/>
        <w:spacing w:after="0" w:line="219" w:lineRule="auto"/>
        <w:tabs>
          <w:tab w:leader="none" w:pos="206" w:val="left"/>
        </w:tabs>
        <w:numPr>
          <w:ilvl w:val="0"/>
          <w:numId w:val="58"/>
        </w:numPr>
        <w:rPr>
          <w:rFonts w:ascii="Arial" w:cs="Arial" w:eastAsia="Arial" w:hAnsi="Arial"/>
          <w:sz w:val="20"/>
          <w:szCs w:val="20"/>
          <w:color w:val="auto"/>
        </w:rPr>
      </w:pPr>
      <w:r>
        <w:rPr>
          <w:rFonts w:ascii="Arial" w:cs="Arial" w:eastAsia="Arial" w:hAnsi="Arial"/>
          <w:sz w:val="20"/>
          <w:szCs w:val="20"/>
          <w:color w:val="auto"/>
        </w:rPr>
        <w:t>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 order to make any change that adversely affects the interests of the registered holders.</w:t>
      </w:r>
    </w:p>
    <w:p>
      <w:pPr>
        <w:spacing w:after="0" w:line="147" w:lineRule="exact"/>
        <w:rPr>
          <w:sz w:val="20"/>
          <w:szCs w:val="20"/>
          <w:color w:val="auto"/>
        </w:rPr>
      </w:pPr>
    </w:p>
    <w:p>
      <w:pPr>
        <w:jc w:val="both"/>
        <w:ind w:right="700" w:firstLine="603"/>
        <w:spacing w:after="0" w:line="224" w:lineRule="auto"/>
        <w:rPr>
          <w:sz w:val="20"/>
          <w:szCs w:val="20"/>
          <w:color w:val="auto"/>
        </w:rPr>
      </w:pPr>
      <w:r>
        <w:rPr>
          <w:rFonts w:ascii="Arial" w:cs="Arial" w:eastAsia="Arial" w:hAnsi="Arial"/>
          <w:sz w:val="20"/>
          <w:szCs w:val="20"/>
          <w:color w:val="auto"/>
        </w:rPr>
        <w:t>The exercise price and number of shares of common stock issuable on exercise of the warrants may be adjusted in certain circumstances, including in the event of a stock dividend, extraordinary dividend or our recapitalization, reorganization, merger or consolidation. However, the warrants will not be adjusted for issuances of shares of common stock at a price below their respective exercise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11" w:right="339" w:bottom="1440" w:gutter="0" w:footer="0" w:header="0"/>
        </w:sectPr>
      </w:pPr>
    </w:p>
    <w:bookmarkStart w:id="150" w:name="page151"/>
    <w:bookmarkEnd w:id="150"/>
    <w:p>
      <w:pPr>
        <w:ind w:firstLine="603"/>
        <w:spacing w:after="0" w:line="24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nor do the warrant holders have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3" w:lineRule="exact"/>
        <w:rPr>
          <w:sz w:val="20"/>
          <w:szCs w:val="20"/>
          <w:color w:val="auto"/>
        </w:rPr>
      </w:pPr>
    </w:p>
    <w:p>
      <w:pPr>
        <w:ind w:right="140" w:firstLine="603"/>
        <w:spacing w:after="0" w:line="232" w:lineRule="auto"/>
        <w:rPr>
          <w:sz w:val="20"/>
          <w:szCs w:val="20"/>
          <w:color w:val="auto"/>
        </w:rPr>
      </w:pPr>
      <w:r>
        <w:rPr>
          <w:rFonts w:ascii="Arial" w:cs="Arial" w:eastAsia="Arial" w:hAnsi="Arial"/>
          <w:sz w:val="19"/>
          <w:szCs w:val="19"/>
          <w:color w:val="auto"/>
        </w:rPr>
        <w:t>Under the terms of the Warrant Agreement, we agreed to use our best efforts to have declared effective a prospectus relating to the shares of common stock issuable upon exercise of the warrants and to keep such prospectus current until the expiration of the warrants. However, we have not been able to do so and cannot assure you that we will be able to do so and, if we do not maintain a current prospectus relating to the shares of common stock issuable upon exercise of the warrants, holders will be unable to exercise their warrants for cash and we will not be required to net cash settle or cash settle the warrant exercise.</w:t>
      </w:r>
    </w:p>
    <w:p>
      <w:pPr>
        <w:spacing w:after="0" w:line="149" w:lineRule="exact"/>
        <w:rPr>
          <w:sz w:val="20"/>
          <w:szCs w:val="20"/>
          <w:color w:val="auto"/>
        </w:rPr>
      </w:pPr>
    </w:p>
    <w:p>
      <w:pPr>
        <w:jc w:val="both"/>
        <w:ind w:right="20" w:firstLine="603"/>
        <w:spacing w:after="0" w:line="229" w:lineRule="auto"/>
        <w:rPr>
          <w:sz w:val="20"/>
          <w:szCs w:val="20"/>
          <w:color w:val="auto"/>
        </w:rPr>
      </w:pPr>
      <w:r>
        <w:rPr>
          <w:rFonts w:ascii="Arial" w:cs="Arial" w:eastAsia="Arial" w:hAnsi="Arial"/>
          <w:sz w:val="20"/>
          <w:szCs w:val="20"/>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common stock outstanding.</w:t>
      </w:r>
    </w:p>
    <w:p>
      <w:pPr>
        <w:spacing w:after="0" w:line="145" w:lineRule="exact"/>
        <w:rPr>
          <w:sz w:val="20"/>
          <w:szCs w:val="20"/>
          <w:color w:val="auto"/>
        </w:rPr>
      </w:pPr>
    </w:p>
    <w:p>
      <w:pPr>
        <w:ind w:firstLine="603"/>
        <w:spacing w:after="0" w:line="229" w:lineRule="auto"/>
        <w:rPr>
          <w:sz w:val="20"/>
          <w:szCs w:val="20"/>
          <w:color w:val="auto"/>
        </w:rPr>
      </w:pPr>
      <w:r>
        <w:rPr>
          <w:rFonts w:ascii="Arial" w:cs="Arial" w:eastAsia="Arial" w:hAnsi="Arial"/>
          <w:sz w:val="20"/>
          <w:szCs w:val="20"/>
          <w:color w:val="auto"/>
        </w:rPr>
        <w:t>No fractional shares will be issued upon exercise of the warrants. If, upon exercise of the warrants, a holder would be entitled to receive a fractional interest in a share, we will, upon exercise, round up to the nearest whole number the number of shares of common stock to be issued to the warrant holder.</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176" w:lineRule="exact"/>
        <w:rPr>
          <w:sz w:val="20"/>
          <w:szCs w:val="20"/>
          <w:color w:val="auto"/>
        </w:rPr>
      </w:pPr>
    </w:p>
    <w:p>
      <w:pPr>
        <w:ind w:right="40" w:firstLine="603"/>
        <w:spacing w:after="0" w:line="232" w:lineRule="auto"/>
        <w:rPr>
          <w:sz w:val="20"/>
          <w:szCs w:val="20"/>
          <w:color w:val="auto"/>
        </w:rPr>
      </w:pPr>
      <w:r>
        <w:rPr>
          <w:rFonts w:ascii="Arial" w:cs="Arial" w:eastAsia="Arial" w:hAnsi="Arial"/>
          <w:sz w:val="19"/>
          <w:szCs w:val="19"/>
          <w:color w:val="auto"/>
        </w:rPr>
        <w:t>We have not paid any cash dividend on our common stock to date and do not intend to pay cash dividends. The payment of cash dividends in the future will be dependent upon our revenues and earnings, if any, capital requirements and general financial condition. The payment of any cash dividends will be within the discretion of our Board. Our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Agreement</w:t>
      </w:r>
    </w:p>
    <w:p>
      <w:pPr>
        <w:spacing w:after="0" w:line="176" w:lineRule="exact"/>
        <w:rPr>
          <w:sz w:val="20"/>
          <w:szCs w:val="20"/>
          <w:color w:val="auto"/>
        </w:rPr>
      </w:pPr>
    </w:p>
    <w:p>
      <w:pPr>
        <w:ind w:right="60" w:firstLine="603"/>
        <w:spacing w:after="0" w:line="228" w:lineRule="auto"/>
        <w:rPr>
          <w:sz w:val="20"/>
          <w:szCs w:val="20"/>
          <w:color w:val="auto"/>
        </w:rPr>
      </w:pPr>
      <w:r>
        <w:rPr>
          <w:rFonts w:ascii="Arial" w:cs="Arial" w:eastAsia="Arial" w:hAnsi="Arial"/>
          <w:sz w:val="19"/>
          <w:szCs w:val="19"/>
          <w:color w:val="auto"/>
        </w:rPr>
        <w:t>On July 26, 2021, the Company, Mr. Yang Wu and the Sponsor entered into the Stockholders’ Agreement. The Stockholders’ Agreement provides that Mr. Wu will have the right, but not the obligation, to nominate for election to the Board at every meeting of the stockholders of the Company at which directors are elected a number of individuals (rounded up to the nearest whole number) equal to (a) the total number of directors, multiplied by (b) the quotient obtained by dividing the shares of common stock beneficially owned by Mr. Wu by the total number of outstanding shares of common stock (each, a “Wu Director”) less the number of Wu Directors then serving on the Board and whose terms in office are not expiring at such meeting. Mr. Wu, Yanzhuan Zheng, Stanley Whittingham and Arthur Wong were nominated by Mr. Wu as the initial Wu Directors. The Stockholders’ Agreement provides that any increase or decrease in the number of directors will require the affirmative vote of the Wu Directors.</w:t>
      </w:r>
    </w:p>
    <w:p>
      <w:pPr>
        <w:spacing w:after="0" w:line="147" w:lineRule="exact"/>
        <w:rPr>
          <w:sz w:val="20"/>
          <w:szCs w:val="20"/>
          <w:color w:val="auto"/>
        </w:rPr>
      </w:pPr>
    </w:p>
    <w:p>
      <w:pPr>
        <w:ind w:right="300" w:firstLine="603"/>
        <w:spacing w:after="0" w:line="238" w:lineRule="auto"/>
        <w:rPr>
          <w:sz w:val="20"/>
          <w:szCs w:val="20"/>
          <w:color w:val="auto"/>
        </w:rPr>
      </w:pPr>
      <w:r>
        <w:rPr>
          <w:rFonts w:ascii="Arial" w:cs="Arial" w:eastAsia="Arial" w:hAnsi="Arial"/>
          <w:sz w:val="20"/>
          <w:szCs w:val="20"/>
          <w:color w:val="auto"/>
        </w:rPr>
        <w:t>So long as the Sponsor beneficially owns at least 5,481,441 shares of common stock, the Sponsor will have the right, but not the obligation, to nominate for election to the Board at every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20"/>
          </w:cols>
          <w:pgMar w:left="320" w:top="1311" w:right="359" w:bottom="1440" w:gutter="0" w:footer="0" w:header="0"/>
        </w:sectPr>
      </w:pPr>
    </w:p>
    <w:bookmarkStart w:id="151" w:name="page152"/>
    <w:bookmarkEnd w:id="151"/>
    <w:p>
      <w:pPr>
        <w:ind w:right="140"/>
        <w:spacing w:after="0" w:line="229" w:lineRule="auto"/>
        <w:rPr>
          <w:sz w:val="20"/>
          <w:szCs w:val="20"/>
          <w:color w:val="auto"/>
        </w:rPr>
      </w:pPr>
      <w:r>
        <w:rPr>
          <w:rFonts w:ascii="Arial" w:cs="Arial" w:eastAsia="Arial" w:hAnsi="Arial"/>
          <w:sz w:val="20"/>
          <w:szCs w:val="20"/>
          <w:color w:val="auto"/>
        </w:rPr>
        <w:t>meeting of the stockholders of the Company at which directors are elected, one individual (the “Sponsor Director”) less the number of Sponsor Directors then serving on the Board and whose terms in office are not expiring at such meeting. Stephen Vogel was nominated by the Sponsor as the initial Sponsor Director.</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Registration Rights and Lock-Up Agreement</w:t>
      </w:r>
    </w:p>
    <w:p>
      <w:pPr>
        <w:spacing w:after="0" w:line="176" w:lineRule="exact"/>
        <w:rPr>
          <w:sz w:val="20"/>
          <w:szCs w:val="20"/>
          <w:color w:val="auto"/>
        </w:rPr>
      </w:pPr>
    </w:p>
    <w:p>
      <w:pPr>
        <w:ind w:right="20" w:firstLine="603"/>
        <w:spacing w:after="0" w:line="217" w:lineRule="auto"/>
        <w:rPr>
          <w:sz w:val="20"/>
          <w:szCs w:val="20"/>
          <w:color w:val="auto"/>
        </w:rPr>
      </w:pPr>
      <w:r>
        <w:rPr>
          <w:rFonts w:ascii="Arial" w:cs="Arial" w:eastAsia="Arial" w:hAnsi="Arial"/>
          <w:sz w:val="20"/>
          <w:szCs w:val="20"/>
          <w:color w:val="auto"/>
        </w:rPr>
        <w:t>On July 26, 2021, the Company entered into the Registration Rights and Lockup Agreement with stockholders of Microvast prior to the consummation of the Business Combination, the affiliates of certain former investors in our subsidiary Microvast Power System (Houzhou) Co. Ltd., the Sponsor and certain officers and directors of the Company, pursuant to which the Company was obligated to file a registration statement promptly following the closing of the Business Combination to register the resale of certain securities of the Company held by the parties to the Registration Rights and Lock-Up Agreement. The Registration Rights and Lock-Up Agreement provides the parties thereto with “piggy-back” registration rights and block trade registration rights, subject to certain requirements and customary conditions.</w:t>
      </w:r>
    </w:p>
    <w:p>
      <w:pPr>
        <w:spacing w:after="0" w:line="151" w:lineRule="exact"/>
        <w:rPr>
          <w:sz w:val="20"/>
          <w:szCs w:val="20"/>
          <w:color w:val="auto"/>
        </w:rPr>
      </w:pPr>
    </w:p>
    <w:p>
      <w:pPr>
        <w:ind w:right="60" w:firstLine="603"/>
        <w:spacing w:after="0" w:line="219" w:lineRule="auto"/>
        <w:rPr>
          <w:sz w:val="20"/>
          <w:szCs w:val="20"/>
          <w:color w:val="auto"/>
        </w:rPr>
      </w:pPr>
      <w:r>
        <w:rPr>
          <w:rFonts w:ascii="Arial" w:cs="Arial" w:eastAsia="Arial" w:hAnsi="Arial"/>
          <w:sz w:val="20"/>
          <w:szCs w:val="20"/>
          <w:color w:val="auto"/>
        </w:rPr>
        <w:t>In connection with the PIPE Offering, the Company agreed that, within 30 calendar days after the closing of the Business Combination, the Company had to file with the SEC a registration statement registering the resale or transfer of the shares issued to the PIPE investors. The Company must use commercially reasonable efforts to maintain the continuous effectiveness of the registration statement until the earliest of: (i) the date on which the shares may be resold without volume or manner of sale limitations pursuant to Rule 144, (ii) the date on which such Shares have actually been sold and (iii) the date which is two years after the closing of the Business Combination.</w:t>
      </w:r>
    </w:p>
    <w:p>
      <w:pPr>
        <w:spacing w:after="0" w:line="147" w:lineRule="exact"/>
        <w:rPr>
          <w:sz w:val="20"/>
          <w:szCs w:val="20"/>
          <w:color w:val="auto"/>
        </w:rPr>
      </w:pPr>
    </w:p>
    <w:p>
      <w:pPr>
        <w:ind w:right="260" w:firstLine="603"/>
        <w:spacing w:after="0" w:line="252" w:lineRule="auto"/>
        <w:rPr>
          <w:sz w:val="20"/>
          <w:szCs w:val="20"/>
          <w:color w:val="auto"/>
        </w:rPr>
      </w:pPr>
      <w:r>
        <w:rPr>
          <w:rFonts w:ascii="Arial" w:cs="Arial" w:eastAsia="Arial" w:hAnsi="Arial"/>
          <w:sz w:val="18"/>
          <w:szCs w:val="18"/>
          <w:color w:val="auto"/>
        </w:rPr>
        <w:t>In connection with the Company’s initial public offering, the Company agreed that, as soon as practicable after the closing of the Business Combination, it had to use its best efforts to file, with the SEC, a registration statement for the registration, under the Securities Act, of the shares of common stock issuable upon exercise of the warrants. The Company must use its best efforts to cause the same to become effective and to maintain the effectiveness of such registration statement until the expiration of the warrants.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the Charter and the Bylaws</w:t>
      </w:r>
    </w:p>
    <w:p>
      <w:pPr>
        <w:spacing w:after="0" w:line="176" w:lineRule="exact"/>
        <w:rPr>
          <w:sz w:val="20"/>
          <w:szCs w:val="20"/>
          <w:color w:val="auto"/>
        </w:rPr>
      </w:pPr>
    </w:p>
    <w:p>
      <w:pPr>
        <w:ind w:right="160" w:firstLine="603"/>
        <w:spacing w:after="0" w:line="221" w:lineRule="auto"/>
        <w:rPr>
          <w:sz w:val="20"/>
          <w:szCs w:val="20"/>
          <w:color w:val="auto"/>
        </w:rPr>
      </w:pPr>
      <w:r>
        <w:rPr>
          <w:rFonts w:ascii="Arial" w:cs="Arial" w:eastAsia="Arial" w:hAnsi="Arial"/>
          <w:sz w:val="20"/>
          <w:szCs w:val="20"/>
          <w:color w:val="auto"/>
        </w:rPr>
        <w:t>Some provisions of the Charter and the Bylaws, which are summarized in the following paragraphs, are intended to enhance the likelihood of continuity and stability in the composition of the Board and to discourage certain types of transactions that may involve an actual or threatened acquisition of the Company. However, these provisions may have the effect of rendering more difficult, discouraging, delaying, or preventing an acquisition deemed undesirable by Mr. Wu or the Board and therefore depress the trading price of the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Authorized but Unissued Capital Stock</w:t>
      </w:r>
    </w:p>
    <w:p>
      <w:pPr>
        <w:spacing w:after="0" w:line="172" w:lineRule="exact"/>
        <w:rPr>
          <w:sz w:val="20"/>
          <w:szCs w:val="20"/>
          <w:color w:val="auto"/>
        </w:rPr>
      </w:pPr>
    </w:p>
    <w:p>
      <w:pPr>
        <w:ind w:firstLine="603"/>
        <w:spacing w:after="0" w:line="236" w:lineRule="auto"/>
        <w:rPr>
          <w:sz w:val="20"/>
          <w:szCs w:val="20"/>
          <w:color w:val="auto"/>
        </w:rPr>
      </w:pPr>
      <w:r>
        <w:rPr>
          <w:rFonts w:ascii="Arial" w:cs="Arial" w:eastAsia="Arial" w:hAnsi="Arial"/>
          <w:sz w:val="19"/>
          <w:szCs w:val="19"/>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311" w:right="339" w:bottom="1440" w:gutter="0" w:footer="0" w:header="0"/>
        </w:sectPr>
      </w:pPr>
    </w:p>
    <w:bookmarkStart w:id="152" w:name="page153"/>
    <w:bookmarkEnd w:id="152"/>
    <w:p>
      <w:pPr>
        <w:spacing w:after="0"/>
        <w:rPr>
          <w:sz w:val="20"/>
          <w:szCs w:val="20"/>
          <w:color w:val="auto"/>
        </w:rPr>
      </w:pPr>
      <w:r>
        <w:rPr>
          <w:rFonts w:ascii="Arial" w:cs="Arial" w:eastAsia="Arial" w:hAnsi="Arial"/>
          <w:sz w:val="20"/>
          <w:szCs w:val="20"/>
          <w:b w:val="1"/>
          <w:bCs w:val="1"/>
          <w:i w:val="1"/>
          <w:iCs w:val="1"/>
          <w:color w:val="auto"/>
        </w:rPr>
        <w:t>Classified Board</w:t>
      </w:r>
    </w:p>
    <w:p>
      <w:pPr>
        <w:spacing w:after="0" w:line="172" w:lineRule="exact"/>
        <w:rPr>
          <w:sz w:val="20"/>
          <w:szCs w:val="20"/>
          <w:color w:val="auto"/>
        </w:rPr>
      </w:pPr>
    </w:p>
    <w:p>
      <w:pPr>
        <w:ind w:right="100" w:firstLine="603"/>
        <w:spacing w:after="0" w:line="224" w:lineRule="auto"/>
        <w:rPr>
          <w:sz w:val="20"/>
          <w:szCs w:val="20"/>
          <w:color w:val="auto"/>
        </w:rPr>
      </w:pPr>
      <w:r>
        <w:rPr>
          <w:rFonts w:ascii="Arial" w:cs="Arial" w:eastAsia="Arial" w:hAnsi="Arial"/>
          <w:sz w:val="20"/>
          <w:szCs w:val="20"/>
          <w:color w:val="auto"/>
        </w:rPr>
        <w:t>The Charter provides that the Board (other than those directors, if any, elected by the holders of any outstanding series of preferred stock) is divided into three classes of directors. The existence of a classified board of directors could discourage a third-party from making a tender offer or otherwise attempting to obtain control of the Company, as the classification of the Board makes it more time consuming for stockholders to replace a majority of the directors.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Number of Directors</w:t>
      </w:r>
    </w:p>
    <w:p>
      <w:pPr>
        <w:spacing w:after="0" w:line="172" w:lineRule="exact"/>
        <w:rPr>
          <w:sz w:val="20"/>
          <w:szCs w:val="20"/>
          <w:color w:val="auto"/>
        </w:rPr>
      </w:pPr>
    </w:p>
    <w:p>
      <w:pPr>
        <w:ind w:right="160" w:firstLine="603"/>
        <w:spacing w:after="0" w:line="290" w:lineRule="auto"/>
        <w:rPr>
          <w:sz w:val="20"/>
          <w:szCs w:val="20"/>
          <w:color w:val="auto"/>
        </w:rPr>
      </w:pPr>
      <w:r>
        <w:rPr>
          <w:rFonts w:ascii="Arial" w:cs="Arial" w:eastAsia="Arial" w:hAnsi="Arial"/>
          <w:sz w:val="18"/>
          <w:szCs w:val="18"/>
          <w:color w:val="auto"/>
        </w:rPr>
        <w:t>The Charter provides that the number of directors on the Board will be fixed in the manner set forth in the Bylaws, except that any increase or decrease in the number of directors will require the affirmative vote of the directors appointed by Mr. Wu then in office.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Board of Director Vacancies</w:t>
      </w:r>
    </w:p>
    <w:p>
      <w:pPr>
        <w:spacing w:after="0" w:line="172" w:lineRule="exact"/>
        <w:rPr>
          <w:sz w:val="20"/>
          <w:szCs w:val="20"/>
          <w:color w:val="auto"/>
        </w:rPr>
      </w:pPr>
    </w:p>
    <w:p>
      <w:pPr>
        <w:ind w:right="280" w:firstLine="603"/>
        <w:spacing w:after="0" w:line="217" w:lineRule="auto"/>
        <w:rPr>
          <w:sz w:val="20"/>
          <w:szCs w:val="20"/>
          <w:color w:val="auto"/>
        </w:rPr>
      </w:pPr>
      <w:r>
        <w:rPr>
          <w:rFonts w:ascii="Arial" w:cs="Arial" w:eastAsia="Arial" w:hAnsi="Arial"/>
          <w:sz w:val="20"/>
          <w:szCs w:val="20"/>
          <w:color w:val="auto"/>
        </w:rPr>
        <w:t>The Charter provides that, with respect to directors elected by the stockholders generally entitled to vote, (i) newly created directorships resulting from an increase in the authorized number of directors or any vacancies on the Board resulting from death, resignation, disqualification, removal or other cause will be filled solely and exclusively by a majority of the directors then in office, although less than a quorum, or by the sole remaining director, and (ii) that any director so elected will hold office until the expiration of the term of office of the director whom he or she has replaced and until his or her successor is elected and qualified, subject to such director’s earlier death, resignation, disqualification or removal, which prevents stockholders from being able to fill vacancies on the Board.</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Directors Removed Only for Cause</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Charter provides that any director elected by the stockholders generally entitled to vote may only be removed for cause.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Special Meeting of Stockholders</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Charter provides that special meetings of stockholders may only be called by: (1) the Board, (2) the chairman of the Board or</w:t>
      </w:r>
    </w:p>
    <w:p>
      <w:pPr>
        <w:spacing w:after="0" w:line="12" w:lineRule="exact"/>
        <w:rPr>
          <w:sz w:val="20"/>
          <w:szCs w:val="20"/>
          <w:color w:val="auto"/>
        </w:rPr>
      </w:pPr>
    </w:p>
    <w:p>
      <w:pPr>
        <w:jc w:val="both"/>
        <w:ind w:right="280"/>
        <w:spacing w:after="0" w:line="269" w:lineRule="auto"/>
        <w:tabs>
          <w:tab w:leader="none" w:pos="2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Mr. Wu, so long as Mr. Wu beneficially owns at least 10% of the total voting power of the outstanding capital stock of the Company, which may delay the ability of our stockholders to force consideration of a proposal or to take action, including the removal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Action by Written Consent</w:t>
      </w:r>
    </w:p>
    <w:p>
      <w:pPr>
        <w:spacing w:after="0" w:line="172" w:lineRule="exact"/>
        <w:rPr>
          <w:sz w:val="20"/>
          <w:szCs w:val="20"/>
          <w:color w:val="auto"/>
        </w:rPr>
      </w:pPr>
    </w:p>
    <w:p>
      <w:pPr>
        <w:ind w:right="120" w:firstLine="603"/>
        <w:spacing w:after="0" w:line="238" w:lineRule="auto"/>
        <w:rPr>
          <w:sz w:val="20"/>
          <w:szCs w:val="20"/>
          <w:color w:val="auto"/>
        </w:rPr>
      </w:pPr>
      <w:r>
        <w:rPr>
          <w:rFonts w:ascii="Arial" w:cs="Arial" w:eastAsia="Arial" w:hAnsi="Arial"/>
          <w:sz w:val="20"/>
          <w:szCs w:val="20"/>
          <w:color w:val="auto"/>
        </w:rPr>
        <w:t>The Charter provides that stockholder action can be taken only at an annual or special meeting of stockholders and cannot be taken by consent in lieu of a meeting.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Supermajority Requirement for Amendments of the Charter</w:t>
      </w:r>
    </w:p>
    <w:p>
      <w:pPr>
        <w:spacing w:after="0" w:line="172" w:lineRule="exact"/>
        <w:rPr>
          <w:sz w:val="20"/>
          <w:szCs w:val="20"/>
          <w:color w:val="auto"/>
        </w:rPr>
      </w:pPr>
    </w:p>
    <w:p>
      <w:pPr>
        <w:ind w:firstLine="603"/>
        <w:spacing w:after="0" w:line="230" w:lineRule="auto"/>
        <w:rPr>
          <w:sz w:val="20"/>
          <w:szCs w:val="20"/>
          <w:color w:val="auto"/>
        </w:rPr>
      </w:pPr>
      <w:r>
        <w:rPr>
          <w:rFonts w:ascii="Arial" w:cs="Arial" w:eastAsia="Arial" w:hAnsi="Arial"/>
          <w:sz w:val="19"/>
          <w:szCs w:val="19"/>
          <w:color w:val="auto"/>
        </w:rPr>
        <w:t>The DGCL generally provides that the affirmative vote of the holders of a majority of the total voting power of the shares entitled to vote is required to amend a corporation’s certificate of incorporation, unless the corporation’s certificate of incorporation requires a greater percentage. The Charter provides that, so long as Mr. Wu owns at least 10% of the total voting power of the outstanding capital stock of the Company, the Charter may only be amended by the affirmative vote of at least 75% of the total voting power of the outstanding capital stock of the Company. If Mr. Wu ceases to own at least 10% of the total voting power of the outstanding capital stock of the Company, the Charter may be amended by the affirmative vote of a majority of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11" w:right="339" w:bottom="1440" w:gutter="0" w:footer="0" w:header="0"/>
        </w:sectPr>
      </w:pPr>
    </w:p>
    <w:bookmarkStart w:id="153" w:name="page154"/>
    <w:bookmarkEnd w:id="153"/>
    <w:p>
      <w:pPr>
        <w:ind w:right="20"/>
        <w:spacing w:after="0" w:line="238" w:lineRule="auto"/>
        <w:rPr>
          <w:sz w:val="20"/>
          <w:szCs w:val="20"/>
          <w:color w:val="auto"/>
        </w:rPr>
      </w:pPr>
      <w:r>
        <w:rPr>
          <w:rFonts w:ascii="Arial" w:cs="Arial" w:eastAsia="Arial" w:hAnsi="Arial"/>
          <w:sz w:val="20"/>
          <w:szCs w:val="20"/>
          <w:color w:val="auto"/>
        </w:rPr>
        <w:t>voting power of the outstanding capital stock of the Company. Such requirement for a supermajority to approve amendments to the Charter could enable a minority of the stockholders of the Company to exercise veto power over such amendments.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Notice Requirements for Stockholder Proposals and Director Nominations</w:t>
      </w:r>
    </w:p>
    <w:p>
      <w:pPr>
        <w:spacing w:after="0" w:line="172" w:lineRule="exact"/>
        <w:rPr>
          <w:sz w:val="20"/>
          <w:szCs w:val="20"/>
          <w:color w:val="auto"/>
        </w:rPr>
      </w:pPr>
    </w:p>
    <w:p>
      <w:pPr>
        <w:ind w:firstLine="603"/>
        <w:spacing w:after="0" w:line="224" w:lineRule="auto"/>
        <w:rPr>
          <w:sz w:val="20"/>
          <w:szCs w:val="20"/>
          <w:color w:val="auto"/>
        </w:rPr>
      </w:pPr>
      <w:r>
        <w:rPr>
          <w:rFonts w:ascii="Arial" w:cs="Arial" w:eastAsia="Arial" w:hAnsi="Arial"/>
          <w:sz w:val="20"/>
          <w:szCs w:val="20"/>
          <w:color w:val="auto"/>
        </w:rPr>
        <w:t>The Charter and Bylaws provide advance notice procedures for stockholders seeking to bring business before the special meeting of stockholders or to nominate candidates for election as directors at the special meeting of stockholders. The Bylaws will also specify certain requirements regarding the form and content of a stockholder’s notice. These provisions might make it more difficult to bring matters before the special meeting.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Exclusive Forum Selection</w:t>
      </w:r>
    </w:p>
    <w:p>
      <w:pPr>
        <w:spacing w:after="0" w:line="172" w:lineRule="exact"/>
        <w:rPr>
          <w:sz w:val="20"/>
          <w:szCs w:val="20"/>
          <w:color w:val="auto"/>
        </w:rPr>
      </w:pPr>
    </w:p>
    <w:p>
      <w:pPr>
        <w:ind w:firstLine="603"/>
        <w:spacing w:after="0" w:line="237" w:lineRule="auto"/>
        <w:rPr>
          <w:sz w:val="20"/>
          <w:szCs w:val="20"/>
          <w:color w:val="auto"/>
        </w:rPr>
      </w:pPr>
      <w:r>
        <w:rPr>
          <w:rFonts w:ascii="Arial" w:cs="Arial" w:eastAsia="Arial" w:hAnsi="Arial"/>
          <w:sz w:val="18"/>
          <w:szCs w:val="18"/>
          <w:color w:val="auto"/>
        </w:rPr>
        <w:t>The Charter provides that, unless we consent to the selection of an alternative forum, any (1) derivative action or proceeding brought on behalf of the Company, (2) action asserting a claim of breach of a fiduciary duty owed by any current or former director, officer, other employee or stockholder of the Company to the Company or the Company’s stockholders, (3) action asserting a claim against the Company or any director or officer of the Company (a) action arising pursuant to any provision of the DGCL or the Charter or the Bylaws or (b) as to which the DGCL confers jurisdiction on the Court of Chancery of the State of Delaware or (iv) action asserting a claim against the Company or any director or officer of the Company governed by the internal affairs doctrine of the law of the State of Delaware will, to the fullest extent permitted by law, be solely and exclusively brought in the Court of Chancery of the State of Delaware or, if such court does not have subject matter jurisdiction thereof, any other court located in the State of Delaware with subject matter jurisdiction. This forum selection provision does not apply to any action asserting claims arising under the Exchange Act or the Securities Act. The forum provision further provides that the federal district courts of the United States of America will, to the fullest extent permitted by applicable law, be the sole and exclusive forum for the resolution of any action asserting claims arising under the Securities Act. To the fullest extent permitted by law, any person or entity purchasing or otherwise acquiring or holding any interest in shares of capital stock of the Company will be deemed to have notice of and consented to the forum provisions in the Charter. Although the Company believes this provision benefits it by providing increased consistency in the application of Delaware law in the types of lawsuits to which it applies, the provision may have the effect of discouraging lawsuits against Company’s directors and officers.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Liability and Indemnification of Officers and Directors</w:t>
      </w:r>
    </w:p>
    <w:p>
      <w:pPr>
        <w:spacing w:after="0" w:line="176" w:lineRule="exact"/>
        <w:rPr>
          <w:sz w:val="20"/>
          <w:szCs w:val="20"/>
          <w:color w:val="auto"/>
        </w:rPr>
      </w:pPr>
    </w:p>
    <w:p>
      <w:pPr>
        <w:ind w:right="40" w:firstLine="603"/>
        <w:spacing w:after="0" w:line="242" w:lineRule="auto"/>
        <w:rPr>
          <w:sz w:val="20"/>
          <w:szCs w:val="20"/>
          <w:color w:val="auto"/>
        </w:rPr>
      </w:pPr>
      <w:r>
        <w:rPr>
          <w:rFonts w:ascii="Arial" w:cs="Arial" w:eastAsia="Arial" w:hAnsi="Arial"/>
          <w:sz w:val="18"/>
          <w:szCs w:val="18"/>
          <w:color w:val="auto"/>
        </w:rPr>
        <w:t>The DGCL authorizes corporations to limit or eliminate the personal liability of the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duties as a director, except to the extent such exemption from liability or limitation thereof is not permitted under the DGCL. The effect of this provision is to eliminate the rights of the Company and its stockholders, through stockholders’ derivative suits on the Company’s behalf, to recover monetary damages from a director for a breach of fiduciary duties as a director, including breaches resulting from grossly negligent behavior. However, exculpation does not apply to any director if the director has acted in bad faith or knowingly or intentionally violated the law.</w:t>
      </w:r>
    </w:p>
    <w:p>
      <w:pPr>
        <w:spacing w:after="0" w:line="146" w:lineRule="exact"/>
        <w:rPr>
          <w:sz w:val="20"/>
          <w:szCs w:val="20"/>
          <w:color w:val="auto"/>
        </w:rPr>
      </w:pPr>
    </w:p>
    <w:p>
      <w:pPr>
        <w:ind w:right="60" w:firstLine="603"/>
        <w:spacing w:after="0" w:line="229" w:lineRule="auto"/>
        <w:rPr>
          <w:sz w:val="20"/>
          <w:szCs w:val="20"/>
          <w:color w:val="auto"/>
        </w:rPr>
      </w:pPr>
      <w:r>
        <w:rPr>
          <w:rFonts w:ascii="Arial" w:cs="Arial" w:eastAsia="Arial" w:hAnsi="Arial"/>
          <w:sz w:val="20"/>
          <w:szCs w:val="20"/>
          <w:color w:val="auto"/>
        </w:rPr>
        <w:t>The Charter and the Bylaws provide that the Company must indemnify and advance expenses to directors and officers to the fullest extent authorized by the DGCL. The Company is also expressly authorized to carry directors’ and officers’ liability insurance providing indemnification for directors, officers and certain employees for some liabilities.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20"/>
          </w:cols>
          <w:pgMar w:left="320" w:top="1311" w:right="359" w:bottom="1440" w:gutter="0" w:footer="0" w:header="0"/>
        </w:sectPr>
      </w:pPr>
    </w:p>
    <w:bookmarkStart w:id="154" w:name="page155"/>
    <w:bookmarkEnd w:id="154"/>
    <w:p>
      <w:pPr>
        <w:ind w:right="620"/>
        <w:spacing w:after="0" w:line="238" w:lineRule="auto"/>
        <w:rPr>
          <w:sz w:val="20"/>
          <w:szCs w:val="20"/>
          <w:color w:val="auto"/>
        </w:rPr>
      </w:pPr>
      <w:r>
        <w:rPr>
          <w:rFonts w:ascii="Arial" w:cs="Arial" w:eastAsia="Arial" w:hAnsi="Arial"/>
          <w:sz w:val="20"/>
          <w:szCs w:val="20"/>
          <w:color w:val="auto"/>
        </w:rPr>
        <w:t>believes that these indemnification and advancement provisions and insurance are useful to attract and retain qualified directors and executive officers.</w:t>
      </w:r>
    </w:p>
    <w:p>
      <w:pPr>
        <w:spacing w:after="0" w:line="146" w:lineRule="exact"/>
        <w:rPr>
          <w:sz w:val="20"/>
          <w:szCs w:val="20"/>
          <w:color w:val="auto"/>
        </w:rPr>
      </w:pPr>
    </w:p>
    <w:p>
      <w:pPr>
        <w:ind w:firstLine="603"/>
        <w:spacing w:after="0" w:line="217" w:lineRule="auto"/>
        <w:rPr>
          <w:sz w:val="20"/>
          <w:szCs w:val="20"/>
          <w:color w:val="auto"/>
        </w:rPr>
      </w:pPr>
      <w:r>
        <w:rPr>
          <w:rFonts w:ascii="Arial" w:cs="Arial" w:eastAsia="Arial" w:hAnsi="Arial"/>
          <w:sz w:val="20"/>
          <w:szCs w:val="20"/>
          <w:color w:val="auto"/>
        </w:rPr>
        <w:t>The limitation of liability, indemnification and advancement provisions in the Charter and the Bylaws may discourage stockholders from bringing a lawsuit against directors for breach of their fiduciary duties.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officers pursuant to these indemnification provisions. The Company believes that these provisions, liability insurance and the indemnity agreements are necessary to attract and retain talented and experienced directors and officers.</w:t>
      </w:r>
    </w:p>
    <w:p>
      <w:pPr>
        <w:spacing w:after="0" w:line="151" w:lineRule="exact"/>
        <w:rPr>
          <w:sz w:val="20"/>
          <w:szCs w:val="20"/>
          <w:color w:val="auto"/>
        </w:rPr>
      </w:pPr>
    </w:p>
    <w:p>
      <w:pPr>
        <w:jc w:val="both"/>
        <w:ind w:right="60" w:firstLine="603"/>
        <w:spacing w:after="0" w:line="241" w:lineRule="auto"/>
        <w:rPr>
          <w:sz w:val="20"/>
          <w:szCs w:val="20"/>
          <w:color w:val="auto"/>
        </w:rPr>
      </w:pPr>
      <w:r>
        <w:rPr>
          <w:rFonts w:ascii="Arial" w:cs="Arial" w:eastAsia="Arial" w:hAnsi="Arial"/>
          <w:sz w:val="19"/>
          <w:szCs w:val="19"/>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transfer agent for our securities is Continental Stock Transfer &amp; Trust Company, 1 State Street, New York, New York 10004.</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 of Securities</w:t>
      </w:r>
    </w:p>
    <w:p>
      <w:pPr>
        <w:spacing w:after="0" w:line="176" w:lineRule="exact"/>
        <w:rPr>
          <w:sz w:val="20"/>
          <w:szCs w:val="20"/>
          <w:color w:val="auto"/>
        </w:rPr>
      </w:pPr>
    </w:p>
    <w:p>
      <w:pPr>
        <w:ind w:right="240" w:firstLine="603"/>
        <w:spacing w:after="0" w:line="262" w:lineRule="auto"/>
        <w:rPr>
          <w:sz w:val="20"/>
          <w:szCs w:val="20"/>
          <w:color w:val="auto"/>
        </w:rPr>
      </w:pPr>
      <w:r>
        <w:rPr>
          <w:rFonts w:ascii="Arial" w:cs="Arial" w:eastAsia="Arial" w:hAnsi="Arial"/>
          <w:sz w:val="19"/>
          <w:szCs w:val="19"/>
          <w:color w:val="auto"/>
        </w:rPr>
        <w:t>Our common stock and warrants are listed on the NASDAQ under the symbols “MVST” and “MVSTW”. As of March 10, 2023, the Company estimates that it has approximately 127 holders of common stock and 24 record holders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20"/>
          </w:cols>
          <w:pgMar w:left="320" w:top="1311" w:right="359" w:bottom="1440" w:gutter="0" w:footer="0" w:header="0"/>
        </w:sectPr>
      </w:pPr>
    </w:p>
    <w:bookmarkStart w:id="155" w:name="page156"/>
    <w:bookmarkEnd w:id="155"/>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300" w:type="dxa"/>
            <w:vAlign w:val="bottom"/>
            <w:tcBorders>
              <w:bottom w:val="single" w:sz="8" w:color="auto"/>
            </w:tcBorders>
          </w:tcPr>
          <w:p>
            <w:pPr>
              <w:ind w:left="2580"/>
              <w:spacing w:after="0"/>
              <w:rPr>
                <w:sz w:val="20"/>
                <w:szCs w:val="20"/>
                <w:color w:val="auto"/>
              </w:rPr>
            </w:pPr>
            <w:r>
              <w:rPr>
                <w:rFonts w:ascii="Arial" w:cs="Arial" w:eastAsia="Arial" w:hAnsi="Arial"/>
                <w:sz w:val="20"/>
                <w:szCs w:val="20"/>
                <w:b w:val="1"/>
                <w:bCs w:val="1"/>
                <w:color w:val="auto"/>
              </w:rPr>
              <w:t>Name of Subsidiaries</w:t>
            </w:r>
          </w:p>
        </w:tc>
        <w:tc>
          <w:tcPr>
            <w:tcW w:w="4940" w:type="dxa"/>
            <w:vAlign w:val="bottom"/>
            <w:tcBorders>
              <w:bottom w:val="single" w:sz="8" w:color="auto"/>
            </w:tcBorders>
          </w:tcPr>
          <w:p>
            <w:pPr>
              <w:jc w:val="center"/>
              <w:ind w:left="600"/>
              <w:spacing w:after="0"/>
              <w:rPr>
                <w:sz w:val="20"/>
                <w:szCs w:val="20"/>
                <w:color w:val="auto"/>
              </w:rPr>
            </w:pPr>
            <w:r>
              <w:rPr>
                <w:rFonts w:ascii="Arial" w:cs="Arial" w:eastAsia="Arial" w:hAnsi="Arial"/>
                <w:sz w:val="20"/>
                <w:szCs w:val="20"/>
                <w:b w:val="1"/>
                <w:bCs w:val="1"/>
                <w:color w:val="auto"/>
                <w:w w:val="90"/>
              </w:rPr>
              <w:t>Place of Incorporation</w:t>
            </w:r>
          </w:p>
        </w:tc>
      </w:tr>
      <w:tr>
        <w:trPr>
          <w:trHeight w:val="236"/>
        </w:trPr>
        <w:tc>
          <w:tcPr>
            <w:tcW w:w="6300" w:type="dxa"/>
            <w:vAlign w:val="bottom"/>
          </w:tcPr>
          <w:p>
            <w:pPr>
              <w:ind w:left="60"/>
              <w:spacing w:after="0"/>
              <w:rPr>
                <w:sz w:val="20"/>
                <w:szCs w:val="20"/>
                <w:color w:val="auto"/>
              </w:rPr>
            </w:pPr>
            <w:r>
              <w:rPr>
                <w:rFonts w:ascii="Arial" w:cs="Arial" w:eastAsia="Arial" w:hAnsi="Arial"/>
                <w:sz w:val="20"/>
                <w:szCs w:val="20"/>
                <w:color w:val="auto"/>
              </w:rPr>
              <w:t>Microvast, Inc.</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93"/>
              </w:rPr>
              <w:t>Delaware, USA</w:t>
            </w:r>
          </w:p>
        </w:tc>
      </w:tr>
      <w:tr>
        <w:trPr>
          <w:trHeight w:val="251"/>
        </w:trPr>
        <w:tc>
          <w:tcPr>
            <w:tcW w:w="6300" w:type="dxa"/>
            <w:vAlign w:val="bottom"/>
          </w:tcPr>
          <w:p>
            <w:pPr>
              <w:ind w:left="60"/>
              <w:spacing w:after="0"/>
              <w:rPr>
                <w:sz w:val="20"/>
                <w:szCs w:val="20"/>
                <w:color w:val="auto"/>
              </w:rPr>
            </w:pPr>
            <w:r>
              <w:rPr>
                <w:rFonts w:ascii="Arial" w:cs="Arial" w:eastAsia="Arial" w:hAnsi="Arial"/>
                <w:sz w:val="20"/>
                <w:szCs w:val="20"/>
                <w:color w:val="auto"/>
              </w:rPr>
              <w:t>Microvast Power Solutions, Inc.</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89"/>
              </w:rPr>
              <w:t>Texas, USA</w:t>
            </w:r>
          </w:p>
        </w:tc>
      </w:tr>
      <w:tr>
        <w:trPr>
          <w:trHeight w:val="251"/>
        </w:trPr>
        <w:tc>
          <w:tcPr>
            <w:tcW w:w="6300" w:type="dxa"/>
            <w:vAlign w:val="bottom"/>
          </w:tcPr>
          <w:p>
            <w:pPr>
              <w:ind w:left="60"/>
              <w:spacing w:after="0"/>
              <w:rPr>
                <w:sz w:val="20"/>
                <w:szCs w:val="20"/>
                <w:color w:val="auto"/>
              </w:rPr>
            </w:pPr>
            <w:r>
              <w:rPr>
                <w:rFonts w:ascii="Arial" w:cs="Arial" w:eastAsia="Arial" w:hAnsi="Arial"/>
                <w:sz w:val="20"/>
                <w:szCs w:val="20"/>
                <w:color w:val="auto"/>
              </w:rPr>
              <w:t>Microvast Power Systems Co., Ltd.</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91"/>
              </w:rPr>
              <w:t>Huzhou, PRC</w:t>
            </w:r>
          </w:p>
        </w:tc>
      </w:tr>
      <w:tr>
        <w:trPr>
          <w:trHeight w:val="251"/>
        </w:trPr>
        <w:tc>
          <w:tcPr>
            <w:tcW w:w="6300" w:type="dxa"/>
            <w:vAlign w:val="bottom"/>
          </w:tcPr>
          <w:p>
            <w:pPr>
              <w:ind w:left="60"/>
              <w:spacing w:after="0"/>
              <w:rPr>
                <w:sz w:val="20"/>
                <w:szCs w:val="20"/>
                <w:color w:val="auto"/>
              </w:rPr>
            </w:pPr>
            <w:r>
              <w:rPr>
                <w:rFonts w:ascii="Arial" w:cs="Arial" w:eastAsia="Arial" w:hAnsi="Arial"/>
                <w:sz w:val="20"/>
                <w:szCs w:val="20"/>
                <w:color w:val="auto"/>
              </w:rPr>
              <w:t>Microvast Power Systems UK Limited</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98"/>
              </w:rPr>
              <w:t>Cardiff, UK</w:t>
            </w:r>
          </w:p>
        </w:tc>
      </w:tr>
      <w:tr>
        <w:trPr>
          <w:trHeight w:val="251"/>
        </w:trPr>
        <w:tc>
          <w:tcPr>
            <w:tcW w:w="6300" w:type="dxa"/>
            <w:vAlign w:val="bottom"/>
          </w:tcPr>
          <w:p>
            <w:pPr>
              <w:ind w:left="60"/>
              <w:spacing w:after="0"/>
              <w:rPr>
                <w:sz w:val="20"/>
                <w:szCs w:val="20"/>
                <w:color w:val="auto"/>
              </w:rPr>
            </w:pPr>
            <w:r>
              <w:rPr>
                <w:rFonts w:ascii="Arial" w:cs="Arial" w:eastAsia="Arial" w:hAnsi="Arial"/>
                <w:sz w:val="20"/>
                <w:szCs w:val="20"/>
                <w:color w:val="auto"/>
              </w:rPr>
              <w:t>Microvast GmbH</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92"/>
              </w:rPr>
              <w:t>Germany</w:t>
            </w:r>
          </w:p>
        </w:tc>
      </w:tr>
      <w:tr>
        <w:trPr>
          <w:trHeight w:val="251"/>
        </w:trPr>
        <w:tc>
          <w:tcPr>
            <w:tcW w:w="6300" w:type="dxa"/>
            <w:vAlign w:val="bottom"/>
          </w:tcPr>
          <w:p>
            <w:pPr>
              <w:ind w:left="60"/>
              <w:spacing w:after="0"/>
              <w:rPr>
                <w:sz w:val="20"/>
                <w:szCs w:val="20"/>
                <w:color w:val="auto"/>
              </w:rPr>
            </w:pPr>
            <w:r>
              <w:rPr>
                <w:rFonts w:ascii="Arial" w:cs="Arial" w:eastAsia="Arial" w:hAnsi="Arial"/>
                <w:sz w:val="20"/>
                <w:szCs w:val="20"/>
                <w:color w:val="auto"/>
              </w:rPr>
              <w:t>Huzhou Hongwei New Energy Automobile Co., Ltd.</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91"/>
              </w:rPr>
              <w:t>Huzhou, PRC</w:t>
            </w:r>
          </w:p>
        </w:tc>
      </w:tr>
      <w:tr>
        <w:trPr>
          <w:trHeight w:val="251"/>
        </w:trPr>
        <w:tc>
          <w:tcPr>
            <w:tcW w:w="6300" w:type="dxa"/>
            <w:vAlign w:val="bottom"/>
          </w:tcPr>
          <w:p>
            <w:pPr>
              <w:ind w:left="60"/>
              <w:spacing w:after="0"/>
              <w:rPr>
                <w:sz w:val="20"/>
                <w:szCs w:val="20"/>
                <w:color w:val="auto"/>
              </w:rPr>
            </w:pPr>
            <w:r>
              <w:rPr>
                <w:rFonts w:ascii="Arial" w:cs="Arial" w:eastAsia="Arial" w:hAnsi="Arial"/>
                <w:sz w:val="20"/>
                <w:szCs w:val="20"/>
                <w:color w:val="auto"/>
              </w:rPr>
              <w:t>Huzhou Microvast Electric Vehicle Sales Service, Ltd.</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91"/>
              </w:rPr>
              <w:t>Huzhou, PRC</w:t>
            </w:r>
          </w:p>
        </w:tc>
      </w:tr>
      <w:tr>
        <w:trPr>
          <w:trHeight w:val="251"/>
        </w:trPr>
        <w:tc>
          <w:tcPr>
            <w:tcW w:w="6300" w:type="dxa"/>
            <w:vAlign w:val="bottom"/>
          </w:tcPr>
          <w:p>
            <w:pPr>
              <w:ind w:left="60"/>
              <w:spacing w:after="0"/>
              <w:rPr>
                <w:sz w:val="20"/>
                <w:szCs w:val="20"/>
                <w:color w:val="auto"/>
              </w:rPr>
            </w:pPr>
            <w:r>
              <w:rPr>
                <w:rFonts w:ascii="Arial" w:cs="Arial" w:eastAsia="Arial" w:hAnsi="Arial"/>
                <w:sz w:val="20"/>
                <w:szCs w:val="20"/>
                <w:color w:val="auto"/>
              </w:rPr>
              <w:t>Microvast Energy, Inc.</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92"/>
              </w:rPr>
              <w:t>Colorado, USA</w:t>
            </w:r>
          </w:p>
        </w:tc>
      </w:tr>
      <w:tr>
        <w:trPr>
          <w:trHeight w:val="251"/>
        </w:trPr>
        <w:tc>
          <w:tcPr>
            <w:tcW w:w="6300" w:type="dxa"/>
            <w:vAlign w:val="bottom"/>
          </w:tcPr>
          <w:p>
            <w:pPr>
              <w:ind w:left="60"/>
              <w:spacing w:after="0"/>
              <w:rPr>
                <w:sz w:val="20"/>
                <w:szCs w:val="20"/>
                <w:color w:val="auto"/>
              </w:rPr>
            </w:pPr>
            <w:r>
              <w:rPr>
                <w:rFonts w:ascii="Arial" w:cs="Arial" w:eastAsia="Arial" w:hAnsi="Arial"/>
                <w:sz w:val="20"/>
                <w:szCs w:val="20"/>
                <w:color w:val="auto"/>
              </w:rPr>
              <w:t>Microvast Advanced Membrane, Inc.</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93"/>
              </w:rPr>
              <w:t>Delaware, USA</w:t>
            </w:r>
          </w:p>
        </w:tc>
      </w:tr>
      <w:tr>
        <w:trPr>
          <w:trHeight w:val="251"/>
        </w:trPr>
        <w:tc>
          <w:tcPr>
            <w:tcW w:w="6300" w:type="dxa"/>
            <w:vAlign w:val="bottom"/>
          </w:tcPr>
          <w:p>
            <w:pPr>
              <w:ind w:left="60"/>
              <w:spacing w:after="0"/>
              <w:rPr>
                <w:sz w:val="20"/>
                <w:szCs w:val="20"/>
                <w:color w:val="auto"/>
              </w:rPr>
            </w:pPr>
            <w:r>
              <w:rPr>
                <w:rFonts w:ascii="Arial" w:cs="Arial" w:eastAsia="Arial" w:hAnsi="Arial"/>
                <w:sz w:val="20"/>
                <w:szCs w:val="20"/>
                <w:color w:val="auto"/>
              </w:rPr>
              <w:t>Microvast Advanced Materials, Inc.</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93"/>
              </w:rPr>
              <w:t>Delaware, USA</w:t>
            </w:r>
          </w:p>
        </w:tc>
      </w:tr>
      <w:tr>
        <w:trPr>
          <w:trHeight w:val="257"/>
        </w:trPr>
        <w:tc>
          <w:tcPr>
            <w:tcW w:w="6300" w:type="dxa"/>
            <w:vAlign w:val="bottom"/>
          </w:tcPr>
          <w:p>
            <w:pPr>
              <w:ind w:left="60"/>
              <w:spacing w:after="0"/>
              <w:rPr>
                <w:sz w:val="20"/>
                <w:szCs w:val="20"/>
                <w:color w:val="auto"/>
              </w:rPr>
            </w:pPr>
            <w:r>
              <w:rPr>
                <w:rFonts w:ascii="Arial" w:cs="Arial" w:eastAsia="Arial" w:hAnsi="Arial"/>
                <w:sz w:val="20"/>
                <w:szCs w:val="20"/>
                <w:color w:val="auto"/>
              </w:rPr>
              <w:t>Microvast Precision Works Co., Ltd</w:t>
            </w:r>
          </w:p>
        </w:tc>
        <w:tc>
          <w:tcPr>
            <w:tcW w:w="4940" w:type="dxa"/>
            <w:vAlign w:val="bottom"/>
          </w:tcPr>
          <w:p>
            <w:pPr>
              <w:jc w:val="center"/>
              <w:ind w:left="600"/>
              <w:spacing w:after="0"/>
              <w:rPr>
                <w:sz w:val="20"/>
                <w:szCs w:val="20"/>
                <w:color w:val="auto"/>
              </w:rPr>
            </w:pPr>
            <w:r>
              <w:rPr>
                <w:rFonts w:ascii="Arial" w:cs="Arial" w:eastAsia="Arial" w:hAnsi="Arial"/>
                <w:sz w:val="20"/>
                <w:szCs w:val="20"/>
                <w:color w:val="auto"/>
                <w:w w:val="91"/>
              </w:rPr>
              <w:t>Huzhou, PRC</w:t>
            </w:r>
          </w:p>
        </w:tc>
      </w:tr>
    </w:tbl>
    <w:p>
      <w:pPr>
        <w:sectPr>
          <w:pgSz w:w="11900" w:h="16838" w:orient="portrait"/>
          <w:cols w:equalWidth="0" w:num="1">
            <w:col w:w="11240"/>
          </w:cols>
          <w:pgMar w:left="320" w:top="1307"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20"/>
          <w:szCs w:val="20"/>
          <w:b w:val="1"/>
          <w:bCs w:val="1"/>
          <w:color w:val="auto"/>
        </w:rPr>
        <w:t>Exhibit 23.1</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ind w:right="140"/>
        <w:spacing w:after="0" w:line="256" w:lineRule="auto"/>
        <w:rPr>
          <w:sz w:val="20"/>
          <w:szCs w:val="20"/>
          <w:color w:val="auto"/>
        </w:rPr>
      </w:pPr>
      <w:r>
        <w:rPr>
          <w:rFonts w:ascii="Arial" w:cs="Arial" w:eastAsia="Arial" w:hAnsi="Arial"/>
          <w:sz w:val="20"/>
          <w:szCs w:val="20"/>
          <w:color w:val="auto"/>
        </w:rPr>
        <w:t>We consent to the incorporation by reference in the Registration Statement No. 333-258978 on Form S-3 and Registration Statement No. 333-259957 on Form S-8 of our report dated March 16, 2023, relating to the financial statements of Microvast Holdings, Inc. appearing in this Annual Report on Form 10-K for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/s/ Deloitte Touche Tohmatsu Certified Public Accountants LLP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Deloitte Touche Tohmatsu Certified Public Accountants LLP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Beijing, the People's Republic of China</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March 16, 2023</w:t>
      </w:r>
    </w:p>
    <w:p>
      <w:pPr>
        <w:sectPr>
          <w:pgSz w:w="11900" w:h="16838" w:orient="portrait"/>
          <w:cols w:equalWidth="0" w:num="1">
            <w:col w:w="11240"/>
          </w:cols>
          <w:pgMar w:left="320" w:top="1319"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7"/>
          <w:szCs w:val="17"/>
          <w:b w:val="1"/>
          <w:bCs w:val="1"/>
          <w:color w:val="auto"/>
        </w:rPr>
        <w:t>Exhibit 31.1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Yang Wu, certify that:</w:t>
      </w:r>
    </w:p>
    <w:p>
      <w:pPr>
        <w:spacing w:after="0" w:line="206" w:lineRule="exact"/>
        <w:rPr>
          <w:sz w:val="20"/>
          <w:szCs w:val="20"/>
          <w:color w:val="auto"/>
        </w:rPr>
      </w:pPr>
    </w:p>
    <w:p>
      <w:pPr>
        <w:ind w:left="600" w:hanging="298"/>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Microvast Holdings, Inc.;</w:t>
      </w:r>
    </w:p>
    <w:p>
      <w:pPr>
        <w:spacing w:after="0" w:line="206" w:lineRule="exact"/>
        <w:rPr>
          <w:rFonts w:ascii="Arial" w:cs="Arial" w:eastAsia="Arial" w:hAnsi="Arial"/>
          <w:sz w:val="17"/>
          <w:szCs w:val="17"/>
          <w:color w:val="auto"/>
        </w:rPr>
      </w:pPr>
    </w:p>
    <w:p>
      <w:pPr>
        <w:ind w:left="600" w:right="160" w:hanging="298"/>
        <w:spacing w:after="0" w:line="335" w:lineRule="auto"/>
        <w:tabs>
          <w:tab w:leader="none" w:pos="6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00" w:right="240" w:hanging="298"/>
        <w:spacing w:after="0" w:line="268" w:lineRule="auto"/>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600" w:right="60" w:hanging="298"/>
        <w:spacing w:after="0" w:line="257" w:lineRule="auto"/>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900" w:right="80" w:hanging="297"/>
        <w:spacing w:after="0" w:line="257" w:lineRule="auto"/>
        <w:tabs>
          <w:tab w:leader="none" w:pos="892"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900" w:right="200" w:hanging="297"/>
        <w:spacing w:after="0" w:line="257" w:lineRule="auto"/>
        <w:tabs>
          <w:tab w:leader="none" w:pos="889"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Arial" w:cs="Arial" w:eastAsia="Arial" w:hAnsi="Arial"/>
          <w:sz w:val="17"/>
          <w:szCs w:val="17"/>
          <w:color w:val="auto"/>
        </w:rPr>
      </w:pPr>
    </w:p>
    <w:p>
      <w:pPr>
        <w:ind w:left="900" w:right="240" w:hanging="297"/>
        <w:spacing w:after="0" w:line="299" w:lineRule="auto"/>
        <w:tabs>
          <w:tab w:leader="none" w:pos="892"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6"/>
          <w:szCs w:val="16"/>
          <w:color w:val="auto"/>
        </w:rPr>
      </w:pPr>
    </w:p>
    <w:p>
      <w:pPr>
        <w:ind w:left="900" w:right="280" w:hanging="297"/>
        <w:spacing w:after="0" w:line="257" w:lineRule="auto"/>
        <w:tabs>
          <w:tab w:leader="none" w:pos="889"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00" w:right="20" w:hanging="298"/>
        <w:spacing w:after="0" w:line="268" w:lineRule="auto"/>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900" w:right="160" w:hanging="301"/>
        <w:spacing w:after="0" w:line="268"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900" w:right="380" w:hanging="301"/>
        <w:spacing w:after="0" w:line="268" w:lineRule="auto"/>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260" w:val="left"/>
          <w:tab w:leader="none" w:pos="5960" w:val="left"/>
        </w:tabs>
        <w:rPr>
          <w:sz w:val="20"/>
          <w:szCs w:val="20"/>
          <w:color w:val="auto"/>
        </w:rPr>
      </w:pPr>
      <w:r>
        <w:rPr>
          <w:rFonts w:ascii="Arial" w:cs="Arial" w:eastAsia="Arial" w:hAnsi="Arial"/>
          <w:sz w:val="17"/>
          <w:szCs w:val="17"/>
          <w:color w:val="auto"/>
        </w:rPr>
        <w:t>Date: March 16,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34925</wp:posOffset>
            </wp:positionV>
            <wp:extent cx="33401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spacing w:after="0" w:line="6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Yang Wu</w:t>
      </w:r>
    </w:p>
    <w:p>
      <w:pPr>
        <w:spacing w:after="0" w:line="6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Executive Officer</w:t>
      </w:r>
    </w:p>
    <w:p>
      <w:pPr>
        <w:spacing w:after="0" w:line="6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77"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7"/>
          <w:szCs w:val="17"/>
          <w:b w:val="1"/>
          <w:bCs w:val="1"/>
          <w:color w:val="auto"/>
        </w:rPr>
        <w:t>Exhibit 31.2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I, Craig Webster, certify that:</w:t>
      </w:r>
    </w:p>
    <w:p>
      <w:pPr>
        <w:spacing w:after="0" w:line="206" w:lineRule="exact"/>
        <w:rPr>
          <w:sz w:val="20"/>
          <w:szCs w:val="20"/>
          <w:color w:val="auto"/>
        </w:rPr>
      </w:pPr>
    </w:p>
    <w:p>
      <w:pPr>
        <w:ind w:left="600" w:hanging="298"/>
        <w:spacing w:after="0"/>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Microvast Holdings, Inc.;</w:t>
      </w:r>
    </w:p>
    <w:p>
      <w:pPr>
        <w:spacing w:after="0" w:line="206" w:lineRule="exact"/>
        <w:rPr>
          <w:rFonts w:ascii="Arial" w:cs="Arial" w:eastAsia="Arial" w:hAnsi="Arial"/>
          <w:sz w:val="17"/>
          <w:szCs w:val="17"/>
          <w:color w:val="auto"/>
        </w:rPr>
      </w:pPr>
    </w:p>
    <w:p>
      <w:pPr>
        <w:ind w:left="600" w:right="160" w:hanging="298"/>
        <w:spacing w:after="0" w:line="335" w:lineRule="auto"/>
        <w:tabs>
          <w:tab w:leader="none" w:pos="6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00" w:right="240" w:hanging="298"/>
        <w:spacing w:after="0" w:line="268" w:lineRule="auto"/>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7"/>
          <w:szCs w:val="17"/>
          <w:color w:val="auto"/>
        </w:rPr>
      </w:pPr>
    </w:p>
    <w:p>
      <w:pPr>
        <w:jc w:val="both"/>
        <w:ind w:left="600" w:right="60" w:hanging="298"/>
        <w:spacing w:after="0" w:line="257" w:lineRule="auto"/>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900" w:right="80" w:hanging="297"/>
        <w:spacing w:after="0" w:line="257" w:lineRule="auto"/>
        <w:tabs>
          <w:tab w:leader="none" w:pos="892"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900" w:right="200" w:hanging="297"/>
        <w:spacing w:after="0" w:line="257" w:lineRule="auto"/>
        <w:tabs>
          <w:tab w:leader="none" w:pos="889" w:val="left"/>
        </w:tabs>
        <w:numPr>
          <w:ilvl w:val="1"/>
          <w:numId w:val="6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Arial" w:cs="Arial" w:eastAsia="Arial" w:hAnsi="Arial"/>
          <w:sz w:val="17"/>
          <w:szCs w:val="17"/>
          <w:color w:val="auto"/>
        </w:rPr>
      </w:pPr>
    </w:p>
    <w:p>
      <w:pPr>
        <w:ind w:left="900" w:right="240" w:hanging="297"/>
        <w:spacing w:after="0" w:line="299" w:lineRule="auto"/>
        <w:tabs>
          <w:tab w:leader="none" w:pos="892"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6"/>
          <w:szCs w:val="16"/>
          <w:color w:val="auto"/>
        </w:rPr>
      </w:pPr>
    </w:p>
    <w:p>
      <w:pPr>
        <w:ind w:left="900" w:right="280" w:hanging="297"/>
        <w:spacing w:after="0" w:line="257" w:lineRule="auto"/>
        <w:tabs>
          <w:tab w:leader="none" w:pos="889" w:val="left"/>
        </w:tabs>
        <w:numPr>
          <w:ilvl w:val="1"/>
          <w:numId w:val="6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600" w:right="20" w:hanging="298"/>
        <w:spacing w:after="0" w:line="268" w:lineRule="auto"/>
        <w:tabs>
          <w:tab w:leader="none" w:pos="6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7"/>
          <w:szCs w:val="17"/>
          <w:color w:val="auto"/>
        </w:rPr>
      </w:pPr>
    </w:p>
    <w:p>
      <w:pPr>
        <w:ind w:left="900" w:right="160" w:hanging="301"/>
        <w:spacing w:after="0" w:line="268"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7"/>
          <w:szCs w:val="17"/>
          <w:color w:val="auto"/>
        </w:rPr>
      </w:pPr>
    </w:p>
    <w:p>
      <w:pPr>
        <w:ind w:left="900" w:right="380" w:hanging="301"/>
        <w:spacing w:after="0" w:line="268" w:lineRule="auto"/>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260" w:val="left"/>
          <w:tab w:leader="none" w:pos="5960" w:val="left"/>
        </w:tabs>
        <w:rPr>
          <w:sz w:val="20"/>
          <w:szCs w:val="20"/>
          <w:color w:val="auto"/>
        </w:rPr>
      </w:pPr>
      <w:r>
        <w:rPr>
          <w:rFonts w:ascii="Arial" w:cs="Arial" w:eastAsia="Arial" w:hAnsi="Arial"/>
          <w:sz w:val="17"/>
          <w:szCs w:val="17"/>
          <w:color w:val="auto"/>
        </w:rPr>
        <w:t>Date: March 16,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Craig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34925</wp:posOffset>
            </wp:positionV>
            <wp:extent cx="33401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spacing w:after="0" w:line="6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Craig Webster</w:t>
      </w:r>
    </w:p>
    <w:p>
      <w:pPr>
        <w:spacing w:after="0" w:line="6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Financial Officer</w:t>
      </w:r>
    </w:p>
    <w:p>
      <w:pPr>
        <w:spacing w:after="0" w:line="6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77"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7"/>
          <w:szCs w:val="17"/>
          <w:b w:val="1"/>
          <w:bCs w:val="1"/>
          <w:color w:val="auto"/>
        </w:rPr>
        <w:t>Exhibit 32.1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ADDED BY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4" w:lineRule="exact"/>
        <w:rPr>
          <w:sz w:val="20"/>
          <w:szCs w:val="20"/>
          <w:color w:val="auto"/>
        </w:rPr>
      </w:pPr>
    </w:p>
    <w:p>
      <w:pPr>
        <w:jc w:val="both"/>
        <w:ind w:right="140"/>
        <w:spacing w:after="0" w:line="257" w:lineRule="auto"/>
        <w:rPr>
          <w:sz w:val="20"/>
          <w:szCs w:val="20"/>
          <w:color w:val="auto"/>
        </w:rPr>
      </w:pPr>
      <w:r>
        <w:rPr>
          <w:rFonts w:ascii="Arial" w:cs="Arial" w:eastAsia="Arial" w:hAnsi="Arial"/>
          <w:sz w:val="17"/>
          <w:szCs w:val="17"/>
          <w:color w:val="auto"/>
        </w:rPr>
        <w:t>In connection with the Annual Report of Microvast Holdings, Inc. (the “Company”) on Form 10-K for the year ended December 31, 2021, as filed with the Securities and Exchange Commission on the date hereof (the “Report”), I, Yang Wu, Chief Executive Officer of the Company, certify, pursuant to 18 U.S.C. §1350, as added by §906 of the Sarbanes-Oxley Act of 2002, that, to the best of my knowledge:</w:t>
      </w:r>
    </w:p>
    <w:p>
      <w:pPr>
        <w:spacing w:after="0" w:line="175" w:lineRule="exact"/>
        <w:rPr>
          <w:sz w:val="20"/>
          <w:szCs w:val="20"/>
          <w:color w:val="auto"/>
        </w:rPr>
      </w:pPr>
    </w:p>
    <w:p>
      <w:pPr>
        <w:ind w:left="600" w:hanging="298"/>
        <w:spacing w:after="0"/>
        <w:tabs>
          <w:tab w:leader="none" w:pos="6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6" w:lineRule="exact"/>
        <w:rPr>
          <w:rFonts w:ascii="Arial" w:cs="Arial" w:eastAsia="Arial" w:hAnsi="Arial"/>
          <w:sz w:val="17"/>
          <w:szCs w:val="17"/>
          <w:color w:val="auto"/>
        </w:rPr>
      </w:pPr>
    </w:p>
    <w:p>
      <w:pPr>
        <w:ind w:left="600" w:hanging="298"/>
        <w:spacing w:after="0"/>
        <w:tabs>
          <w:tab w:leader="none" w:pos="6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left="20"/>
        <w:spacing w:after="0"/>
        <w:tabs>
          <w:tab w:leader="none" w:pos="5260" w:val="left"/>
          <w:tab w:leader="none" w:pos="5960" w:val="left"/>
        </w:tabs>
        <w:rPr>
          <w:sz w:val="20"/>
          <w:szCs w:val="20"/>
          <w:color w:val="auto"/>
        </w:rPr>
      </w:pPr>
      <w:r>
        <w:rPr>
          <w:rFonts w:ascii="Arial" w:cs="Arial" w:eastAsia="Arial" w:hAnsi="Arial"/>
          <w:sz w:val="17"/>
          <w:szCs w:val="17"/>
          <w:color w:val="auto"/>
        </w:rPr>
        <w:t>Date: March 16,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Yang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34925</wp:posOffset>
            </wp:positionV>
            <wp:extent cx="33401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3340100" cy="8255"/>
                    </a:xfrm>
                    <a:prstGeom prst="rect">
                      <a:avLst/>
                    </a:prstGeom>
                    <a:noFill/>
                  </pic:spPr>
                </pic:pic>
              </a:graphicData>
            </a:graphic>
          </wp:anchor>
        </w:drawing>
      </w:r>
    </w:p>
    <w:p>
      <w:pPr>
        <w:spacing w:after="0" w:line="61"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Yang Wu</w:t>
      </w:r>
    </w:p>
    <w:p>
      <w:pPr>
        <w:spacing w:after="0" w:line="6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Executive Officer</w:t>
      </w:r>
    </w:p>
    <w:p>
      <w:pPr>
        <w:spacing w:after="0" w:line="6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77"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b w:val="1"/>
          <w:bCs w:val="1"/>
          <w:color w:val="auto"/>
        </w:rPr>
        <w:t>Exhibit 32.2</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ADDED BY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94"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In connection with the Annual Report of Microvast Holdings, Inc. (the “Company”) on Form 10-K for the year ended December 31, 2021, as filed with the Securities and Exchange Commission on the date hereof (the “Report”), I, Craig Webster, Chief Financial Officer of the Company, certify, pursuant to 18 U.S.C. §1350, as added by §906 of the Sarbanes-Oxley Act of 2002, that, to the best of my knowledge:</w:t>
      </w:r>
    </w:p>
    <w:p>
      <w:pPr>
        <w:spacing w:after="0" w:line="175" w:lineRule="exact"/>
        <w:rPr>
          <w:sz w:val="20"/>
          <w:szCs w:val="20"/>
          <w:color w:val="auto"/>
        </w:rPr>
      </w:pPr>
    </w:p>
    <w:p>
      <w:pPr>
        <w:ind w:left="600" w:hanging="298"/>
        <w:spacing w:after="0"/>
        <w:tabs>
          <w:tab w:leader="none" w:pos="6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6" w:lineRule="exact"/>
        <w:rPr>
          <w:rFonts w:ascii="Arial" w:cs="Arial" w:eastAsia="Arial" w:hAnsi="Arial"/>
          <w:sz w:val="17"/>
          <w:szCs w:val="17"/>
          <w:color w:val="auto"/>
        </w:rPr>
      </w:pPr>
    </w:p>
    <w:p>
      <w:pPr>
        <w:ind w:left="600" w:hanging="298"/>
        <w:spacing w:after="0"/>
        <w:tabs>
          <w:tab w:leader="none" w:pos="6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8" w:lineRule="exact"/>
        <w:rPr>
          <w:sz w:val="20"/>
          <w:szCs w:val="20"/>
          <w:color w:val="auto"/>
        </w:rPr>
      </w:pPr>
    </w:p>
    <w:p>
      <w:pPr>
        <w:ind w:left="20"/>
        <w:spacing w:after="0"/>
        <w:tabs>
          <w:tab w:leader="none" w:pos="5260" w:val="left"/>
          <w:tab w:leader="none" w:pos="5960" w:val="left"/>
        </w:tabs>
        <w:rPr>
          <w:sz w:val="20"/>
          <w:szCs w:val="20"/>
          <w:color w:val="auto"/>
        </w:rPr>
      </w:pPr>
      <w:r>
        <w:rPr>
          <w:rFonts w:ascii="Arial" w:cs="Arial" w:eastAsia="Arial" w:hAnsi="Arial"/>
          <w:sz w:val="17"/>
          <w:szCs w:val="17"/>
          <w:color w:val="auto"/>
        </w:rPr>
        <w:t>Date: March 16,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Craig Webster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34925</wp:posOffset>
            </wp:positionV>
            <wp:extent cx="3340100" cy="158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3340100" cy="15875"/>
                    </a:xfrm>
                    <a:prstGeom prst="rect">
                      <a:avLst/>
                    </a:prstGeom>
                    <a:noFill/>
                  </pic:spPr>
                </pic:pic>
              </a:graphicData>
            </a:graphic>
          </wp:anchor>
        </w:drawing>
      </w:r>
    </w:p>
    <w:p>
      <w:pPr>
        <w:spacing w:after="0" w:line="7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Craig Webster</w:t>
      </w:r>
    </w:p>
    <w:p>
      <w:pPr>
        <w:spacing w:after="0" w:line="6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Chief Financial Officer</w:t>
      </w:r>
    </w:p>
    <w:p>
      <w:pPr>
        <w:spacing w:after="0" w:line="68"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1240"/>
      </w:cols>
      <w:pgMar w:left="320" w:top="10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lvl w:ilvl="1">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1)"/>
      <w:numFmt w:val="decimal"/>
      <w:start w:val="2"/>
    </w:lvl>
  </w:abstractNum>
  <w:abstractNum w:abstractNumId="30">
    <w:nsid w:val="6DE91B18"/>
    <w:multiLevelType w:val="hybridMultilevel"/>
    <w:lvl w:ilvl="0">
      <w:lvlJc w:val="left"/>
      <w:lvlText w:val="(%1)"/>
      <w:numFmt w:val="lowerRoman"/>
      <w:start w:val="2"/>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1)"/>
      <w:numFmt w:val="decimal"/>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Roman"/>
      <w:start w:val="3"/>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1."/>
      <w:numFmt w:val="decimal"/>
      <w:start w:val="18"/>
    </w:lvl>
  </w:abstractNum>
  <w:abstractNum w:abstractNumId="41">
    <w:nsid w:val="12E685FB"/>
    <w:multiLevelType w:val="hybridMultilevel"/>
    <w:lvl w:ilvl="0">
      <w:lvlJc w:val="left"/>
      <w:lvlText w:val="%1."/>
      <w:numFmt w:val="decimal"/>
      <w:start w:val="3"/>
    </w:lvl>
  </w:abstractNum>
  <w:abstractNum w:abstractNumId="42">
    <w:nsid w:val="70C6A529"/>
    <w:multiLevelType w:val="hybridMultilevel"/>
    <w:lvl w:ilvl="0">
      <w:lvlJc w:val="left"/>
      <w:lvlText w:val="1"/>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decimal"/>
      <w:start w:val="1"/>
    </w:lvl>
  </w:abstractNum>
  <w:abstractNum w:abstractNumId="45">
    <w:nsid w:val="4F4EF005"/>
    <w:multiLevelType w:val="hybridMultilevel"/>
    <w:lvl w:ilvl="0">
      <w:lvlJc w:val="left"/>
      <w:lvlText w:val="(%1)"/>
      <w:numFmt w:val="decimal"/>
      <w:start w:val="2"/>
    </w:lvl>
  </w:abstractNum>
  <w:abstractNum w:abstractNumId="46">
    <w:nsid w:val="23F9C13C"/>
    <w:multiLevelType w:val="hybridMultilevel"/>
    <w:lvl w:ilvl="0">
      <w:lvlJc w:val="left"/>
      <w:lvlText w:val="(%1)"/>
      <w:numFmt w:val="decimal"/>
      <w:start w:val="1"/>
    </w:lvl>
  </w:abstractNum>
  <w:abstractNum w:abstractNumId="47">
    <w:nsid w:val="649BB77C"/>
    <w:multiLevelType w:val="hybridMultilevel"/>
    <w:lvl w:ilvl="0">
      <w:lvlJc w:val="left"/>
      <w:lvlText w:val="(%1)"/>
      <w:numFmt w:val="decimal"/>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decimal"/>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amp;"/>
      <w:numFmt w:val="bullet"/>
      <w:start w:val="1"/>
    </w:lvl>
  </w:abstractNum>
  <w:abstractNum w:abstractNumId="58">
    <w:nsid w:val="10233C99"/>
    <w:multiLevelType w:val="hybridMultilevel"/>
    <w:lvl w:ilvl="0">
      <w:lvlJc w:val="left"/>
      <w:lvlText w:val="(%1)"/>
      <w:numFmt w:val="decimal"/>
      <w:start w:val="3"/>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187" Type="http://schemas.openxmlformats.org/officeDocument/2006/relationships/hyperlink" Target="http://www.sec.gov/Archives/edgar/data/1760689/000121390021039093/ea144448ex3-1_microvast.htm" TargetMode="External"/><Relationship Id="rId188" Type="http://schemas.openxmlformats.org/officeDocument/2006/relationships/hyperlink" Target="http://www.sec.gov/Archives/edgar/data/1760689/000121390021039093/ea144448ex3-2_microvast.htm" TargetMode="External"/><Relationship Id="rId189" Type="http://schemas.openxmlformats.org/officeDocument/2006/relationships/hyperlink" Target="http://www.sec.gov/Archives/edgar/data/1760689/000121390021039093/ea144448ex4-4_microvast.htm" TargetMode="External"/><Relationship Id="rId190" Type="http://schemas.openxmlformats.org/officeDocument/2006/relationships/hyperlink" Target="http://www.sec.gov/Archives/edgar/data/1760689/000121390021039093/ea144448ex4-5_microvast.htm" TargetMode="External"/><Relationship Id="rId191" Type="http://schemas.openxmlformats.org/officeDocument/2006/relationships/hyperlink" Target="http://www.sec.gov/Archives/edgar/data/1760689/000121390019003155/fs12018a1ex4-4_tuscanhold.htm" TargetMode="External"/><Relationship Id="rId192" Type="http://schemas.openxmlformats.org/officeDocument/2006/relationships/hyperlink" Target="http://www.sec.gov/Archives/edgar/data/1760689/000121390021039093/ea144448ex4-1_microvast.htm" TargetMode="External"/><Relationship Id="rId193" Type="http://schemas.openxmlformats.org/officeDocument/2006/relationships/hyperlink" Target="http://www.sec.gov/Archives/edgar/data/1760689/000121390021039093/ea144448ex4-2_microvast.htm" TargetMode="External"/><Relationship Id="rId194" Type="http://schemas.openxmlformats.org/officeDocument/2006/relationships/hyperlink" Target="http://www.sec.gov/Archives/edgar/data/1760689/000121390021039093/ea144448ex10-1_microvast.htm" TargetMode="External"/><Relationship Id="rId195" Type="http://schemas.openxmlformats.org/officeDocument/2006/relationships/hyperlink" Target="http://www.sec.gov/Archives/edgar/data/1760689/000121390021039093/ea144448ex10-2_microvast.htm" TargetMode="External"/><Relationship Id="rId196" Type="http://schemas.openxmlformats.org/officeDocument/2006/relationships/hyperlink" Target="http://www.sec.gov/Archives/edgar/data/1760689/000121390021039093/ea144448ex10-4_microvast.htm" TargetMode="External"/><Relationship Id="rId197" Type="http://schemas.openxmlformats.org/officeDocument/2006/relationships/hyperlink" Target="http://www.sec.gov/Archives/edgar/data/1760689/000121390021039093/ea144448ex10-5_microvast.htm" TargetMode="External"/><Relationship Id="rId198" Type="http://schemas.openxmlformats.org/officeDocument/2006/relationships/hyperlink" Target="http://www.sec.gov/Archives/edgar/data/1760689/000094787121001035/ss509645_ex9901.htm" TargetMode="External"/><Relationship Id="rId199" Type="http://schemas.openxmlformats.org/officeDocument/2006/relationships/hyperlink" Target="http://www.sec.gov/Archives/edgar/data/1760689/000121390019003155/fs12018a1ex10-6_tuscanhold.htm" TargetMode="External"/><Relationship Id="rId200" Type="http://schemas.openxmlformats.org/officeDocument/2006/relationships/hyperlink" Target="http://www.sec.gov/Archives/edgar/data/1760689/000121390021039093/ea144448ex10-13_microvast.htm" TargetMode="External"/><Relationship Id="rId203" Type="http://schemas.openxmlformats.org/officeDocument/2006/relationships/hyperlink" Target="http://www.sec.gov/Archives/edgar/data/1760689/000121390021045930/ea146734ex99-1_microvast.htm" TargetMode="External"/><Relationship Id="rId204" Type="http://schemas.openxmlformats.org/officeDocument/2006/relationships/hyperlink" Target="http://www.sec.gov/Archives/edgar/data/1760689/000121390021045930/ea146734ex99-2_microvast.htm" TargetMode="External"/><Relationship Id="rId205" Type="http://schemas.openxmlformats.org/officeDocument/2006/relationships/hyperlink" Target="http://www.sec.gov/Archives/edgar/data/1760689/000121390021045930/ea146734ex99-3_microvast.htm" TargetMode="External"/><Relationship Id="rId206" Type="http://schemas.openxmlformats.org/officeDocument/2006/relationships/hyperlink" Target="https://www.sec.gov/Archives/edgar/data/1760689/000121390022015871/f10k2021ex10-15_microvast.htm" TargetMode="External"/><Relationship Id="rId207" Type="http://schemas.openxmlformats.org/officeDocument/2006/relationships/hyperlink" Target="https://www.sec.gov/Archives/edgar/data/1760689/000121390022015871/f10k2021ex10-16_microvast.htm" TargetMode="External"/><Relationship Id="rId208" Type="http://schemas.openxmlformats.org/officeDocument/2006/relationships/hyperlink" Target="https://www.sec.gov/Archives/edgar/data/1760689/000176068922000014/zheng-transitionconsulting.htm" TargetMode="External"/><Relationship Id="rId209" Type="http://schemas.openxmlformats.org/officeDocument/2006/relationships/hyperlink" Target="https://www.sec.gov/Archives/edgar/data/1760689/000176068922000014/websteremploymentagreement.htm" TargetMode="External"/><Relationship Id="rId210" Type="http://schemas.openxmlformats.org/officeDocument/2006/relationships/hyperlink" Target="https://www.sec.gov/Archives/edgar/data/1760689/000176068922000014/kelterbornofferletter.htm" TargetMode="External"/><Relationship Id="rId211" Type="http://schemas.openxmlformats.org/officeDocument/2006/relationships/hyperlink" Target="https://www.sec.gov/Archives/edgar/data/1760689/000176068922000026/formofoptionawardagreement.htm" TargetMode="External"/><Relationship Id="rId212" Type="http://schemas.openxmlformats.org/officeDocument/2006/relationships/hyperlink" Target="https://www.sec.gov/Archives/edgar/data/1760689/000176068922000094/exhibit101-syndicatedloan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2023-03-16T18:58:50Z</dcterms:created>
  <dcterms:modified xsi:type="dcterms:W3CDTF">2023-03-16T18:58:50Z</dcterms:modified>
</cp:coreProperties>
</file>