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80" w:type="dxa"/>
            <w:vAlign w:val="bottom"/>
          </w:tcPr>
          <w:p>
            <w:pPr>
              <w:spacing w:after="0"/>
              <w:rPr>
                <w:sz w:val="20"/>
                <w:szCs w:val="20"/>
                <w:color w:val="auto"/>
              </w:rPr>
            </w:pPr>
          </w:p>
        </w:tc>
      </w:tr>
      <w:tr>
        <w:trPr>
          <w:trHeight w:val="410"/>
        </w:trPr>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880" w:type="dxa"/>
            <w:vAlign w:val="bottom"/>
          </w:tcPr>
          <w:p>
            <w:pPr>
              <w:spacing w:after="0"/>
              <w:rPr>
                <w:sz w:val="24"/>
                <w:szCs w:val="24"/>
                <w:color w:val="auto"/>
              </w:rPr>
            </w:pPr>
          </w:p>
        </w:tc>
      </w:tr>
      <w:tr>
        <w:trPr>
          <w:trHeight w:val="238"/>
        </w:trPr>
        <w:tc>
          <w:tcPr>
            <w:tcW w:w="3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88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52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July 29, 2025</w:t>
            </w:r>
          </w:p>
        </w:tc>
        <w:tc>
          <w:tcPr>
            <w:tcW w:w="2880" w:type="dxa"/>
            <w:vAlign w:val="bottom"/>
          </w:tcPr>
          <w:p>
            <w:pPr>
              <w:spacing w:after="0"/>
              <w:rPr>
                <w:sz w:val="24"/>
                <w:szCs w:val="24"/>
                <w:color w:val="auto"/>
              </w:rPr>
            </w:pPr>
          </w:p>
        </w:tc>
      </w:tr>
      <w:tr>
        <w:trPr>
          <w:trHeight w:val="410"/>
        </w:trPr>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Microvast Holdings, Inc.</w:t>
            </w:r>
          </w:p>
        </w:tc>
        <w:tc>
          <w:tcPr>
            <w:tcW w:w="2880" w:type="dxa"/>
            <w:vAlign w:val="bottom"/>
          </w:tcPr>
          <w:p>
            <w:pPr>
              <w:spacing w:after="0"/>
              <w:rPr>
                <w:sz w:val="24"/>
                <w:szCs w:val="24"/>
                <w:color w:val="auto"/>
              </w:rPr>
            </w:pPr>
          </w:p>
        </w:tc>
      </w:tr>
      <w:tr>
        <w:trPr>
          <w:trHeight w:val="238"/>
        </w:trPr>
        <w:tc>
          <w:tcPr>
            <w:tcW w:w="3100" w:type="dxa"/>
            <w:vAlign w:val="bottom"/>
          </w:tcPr>
          <w:p>
            <w:pPr>
              <w:spacing w:after="0"/>
              <w:rPr>
                <w:sz w:val="20"/>
                <w:szCs w:val="20"/>
                <w:color w:val="auto"/>
              </w:rPr>
            </w:pPr>
          </w:p>
        </w:tc>
        <w:tc>
          <w:tcPr>
            <w:tcW w:w="52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880" w:type="dxa"/>
            <w:vAlign w:val="bottom"/>
          </w:tcPr>
          <w:p>
            <w:pPr>
              <w:spacing w:after="0"/>
              <w:rPr>
                <w:sz w:val="20"/>
                <w:szCs w:val="20"/>
                <w:color w:val="auto"/>
              </w:rPr>
            </w:pPr>
          </w:p>
        </w:tc>
      </w:tr>
      <w:tr>
        <w:trPr>
          <w:trHeight w:val="473"/>
        </w:trPr>
        <w:tc>
          <w:tcPr>
            <w:tcW w:w="31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4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001-38826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83-2530757</w:t>
            </w:r>
          </w:p>
        </w:tc>
      </w:tr>
      <w:tr>
        <w:trPr>
          <w:trHeight w:val="27"/>
        </w:trPr>
        <w:tc>
          <w:tcPr>
            <w:tcW w:w="3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14"/>
        </w:trPr>
        <w:tc>
          <w:tcPr>
            <w:tcW w:w="31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8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7"/>
        </w:trPr>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12603 Southwest Freeway, Suite 300</w:t>
            </w:r>
          </w:p>
        </w:tc>
        <w:tc>
          <w:tcPr>
            <w:tcW w:w="288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Stafford, Texas 77477</w:t>
            </w:r>
          </w:p>
        </w:tc>
        <w:tc>
          <w:tcPr>
            <w:tcW w:w="2880" w:type="dxa"/>
            <w:vAlign w:val="bottom"/>
          </w:tcPr>
          <w:p>
            <w:pPr>
              <w:spacing w:after="0"/>
              <w:rPr>
                <w:sz w:val="18"/>
                <w:szCs w:val="18"/>
                <w:color w:val="auto"/>
              </w:rPr>
            </w:pPr>
          </w:p>
        </w:tc>
      </w:tr>
      <w:tr>
        <w:trPr>
          <w:trHeight w:val="238"/>
        </w:trPr>
        <w:tc>
          <w:tcPr>
            <w:tcW w:w="3100" w:type="dxa"/>
            <w:vAlign w:val="bottom"/>
          </w:tcPr>
          <w:p>
            <w:pPr>
              <w:spacing w:after="0"/>
              <w:rPr>
                <w:sz w:val="20"/>
                <w:szCs w:val="20"/>
                <w:color w:val="auto"/>
              </w:rPr>
            </w:pPr>
          </w:p>
        </w:tc>
        <w:tc>
          <w:tcPr>
            <w:tcW w:w="52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880" w:type="dxa"/>
            <w:vAlign w:val="bottom"/>
          </w:tcPr>
          <w:p>
            <w:pPr>
              <w:spacing w:after="0"/>
              <w:rPr>
                <w:sz w:val="20"/>
                <w:szCs w:val="20"/>
                <w:color w:val="auto"/>
              </w:rPr>
            </w:pPr>
          </w:p>
        </w:tc>
      </w:tr>
      <w:tr>
        <w:trPr>
          <w:trHeight w:val="410"/>
        </w:trPr>
        <w:tc>
          <w:tcPr>
            <w:tcW w:w="3100" w:type="dxa"/>
            <w:vAlign w:val="bottom"/>
          </w:tcPr>
          <w:p>
            <w:pPr>
              <w:spacing w:after="0"/>
              <w:rPr>
                <w:sz w:val="24"/>
                <w:szCs w:val="24"/>
                <w:color w:val="auto"/>
              </w:rPr>
            </w:pPr>
          </w:p>
        </w:tc>
        <w:tc>
          <w:tcPr>
            <w:tcW w:w="444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281-491-9505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38"/>
        </w:trPr>
        <w:tc>
          <w:tcPr>
            <w:tcW w:w="3100" w:type="dxa"/>
            <w:vAlign w:val="bottom"/>
          </w:tcPr>
          <w:p>
            <w:pPr>
              <w:spacing w:after="0"/>
              <w:rPr>
                <w:sz w:val="20"/>
                <w:szCs w:val="20"/>
                <w:color w:val="auto"/>
              </w:rPr>
            </w:pPr>
          </w:p>
        </w:tc>
        <w:tc>
          <w:tcPr>
            <w:tcW w:w="52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8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64"/>
        </w:trPr>
        <w:tc>
          <w:tcPr>
            <w:tcW w:w="46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gridSpan w:val="3"/>
            <w:shd w:val="clear" w:color="auto" w:fill="CCEEFF"/>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3040" w:type="dxa"/>
            <w:vAlign w:val="bottom"/>
            <w:tcBorders>
              <w:bottom w:val="single" w:sz="8" w:color="CCEEFF"/>
            </w:tcBorders>
            <w:gridSpan w:val="2"/>
            <w:shd w:val="clear" w:color="auto" w:fill="CCEEFF"/>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MVST</w:t>
            </w: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4"/>
        </w:trPr>
        <w:tc>
          <w:tcPr>
            <w:tcW w:w="460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Redeemable warrants, exercisable for shares of</w:t>
            </w:r>
          </w:p>
        </w:tc>
        <w:tc>
          <w:tcPr>
            <w:tcW w:w="30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MVSTW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46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common stock at an exercise price of $11.50 per</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46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81"/>
        </w:trPr>
        <w:tc>
          <w:tcPr>
            <w:tcW w:w="3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r>
      <w:tr>
        <w:trPr>
          <w:trHeight w:val="28"/>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022" w:right="339" w:bottom="1440" w:gutter="0" w:footer="0" w:header="0"/>
        </w:sectPr>
      </w:pPr>
    </w:p>
    <w:bookmarkStart w:id="1" w:name="page2"/>
    <w:bookmarkEnd w:id="1"/>
    <w:p>
      <w:pPr>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29, 2025, Carl T. (Pat) Schultz ceased to be employed as Chief Financial Officer of Microvast Holdings, Inc.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i w:val="1"/>
                <w:iCs w:val="1"/>
                <w:color w:val="auto"/>
              </w:rPr>
              <w:t>Exhibits</w:t>
            </w:r>
          </w:p>
        </w:tc>
        <w:tc>
          <w:tcPr>
            <w:tcW w:w="80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5"/>
        </w:trPr>
        <w:tc>
          <w:tcPr>
            <w:tcW w:w="10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6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600" w:type="dxa"/>
            <w:vAlign w:val="bottom"/>
          </w:tcPr>
          <w:p>
            <w:pPr>
              <w:spacing w:after="0"/>
              <w:rPr>
                <w:sz w:val="19"/>
                <w:szCs w:val="19"/>
                <w:color w:val="auto"/>
              </w:rPr>
            </w:pPr>
          </w:p>
        </w:tc>
      </w:tr>
      <w:tr>
        <w:trPr>
          <w:trHeight w:val="4079"/>
        </w:trPr>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2025</w:t>
            </w:r>
          </w:p>
        </w:tc>
        <w:tc>
          <w:tcPr>
            <w:tcW w:w="77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MICROVAST HOLDINGS, INC.</w:t>
            </w:r>
          </w:p>
        </w:tc>
      </w:tr>
      <w:tr>
        <w:trPr>
          <w:trHeight w:val="500"/>
        </w:trPr>
        <w:tc>
          <w:tcPr>
            <w:tcW w:w="3480" w:type="dxa"/>
            <w:vAlign w:val="bottom"/>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Wu Yang</w:t>
            </w:r>
          </w:p>
        </w:tc>
      </w:tr>
      <w:tr>
        <w:trPr>
          <w:trHeight w:val="27"/>
        </w:trPr>
        <w:tc>
          <w:tcPr>
            <w:tcW w:w="34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spacing w:after="0"/>
              <w:rPr>
                <w:sz w:val="20"/>
                <w:szCs w:val="20"/>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Wu Yang</w:t>
            </w:r>
          </w:p>
        </w:tc>
      </w:tr>
      <w:tr>
        <w:trPr>
          <w:trHeight w:val="283"/>
        </w:trPr>
        <w:tc>
          <w:tcPr>
            <w:tcW w:w="3480" w:type="dxa"/>
            <w:vAlign w:val="bottom"/>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879"/>
        </w:trPr>
        <w:tc>
          <w:tcPr>
            <w:tcW w:w="34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4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2025-08-01T16:18:30Z</dcterms:created>
  <dcterms:modified xsi:type="dcterms:W3CDTF">2025-08-01T16:18:30Z</dcterms:modified>
</cp:coreProperties>
</file>